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p>
    <w:p>
      <w:pPr>
        <w:pStyle w:val="Heading2"/>
        <w:spacing w:before="70"/>
        <w:ind w:left="4700" w:right="1910"/>
        <w:jc w:val="center"/>
      </w:pPr>
      <w:r>
        <w:rPr/>
        <w:pict>
          <v:group style="position:absolute;margin-left:205.149994pt;margin-top:34.785877pt;width:353.7pt;height:4.5pt;mso-position-horizontal-relative:page;mso-position-vertical-relative:paragraph;z-index:0;mso-wrap-distance-left:0;mso-wrap-distance-right:0" coordorigin="4103,696" coordsize="7074,90">
            <v:line style="position:absolute" from="4130,723" to="11150,723" stroked="true" strokeweight="2.7pt" strokecolor="#000000"/>
            <v:line style="position:absolute" from="4130,777" to="11150,777" stroked="true" strokeweight=".9pt" strokecolor="#000000"/>
            <w10:wrap type="topAndBottom"/>
          </v:group>
        </w:pict>
      </w:r>
      <w:r>
        <w:rPr/>
        <w:drawing>
          <wp:anchor distT="0" distB="0" distL="0" distR="0" allowOverlap="1" layoutInCell="1" locked="0" behindDoc="0" simplePos="0" relativeHeight="1144">
            <wp:simplePos x="0" y="0"/>
            <wp:positionH relativeFrom="page">
              <wp:posOffset>458469</wp:posOffset>
            </wp:positionH>
            <wp:positionV relativeFrom="paragraph">
              <wp:posOffset>-82602</wp:posOffset>
            </wp:positionV>
            <wp:extent cx="1584325" cy="144907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84325" cy="1449070"/>
                    </a:xfrm>
                    <a:prstGeom prst="rect">
                      <a:avLst/>
                    </a:prstGeom>
                  </pic:spPr>
                </pic:pic>
              </a:graphicData>
            </a:graphic>
          </wp:anchor>
        </w:drawing>
      </w:r>
      <w:r>
        <w:rPr/>
        <w:t>UNIVERSIDAD AUTÓNOMA DEL ESTADO DE MÉXICO</w:t>
      </w:r>
    </w:p>
    <w:p>
      <w:pPr>
        <w:spacing w:before="84"/>
        <w:ind w:left="4703" w:right="1909" w:firstLine="0"/>
        <w:jc w:val="center"/>
        <w:rPr>
          <w:b/>
          <w:sz w:val="24"/>
        </w:rPr>
      </w:pPr>
      <w:r>
        <w:rPr>
          <w:b/>
          <w:sz w:val="24"/>
        </w:rPr>
        <w:t>FACULTAD DE QUÍMICA</w:t>
      </w:r>
    </w:p>
    <w:p>
      <w:pPr>
        <w:pStyle w:val="BodyText"/>
        <w:rPr>
          <w:b/>
        </w:rPr>
      </w:pPr>
    </w:p>
    <w:p>
      <w:pPr>
        <w:pStyle w:val="BodyText"/>
        <w:rPr>
          <w:b/>
        </w:rPr>
      </w:pPr>
    </w:p>
    <w:p>
      <w:pPr>
        <w:pStyle w:val="BodyText"/>
        <w:rPr>
          <w:b/>
        </w:rPr>
      </w:pPr>
    </w:p>
    <w:p>
      <w:pPr>
        <w:pStyle w:val="BodyText"/>
        <w:spacing w:before="9"/>
        <w:rPr>
          <w:b/>
          <w:sz w:val="35"/>
        </w:rPr>
      </w:pPr>
    </w:p>
    <w:p>
      <w:pPr>
        <w:spacing w:before="0"/>
        <w:ind w:left="3925" w:right="0" w:firstLine="0"/>
        <w:jc w:val="center"/>
        <w:rPr>
          <w:b/>
          <w:sz w:val="24"/>
        </w:rPr>
      </w:pPr>
      <w:r>
        <w:rPr/>
        <w:pict>
          <v:group style="position:absolute;margin-left:72.25pt;margin-top:-5.344165pt;width:4.5pt;height:380.7pt;mso-position-horizontal-relative:page;mso-position-vertical-relative:paragraph;z-index:1120" coordorigin="1445,-107" coordsize="90,7614">
            <v:line style="position:absolute" from="1472,-80" to="1472,7480" stroked="true" strokeweight="2.7pt" strokecolor="#000000"/>
            <v:line style="position:absolute" from="1526,-80" to="1526,7480" stroked="true" strokeweight=".9pt" strokecolor="#000000"/>
            <w10:wrap type="none"/>
          </v:group>
        </w:pict>
      </w:r>
      <w:r>
        <w:rPr>
          <w:b/>
          <w:sz w:val="24"/>
        </w:rPr>
        <w:t>“ANALISIS DE LA SUSTENTABILIDAD DE LA PIROTECNIA EN LA COMUNIDAD DE SAN MATEO TLALCHICHILPAN, ESTADO DE MÉXICO”</w:t>
      </w:r>
    </w:p>
    <w:p>
      <w:pPr>
        <w:pStyle w:val="BodyText"/>
        <w:rPr>
          <w:b/>
          <w:sz w:val="20"/>
        </w:rPr>
      </w:pPr>
    </w:p>
    <w:p>
      <w:pPr>
        <w:pStyle w:val="BodyText"/>
        <w:rPr>
          <w:b/>
          <w:sz w:val="20"/>
        </w:rPr>
      </w:pPr>
    </w:p>
    <w:p>
      <w:pPr>
        <w:pStyle w:val="BodyText"/>
        <w:rPr>
          <w:b/>
          <w:sz w:val="20"/>
        </w:rPr>
      </w:pPr>
    </w:p>
    <w:p>
      <w:pPr>
        <w:tabs>
          <w:tab w:pos="3725" w:val="left" w:leader="none"/>
          <w:tab w:pos="4844" w:val="left" w:leader="none"/>
          <w:tab w:pos="5965" w:val="left" w:leader="none"/>
          <w:tab w:pos="6765" w:val="left" w:leader="none"/>
        </w:tabs>
        <w:spacing w:before="213"/>
        <w:ind w:left="2636" w:right="0" w:firstLine="0"/>
        <w:jc w:val="center"/>
        <w:rPr>
          <w:b/>
          <w:sz w:val="48"/>
        </w:rPr>
      </w:pPr>
      <w:r>
        <w:rPr/>
        <w:pict>
          <v:group style="position:absolute;margin-left:119.400002pt;margin-top:-31.168293pt;width:4.5pt;height:277.650pt;mso-position-horizontal-relative:page;mso-position-vertical-relative:paragraph;z-index:1096" coordorigin="2388,-623" coordsize="90,5553">
            <v:line style="position:absolute" from="2415,-596" to="2415,4903" stroked="true" strokeweight="2.7pt" strokecolor="#000000"/>
            <v:line style="position:absolute" from="2469,-596" to="2469,4903" stroked="true" strokeweight=".9pt" strokecolor="#000000"/>
            <w10:wrap type="none"/>
          </v:group>
        </w:pict>
      </w:r>
      <w:r>
        <w:rPr>
          <w:b/>
          <w:sz w:val="48"/>
        </w:rPr>
        <w:t>T</w:t>
        <w:tab/>
        <w:t>E</w:t>
        <w:tab/>
        <w:t>S</w:t>
        <w:tab/>
        <w:t>I</w:t>
        <w:tab/>
        <w:t>S</w:t>
      </w:r>
    </w:p>
    <w:p>
      <w:pPr>
        <w:tabs>
          <w:tab w:pos="4480" w:val="left" w:leader="none"/>
          <w:tab w:pos="5236" w:val="left" w:leader="none"/>
          <w:tab w:pos="5575" w:val="left" w:leader="none"/>
          <w:tab w:pos="5971" w:val="left" w:leader="none"/>
          <w:tab w:pos="6395" w:val="left" w:leader="none"/>
          <w:tab w:pos="6710" w:val="left" w:leader="none"/>
          <w:tab w:pos="7446" w:val="left" w:leader="none"/>
          <w:tab w:pos="8089" w:val="left" w:leader="none"/>
          <w:tab w:pos="8198" w:val="left" w:leader="none"/>
          <w:tab w:pos="8921" w:val="left" w:leader="none"/>
          <w:tab w:pos="9660" w:val="left" w:leader="none"/>
        </w:tabs>
        <w:spacing w:line="360" w:lineRule="auto" w:before="340"/>
        <w:ind w:left="3741" w:right="1099" w:hanging="3"/>
        <w:jc w:val="center"/>
        <w:rPr>
          <w:sz w:val="28"/>
        </w:rPr>
      </w:pPr>
      <w:r>
        <w:rPr>
          <w:sz w:val="28"/>
        </w:rPr>
        <w:t>QUE PARA OBTENER EL GRADO DE </w:t>
      </w:r>
      <w:r>
        <w:rPr>
          <w:b/>
          <w:sz w:val="28"/>
        </w:rPr>
        <w:t>MAESTRO</w:t>
        <w:tab/>
        <w:tab/>
        <w:t>EN</w:t>
        <w:tab/>
        <w:tab/>
        <w:t>CALIDAD</w:t>
        <w:tab/>
      </w:r>
      <w:r>
        <w:rPr>
          <w:b/>
          <w:spacing w:val="-1"/>
          <w:sz w:val="28"/>
        </w:rPr>
        <w:t>AMBIENTAL </w:t>
      </w:r>
      <w:r>
        <w:rPr>
          <w:sz w:val="28"/>
        </w:rPr>
        <w:t>P</w:t>
        <w:tab/>
        <w:t>R</w:t>
        <w:tab/>
        <w:t>E</w:t>
        <w:tab/>
        <w:tab/>
        <w:t>S</w:t>
        <w:tab/>
        <w:tab/>
        <w:t>E</w:t>
        <w:tab/>
        <w:t>N</w:t>
        <w:tab/>
        <w:tab/>
        <w:t>T</w:t>
        <w:tab/>
        <w:t>A</w:t>
        <w:tab/>
        <w:t>:</w:t>
      </w:r>
    </w:p>
    <w:p>
      <w:pPr>
        <w:pStyle w:val="BodyText"/>
        <w:rPr>
          <w:sz w:val="28"/>
        </w:rPr>
      </w:pPr>
    </w:p>
    <w:p>
      <w:pPr>
        <w:spacing w:before="172"/>
        <w:ind w:left="3893" w:right="1025" w:firstLine="0"/>
        <w:jc w:val="left"/>
        <w:rPr>
          <w:b/>
          <w:sz w:val="28"/>
        </w:rPr>
      </w:pPr>
      <w:r>
        <w:rPr>
          <w:b/>
          <w:sz w:val="28"/>
        </w:rPr>
        <w:t>I.Q. RAMÓN CALDERÓN CONTRERAS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6"/>
        </w:rPr>
      </w:pPr>
    </w:p>
    <w:p>
      <w:pPr>
        <w:pStyle w:val="BodyText"/>
        <w:spacing w:before="69"/>
        <w:ind w:left="4703" w:right="1908"/>
        <w:jc w:val="center"/>
      </w:pPr>
      <w:r>
        <w:rPr/>
        <w:t>DIRIGIDA POR:</w:t>
      </w:r>
    </w:p>
    <w:p>
      <w:pPr>
        <w:pStyle w:val="BodyText"/>
      </w:pPr>
    </w:p>
    <w:p>
      <w:pPr>
        <w:pStyle w:val="BodyText"/>
      </w:pPr>
    </w:p>
    <w:p>
      <w:pPr>
        <w:pStyle w:val="Heading2"/>
        <w:spacing w:before="0"/>
        <w:ind w:left="4703" w:right="1910"/>
        <w:jc w:val="center"/>
      </w:pPr>
      <w:r>
        <w:rPr/>
        <w:t>DR. JUAN CARLOS SÁNCHEZ MEZA</w:t>
      </w:r>
    </w:p>
    <w:p>
      <w:pPr>
        <w:spacing w:line="276" w:lineRule="auto" w:before="44"/>
        <w:ind w:left="4689" w:right="1025" w:hanging="481"/>
        <w:jc w:val="left"/>
        <w:rPr>
          <w:b/>
          <w:sz w:val="24"/>
        </w:rPr>
      </w:pPr>
      <w:r>
        <w:rPr/>
        <w:drawing>
          <wp:anchor distT="0" distB="0" distL="0" distR="0" allowOverlap="1" layoutInCell="1" locked="0" behindDoc="0" simplePos="0" relativeHeight="1168">
            <wp:simplePos x="0" y="0"/>
            <wp:positionH relativeFrom="page">
              <wp:posOffset>508634</wp:posOffset>
            </wp:positionH>
            <wp:positionV relativeFrom="paragraph">
              <wp:posOffset>419187</wp:posOffset>
            </wp:positionV>
            <wp:extent cx="1642110" cy="1485772"/>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642110" cy="1485772"/>
                    </a:xfrm>
                    <a:prstGeom prst="rect">
                      <a:avLst/>
                    </a:prstGeom>
                  </pic:spPr>
                </pic:pic>
              </a:graphicData>
            </a:graphic>
          </wp:anchor>
        </w:drawing>
      </w:r>
      <w:r>
        <w:rPr>
          <w:b/>
          <w:sz w:val="24"/>
        </w:rPr>
        <w:t>M. VICTOR FRANCISCO PACHECO SALAZAR DR. GONZALO MARTÍNEZ BARRERA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tabs>
          <w:tab w:pos="8379" w:val="left" w:leader="none"/>
        </w:tabs>
        <w:spacing w:before="204"/>
        <w:ind w:left="2790"/>
        <w:jc w:val="center"/>
      </w:pPr>
      <w:r>
        <w:rPr/>
        <w:pict>
          <v:shapetype id="_x0000_t202" o:spt="202" coordsize="21600,21600" path="m,l,21600r21600,l21600,xe">
            <v:stroke joinstyle="miter"/>
            <v:path gradientshapeok="t" o:connecttype="rect"/>
          </v:shapetype>
          <v:shape style="position:absolute;margin-left:276.299988pt;margin-top:38.83086pt;width:46.85pt;height:14.1pt;mso-position-horizontal-relative:page;mso-position-vertical-relative:paragraph;z-index:-129352" type="#_x0000_t202" filled="false" stroked="false">
            <v:textbox inset="0,0,0,0">
              <w:txbxContent>
                <w:p>
                  <w:pPr>
                    <w:spacing w:line="282" w:lineRule="exact" w:before="0"/>
                    <w:ind w:left="91" w:right="0" w:firstLine="0"/>
                    <w:jc w:val="left"/>
                    <w:rPr>
                      <w:rFonts w:ascii="Cambria"/>
                      <w:sz w:val="28"/>
                    </w:rPr>
                  </w:pPr>
                  <w:r>
                    <w:rPr>
                      <w:rFonts w:ascii="Cambria"/>
                      <w:sz w:val="28"/>
                    </w:rPr>
                    <w:t>~ 0 ~</w:t>
                  </w:r>
                </w:p>
              </w:txbxContent>
            </v:textbox>
            <w10:wrap type="none"/>
          </v:shape>
        </w:pict>
      </w:r>
      <w:r>
        <w:rPr/>
        <w:t>TOLUCA,</w:t>
      </w:r>
      <w:r>
        <w:rPr>
          <w:spacing w:val="-4"/>
        </w:rPr>
        <w:t> </w:t>
      </w:r>
      <w:r>
        <w:rPr/>
        <w:t>MÉXICO.</w:t>
        <w:tab/>
        <w:t>JULIO,</w:t>
      </w:r>
      <w:r>
        <w:rPr>
          <w:spacing w:val="-11"/>
        </w:rPr>
        <w:t> </w:t>
      </w:r>
      <w:r>
        <w:rPr/>
        <w:t>2013</w:t>
      </w:r>
    </w:p>
    <w:p>
      <w:pPr>
        <w:pStyle w:val="BodyText"/>
        <w:spacing w:before="4"/>
        <w:rPr>
          <w:sz w:val="22"/>
        </w:rPr>
      </w:pPr>
      <w:r>
        <w:rPr/>
        <w:pict>
          <v:group style="position:absolute;margin-left:276.299988pt;margin-top:14.832033pt;width:54.9pt;height:11.75pt;mso-position-horizontal-relative:page;mso-position-vertical-relative:paragraph;z-index:1048;mso-wrap-distance-left:0;mso-wrap-distance-right:0" coordorigin="5526,297" coordsize="1098,235">
            <v:shape style="position:absolute;left:6294;top:313;width:330;height:210" type="#_x0000_t75" stroked="false">
              <v:imagedata r:id="rId7" o:title=""/>
            </v:shape>
            <v:rect style="position:absolute;left:5526;top:297;width:937;height:235" filled="true" fillcolor="#ffffff" stroked="false">
              <v:fill type="solid"/>
            </v:rect>
            <w10:wrap type="topAndBottom"/>
          </v:group>
        </w:pict>
      </w:r>
    </w:p>
    <w:p>
      <w:pPr>
        <w:spacing w:after="0"/>
        <w:rPr>
          <w:sz w:val="22"/>
        </w:rPr>
        <w:sectPr>
          <w:type w:val="continuous"/>
          <w:pgSz w:w="12240" w:h="15840"/>
          <w:pgMar w:top="1500" w:bottom="280" w:left="620" w:right="780"/>
        </w:sectPr>
      </w:pPr>
    </w:p>
    <w:p>
      <w:pPr>
        <w:pStyle w:val="BodyText"/>
        <w:ind w:left="101"/>
        <w:rPr>
          <w:sz w:val="20"/>
        </w:rPr>
      </w:pPr>
      <w:r>
        <w:rPr>
          <w:sz w:val="20"/>
        </w:rPr>
        <w:drawing>
          <wp:inline distT="0" distB="0" distL="0" distR="0">
            <wp:extent cx="5506310" cy="6875145"/>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5506310" cy="6875145"/>
                    </a:xfrm>
                    <a:prstGeom prst="rect">
                      <a:avLst/>
                    </a:prstGeom>
                  </pic:spPr>
                </pic:pic>
              </a:graphicData>
            </a:graphic>
          </wp:inline>
        </w:drawing>
      </w:r>
      <w:r>
        <w:rPr>
          <w:sz w:val="20"/>
        </w:rPr>
      </w:r>
    </w:p>
    <w:p>
      <w:pPr>
        <w:spacing w:after="0"/>
        <w:rPr>
          <w:sz w:val="20"/>
        </w:rPr>
        <w:sectPr>
          <w:footerReference w:type="default" r:id="rId8"/>
          <w:pgSz w:w="12240" w:h="15840"/>
          <w:pgMar w:footer="1011" w:header="0" w:top="1420" w:bottom="1200" w:left="1600" w:right="1600"/>
          <w:pgNumType w:start="1"/>
        </w:sectPr>
      </w:pPr>
    </w:p>
    <w:p>
      <w:pPr>
        <w:pStyle w:val="Heading2"/>
        <w:ind w:left="300" w:right="4053"/>
      </w:pPr>
      <w:r>
        <w:rPr/>
        <w:t>INDICE</w:t>
      </w:r>
    </w:p>
    <w:p>
      <w:pPr>
        <w:pStyle w:val="BodyText"/>
        <w:rPr>
          <w:b/>
          <w:sz w:val="20"/>
        </w:rPr>
      </w:pPr>
    </w:p>
    <w:p>
      <w:pPr>
        <w:pStyle w:val="BodyText"/>
        <w:rPr>
          <w:b/>
          <w:sz w:val="20"/>
        </w:rPr>
      </w:pPr>
    </w:p>
    <w:p>
      <w:pPr>
        <w:pStyle w:val="BodyText"/>
        <w:rPr>
          <w:b/>
          <w:sz w:val="20"/>
        </w:rPr>
      </w:pPr>
    </w:p>
    <w:p>
      <w:pPr>
        <w:pStyle w:val="BodyText"/>
        <w:spacing w:before="9"/>
        <w:rPr>
          <w:b/>
          <w:sz w:val="2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82"/>
        <w:gridCol w:w="993"/>
      </w:tblGrid>
      <w:tr>
        <w:trPr>
          <w:trHeight w:val="534" w:hRule="exact"/>
        </w:trPr>
        <w:tc>
          <w:tcPr>
            <w:tcW w:w="7582" w:type="dxa"/>
          </w:tcPr>
          <w:p>
            <w:pPr>
              <w:pStyle w:val="TableParagraph"/>
              <w:spacing w:line="245" w:lineRule="exact"/>
              <w:ind w:left="200"/>
              <w:rPr>
                <w:b/>
                <w:sz w:val="24"/>
              </w:rPr>
            </w:pPr>
            <w:r>
              <w:rPr>
                <w:b/>
                <w:sz w:val="24"/>
              </w:rPr>
              <w:t>INDICE DE FIGURAS Y TABLAS</w:t>
            </w:r>
          </w:p>
        </w:tc>
        <w:tc>
          <w:tcPr>
            <w:tcW w:w="993" w:type="dxa"/>
          </w:tcPr>
          <w:p>
            <w:pPr>
              <w:pStyle w:val="TableParagraph"/>
              <w:spacing w:line="245" w:lineRule="exact"/>
              <w:ind w:left="528"/>
              <w:rPr>
                <w:b/>
                <w:sz w:val="24"/>
              </w:rPr>
            </w:pPr>
            <w:r>
              <w:rPr>
                <w:b/>
                <w:w w:val="99"/>
                <w:sz w:val="24"/>
              </w:rPr>
              <w:t>5</w:t>
            </w:r>
          </w:p>
        </w:tc>
      </w:tr>
      <w:tr>
        <w:trPr>
          <w:trHeight w:val="828" w:hRule="exact"/>
        </w:trPr>
        <w:tc>
          <w:tcPr>
            <w:tcW w:w="7582" w:type="dxa"/>
          </w:tcPr>
          <w:p>
            <w:pPr>
              <w:pStyle w:val="TableParagraph"/>
              <w:spacing w:before="10"/>
              <w:rPr>
                <w:b/>
                <w:sz w:val="22"/>
              </w:rPr>
            </w:pPr>
          </w:p>
          <w:p>
            <w:pPr>
              <w:pStyle w:val="TableParagraph"/>
              <w:ind w:left="200"/>
              <w:rPr>
                <w:b/>
                <w:sz w:val="24"/>
              </w:rPr>
            </w:pPr>
            <w:r>
              <w:rPr>
                <w:b/>
                <w:sz w:val="24"/>
              </w:rPr>
              <w:t>RESUMEN</w:t>
            </w:r>
          </w:p>
        </w:tc>
        <w:tc>
          <w:tcPr>
            <w:tcW w:w="993" w:type="dxa"/>
          </w:tcPr>
          <w:p>
            <w:pPr>
              <w:pStyle w:val="TableParagraph"/>
              <w:spacing w:before="10"/>
              <w:rPr>
                <w:b/>
                <w:sz w:val="22"/>
              </w:rPr>
            </w:pPr>
          </w:p>
          <w:p>
            <w:pPr>
              <w:pStyle w:val="TableParagraph"/>
              <w:ind w:left="528"/>
              <w:rPr>
                <w:b/>
                <w:sz w:val="24"/>
              </w:rPr>
            </w:pPr>
            <w:r>
              <w:rPr>
                <w:b/>
                <w:w w:val="99"/>
                <w:sz w:val="24"/>
              </w:rPr>
              <w:t>8</w:t>
            </w:r>
          </w:p>
        </w:tc>
      </w:tr>
      <w:tr>
        <w:trPr>
          <w:trHeight w:val="828" w:hRule="exact"/>
        </w:trPr>
        <w:tc>
          <w:tcPr>
            <w:tcW w:w="7582" w:type="dxa"/>
          </w:tcPr>
          <w:p>
            <w:pPr>
              <w:pStyle w:val="TableParagraph"/>
              <w:spacing w:before="10"/>
              <w:rPr>
                <w:b/>
                <w:sz w:val="22"/>
              </w:rPr>
            </w:pPr>
          </w:p>
          <w:p>
            <w:pPr>
              <w:pStyle w:val="TableParagraph"/>
              <w:ind w:left="200"/>
              <w:rPr>
                <w:b/>
                <w:sz w:val="24"/>
              </w:rPr>
            </w:pPr>
            <w:r>
              <w:rPr>
                <w:b/>
                <w:sz w:val="24"/>
              </w:rPr>
              <w:t>ESTRUCTURA DE LA TESIS</w:t>
            </w:r>
          </w:p>
        </w:tc>
        <w:tc>
          <w:tcPr>
            <w:tcW w:w="993" w:type="dxa"/>
          </w:tcPr>
          <w:p>
            <w:pPr>
              <w:pStyle w:val="TableParagraph"/>
              <w:spacing w:before="10"/>
              <w:rPr>
                <w:b/>
                <w:sz w:val="22"/>
              </w:rPr>
            </w:pPr>
          </w:p>
          <w:p>
            <w:pPr>
              <w:pStyle w:val="TableParagraph"/>
              <w:ind w:left="528"/>
              <w:rPr>
                <w:b/>
                <w:sz w:val="24"/>
              </w:rPr>
            </w:pPr>
            <w:r>
              <w:rPr>
                <w:b/>
                <w:w w:val="99"/>
                <w:sz w:val="24"/>
              </w:rPr>
              <w:t>9</w:t>
            </w:r>
          </w:p>
        </w:tc>
      </w:tr>
      <w:tr>
        <w:trPr>
          <w:trHeight w:val="830" w:hRule="exact"/>
        </w:trPr>
        <w:tc>
          <w:tcPr>
            <w:tcW w:w="7582" w:type="dxa"/>
          </w:tcPr>
          <w:p>
            <w:pPr>
              <w:pStyle w:val="TableParagraph"/>
              <w:spacing w:before="10"/>
              <w:rPr>
                <w:b/>
                <w:sz w:val="22"/>
              </w:rPr>
            </w:pPr>
          </w:p>
          <w:p>
            <w:pPr>
              <w:pStyle w:val="TableParagraph"/>
              <w:ind w:left="200"/>
              <w:rPr>
                <w:b/>
                <w:sz w:val="24"/>
              </w:rPr>
            </w:pPr>
            <w:r>
              <w:rPr>
                <w:b/>
                <w:sz w:val="24"/>
              </w:rPr>
              <w:t>CAPITULO I. INTRODUCCIÓN</w:t>
            </w:r>
          </w:p>
        </w:tc>
        <w:tc>
          <w:tcPr>
            <w:tcW w:w="993" w:type="dxa"/>
          </w:tcPr>
          <w:p>
            <w:pPr>
              <w:pStyle w:val="TableParagraph"/>
              <w:spacing w:before="10"/>
              <w:rPr>
                <w:b/>
                <w:sz w:val="22"/>
              </w:rPr>
            </w:pPr>
          </w:p>
          <w:p>
            <w:pPr>
              <w:pStyle w:val="TableParagraph"/>
              <w:ind w:left="528"/>
              <w:rPr>
                <w:b/>
                <w:sz w:val="24"/>
              </w:rPr>
            </w:pPr>
            <w:r>
              <w:rPr>
                <w:b/>
                <w:sz w:val="24"/>
              </w:rPr>
              <w:t>10</w:t>
            </w:r>
          </w:p>
        </w:tc>
      </w:tr>
      <w:tr>
        <w:trPr>
          <w:trHeight w:val="622" w:hRule="exact"/>
        </w:trPr>
        <w:tc>
          <w:tcPr>
            <w:tcW w:w="7582" w:type="dxa"/>
          </w:tcPr>
          <w:p>
            <w:pPr>
              <w:pStyle w:val="TableParagraph"/>
              <w:rPr>
                <w:b/>
                <w:sz w:val="23"/>
              </w:rPr>
            </w:pPr>
          </w:p>
          <w:p>
            <w:pPr>
              <w:pStyle w:val="TableParagraph"/>
              <w:ind w:left="535"/>
              <w:rPr>
                <w:sz w:val="24"/>
              </w:rPr>
            </w:pPr>
            <w:r>
              <w:rPr>
                <w:sz w:val="24"/>
              </w:rPr>
              <w:t>1.1. LA PIROTECNIA Y SU IMPACTO SOCIAL</w:t>
            </w:r>
          </w:p>
        </w:tc>
        <w:tc>
          <w:tcPr>
            <w:tcW w:w="993" w:type="dxa"/>
          </w:tcPr>
          <w:p>
            <w:pPr>
              <w:pStyle w:val="TableParagraph"/>
              <w:rPr>
                <w:b/>
                <w:sz w:val="23"/>
              </w:rPr>
            </w:pPr>
          </w:p>
          <w:p>
            <w:pPr>
              <w:pStyle w:val="TableParagraph"/>
              <w:ind w:left="528"/>
              <w:rPr>
                <w:sz w:val="24"/>
              </w:rPr>
            </w:pPr>
            <w:r>
              <w:rPr>
                <w:sz w:val="24"/>
              </w:rPr>
              <w:t>12</w:t>
            </w:r>
          </w:p>
        </w:tc>
      </w:tr>
      <w:tr>
        <w:trPr>
          <w:trHeight w:val="414" w:hRule="exact"/>
        </w:trPr>
        <w:tc>
          <w:tcPr>
            <w:tcW w:w="7582" w:type="dxa"/>
          </w:tcPr>
          <w:p>
            <w:pPr>
              <w:pStyle w:val="TableParagraph"/>
              <w:spacing w:before="55"/>
              <w:ind w:left="535"/>
              <w:rPr>
                <w:sz w:val="24"/>
              </w:rPr>
            </w:pPr>
            <w:r>
              <w:rPr>
                <w:sz w:val="24"/>
              </w:rPr>
              <w:t>1.2 ORIGEN DEL ARTE PIROTECNICO</w:t>
            </w:r>
          </w:p>
        </w:tc>
        <w:tc>
          <w:tcPr>
            <w:tcW w:w="993" w:type="dxa"/>
          </w:tcPr>
          <w:p>
            <w:pPr>
              <w:pStyle w:val="TableParagraph"/>
              <w:spacing w:before="55"/>
              <w:ind w:left="528"/>
              <w:rPr>
                <w:sz w:val="24"/>
              </w:rPr>
            </w:pPr>
            <w:r>
              <w:rPr>
                <w:sz w:val="24"/>
              </w:rPr>
              <w:t>13</w:t>
            </w:r>
          </w:p>
        </w:tc>
      </w:tr>
      <w:tr>
        <w:trPr>
          <w:trHeight w:val="414" w:hRule="exact"/>
        </w:trPr>
        <w:tc>
          <w:tcPr>
            <w:tcW w:w="7582" w:type="dxa"/>
          </w:tcPr>
          <w:p>
            <w:pPr>
              <w:pStyle w:val="TableParagraph"/>
              <w:spacing w:before="57"/>
              <w:ind w:left="535"/>
              <w:rPr>
                <w:sz w:val="24"/>
              </w:rPr>
            </w:pPr>
            <w:r>
              <w:rPr>
                <w:sz w:val="24"/>
              </w:rPr>
              <w:t>1.3 HISTORIA DE LA PIROTECNIA MEXICANA</w:t>
            </w:r>
          </w:p>
        </w:tc>
        <w:tc>
          <w:tcPr>
            <w:tcW w:w="993" w:type="dxa"/>
          </w:tcPr>
          <w:p>
            <w:pPr>
              <w:pStyle w:val="TableParagraph"/>
              <w:spacing w:before="57"/>
              <w:ind w:left="528"/>
              <w:rPr>
                <w:sz w:val="24"/>
              </w:rPr>
            </w:pPr>
            <w:r>
              <w:rPr>
                <w:sz w:val="24"/>
              </w:rPr>
              <w:t>18</w:t>
            </w:r>
          </w:p>
        </w:tc>
      </w:tr>
      <w:tr>
        <w:trPr>
          <w:trHeight w:val="414" w:hRule="exact"/>
        </w:trPr>
        <w:tc>
          <w:tcPr>
            <w:tcW w:w="7582" w:type="dxa"/>
          </w:tcPr>
          <w:p>
            <w:pPr>
              <w:pStyle w:val="TableParagraph"/>
              <w:spacing w:before="55"/>
              <w:ind w:left="535"/>
              <w:rPr>
                <w:sz w:val="24"/>
              </w:rPr>
            </w:pPr>
            <w:r>
              <w:rPr>
                <w:sz w:val="24"/>
              </w:rPr>
              <w:t>1.4 PIROTÉCNIA DESDE EL ENFOQUE INTERNACIONAL</w:t>
            </w:r>
          </w:p>
        </w:tc>
        <w:tc>
          <w:tcPr>
            <w:tcW w:w="993" w:type="dxa"/>
          </w:tcPr>
          <w:p>
            <w:pPr>
              <w:pStyle w:val="TableParagraph"/>
              <w:spacing w:before="55"/>
              <w:ind w:left="528"/>
              <w:rPr>
                <w:sz w:val="24"/>
              </w:rPr>
            </w:pPr>
            <w:r>
              <w:rPr>
                <w:sz w:val="24"/>
              </w:rPr>
              <w:t>22</w:t>
            </w:r>
          </w:p>
        </w:tc>
      </w:tr>
      <w:tr>
        <w:trPr>
          <w:trHeight w:val="414" w:hRule="exact"/>
        </w:trPr>
        <w:tc>
          <w:tcPr>
            <w:tcW w:w="7582" w:type="dxa"/>
          </w:tcPr>
          <w:p>
            <w:pPr>
              <w:pStyle w:val="TableParagraph"/>
              <w:spacing w:before="57"/>
              <w:ind w:left="535"/>
              <w:rPr>
                <w:sz w:val="24"/>
              </w:rPr>
            </w:pPr>
            <w:r>
              <w:rPr>
                <w:sz w:val="24"/>
              </w:rPr>
              <w:t>1.5 PIROTECNIA MODERNA EN MÉXICO</w:t>
            </w:r>
          </w:p>
        </w:tc>
        <w:tc>
          <w:tcPr>
            <w:tcW w:w="993" w:type="dxa"/>
          </w:tcPr>
          <w:p>
            <w:pPr>
              <w:pStyle w:val="TableParagraph"/>
              <w:spacing w:before="57"/>
              <w:ind w:left="528"/>
              <w:rPr>
                <w:sz w:val="24"/>
              </w:rPr>
            </w:pPr>
            <w:r>
              <w:rPr>
                <w:sz w:val="24"/>
              </w:rPr>
              <w:t>24</w:t>
            </w:r>
          </w:p>
        </w:tc>
      </w:tr>
      <w:tr>
        <w:trPr>
          <w:trHeight w:val="414" w:hRule="exact"/>
        </w:trPr>
        <w:tc>
          <w:tcPr>
            <w:tcW w:w="7582" w:type="dxa"/>
          </w:tcPr>
          <w:p>
            <w:pPr>
              <w:pStyle w:val="TableParagraph"/>
              <w:spacing w:before="55"/>
              <w:ind w:left="535"/>
              <w:rPr>
                <w:sz w:val="24"/>
              </w:rPr>
            </w:pPr>
            <w:r>
              <w:rPr>
                <w:sz w:val="24"/>
              </w:rPr>
              <w:t>1.6 PIROTECNIA EN EL ESTADO DE MÉXICO</w:t>
            </w:r>
          </w:p>
        </w:tc>
        <w:tc>
          <w:tcPr>
            <w:tcW w:w="993" w:type="dxa"/>
          </w:tcPr>
          <w:p>
            <w:pPr>
              <w:pStyle w:val="TableParagraph"/>
              <w:spacing w:before="55"/>
              <w:ind w:left="528"/>
              <w:rPr>
                <w:sz w:val="24"/>
              </w:rPr>
            </w:pPr>
            <w:r>
              <w:rPr>
                <w:sz w:val="24"/>
              </w:rPr>
              <w:t>27</w:t>
            </w:r>
          </w:p>
        </w:tc>
      </w:tr>
      <w:tr>
        <w:trPr>
          <w:trHeight w:val="414" w:hRule="exact"/>
        </w:trPr>
        <w:tc>
          <w:tcPr>
            <w:tcW w:w="7582" w:type="dxa"/>
          </w:tcPr>
          <w:p>
            <w:pPr>
              <w:pStyle w:val="TableParagraph"/>
              <w:spacing w:before="57"/>
              <w:ind w:left="872"/>
              <w:rPr>
                <w:sz w:val="24"/>
              </w:rPr>
            </w:pPr>
            <w:r>
              <w:rPr>
                <w:sz w:val="24"/>
              </w:rPr>
              <w:t>1.6.1 INSTITUTO MEXIQUENSE DE LA PIROTECNIA</w:t>
            </w:r>
          </w:p>
        </w:tc>
        <w:tc>
          <w:tcPr>
            <w:tcW w:w="993" w:type="dxa"/>
          </w:tcPr>
          <w:p>
            <w:pPr>
              <w:pStyle w:val="TableParagraph"/>
              <w:spacing w:before="57"/>
              <w:ind w:left="528"/>
              <w:rPr>
                <w:sz w:val="24"/>
              </w:rPr>
            </w:pPr>
            <w:r>
              <w:rPr>
                <w:sz w:val="24"/>
              </w:rPr>
              <w:t>29</w:t>
            </w:r>
          </w:p>
        </w:tc>
      </w:tr>
      <w:tr>
        <w:trPr>
          <w:trHeight w:val="618" w:hRule="exact"/>
        </w:trPr>
        <w:tc>
          <w:tcPr>
            <w:tcW w:w="7582" w:type="dxa"/>
          </w:tcPr>
          <w:p>
            <w:pPr>
              <w:pStyle w:val="TableParagraph"/>
              <w:spacing w:before="55"/>
              <w:ind w:left="535"/>
              <w:rPr>
                <w:sz w:val="24"/>
              </w:rPr>
            </w:pPr>
            <w:r>
              <w:rPr>
                <w:sz w:val="24"/>
              </w:rPr>
              <w:t>1.7 CONCLUSIONES</w:t>
            </w:r>
          </w:p>
        </w:tc>
        <w:tc>
          <w:tcPr>
            <w:tcW w:w="993" w:type="dxa"/>
          </w:tcPr>
          <w:p>
            <w:pPr>
              <w:pStyle w:val="TableParagraph"/>
              <w:spacing w:before="55"/>
              <w:ind w:left="528"/>
              <w:rPr>
                <w:sz w:val="24"/>
              </w:rPr>
            </w:pPr>
            <w:r>
              <w:rPr>
                <w:sz w:val="24"/>
              </w:rPr>
              <w:t>30</w:t>
            </w:r>
          </w:p>
        </w:tc>
      </w:tr>
      <w:tr>
        <w:trPr>
          <w:trHeight w:val="828" w:hRule="exact"/>
        </w:trPr>
        <w:tc>
          <w:tcPr>
            <w:tcW w:w="7582" w:type="dxa"/>
          </w:tcPr>
          <w:p>
            <w:pPr>
              <w:pStyle w:val="TableParagraph"/>
              <w:spacing w:before="8"/>
              <w:rPr>
                <w:b/>
                <w:sz w:val="22"/>
              </w:rPr>
            </w:pPr>
          </w:p>
          <w:p>
            <w:pPr>
              <w:pStyle w:val="TableParagraph"/>
              <w:ind w:left="200"/>
              <w:rPr>
                <w:b/>
                <w:sz w:val="24"/>
              </w:rPr>
            </w:pPr>
            <w:r>
              <w:rPr>
                <w:b/>
                <w:sz w:val="24"/>
              </w:rPr>
              <w:t>CAPITULO II. MARCO ANALITICO</w:t>
            </w:r>
          </w:p>
        </w:tc>
        <w:tc>
          <w:tcPr>
            <w:tcW w:w="993" w:type="dxa"/>
          </w:tcPr>
          <w:p>
            <w:pPr>
              <w:pStyle w:val="TableParagraph"/>
              <w:spacing w:before="8"/>
              <w:rPr>
                <w:b/>
                <w:sz w:val="22"/>
              </w:rPr>
            </w:pPr>
          </w:p>
          <w:p>
            <w:pPr>
              <w:pStyle w:val="TableParagraph"/>
              <w:ind w:left="528"/>
              <w:rPr>
                <w:b/>
                <w:sz w:val="24"/>
              </w:rPr>
            </w:pPr>
            <w:r>
              <w:rPr>
                <w:b/>
                <w:sz w:val="24"/>
              </w:rPr>
              <w:t>32</w:t>
            </w:r>
          </w:p>
        </w:tc>
      </w:tr>
      <w:tr>
        <w:trPr>
          <w:trHeight w:val="624" w:hRule="exact"/>
        </w:trPr>
        <w:tc>
          <w:tcPr>
            <w:tcW w:w="7582" w:type="dxa"/>
          </w:tcPr>
          <w:p>
            <w:pPr>
              <w:pStyle w:val="TableParagraph"/>
              <w:rPr>
                <w:b/>
                <w:sz w:val="23"/>
              </w:rPr>
            </w:pPr>
          </w:p>
          <w:p>
            <w:pPr>
              <w:pStyle w:val="TableParagraph"/>
              <w:ind w:left="535"/>
              <w:rPr>
                <w:sz w:val="24"/>
              </w:rPr>
            </w:pPr>
            <w:r>
              <w:rPr>
                <w:sz w:val="24"/>
              </w:rPr>
              <w:t>2.1 MARCO ANALÍTICO</w:t>
            </w:r>
          </w:p>
        </w:tc>
        <w:tc>
          <w:tcPr>
            <w:tcW w:w="993" w:type="dxa"/>
          </w:tcPr>
          <w:p>
            <w:pPr>
              <w:pStyle w:val="TableParagraph"/>
              <w:rPr>
                <w:b/>
                <w:sz w:val="23"/>
              </w:rPr>
            </w:pPr>
          </w:p>
          <w:p>
            <w:pPr>
              <w:pStyle w:val="TableParagraph"/>
              <w:ind w:left="528"/>
              <w:rPr>
                <w:sz w:val="24"/>
              </w:rPr>
            </w:pPr>
            <w:r>
              <w:rPr>
                <w:sz w:val="24"/>
              </w:rPr>
              <w:t>33</w:t>
            </w:r>
          </w:p>
        </w:tc>
      </w:tr>
      <w:tr>
        <w:trPr>
          <w:trHeight w:val="414" w:hRule="exact"/>
        </w:trPr>
        <w:tc>
          <w:tcPr>
            <w:tcW w:w="7582" w:type="dxa"/>
          </w:tcPr>
          <w:p>
            <w:pPr>
              <w:pStyle w:val="TableParagraph"/>
              <w:spacing w:before="57"/>
              <w:ind w:left="872"/>
              <w:rPr>
                <w:sz w:val="24"/>
              </w:rPr>
            </w:pPr>
            <w:r>
              <w:rPr>
                <w:sz w:val="24"/>
              </w:rPr>
              <w:t>2.1.1 SUSTENTABILIDAD</w:t>
            </w:r>
          </w:p>
        </w:tc>
        <w:tc>
          <w:tcPr>
            <w:tcW w:w="993" w:type="dxa"/>
          </w:tcPr>
          <w:p>
            <w:pPr>
              <w:pStyle w:val="TableParagraph"/>
              <w:spacing w:before="57"/>
              <w:ind w:left="528"/>
              <w:rPr>
                <w:sz w:val="24"/>
              </w:rPr>
            </w:pPr>
            <w:r>
              <w:rPr>
                <w:sz w:val="24"/>
              </w:rPr>
              <w:t>34</w:t>
            </w:r>
          </w:p>
        </w:tc>
      </w:tr>
      <w:tr>
        <w:trPr>
          <w:trHeight w:val="828" w:hRule="exact"/>
        </w:trPr>
        <w:tc>
          <w:tcPr>
            <w:tcW w:w="7582" w:type="dxa"/>
          </w:tcPr>
          <w:p>
            <w:pPr>
              <w:pStyle w:val="TableParagraph"/>
              <w:spacing w:line="362" w:lineRule="auto" w:before="55"/>
              <w:ind w:left="1512" w:hanging="604"/>
              <w:rPr>
                <w:sz w:val="24"/>
              </w:rPr>
            </w:pPr>
            <w:r>
              <w:rPr>
                <w:sz w:val="24"/>
              </w:rPr>
              <w:t>2.1.2 SUSTENTABILIDAD ECONÓMICA, ECOLÓGICA Y SOCIAL</w:t>
            </w:r>
          </w:p>
        </w:tc>
        <w:tc>
          <w:tcPr>
            <w:tcW w:w="993" w:type="dxa"/>
          </w:tcPr>
          <w:p>
            <w:pPr>
              <w:pStyle w:val="TableParagraph"/>
              <w:rPr>
                <w:b/>
                <w:sz w:val="24"/>
              </w:rPr>
            </w:pPr>
          </w:p>
          <w:p>
            <w:pPr>
              <w:pStyle w:val="TableParagraph"/>
              <w:spacing w:before="195"/>
              <w:ind w:left="528"/>
              <w:rPr>
                <w:sz w:val="24"/>
              </w:rPr>
            </w:pPr>
            <w:r>
              <w:rPr>
                <w:sz w:val="24"/>
              </w:rPr>
              <w:t>36</w:t>
            </w:r>
          </w:p>
        </w:tc>
      </w:tr>
      <w:tr>
        <w:trPr>
          <w:trHeight w:val="414" w:hRule="exact"/>
        </w:trPr>
        <w:tc>
          <w:tcPr>
            <w:tcW w:w="7582" w:type="dxa"/>
          </w:tcPr>
          <w:p>
            <w:pPr>
              <w:pStyle w:val="TableParagraph"/>
              <w:spacing w:before="55"/>
              <w:ind w:left="872"/>
              <w:rPr>
                <w:sz w:val="24"/>
              </w:rPr>
            </w:pPr>
            <w:r>
              <w:rPr>
                <w:sz w:val="24"/>
              </w:rPr>
              <w:t>2.1.3 VULNERABILIDAD</w:t>
            </w:r>
          </w:p>
        </w:tc>
        <w:tc>
          <w:tcPr>
            <w:tcW w:w="993" w:type="dxa"/>
          </w:tcPr>
          <w:p>
            <w:pPr>
              <w:pStyle w:val="TableParagraph"/>
              <w:spacing w:before="55"/>
              <w:ind w:left="528"/>
              <w:rPr>
                <w:sz w:val="24"/>
              </w:rPr>
            </w:pPr>
            <w:r>
              <w:rPr>
                <w:sz w:val="24"/>
              </w:rPr>
              <w:t>37</w:t>
            </w:r>
          </w:p>
        </w:tc>
      </w:tr>
      <w:tr>
        <w:trPr>
          <w:trHeight w:val="414" w:hRule="exact"/>
        </w:trPr>
        <w:tc>
          <w:tcPr>
            <w:tcW w:w="7582" w:type="dxa"/>
          </w:tcPr>
          <w:p>
            <w:pPr>
              <w:pStyle w:val="TableParagraph"/>
              <w:spacing w:before="57"/>
              <w:ind w:left="872"/>
              <w:rPr>
                <w:sz w:val="24"/>
              </w:rPr>
            </w:pPr>
            <w:r>
              <w:rPr>
                <w:sz w:val="24"/>
              </w:rPr>
              <w:t>2.1.4 CONCLUSIONES</w:t>
            </w:r>
          </w:p>
        </w:tc>
        <w:tc>
          <w:tcPr>
            <w:tcW w:w="993" w:type="dxa"/>
          </w:tcPr>
          <w:p>
            <w:pPr>
              <w:pStyle w:val="TableParagraph"/>
              <w:spacing w:before="57"/>
              <w:ind w:left="528"/>
              <w:rPr>
                <w:sz w:val="24"/>
              </w:rPr>
            </w:pPr>
            <w:r>
              <w:rPr>
                <w:sz w:val="24"/>
              </w:rPr>
              <w:t>40</w:t>
            </w:r>
          </w:p>
        </w:tc>
      </w:tr>
      <w:tr>
        <w:trPr>
          <w:trHeight w:val="412" w:hRule="exact"/>
        </w:trPr>
        <w:tc>
          <w:tcPr>
            <w:tcW w:w="7582" w:type="dxa"/>
          </w:tcPr>
          <w:p>
            <w:pPr>
              <w:pStyle w:val="TableParagraph"/>
              <w:spacing w:before="55"/>
              <w:ind w:left="535"/>
              <w:rPr>
                <w:sz w:val="24"/>
              </w:rPr>
            </w:pPr>
            <w:r>
              <w:rPr>
                <w:sz w:val="24"/>
              </w:rPr>
              <w:t>2.2 PROBLEMAS DE INVESTIGACIÓN</w:t>
            </w:r>
          </w:p>
        </w:tc>
        <w:tc>
          <w:tcPr>
            <w:tcW w:w="993" w:type="dxa"/>
          </w:tcPr>
          <w:p>
            <w:pPr>
              <w:pStyle w:val="TableParagraph"/>
              <w:spacing w:before="55"/>
              <w:ind w:left="528"/>
              <w:rPr>
                <w:sz w:val="24"/>
              </w:rPr>
            </w:pPr>
            <w:r>
              <w:rPr>
                <w:sz w:val="24"/>
              </w:rPr>
              <w:t>40</w:t>
            </w:r>
          </w:p>
        </w:tc>
      </w:tr>
      <w:tr>
        <w:trPr>
          <w:trHeight w:val="326" w:hRule="exact"/>
        </w:trPr>
        <w:tc>
          <w:tcPr>
            <w:tcW w:w="7582" w:type="dxa"/>
          </w:tcPr>
          <w:p>
            <w:pPr>
              <w:pStyle w:val="TableParagraph"/>
              <w:spacing w:before="55"/>
              <w:ind w:left="535"/>
              <w:rPr>
                <w:sz w:val="24"/>
              </w:rPr>
            </w:pPr>
            <w:r>
              <w:rPr>
                <w:sz w:val="24"/>
              </w:rPr>
              <w:t>2.3 OBJETIVOS</w:t>
            </w:r>
          </w:p>
        </w:tc>
        <w:tc>
          <w:tcPr>
            <w:tcW w:w="993" w:type="dxa"/>
          </w:tcPr>
          <w:p>
            <w:pPr>
              <w:pStyle w:val="TableParagraph"/>
              <w:spacing w:before="55"/>
              <w:ind w:left="528"/>
              <w:rPr>
                <w:sz w:val="24"/>
              </w:rPr>
            </w:pPr>
            <w:r>
              <w:rPr>
                <w:sz w:val="24"/>
              </w:rPr>
              <w:t>41</w:t>
            </w:r>
          </w:p>
        </w:tc>
      </w:tr>
    </w:tbl>
    <w:p>
      <w:pPr>
        <w:spacing w:after="0"/>
        <w:rPr>
          <w:sz w:val="24"/>
        </w:rPr>
        <w:sectPr>
          <w:pgSz w:w="12240" w:h="15840"/>
          <w:pgMar w:header="0" w:footer="1011" w:top="1360" w:bottom="1200" w:left="1400" w:right="17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57"/>
        <w:gridCol w:w="718"/>
      </w:tblGrid>
      <w:tr>
        <w:trPr>
          <w:trHeight w:val="536" w:hRule="exact"/>
        </w:trPr>
        <w:tc>
          <w:tcPr>
            <w:tcW w:w="7857" w:type="dxa"/>
          </w:tcPr>
          <w:p>
            <w:pPr>
              <w:pStyle w:val="TableParagraph"/>
              <w:spacing w:line="245" w:lineRule="exact"/>
              <w:ind w:left="200"/>
              <w:rPr>
                <w:b/>
                <w:sz w:val="24"/>
              </w:rPr>
            </w:pPr>
            <w:r>
              <w:rPr>
                <w:b/>
                <w:sz w:val="24"/>
              </w:rPr>
              <w:t>CAPITULO III. METODOLOGIA</w:t>
            </w:r>
          </w:p>
        </w:tc>
        <w:tc>
          <w:tcPr>
            <w:tcW w:w="718" w:type="dxa"/>
          </w:tcPr>
          <w:p>
            <w:pPr>
              <w:pStyle w:val="TableParagraph"/>
              <w:spacing w:line="245" w:lineRule="exact"/>
              <w:ind w:left="231" w:right="178"/>
              <w:jc w:val="center"/>
              <w:rPr>
                <w:b/>
                <w:sz w:val="24"/>
              </w:rPr>
            </w:pPr>
            <w:r>
              <w:rPr>
                <w:b/>
                <w:sz w:val="24"/>
              </w:rPr>
              <w:t>42</w:t>
            </w:r>
          </w:p>
        </w:tc>
      </w:tr>
      <w:tr>
        <w:trPr>
          <w:trHeight w:val="828" w:hRule="exact"/>
        </w:trPr>
        <w:tc>
          <w:tcPr>
            <w:tcW w:w="7857" w:type="dxa"/>
          </w:tcPr>
          <w:p>
            <w:pPr>
              <w:pStyle w:val="TableParagraph"/>
              <w:rPr>
                <w:b/>
                <w:sz w:val="23"/>
              </w:rPr>
            </w:pPr>
          </w:p>
          <w:p>
            <w:pPr>
              <w:pStyle w:val="TableParagraph"/>
              <w:ind w:left="535"/>
              <w:rPr>
                <w:sz w:val="24"/>
              </w:rPr>
            </w:pPr>
            <w:r>
              <w:rPr>
                <w:sz w:val="24"/>
              </w:rPr>
              <w:t>3.1 METODOLOGÍA</w:t>
            </w:r>
          </w:p>
        </w:tc>
        <w:tc>
          <w:tcPr>
            <w:tcW w:w="718" w:type="dxa"/>
          </w:tcPr>
          <w:p>
            <w:pPr>
              <w:pStyle w:val="TableParagraph"/>
              <w:rPr>
                <w:b/>
                <w:sz w:val="23"/>
              </w:rPr>
            </w:pPr>
          </w:p>
          <w:p>
            <w:pPr>
              <w:pStyle w:val="TableParagraph"/>
              <w:ind w:left="231" w:right="178"/>
              <w:jc w:val="center"/>
              <w:rPr>
                <w:sz w:val="24"/>
              </w:rPr>
            </w:pPr>
            <w:r>
              <w:rPr>
                <w:sz w:val="24"/>
              </w:rPr>
              <w:t>43</w:t>
            </w:r>
          </w:p>
        </w:tc>
      </w:tr>
      <w:tr>
        <w:trPr>
          <w:trHeight w:val="828" w:hRule="exact"/>
        </w:trPr>
        <w:tc>
          <w:tcPr>
            <w:tcW w:w="7857" w:type="dxa"/>
          </w:tcPr>
          <w:p>
            <w:pPr>
              <w:pStyle w:val="TableParagraph"/>
              <w:spacing w:before="8"/>
              <w:rPr>
                <w:b/>
                <w:sz w:val="22"/>
              </w:rPr>
            </w:pPr>
          </w:p>
          <w:p>
            <w:pPr>
              <w:pStyle w:val="TableParagraph"/>
              <w:ind w:left="200"/>
              <w:rPr>
                <w:b/>
                <w:sz w:val="24"/>
              </w:rPr>
            </w:pPr>
            <w:r>
              <w:rPr>
                <w:b/>
                <w:sz w:val="24"/>
              </w:rPr>
              <w:t>CAPITULO IV. RESULTADOS Y DISCUSIÓN</w:t>
            </w:r>
          </w:p>
        </w:tc>
        <w:tc>
          <w:tcPr>
            <w:tcW w:w="718" w:type="dxa"/>
          </w:tcPr>
          <w:p>
            <w:pPr>
              <w:pStyle w:val="TableParagraph"/>
              <w:spacing w:before="8"/>
              <w:rPr>
                <w:b/>
                <w:sz w:val="22"/>
              </w:rPr>
            </w:pPr>
          </w:p>
          <w:p>
            <w:pPr>
              <w:pStyle w:val="TableParagraph"/>
              <w:ind w:left="231" w:right="178"/>
              <w:jc w:val="center"/>
              <w:rPr>
                <w:b/>
                <w:sz w:val="24"/>
              </w:rPr>
            </w:pPr>
            <w:r>
              <w:rPr>
                <w:b/>
                <w:sz w:val="24"/>
              </w:rPr>
              <w:t>46</w:t>
            </w:r>
          </w:p>
        </w:tc>
      </w:tr>
      <w:tr>
        <w:trPr>
          <w:trHeight w:val="1038" w:hRule="exact"/>
        </w:trPr>
        <w:tc>
          <w:tcPr>
            <w:tcW w:w="7857" w:type="dxa"/>
          </w:tcPr>
          <w:p>
            <w:pPr>
              <w:pStyle w:val="TableParagraph"/>
              <w:rPr>
                <w:b/>
                <w:sz w:val="23"/>
              </w:rPr>
            </w:pPr>
          </w:p>
          <w:p>
            <w:pPr>
              <w:pStyle w:val="TableParagraph"/>
              <w:spacing w:line="362" w:lineRule="auto" w:before="1"/>
              <w:ind w:left="936" w:hanging="401"/>
              <w:rPr>
                <w:sz w:val="24"/>
              </w:rPr>
            </w:pPr>
            <w:r>
              <w:rPr>
                <w:sz w:val="24"/>
              </w:rPr>
              <w:t>4.1 EVALUACION DE DESEMPEÑO AMBIENTAL DE LA PIROTECNIA EN SAN MATEO TLALCHICHILPAN</w:t>
            </w:r>
          </w:p>
        </w:tc>
        <w:tc>
          <w:tcPr>
            <w:tcW w:w="718" w:type="dxa"/>
          </w:tcPr>
          <w:p>
            <w:pPr>
              <w:pStyle w:val="TableParagraph"/>
              <w:rPr>
                <w:b/>
                <w:sz w:val="24"/>
              </w:rPr>
            </w:pPr>
          </w:p>
          <w:p>
            <w:pPr>
              <w:pStyle w:val="TableParagraph"/>
              <w:spacing w:before="2"/>
              <w:rPr>
                <w:b/>
                <w:sz w:val="35"/>
              </w:rPr>
            </w:pPr>
          </w:p>
          <w:p>
            <w:pPr>
              <w:pStyle w:val="TableParagraph"/>
              <w:spacing w:before="1"/>
              <w:ind w:left="231" w:right="178"/>
              <w:jc w:val="center"/>
              <w:rPr>
                <w:sz w:val="24"/>
              </w:rPr>
            </w:pPr>
            <w:r>
              <w:rPr>
                <w:sz w:val="24"/>
              </w:rPr>
              <w:t>47</w:t>
            </w:r>
          </w:p>
        </w:tc>
      </w:tr>
      <w:tr>
        <w:trPr>
          <w:trHeight w:val="829" w:hRule="exact"/>
        </w:trPr>
        <w:tc>
          <w:tcPr>
            <w:tcW w:w="7857" w:type="dxa"/>
          </w:tcPr>
          <w:p>
            <w:pPr>
              <w:pStyle w:val="TableParagraph"/>
              <w:spacing w:line="362" w:lineRule="auto" w:before="55"/>
              <w:ind w:left="1468" w:hanging="596"/>
              <w:rPr>
                <w:sz w:val="24"/>
              </w:rPr>
            </w:pPr>
            <w:r>
              <w:rPr>
                <w:sz w:val="24"/>
              </w:rPr>
              <w:t>4.1.1 ANALISIS FISICO DE LA COMUNIDAD DE SAN MATEO TLALCHICHILPAN</w:t>
            </w:r>
          </w:p>
        </w:tc>
        <w:tc>
          <w:tcPr>
            <w:tcW w:w="718" w:type="dxa"/>
          </w:tcPr>
          <w:p>
            <w:pPr>
              <w:pStyle w:val="TableParagraph"/>
              <w:rPr>
                <w:b/>
                <w:sz w:val="24"/>
              </w:rPr>
            </w:pPr>
          </w:p>
          <w:p>
            <w:pPr>
              <w:pStyle w:val="TableParagraph"/>
              <w:spacing w:before="195"/>
              <w:ind w:left="231" w:right="178"/>
              <w:jc w:val="center"/>
              <w:rPr>
                <w:sz w:val="24"/>
              </w:rPr>
            </w:pPr>
            <w:r>
              <w:rPr>
                <w:sz w:val="24"/>
              </w:rPr>
              <w:t>48</w:t>
            </w:r>
          </w:p>
        </w:tc>
      </w:tr>
      <w:tr>
        <w:trPr>
          <w:trHeight w:val="414" w:hRule="exact"/>
        </w:trPr>
        <w:tc>
          <w:tcPr>
            <w:tcW w:w="7857" w:type="dxa"/>
          </w:tcPr>
          <w:p>
            <w:pPr>
              <w:pStyle w:val="TableParagraph"/>
              <w:spacing w:before="55"/>
              <w:ind w:left="872"/>
              <w:rPr>
                <w:sz w:val="24"/>
              </w:rPr>
            </w:pPr>
            <w:r>
              <w:rPr>
                <w:sz w:val="24"/>
              </w:rPr>
              <w:t>4.1.2 DESCRIPCION DEL PROCESO PRODUCTIVO</w:t>
            </w:r>
          </w:p>
        </w:tc>
        <w:tc>
          <w:tcPr>
            <w:tcW w:w="718" w:type="dxa"/>
          </w:tcPr>
          <w:p>
            <w:pPr>
              <w:pStyle w:val="TableParagraph"/>
              <w:spacing w:before="55"/>
              <w:ind w:left="231" w:right="178"/>
              <w:jc w:val="center"/>
              <w:rPr>
                <w:sz w:val="24"/>
              </w:rPr>
            </w:pPr>
            <w:r>
              <w:rPr>
                <w:sz w:val="24"/>
              </w:rPr>
              <w:t>54</w:t>
            </w:r>
          </w:p>
        </w:tc>
      </w:tr>
      <w:tr>
        <w:trPr>
          <w:trHeight w:val="414" w:hRule="exact"/>
        </w:trPr>
        <w:tc>
          <w:tcPr>
            <w:tcW w:w="7857" w:type="dxa"/>
          </w:tcPr>
          <w:p>
            <w:pPr>
              <w:pStyle w:val="TableParagraph"/>
              <w:spacing w:before="57"/>
              <w:ind w:left="872"/>
              <w:rPr>
                <w:sz w:val="24"/>
              </w:rPr>
            </w:pPr>
            <w:r>
              <w:rPr>
                <w:sz w:val="24"/>
              </w:rPr>
              <w:t>4.1.3 ANÁLISIS DE RIESGOS</w:t>
            </w:r>
          </w:p>
        </w:tc>
        <w:tc>
          <w:tcPr>
            <w:tcW w:w="718" w:type="dxa"/>
          </w:tcPr>
          <w:p>
            <w:pPr>
              <w:pStyle w:val="TableParagraph"/>
              <w:spacing w:before="57"/>
              <w:ind w:left="231" w:right="178"/>
              <w:jc w:val="center"/>
              <w:rPr>
                <w:sz w:val="24"/>
              </w:rPr>
            </w:pPr>
            <w:r>
              <w:rPr>
                <w:sz w:val="24"/>
              </w:rPr>
              <w:t>58</w:t>
            </w:r>
          </w:p>
        </w:tc>
      </w:tr>
      <w:tr>
        <w:trPr>
          <w:trHeight w:val="414" w:hRule="exact"/>
        </w:trPr>
        <w:tc>
          <w:tcPr>
            <w:tcW w:w="7857" w:type="dxa"/>
          </w:tcPr>
          <w:p>
            <w:pPr>
              <w:pStyle w:val="TableParagraph"/>
              <w:spacing w:before="55"/>
              <w:ind w:left="1204"/>
              <w:rPr>
                <w:sz w:val="24"/>
              </w:rPr>
            </w:pPr>
            <w:r>
              <w:rPr>
                <w:sz w:val="24"/>
              </w:rPr>
              <w:t>4.1.3.1 MODELO CONCEPTUAL</w:t>
            </w:r>
          </w:p>
        </w:tc>
        <w:tc>
          <w:tcPr>
            <w:tcW w:w="718" w:type="dxa"/>
          </w:tcPr>
          <w:p>
            <w:pPr>
              <w:pStyle w:val="TableParagraph"/>
              <w:spacing w:before="55"/>
              <w:ind w:left="231" w:right="178"/>
              <w:jc w:val="center"/>
              <w:rPr>
                <w:sz w:val="24"/>
              </w:rPr>
            </w:pPr>
            <w:r>
              <w:rPr>
                <w:sz w:val="24"/>
              </w:rPr>
              <w:t>58</w:t>
            </w:r>
          </w:p>
        </w:tc>
      </w:tr>
      <w:tr>
        <w:trPr>
          <w:trHeight w:val="414" w:hRule="exact"/>
        </w:trPr>
        <w:tc>
          <w:tcPr>
            <w:tcW w:w="7857" w:type="dxa"/>
          </w:tcPr>
          <w:p>
            <w:pPr>
              <w:pStyle w:val="TableParagraph"/>
              <w:spacing w:before="57"/>
              <w:ind w:left="1204"/>
              <w:rPr>
                <w:sz w:val="24"/>
              </w:rPr>
            </w:pPr>
            <w:r>
              <w:rPr>
                <w:sz w:val="24"/>
              </w:rPr>
              <w:t>4.1.3.2 IDENTIFICACIÓN DE LOS CONTAMINANTES</w:t>
            </w:r>
          </w:p>
        </w:tc>
        <w:tc>
          <w:tcPr>
            <w:tcW w:w="718" w:type="dxa"/>
          </w:tcPr>
          <w:p>
            <w:pPr>
              <w:pStyle w:val="TableParagraph"/>
              <w:spacing w:before="57"/>
              <w:ind w:left="231" w:right="178"/>
              <w:jc w:val="center"/>
              <w:rPr>
                <w:sz w:val="24"/>
              </w:rPr>
            </w:pPr>
            <w:r>
              <w:rPr>
                <w:sz w:val="24"/>
              </w:rPr>
              <w:t>60</w:t>
            </w:r>
          </w:p>
        </w:tc>
      </w:tr>
      <w:tr>
        <w:trPr>
          <w:trHeight w:val="620" w:hRule="exact"/>
        </w:trPr>
        <w:tc>
          <w:tcPr>
            <w:tcW w:w="7857" w:type="dxa"/>
          </w:tcPr>
          <w:p>
            <w:pPr>
              <w:pStyle w:val="TableParagraph"/>
              <w:spacing w:before="55"/>
              <w:ind w:left="872"/>
              <w:rPr>
                <w:sz w:val="24"/>
              </w:rPr>
            </w:pPr>
            <w:r>
              <w:rPr>
                <w:sz w:val="24"/>
              </w:rPr>
              <w:t>4.1.4 CONCLUSIONES</w:t>
            </w:r>
          </w:p>
        </w:tc>
        <w:tc>
          <w:tcPr>
            <w:tcW w:w="718" w:type="dxa"/>
          </w:tcPr>
          <w:p>
            <w:pPr>
              <w:pStyle w:val="TableParagraph"/>
              <w:spacing w:before="55"/>
              <w:ind w:left="231" w:right="178"/>
              <w:jc w:val="center"/>
              <w:rPr>
                <w:sz w:val="24"/>
              </w:rPr>
            </w:pPr>
            <w:r>
              <w:rPr>
                <w:sz w:val="24"/>
              </w:rPr>
              <w:t>62</w:t>
            </w:r>
          </w:p>
        </w:tc>
      </w:tr>
      <w:tr>
        <w:trPr>
          <w:trHeight w:val="1036" w:hRule="exact"/>
        </w:trPr>
        <w:tc>
          <w:tcPr>
            <w:tcW w:w="7857" w:type="dxa"/>
          </w:tcPr>
          <w:p>
            <w:pPr>
              <w:pStyle w:val="TableParagraph"/>
              <w:spacing w:before="10"/>
              <w:rPr>
                <w:b/>
                <w:sz w:val="22"/>
              </w:rPr>
            </w:pPr>
          </w:p>
          <w:p>
            <w:pPr>
              <w:pStyle w:val="TableParagraph"/>
              <w:spacing w:line="362" w:lineRule="auto"/>
              <w:ind w:left="936" w:right="380" w:hanging="401"/>
              <w:rPr>
                <w:sz w:val="24"/>
              </w:rPr>
            </w:pPr>
            <w:r>
              <w:rPr>
                <w:sz w:val="24"/>
              </w:rPr>
              <w:t>4.2 SUSTENTABILIDAD PIROTECNICA EN LA COMUNIDAD DE SAN MATEO TLALCHICHILPAN</w:t>
            </w:r>
          </w:p>
        </w:tc>
        <w:tc>
          <w:tcPr>
            <w:tcW w:w="718" w:type="dxa"/>
          </w:tcPr>
          <w:p>
            <w:pPr>
              <w:pStyle w:val="TableParagraph"/>
              <w:rPr>
                <w:b/>
                <w:sz w:val="24"/>
              </w:rPr>
            </w:pPr>
          </w:p>
          <w:p>
            <w:pPr>
              <w:pStyle w:val="TableParagraph"/>
              <w:rPr>
                <w:b/>
                <w:sz w:val="35"/>
              </w:rPr>
            </w:pPr>
          </w:p>
          <w:p>
            <w:pPr>
              <w:pStyle w:val="TableParagraph"/>
              <w:spacing w:before="1"/>
              <w:ind w:left="231" w:right="178"/>
              <w:jc w:val="center"/>
              <w:rPr>
                <w:sz w:val="24"/>
              </w:rPr>
            </w:pPr>
            <w:r>
              <w:rPr>
                <w:sz w:val="24"/>
              </w:rPr>
              <w:t>63</w:t>
            </w:r>
          </w:p>
        </w:tc>
      </w:tr>
      <w:tr>
        <w:trPr>
          <w:trHeight w:val="414" w:hRule="exact"/>
        </w:trPr>
        <w:tc>
          <w:tcPr>
            <w:tcW w:w="7857" w:type="dxa"/>
          </w:tcPr>
          <w:p>
            <w:pPr>
              <w:pStyle w:val="TableParagraph"/>
              <w:spacing w:before="55"/>
              <w:ind w:left="872"/>
              <w:rPr>
                <w:sz w:val="24"/>
              </w:rPr>
            </w:pPr>
            <w:r>
              <w:rPr>
                <w:sz w:val="24"/>
              </w:rPr>
              <w:t>4.2.1 ANÁLISIS DE INDICADORES POLITICOS Y SOCIALES</w:t>
            </w:r>
          </w:p>
        </w:tc>
        <w:tc>
          <w:tcPr>
            <w:tcW w:w="718" w:type="dxa"/>
          </w:tcPr>
          <w:p>
            <w:pPr>
              <w:pStyle w:val="TableParagraph"/>
              <w:spacing w:before="55"/>
              <w:ind w:left="231" w:right="178"/>
              <w:jc w:val="center"/>
              <w:rPr>
                <w:sz w:val="24"/>
              </w:rPr>
            </w:pPr>
            <w:r>
              <w:rPr>
                <w:sz w:val="24"/>
              </w:rPr>
              <w:t>64</w:t>
            </w:r>
          </w:p>
        </w:tc>
      </w:tr>
      <w:tr>
        <w:trPr>
          <w:trHeight w:val="414" w:hRule="exact"/>
        </w:trPr>
        <w:tc>
          <w:tcPr>
            <w:tcW w:w="7857" w:type="dxa"/>
          </w:tcPr>
          <w:p>
            <w:pPr>
              <w:pStyle w:val="TableParagraph"/>
              <w:spacing w:before="57"/>
              <w:ind w:left="872"/>
              <w:rPr>
                <w:sz w:val="24"/>
              </w:rPr>
            </w:pPr>
            <w:r>
              <w:rPr>
                <w:sz w:val="24"/>
              </w:rPr>
              <w:t>4.2.2 ANÁLISIS DE INDICADORES AMBIENTALES</w:t>
            </w:r>
          </w:p>
        </w:tc>
        <w:tc>
          <w:tcPr>
            <w:tcW w:w="718" w:type="dxa"/>
          </w:tcPr>
          <w:p>
            <w:pPr>
              <w:pStyle w:val="TableParagraph"/>
              <w:spacing w:before="57"/>
              <w:ind w:left="231" w:right="178"/>
              <w:jc w:val="center"/>
              <w:rPr>
                <w:sz w:val="24"/>
              </w:rPr>
            </w:pPr>
            <w:r>
              <w:rPr>
                <w:sz w:val="24"/>
              </w:rPr>
              <w:t>72</w:t>
            </w:r>
          </w:p>
        </w:tc>
      </w:tr>
      <w:tr>
        <w:trPr>
          <w:trHeight w:val="414" w:hRule="exact"/>
        </w:trPr>
        <w:tc>
          <w:tcPr>
            <w:tcW w:w="7857" w:type="dxa"/>
          </w:tcPr>
          <w:p>
            <w:pPr>
              <w:pStyle w:val="TableParagraph"/>
              <w:spacing w:before="55"/>
              <w:ind w:left="872"/>
              <w:rPr>
                <w:sz w:val="24"/>
              </w:rPr>
            </w:pPr>
            <w:r>
              <w:rPr>
                <w:sz w:val="24"/>
              </w:rPr>
              <w:t>4.2.3 ANÁLISIS DE INDICADORES ECONÓMICOS</w:t>
            </w:r>
          </w:p>
        </w:tc>
        <w:tc>
          <w:tcPr>
            <w:tcW w:w="718" w:type="dxa"/>
          </w:tcPr>
          <w:p>
            <w:pPr>
              <w:pStyle w:val="TableParagraph"/>
              <w:spacing w:before="55"/>
              <w:ind w:left="231" w:right="178"/>
              <w:jc w:val="center"/>
              <w:rPr>
                <w:sz w:val="24"/>
              </w:rPr>
            </w:pPr>
            <w:r>
              <w:rPr>
                <w:sz w:val="24"/>
              </w:rPr>
              <w:t>76</w:t>
            </w:r>
          </w:p>
        </w:tc>
      </w:tr>
      <w:tr>
        <w:trPr>
          <w:trHeight w:val="622" w:hRule="exact"/>
        </w:trPr>
        <w:tc>
          <w:tcPr>
            <w:tcW w:w="7857" w:type="dxa"/>
          </w:tcPr>
          <w:p>
            <w:pPr>
              <w:pStyle w:val="TableParagraph"/>
              <w:spacing w:before="57"/>
              <w:ind w:left="872"/>
              <w:rPr>
                <w:sz w:val="24"/>
              </w:rPr>
            </w:pPr>
            <w:r>
              <w:rPr>
                <w:sz w:val="24"/>
              </w:rPr>
              <w:t>4.2.4 CONCLUSIONES</w:t>
            </w:r>
          </w:p>
        </w:tc>
        <w:tc>
          <w:tcPr>
            <w:tcW w:w="718" w:type="dxa"/>
          </w:tcPr>
          <w:p>
            <w:pPr>
              <w:pStyle w:val="TableParagraph"/>
              <w:spacing w:before="57"/>
              <w:ind w:left="231" w:right="178"/>
              <w:jc w:val="center"/>
              <w:rPr>
                <w:sz w:val="24"/>
              </w:rPr>
            </w:pPr>
            <w:r>
              <w:rPr>
                <w:sz w:val="24"/>
              </w:rPr>
              <w:t>81</w:t>
            </w:r>
          </w:p>
        </w:tc>
      </w:tr>
      <w:tr>
        <w:trPr>
          <w:trHeight w:val="1035" w:hRule="exact"/>
        </w:trPr>
        <w:tc>
          <w:tcPr>
            <w:tcW w:w="7857" w:type="dxa"/>
          </w:tcPr>
          <w:p>
            <w:pPr>
              <w:pStyle w:val="TableParagraph"/>
              <w:spacing w:before="10"/>
              <w:rPr>
                <w:b/>
                <w:sz w:val="22"/>
              </w:rPr>
            </w:pPr>
          </w:p>
          <w:p>
            <w:pPr>
              <w:pStyle w:val="TableParagraph"/>
              <w:spacing w:line="357" w:lineRule="auto"/>
              <w:ind w:left="1004" w:hanging="469"/>
              <w:rPr>
                <w:sz w:val="24"/>
              </w:rPr>
            </w:pPr>
            <w:r>
              <w:rPr>
                <w:sz w:val="24"/>
              </w:rPr>
              <w:t>4.3 VULNERABILIDAD Y RECOMENDACIONES DE IMPLEMENTACION AL SECTOR PIROTECNICO</w:t>
            </w:r>
          </w:p>
        </w:tc>
        <w:tc>
          <w:tcPr>
            <w:tcW w:w="718" w:type="dxa"/>
          </w:tcPr>
          <w:p>
            <w:pPr>
              <w:pStyle w:val="TableParagraph"/>
              <w:rPr>
                <w:b/>
                <w:sz w:val="24"/>
              </w:rPr>
            </w:pPr>
          </w:p>
          <w:p>
            <w:pPr>
              <w:pStyle w:val="TableParagraph"/>
              <w:spacing w:before="8"/>
              <w:rPr>
                <w:b/>
                <w:sz w:val="34"/>
              </w:rPr>
            </w:pPr>
          </w:p>
          <w:p>
            <w:pPr>
              <w:pStyle w:val="TableParagraph"/>
              <w:spacing w:before="1"/>
              <w:ind w:left="231" w:right="178"/>
              <w:jc w:val="center"/>
              <w:rPr>
                <w:sz w:val="24"/>
              </w:rPr>
            </w:pPr>
            <w:r>
              <w:rPr>
                <w:sz w:val="24"/>
              </w:rPr>
              <w:t>83</w:t>
            </w:r>
          </w:p>
        </w:tc>
      </w:tr>
      <w:tr>
        <w:trPr>
          <w:trHeight w:val="828" w:hRule="exact"/>
        </w:trPr>
        <w:tc>
          <w:tcPr>
            <w:tcW w:w="7857" w:type="dxa"/>
          </w:tcPr>
          <w:p>
            <w:pPr>
              <w:pStyle w:val="TableParagraph"/>
              <w:spacing w:line="357" w:lineRule="auto" w:before="57"/>
              <w:ind w:left="1468" w:hanging="596"/>
              <w:rPr>
                <w:sz w:val="24"/>
              </w:rPr>
            </w:pPr>
            <w:r>
              <w:rPr>
                <w:sz w:val="24"/>
              </w:rPr>
              <w:t>4.3.1 VULNERABILIDAD DE LA PIROTECNIA EN TLALCHICHILPAN</w:t>
            </w:r>
          </w:p>
        </w:tc>
        <w:tc>
          <w:tcPr>
            <w:tcW w:w="718" w:type="dxa"/>
          </w:tcPr>
          <w:p>
            <w:pPr>
              <w:pStyle w:val="TableParagraph"/>
              <w:spacing w:before="57"/>
              <w:ind w:left="231" w:right="178"/>
              <w:jc w:val="center"/>
              <w:rPr>
                <w:sz w:val="24"/>
              </w:rPr>
            </w:pPr>
            <w:r>
              <w:rPr>
                <w:sz w:val="24"/>
              </w:rPr>
              <w:t>84</w:t>
            </w:r>
          </w:p>
        </w:tc>
      </w:tr>
      <w:tr>
        <w:trPr>
          <w:trHeight w:val="414" w:hRule="exact"/>
        </w:trPr>
        <w:tc>
          <w:tcPr>
            <w:tcW w:w="7857" w:type="dxa"/>
          </w:tcPr>
          <w:p>
            <w:pPr>
              <w:pStyle w:val="TableParagraph"/>
              <w:spacing w:before="57"/>
              <w:ind w:left="872"/>
              <w:rPr>
                <w:sz w:val="24"/>
              </w:rPr>
            </w:pPr>
            <w:r>
              <w:rPr>
                <w:sz w:val="24"/>
              </w:rPr>
              <w:t>4.3.2 RECOMENDACIONES AL SECTOR PIROTECNICO</w:t>
            </w:r>
          </w:p>
        </w:tc>
        <w:tc>
          <w:tcPr>
            <w:tcW w:w="718" w:type="dxa"/>
          </w:tcPr>
          <w:p>
            <w:pPr>
              <w:pStyle w:val="TableParagraph"/>
              <w:spacing w:before="57"/>
              <w:ind w:left="231" w:right="178"/>
              <w:jc w:val="center"/>
              <w:rPr>
                <w:sz w:val="24"/>
              </w:rPr>
            </w:pPr>
            <w:r>
              <w:rPr>
                <w:sz w:val="24"/>
              </w:rPr>
              <w:t>87</w:t>
            </w:r>
          </w:p>
        </w:tc>
      </w:tr>
      <w:tr>
        <w:trPr>
          <w:trHeight w:val="326" w:hRule="exact"/>
        </w:trPr>
        <w:tc>
          <w:tcPr>
            <w:tcW w:w="7857" w:type="dxa"/>
          </w:tcPr>
          <w:p>
            <w:pPr>
              <w:pStyle w:val="TableParagraph"/>
              <w:spacing w:before="55"/>
              <w:ind w:left="872"/>
              <w:rPr>
                <w:sz w:val="24"/>
              </w:rPr>
            </w:pPr>
            <w:r>
              <w:rPr>
                <w:sz w:val="24"/>
              </w:rPr>
              <w:t>4.3.3 CONCLUSIONES</w:t>
            </w:r>
          </w:p>
        </w:tc>
        <w:tc>
          <w:tcPr>
            <w:tcW w:w="718" w:type="dxa"/>
          </w:tcPr>
          <w:p>
            <w:pPr>
              <w:pStyle w:val="TableParagraph"/>
              <w:spacing w:before="55"/>
              <w:ind w:left="231" w:right="178"/>
              <w:jc w:val="center"/>
              <w:rPr>
                <w:sz w:val="24"/>
              </w:rPr>
            </w:pPr>
            <w:r>
              <w:rPr>
                <w:sz w:val="24"/>
              </w:rPr>
              <w:t>89</w:t>
            </w:r>
          </w:p>
        </w:tc>
      </w:tr>
    </w:tbl>
    <w:p>
      <w:pPr>
        <w:spacing w:after="0"/>
        <w:jc w:val="center"/>
        <w:rPr>
          <w:sz w:val="24"/>
        </w:rPr>
        <w:sectPr>
          <w:pgSz w:w="12240" w:h="15840"/>
          <w:pgMar w:header="0" w:footer="1011" w:top="1440" w:bottom="1200" w:left="1400" w:right="17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01"/>
        <w:gridCol w:w="706"/>
      </w:tblGrid>
      <w:tr>
        <w:trPr>
          <w:trHeight w:val="2608" w:hRule="exact"/>
        </w:trPr>
        <w:tc>
          <w:tcPr>
            <w:tcW w:w="8001" w:type="dxa"/>
          </w:tcPr>
          <w:p>
            <w:pPr>
              <w:pStyle w:val="TableParagraph"/>
              <w:spacing w:line="245" w:lineRule="exact"/>
              <w:ind w:left="200"/>
              <w:rPr>
                <w:b/>
                <w:sz w:val="24"/>
              </w:rPr>
            </w:pPr>
            <w:r>
              <w:rPr>
                <w:b/>
                <w:sz w:val="24"/>
              </w:rPr>
              <w:t>CAPITULO V. CONCLUSIONES Y PRODUCTOS DE LA</w:t>
            </w:r>
          </w:p>
          <w:p>
            <w:pPr>
              <w:pStyle w:val="TableParagraph"/>
              <w:spacing w:before="140"/>
              <w:ind w:left="267"/>
              <w:rPr>
                <w:b/>
                <w:sz w:val="24"/>
              </w:rPr>
            </w:pPr>
            <w:r>
              <w:rPr>
                <w:b/>
                <w:sz w:val="24"/>
              </w:rPr>
              <w:t>INVESTIGACIÓN</w:t>
            </w:r>
          </w:p>
          <w:p>
            <w:pPr>
              <w:pStyle w:val="TableParagraph"/>
              <w:rPr>
                <w:b/>
                <w:sz w:val="24"/>
              </w:rPr>
            </w:pPr>
          </w:p>
          <w:p>
            <w:pPr>
              <w:pStyle w:val="TableParagraph"/>
              <w:rPr>
                <w:b/>
                <w:sz w:val="24"/>
              </w:rPr>
            </w:pPr>
          </w:p>
          <w:p>
            <w:pPr>
              <w:pStyle w:val="TableParagraph"/>
              <w:numPr>
                <w:ilvl w:val="1"/>
                <w:numId w:val="1"/>
              </w:numPr>
              <w:tabs>
                <w:tab w:pos="600" w:val="left" w:leader="none"/>
              </w:tabs>
              <w:spacing w:line="240" w:lineRule="auto" w:before="0" w:after="0"/>
              <w:ind w:left="599" w:right="0" w:hanging="399"/>
              <w:jc w:val="left"/>
              <w:rPr>
                <w:b/>
                <w:sz w:val="24"/>
              </w:rPr>
            </w:pPr>
            <w:r>
              <w:rPr>
                <w:b/>
                <w:sz w:val="24"/>
              </w:rPr>
              <w:t>CONCLUSIONES</w:t>
            </w:r>
          </w:p>
          <w:p>
            <w:pPr>
              <w:pStyle w:val="TableParagraph"/>
              <w:rPr>
                <w:b/>
                <w:sz w:val="24"/>
              </w:rPr>
            </w:pPr>
          </w:p>
          <w:p>
            <w:pPr>
              <w:pStyle w:val="TableParagraph"/>
              <w:rPr>
                <w:b/>
                <w:sz w:val="24"/>
              </w:rPr>
            </w:pPr>
          </w:p>
          <w:p>
            <w:pPr>
              <w:pStyle w:val="TableParagraph"/>
              <w:numPr>
                <w:ilvl w:val="1"/>
                <w:numId w:val="1"/>
              </w:numPr>
              <w:tabs>
                <w:tab w:pos="600" w:val="left" w:leader="none"/>
              </w:tabs>
              <w:spacing w:line="240" w:lineRule="auto" w:before="0" w:after="0"/>
              <w:ind w:left="599" w:right="0" w:hanging="399"/>
              <w:jc w:val="left"/>
              <w:rPr>
                <w:b/>
                <w:sz w:val="24"/>
              </w:rPr>
            </w:pPr>
            <w:r>
              <w:rPr>
                <w:b/>
                <w:sz w:val="24"/>
              </w:rPr>
              <w:t>PRODUCTOS DE </w:t>
            </w:r>
            <w:r>
              <w:rPr>
                <w:b/>
                <w:spacing w:val="2"/>
                <w:sz w:val="24"/>
              </w:rPr>
              <w:t>LA</w:t>
            </w:r>
            <w:r>
              <w:rPr>
                <w:b/>
                <w:spacing w:val="-14"/>
                <w:sz w:val="24"/>
              </w:rPr>
              <w:t> </w:t>
            </w:r>
            <w:r>
              <w:rPr>
                <w:b/>
                <w:sz w:val="24"/>
              </w:rPr>
              <w:t>INVESTIGACIÓN</w:t>
            </w:r>
          </w:p>
        </w:tc>
        <w:tc>
          <w:tcPr>
            <w:tcW w:w="706" w:type="dxa"/>
          </w:tcPr>
          <w:p>
            <w:pPr>
              <w:pStyle w:val="TableParagraph"/>
              <w:spacing w:before="5"/>
              <w:rPr>
                <w:b/>
                <w:sz w:val="33"/>
              </w:rPr>
            </w:pPr>
          </w:p>
          <w:p>
            <w:pPr>
              <w:pStyle w:val="TableParagraph"/>
              <w:ind w:left="109"/>
              <w:rPr>
                <w:b/>
                <w:sz w:val="24"/>
              </w:rPr>
            </w:pPr>
            <w:r>
              <w:rPr>
                <w:b/>
                <w:sz w:val="24"/>
              </w:rPr>
              <w:t>90</w:t>
            </w:r>
          </w:p>
          <w:p>
            <w:pPr>
              <w:pStyle w:val="TableParagraph"/>
              <w:rPr>
                <w:b/>
                <w:sz w:val="24"/>
              </w:rPr>
            </w:pPr>
          </w:p>
          <w:p>
            <w:pPr>
              <w:pStyle w:val="TableParagraph"/>
              <w:spacing w:before="4"/>
              <w:rPr>
                <w:b/>
                <w:sz w:val="24"/>
              </w:rPr>
            </w:pPr>
          </w:p>
          <w:p>
            <w:pPr>
              <w:pStyle w:val="TableParagraph"/>
              <w:ind w:left="109"/>
              <w:rPr>
                <w:sz w:val="24"/>
              </w:rPr>
            </w:pPr>
            <w:r>
              <w:rPr>
                <w:sz w:val="24"/>
              </w:rPr>
              <w:t>91</w:t>
            </w:r>
          </w:p>
          <w:p>
            <w:pPr>
              <w:pStyle w:val="TableParagraph"/>
              <w:rPr>
                <w:b/>
                <w:sz w:val="24"/>
              </w:rPr>
            </w:pPr>
          </w:p>
          <w:p>
            <w:pPr>
              <w:pStyle w:val="TableParagraph"/>
              <w:rPr>
                <w:b/>
                <w:sz w:val="24"/>
              </w:rPr>
            </w:pPr>
          </w:p>
          <w:p>
            <w:pPr>
              <w:pStyle w:val="TableParagraph"/>
              <w:ind w:left="109"/>
              <w:rPr>
                <w:sz w:val="24"/>
              </w:rPr>
            </w:pPr>
            <w:r>
              <w:rPr>
                <w:sz w:val="24"/>
              </w:rPr>
              <w:t>92</w:t>
            </w:r>
          </w:p>
        </w:tc>
      </w:tr>
      <w:tr>
        <w:trPr>
          <w:trHeight w:val="828" w:hRule="exact"/>
        </w:trPr>
        <w:tc>
          <w:tcPr>
            <w:tcW w:w="8001" w:type="dxa"/>
          </w:tcPr>
          <w:p>
            <w:pPr>
              <w:pStyle w:val="TableParagraph"/>
              <w:spacing w:before="8"/>
              <w:rPr>
                <w:b/>
                <w:sz w:val="22"/>
              </w:rPr>
            </w:pPr>
          </w:p>
          <w:p>
            <w:pPr>
              <w:pStyle w:val="TableParagraph"/>
              <w:ind w:left="200"/>
              <w:rPr>
                <w:b/>
                <w:sz w:val="24"/>
              </w:rPr>
            </w:pPr>
            <w:r>
              <w:rPr>
                <w:b/>
                <w:sz w:val="24"/>
              </w:rPr>
              <w:t>ANEXOS</w:t>
            </w:r>
          </w:p>
        </w:tc>
        <w:tc>
          <w:tcPr>
            <w:tcW w:w="706" w:type="dxa"/>
          </w:tcPr>
          <w:p>
            <w:pPr>
              <w:pStyle w:val="TableParagraph"/>
              <w:spacing w:before="8"/>
              <w:rPr>
                <w:b/>
                <w:sz w:val="22"/>
              </w:rPr>
            </w:pPr>
          </w:p>
          <w:p>
            <w:pPr>
              <w:pStyle w:val="TableParagraph"/>
              <w:ind w:left="109"/>
              <w:rPr>
                <w:b/>
                <w:sz w:val="24"/>
              </w:rPr>
            </w:pPr>
            <w:r>
              <w:rPr>
                <w:b/>
                <w:sz w:val="24"/>
              </w:rPr>
              <w:t>94</w:t>
            </w:r>
          </w:p>
        </w:tc>
      </w:tr>
      <w:tr>
        <w:trPr>
          <w:trHeight w:val="1242" w:hRule="exact"/>
        </w:trPr>
        <w:tc>
          <w:tcPr>
            <w:tcW w:w="8001" w:type="dxa"/>
          </w:tcPr>
          <w:p>
            <w:pPr>
              <w:pStyle w:val="TableParagraph"/>
              <w:spacing w:before="1"/>
              <w:rPr>
                <w:b/>
                <w:sz w:val="23"/>
              </w:rPr>
            </w:pPr>
          </w:p>
          <w:p>
            <w:pPr>
              <w:pStyle w:val="TableParagraph"/>
              <w:tabs>
                <w:tab w:pos="1259" w:val="left" w:leader="none"/>
                <w:tab w:pos="1678" w:val="left" w:leader="none"/>
                <w:tab w:pos="2830" w:val="left" w:leader="none"/>
                <w:tab w:pos="3317" w:val="left" w:leader="none"/>
                <w:tab w:pos="4596" w:val="left" w:leader="none"/>
                <w:tab w:pos="5776" w:val="left" w:leader="none"/>
                <w:tab w:pos="7002" w:val="left" w:leader="none"/>
                <w:tab w:pos="7701" w:val="left" w:leader="none"/>
              </w:tabs>
              <w:spacing w:line="357" w:lineRule="auto"/>
              <w:ind w:left="200" w:right="107"/>
              <w:rPr>
                <w:sz w:val="24"/>
              </w:rPr>
            </w:pPr>
            <w:r>
              <w:rPr>
                <w:sz w:val="24"/>
              </w:rPr>
              <w:t>ANEXO</w:t>
              <w:tab/>
              <w:t>1.</w:t>
              <w:tab/>
              <w:t>Relación</w:t>
              <w:tab/>
              <w:t>de</w:t>
              <w:tab/>
              <w:t>productos</w:t>
              <w:tab/>
              <w:t>químicos</w:t>
              <w:tab/>
              <w:t>utilizados</w:t>
              <w:tab/>
              <w:t>para</w:t>
              <w:tab/>
              <w:t>la elaboración de dispositivos</w:t>
            </w:r>
            <w:r>
              <w:rPr>
                <w:spacing w:val="-22"/>
                <w:sz w:val="24"/>
              </w:rPr>
              <w:t> </w:t>
            </w:r>
            <w:r>
              <w:rPr>
                <w:sz w:val="24"/>
              </w:rPr>
              <w:t>pirotécnicos</w:t>
            </w:r>
          </w:p>
        </w:tc>
        <w:tc>
          <w:tcPr>
            <w:tcW w:w="706" w:type="dxa"/>
          </w:tcPr>
          <w:p>
            <w:pPr>
              <w:pStyle w:val="TableParagraph"/>
              <w:spacing w:before="1"/>
              <w:rPr>
                <w:b/>
                <w:sz w:val="23"/>
              </w:rPr>
            </w:pPr>
          </w:p>
          <w:p>
            <w:pPr>
              <w:pStyle w:val="TableParagraph"/>
              <w:ind w:left="109"/>
              <w:rPr>
                <w:sz w:val="24"/>
              </w:rPr>
            </w:pPr>
            <w:r>
              <w:rPr>
                <w:sz w:val="24"/>
              </w:rPr>
              <w:t>95</w:t>
            </w:r>
          </w:p>
        </w:tc>
      </w:tr>
      <w:tr>
        <w:trPr>
          <w:trHeight w:val="826" w:hRule="exact"/>
        </w:trPr>
        <w:tc>
          <w:tcPr>
            <w:tcW w:w="8001" w:type="dxa"/>
          </w:tcPr>
          <w:p>
            <w:pPr>
              <w:pStyle w:val="TableParagraph"/>
              <w:spacing w:before="10"/>
              <w:rPr>
                <w:b/>
                <w:sz w:val="22"/>
              </w:rPr>
            </w:pPr>
          </w:p>
          <w:p>
            <w:pPr>
              <w:pStyle w:val="TableParagraph"/>
              <w:ind w:left="200"/>
              <w:rPr>
                <w:sz w:val="24"/>
              </w:rPr>
            </w:pPr>
            <w:r>
              <w:rPr>
                <w:sz w:val="24"/>
              </w:rPr>
              <w:t>Anexo 2. Análisis de ciclo de vida del cohetón pirotécnico</w:t>
            </w:r>
          </w:p>
        </w:tc>
        <w:tc>
          <w:tcPr>
            <w:tcW w:w="706" w:type="dxa"/>
          </w:tcPr>
          <w:p>
            <w:pPr>
              <w:pStyle w:val="TableParagraph"/>
              <w:spacing w:before="10"/>
              <w:rPr>
                <w:b/>
                <w:sz w:val="22"/>
              </w:rPr>
            </w:pPr>
          </w:p>
          <w:p>
            <w:pPr>
              <w:pStyle w:val="TableParagraph"/>
              <w:ind w:left="109"/>
              <w:rPr>
                <w:sz w:val="24"/>
              </w:rPr>
            </w:pPr>
            <w:r>
              <w:rPr>
                <w:sz w:val="24"/>
              </w:rPr>
              <w:t>102</w:t>
            </w:r>
          </w:p>
        </w:tc>
      </w:tr>
      <w:tr>
        <w:trPr>
          <w:trHeight w:val="532" w:hRule="exact"/>
        </w:trPr>
        <w:tc>
          <w:tcPr>
            <w:tcW w:w="8001" w:type="dxa"/>
          </w:tcPr>
          <w:p>
            <w:pPr>
              <w:pStyle w:val="TableParagraph"/>
              <w:spacing w:before="8"/>
              <w:rPr>
                <w:b/>
                <w:sz w:val="22"/>
              </w:rPr>
            </w:pPr>
          </w:p>
          <w:p>
            <w:pPr>
              <w:pStyle w:val="TableParagraph"/>
              <w:ind w:left="200"/>
              <w:rPr>
                <w:b/>
                <w:sz w:val="24"/>
              </w:rPr>
            </w:pPr>
            <w:r>
              <w:rPr>
                <w:b/>
                <w:sz w:val="24"/>
              </w:rPr>
              <w:t>BIBLIOGRAFIA</w:t>
            </w:r>
          </w:p>
        </w:tc>
        <w:tc>
          <w:tcPr>
            <w:tcW w:w="706" w:type="dxa"/>
          </w:tcPr>
          <w:p>
            <w:pPr>
              <w:pStyle w:val="TableParagraph"/>
              <w:spacing w:before="8"/>
              <w:rPr>
                <w:b/>
                <w:sz w:val="22"/>
              </w:rPr>
            </w:pPr>
          </w:p>
          <w:p>
            <w:pPr>
              <w:pStyle w:val="TableParagraph"/>
              <w:ind w:left="109"/>
              <w:rPr>
                <w:b/>
                <w:sz w:val="24"/>
              </w:rPr>
            </w:pPr>
            <w:r>
              <w:rPr>
                <w:b/>
                <w:sz w:val="24"/>
              </w:rPr>
              <w:t>116</w:t>
            </w:r>
          </w:p>
        </w:tc>
      </w:tr>
    </w:tbl>
    <w:p>
      <w:pPr>
        <w:spacing w:after="0"/>
        <w:rPr>
          <w:sz w:val="24"/>
        </w:rPr>
        <w:sectPr>
          <w:pgSz w:w="12240" w:h="15840"/>
          <w:pgMar w:header="0" w:footer="1011" w:top="1440" w:bottom="1200" w:left="1400" w:right="1720"/>
        </w:sectPr>
      </w:pPr>
    </w:p>
    <w:p>
      <w:pPr>
        <w:spacing w:line="720" w:lineRule="auto" w:before="51"/>
        <w:ind w:left="300" w:right="4053" w:firstLine="0"/>
        <w:jc w:val="left"/>
        <w:rPr>
          <w:b/>
          <w:sz w:val="24"/>
        </w:rPr>
      </w:pPr>
      <w:r>
        <w:rPr/>
        <w:pict>
          <v:shape style="position:absolute;margin-left:75.025002pt;margin-top:76.502068pt;width:428.75pt;height:550.15pt;mso-position-horizontal-relative:page;mso-position-vertical-relative:paragraph;z-index:11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96"/>
                    <w:gridCol w:w="579"/>
                  </w:tblGrid>
                  <w:tr>
                    <w:trPr>
                      <w:trHeight w:val="326" w:hRule="exact"/>
                    </w:trPr>
                    <w:tc>
                      <w:tcPr>
                        <w:tcW w:w="7996" w:type="dxa"/>
                      </w:tcPr>
                      <w:p>
                        <w:pPr>
                          <w:pStyle w:val="TableParagraph"/>
                          <w:spacing w:line="245" w:lineRule="exact"/>
                          <w:ind w:left="200" w:right="106"/>
                          <w:rPr>
                            <w:sz w:val="24"/>
                          </w:rPr>
                        </w:pPr>
                        <w:r>
                          <w:rPr>
                            <w:sz w:val="24"/>
                          </w:rPr>
                          <w:t>Figura 1.5. Normatividad aplicable a la pirotecnia.</w:t>
                        </w:r>
                      </w:p>
                    </w:tc>
                    <w:tc>
                      <w:tcPr>
                        <w:tcW w:w="579" w:type="dxa"/>
                      </w:tcPr>
                      <w:p>
                        <w:pPr>
                          <w:pStyle w:val="TableParagraph"/>
                          <w:spacing w:line="245" w:lineRule="exact"/>
                          <w:ind w:left="114"/>
                          <w:rPr>
                            <w:sz w:val="24"/>
                          </w:rPr>
                        </w:pPr>
                        <w:r>
                          <w:rPr>
                            <w:sz w:val="24"/>
                          </w:rPr>
                          <w:t>26</w:t>
                        </w:r>
                      </w:p>
                    </w:tc>
                  </w:tr>
                  <w:tr>
                    <w:trPr>
                      <w:trHeight w:val="828" w:hRule="exact"/>
                    </w:trPr>
                    <w:tc>
                      <w:tcPr>
                        <w:tcW w:w="7996" w:type="dxa"/>
                      </w:tcPr>
                      <w:p>
                        <w:pPr>
                          <w:pStyle w:val="TableParagraph"/>
                          <w:spacing w:line="362" w:lineRule="auto" w:before="55"/>
                          <w:ind w:left="200" w:right="106"/>
                          <w:rPr>
                            <w:sz w:val="24"/>
                          </w:rPr>
                        </w:pPr>
                        <w:r>
                          <w:rPr>
                            <w:sz w:val="24"/>
                          </w:rPr>
                          <w:t>Figura 1.6. Pirotécnico de Almoloya de Juárez, familia  Martínez (QEPD).</w:t>
                        </w:r>
                      </w:p>
                    </w:tc>
                    <w:tc>
                      <w:tcPr>
                        <w:tcW w:w="579" w:type="dxa"/>
                      </w:tcPr>
                      <w:p>
                        <w:pPr>
                          <w:pStyle w:val="TableParagraph"/>
                          <w:rPr>
                            <w:b/>
                            <w:sz w:val="24"/>
                          </w:rPr>
                        </w:pPr>
                      </w:p>
                      <w:p>
                        <w:pPr>
                          <w:pStyle w:val="TableParagraph"/>
                          <w:spacing w:before="195"/>
                          <w:ind w:left="114"/>
                          <w:rPr>
                            <w:sz w:val="24"/>
                          </w:rPr>
                        </w:pPr>
                        <w:r>
                          <w:rPr>
                            <w:sz w:val="24"/>
                          </w:rPr>
                          <w:t>28</w:t>
                        </w:r>
                      </w:p>
                    </w:tc>
                  </w:tr>
                  <w:tr>
                    <w:trPr>
                      <w:trHeight w:val="414" w:hRule="exact"/>
                    </w:trPr>
                    <w:tc>
                      <w:tcPr>
                        <w:tcW w:w="7996" w:type="dxa"/>
                      </w:tcPr>
                      <w:p>
                        <w:pPr>
                          <w:pStyle w:val="TableParagraph"/>
                          <w:spacing w:before="55"/>
                          <w:ind w:left="200" w:right="106"/>
                          <w:rPr>
                            <w:sz w:val="24"/>
                          </w:rPr>
                        </w:pPr>
                        <w:r>
                          <w:rPr>
                            <w:sz w:val="24"/>
                          </w:rPr>
                          <w:t>Figura 2. Quema de castillo pirotécnico, Familia Urbano</w:t>
                        </w:r>
                      </w:p>
                    </w:tc>
                    <w:tc>
                      <w:tcPr>
                        <w:tcW w:w="579" w:type="dxa"/>
                      </w:tcPr>
                      <w:p>
                        <w:pPr>
                          <w:pStyle w:val="TableParagraph"/>
                          <w:spacing w:before="55"/>
                          <w:ind w:left="114"/>
                          <w:rPr>
                            <w:sz w:val="24"/>
                          </w:rPr>
                        </w:pPr>
                        <w:r>
                          <w:rPr>
                            <w:sz w:val="24"/>
                          </w:rPr>
                          <w:t>32</w:t>
                        </w:r>
                      </w:p>
                    </w:tc>
                  </w:tr>
                  <w:tr>
                    <w:trPr>
                      <w:trHeight w:val="414" w:hRule="exact"/>
                    </w:trPr>
                    <w:tc>
                      <w:tcPr>
                        <w:tcW w:w="7996" w:type="dxa"/>
                      </w:tcPr>
                      <w:p>
                        <w:pPr>
                          <w:pStyle w:val="TableParagraph"/>
                          <w:spacing w:before="57"/>
                          <w:ind w:left="200" w:right="106"/>
                          <w:rPr>
                            <w:sz w:val="24"/>
                          </w:rPr>
                        </w:pPr>
                        <w:r>
                          <w:rPr>
                            <w:sz w:val="24"/>
                          </w:rPr>
                          <w:t>Figura 2.1. Estructura general del capítulo II.</w:t>
                        </w:r>
                      </w:p>
                    </w:tc>
                    <w:tc>
                      <w:tcPr>
                        <w:tcW w:w="579" w:type="dxa"/>
                      </w:tcPr>
                      <w:p>
                        <w:pPr>
                          <w:pStyle w:val="TableParagraph"/>
                          <w:spacing w:before="57"/>
                          <w:ind w:left="114"/>
                          <w:rPr>
                            <w:sz w:val="24"/>
                          </w:rPr>
                        </w:pPr>
                        <w:r>
                          <w:rPr>
                            <w:sz w:val="24"/>
                          </w:rPr>
                          <w:t>33</w:t>
                        </w:r>
                      </w:p>
                    </w:tc>
                  </w:tr>
                  <w:tr>
                    <w:trPr>
                      <w:trHeight w:val="414" w:hRule="exact"/>
                    </w:trPr>
                    <w:tc>
                      <w:tcPr>
                        <w:tcW w:w="7996" w:type="dxa"/>
                      </w:tcPr>
                      <w:p>
                        <w:pPr>
                          <w:pStyle w:val="TableParagraph"/>
                          <w:spacing w:before="55"/>
                          <w:ind w:left="200" w:right="106"/>
                          <w:rPr>
                            <w:sz w:val="24"/>
                          </w:rPr>
                        </w:pPr>
                        <w:r>
                          <w:rPr>
                            <w:sz w:val="24"/>
                          </w:rPr>
                          <w:t>Figura 3. Explosión de crisantemo tipo sauce.</w:t>
                        </w:r>
                      </w:p>
                    </w:tc>
                    <w:tc>
                      <w:tcPr>
                        <w:tcW w:w="579" w:type="dxa"/>
                      </w:tcPr>
                      <w:p>
                        <w:pPr>
                          <w:pStyle w:val="TableParagraph"/>
                          <w:spacing w:before="55"/>
                          <w:ind w:left="114"/>
                          <w:rPr>
                            <w:sz w:val="24"/>
                          </w:rPr>
                        </w:pPr>
                        <w:r>
                          <w:rPr>
                            <w:sz w:val="24"/>
                          </w:rPr>
                          <w:t>42</w:t>
                        </w:r>
                      </w:p>
                    </w:tc>
                  </w:tr>
                  <w:tr>
                    <w:trPr>
                      <w:trHeight w:val="828" w:hRule="exact"/>
                    </w:trPr>
                    <w:tc>
                      <w:tcPr>
                        <w:tcW w:w="7996" w:type="dxa"/>
                      </w:tcPr>
                      <w:p>
                        <w:pPr>
                          <w:pStyle w:val="TableParagraph"/>
                          <w:spacing w:line="357" w:lineRule="auto" w:before="57"/>
                          <w:ind w:left="1400" w:right="106" w:hanging="1201"/>
                          <w:rPr>
                            <w:sz w:val="24"/>
                          </w:rPr>
                        </w:pPr>
                        <w:r>
                          <w:rPr>
                            <w:sz w:val="24"/>
                          </w:rPr>
                          <w:t>Figura 3.1. Metodología para la determinación del grado de vulnerabilidad.</w:t>
                        </w:r>
                      </w:p>
                    </w:tc>
                    <w:tc>
                      <w:tcPr>
                        <w:tcW w:w="579" w:type="dxa"/>
                      </w:tcPr>
                      <w:p>
                        <w:pPr>
                          <w:pStyle w:val="TableParagraph"/>
                          <w:rPr>
                            <w:b/>
                            <w:sz w:val="24"/>
                          </w:rPr>
                        </w:pPr>
                      </w:p>
                      <w:p>
                        <w:pPr>
                          <w:pStyle w:val="TableParagraph"/>
                          <w:spacing w:before="193"/>
                          <w:ind w:left="114"/>
                          <w:rPr>
                            <w:sz w:val="24"/>
                          </w:rPr>
                        </w:pPr>
                        <w:r>
                          <w:rPr>
                            <w:sz w:val="24"/>
                          </w:rPr>
                          <w:t>45</w:t>
                        </w:r>
                      </w:p>
                    </w:tc>
                  </w:tr>
                  <w:tr>
                    <w:trPr>
                      <w:trHeight w:val="414" w:hRule="exact"/>
                    </w:trPr>
                    <w:tc>
                      <w:tcPr>
                        <w:tcW w:w="7996" w:type="dxa"/>
                      </w:tcPr>
                      <w:p>
                        <w:pPr>
                          <w:pStyle w:val="TableParagraph"/>
                          <w:spacing w:before="57"/>
                          <w:ind w:left="200" w:right="106"/>
                          <w:rPr>
                            <w:sz w:val="24"/>
                          </w:rPr>
                        </w:pPr>
                        <w:r>
                          <w:rPr>
                            <w:sz w:val="24"/>
                          </w:rPr>
                          <w:t>Figura 4. Llenado de cartucho para luces de castillería.</w:t>
                        </w:r>
                      </w:p>
                    </w:tc>
                    <w:tc>
                      <w:tcPr>
                        <w:tcW w:w="579" w:type="dxa"/>
                      </w:tcPr>
                      <w:p>
                        <w:pPr>
                          <w:pStyle w:val="TableParagraph"/>
                          <w:spacing w:before="57"/>
                          <w:ind w:left="114"/>
                          <w:rPr>
                            <w:sz w:val="24"/>
                          </w:rPr>
                        </w:pPr>
                        <w:r>
                          <w:rPr>
                            <w:sz w:val="24"/>
                          </w:rPr>
                          <w:t>46</w:t>
                        </w:r>
                      </w:p>
                    </w:tc>
                  </w:tr>
                  <w:tr>
                    <w:trPr>
                      <w:trHeight w:val="410" w:hRule="exact"/>
                    </w:trPr>
                    <w:tc>
                      <w:tcPr>
                        <w:tcW w:w="7996" w:type="dxa"/>
                      </w:tcPr>
                      <w:p>
                        <w:pPr>
                          <w:pStyle w:val="TableParagraph"/>
                          <w:spacing w:before="55"/>
                          <w:ind w:left="200" w:right="106"/>
                          <w:rPr>
                            <w:sz w:val="24"/>
                          </w:rPr>
                        </w:pPr>
                        <w:r>
                          <w:rPr>
                            <w:sz w:val="24"/>
                          </w:rPr>
                          <w:t>Figura 1. Accidente en San Mateo Tlalchichilpan</w:t>
                        </w:r>
                      </w:p>
                    </w:tc>
                    <w:tc>
                      <w:tcPr>
                        <w:tcW w:w="579" w:type="dxa"/>
                      </w:tcPr>
                      <w:p>
                        <w:pPr>
                          <w:pStyle w:val="TableParagraph"/>
                          <w:spacing w:before="55"/>
                          <w:ind w:left="114"/>
                          <w:rPr>
                            <w:sz w:val="24"/>
                          </w:rPr>
                        </w:pPr>
                        <w:r>
                          <w:rPr>
                            <w:sz w:val="24"/>
                          </w:rPr>
                          <w:t>10</w:t>
                        </w:r>
                      </w:p>
                    </w:tc>
                  </w:tr>
                  <w:tr>
                    <w:trPr>
                      <w:trHeight w:val="418" w:hRule="exact"/>
                    </w:trPr>
                    <w:tc>
                      <w:tcPr>
                        <w:tcW w:w="7996" w:type="dxa"/>
                      </w:tcPr>
                      <w:p>
                        <w:pPr>
                          <w:pStyle w:val="TableParagraph"/>
                          <w:spacing w:before="61"/>
                          <w:ind w:left="200" w:right="106"/>
                          <w:rPr>
                            <w:sz w:val="24"/>
                          </w:rPr>
                        </w:pPr>
                        <w:r>
                          <w:rPr>
                            <w:sz w:val="24"/>
                          </w:rPr>
                          <w:t>Figura 1.1. Estructura del capítulo I.</w:t>
                        </w:r>
                      </w:p>
                    </w:tc>
                    <w:tc>
                      <w:tcPr>
                        <w:tcW w:w="579" w:type="dxa"/>
                      </w:tcPr>
                      <w:p>
                        <w:pPr>
                          <w:pStyle w:val="TableParagraph"/>
                          <w:spacing w:before="58"/>
                          <w:ind w:left="114"/>
                          <w:rPr>
                            <w:sz w:val="20"/>
                          </w:rPr>
                        </w:pPr>
                        <w:r>
                          <w:rPr>
                            <w:sz w:val="20"/>
                          </w:rPr>
                          <w:t>12</w:t>
                        </w:r>
                      </w:p>
                    </w:tc>
                  </w:tr>
                  <w:tr>
                    <w:trPr>
                      <w:trHeight w:val="414" w:hRule="exact"/>
                    </w:trPr>
                    <w:tc>
                      <w:tcPr>
                        <w:tcW w:w="7996" w:type="dxa"/>
                      </w:tcPr>
                      <w:p>
                        <w:pPr>
                          <w:pStyle w:val="TableParagraph"/>
                          <w:spacing w:before="55"/>
                          <w:ind w:left="200" w:right="106"/>
                          <w:rPr>
                            <w:sz w:val="24"/>
                          </w:rPr>
                        </w:pPr>
                        <w:r>
                          <w:rPr>
                            <w:sz w:val="24"/>
                          </w:rPr>
                          <w:t>Figura 1.2. Pirotécnico italiano del siglo XVI.</w:t>
                        </w:r>
                      </w:p>
                    </w:tc>
                    <w:tc>
                      <w:tcPr>
                        <w:tcW w:w="579" w:type="dxa"/>
                      </w:tcPr>
                      <w:p>
                        <w:pPr>
                          <w:pStyle w:val="TableParagraph"/>
                          <w:spacing w:before="55"/>
                          <w:ind w:left="114"/>
                          <w:rPr>
                            <w:sz w:val="24"/>
                          </w:rPr>
                        </w:pPr>
                        <w:r>
                          <w:rPr>
                            <w:sz w:val="24"/>
                          </w:rPr>
                          <w:t>15</w:t>
                        </w:r>
                      </w:p>
                    </w:tc>
                  </w:tr>
                  <w:tr>
                    <w:trPr>
                      <w:trHeight w:val="414" w:hRule="exact"/>
                    </w:trPr>
                    <w:tc>
                      <w:tcPr>
                        <w:tcW w:w="7996" w:type="dxa"/>
                      </w:tcPr>
                      <w:p>
                        <w:pPr>
                          <w:pStyle w:val="TableParagraph"/>
                          <w:spacing w:before="57"/>
                          <w:ind w:left="200" w:right="106"/>
                          <w:rPr>
                            <w:sz w:val="24"/>
                          </w:rPr>
                        </w:pPr>
                        <w:r>
                          <w:rPr>
                            <w:sz w:val="24"/>
                          </w:rPr>
                          <w:t>Figura 1.3. Detalle de “Artificier” publicado en 1770 en Francia.</w:t>
                        </w:r>
                      </w:p>
                    </w:tc>
                    <w:tc>
                      <w:tcPr>
                        <w:tcW w:w="579" w:type="dxa"/>
                      </w:tcPr>
                      <w:p>
                        <w:pPr>
                          <w:pStyle w:val="TableParagraph"/>
                          <w:spacing w:before="57"/>
                          <w:ind w:left="114"/>
                          <w:rPr>
                            <w:sz w:val="24"/>
                          </w:rPr>
                        </w:pPr>
                        <w:r>
                          <w:rPr>
                            <w:sz w:val="24"/>
                          </w:rPr>
                          <w:t>16</w:t>
                        </w:r>
                      </w:p>
                    </w:tc>
                  </w:tr>
                  <w:tr>
                    <w:trPr>
                      <w:trHeight w:val="414" w:hRule="exact"/>
                    </w:trPr>
                    <w:tc>
                      <w:tcPr>
                        <w:tcW w:w="7996" w:type="dxa"/>
                      </w:tcPr>
                      <w:p>
                        <w:pPr>
                          <w:pStyle w:val="TableParagraph"/>
                          <w:spacing w:before="55"/>
                          <w:ind w:left="200" w:right="106"/>
                          <w:rPr>
                            <w:sz w:val="24"/>
                          </w:rPr>
                        </w:pPr>
                        <w:r>
                          <w:rPr>
                            <w:sz w:val="24"/>
                          </w:rPr>
                          <w:t>Figura 1.4. Pirotécnicos de Zumpango.</w:t>
                        </w:r>
                      </w:p>
                    </w:tc>
                    <w:tc>
                      <w:tcPr>
                        <w:tcW w:w="579" w:type="dxa"/>
                      </w:tcPr>
                      <w:p>
                        <w:pPr>
                          <w:pStyle w:val="TableParagraph"/>
                          <w:spacing w:before="55"/>
                          <w:ind w:left="114"/>
                          <w:rPr>
                            <w:sz w:val="24"/>
                          </w:rPr>
                        </w:pPr>
                        <w:r>
                          <w:rPr>
                            <w:sz w:val="24"/>
                          </w:rPr>
                          <w:t>20</w:t>
                        </w:r>
                      </w:p>
                    </w:tc>
                  </w:tr>
                  <w:tr>
                    <w:trPr>
                      <w:trHeight w:val="414" w:hRule="exact"/>
                    </w:trPr>
                    <w:tc>
                      <w:tcPr>
                        <w:tcW w:w="7996" w:type="dxa"/>
                      </w:tcPr>
                      <w:p>
                        <w:pPr>
                          <w:pStyle w:val="TableParagraph"/>
                          <w:spacing w:before="57"/>
                          <w:ind w:left="200" w:right="106"/>
                          <w:rPr>
                            <w:sz w:val="24"/>
                          </w:rPr>
                        </w:pPr>
                        <w:r>
                          <w:rPr>
                            <w:sz w:val="24"/>
                          </w:rPr>
                          <w:t>Figura 4.1. Estructura de la fracción 1 del capítulo IV.</w:t>
                        </w:r>
                      </w:p>
                    </w:tc>
                    <w:tc>
                      <w:tcPr>
                        <w:tcW w:w="579" w:type="dxa"/>
                      </w:tcPr>
                      <w:p>
                        <w:pPr>
                          <w:pStyle w:val="TableParagraph"/>
                          <w:spacing w:before="57"/>
                          <w:ind w:left="114"/>
                          <w:rPr>
                            <w:sz w:val="24"/>
                          </w:rPr>
                        </w:pPr>
                        <w:r>
                          <w:rPr>
                            <w:sz w:val="24"/>
                          </w:rPr>
                          <w:t>47</w:t>
                        </w:r>
                      </w:p>
                    </w:tc>
                  </w:tr>
                  <w:tr>
                    <w:trPr>
                      <w:trHeight w:val="414" w:hRule="exact"/>
                    </w:trPr>
                    <w:tc>
                      <w:tcPr>
                        <w:tcW w:w="7996" w:type="dxa"/>
                      </w:tcPr>
                      <w:p>
                        <w:pPr>
                          <w:pStyle w:val="TableParagraph"/>
                          <w:spacing w:before="55"/>
                          <w:ind w:left="200" w:right="106"/>
                          <w:rPr>
                            <w:sz w:val="24"/>
                          </w:rPr>
                        </w:pPr>
                        <w:r>
                          <w:rPr>
                            <w:sz w:val="24"/>
                          </w:rPr>
                          <w:t>Figura 4.2. Fotografía aérea de la zona de estudio.</w:t>
                        </w:r>
                      </w:p>
                    </w:tc>
                    <w:tc>
                      <w:tcPr>
                        <w:tcW w:w="579" w:type="dxa"/>
                      </w:tcPr>
                      <w:p>
                        <w:pPr>
                          <w:pStyle w:val="TableParagraph"/>
                          <w:spacing w:before="55"/>
                          <w:ind w:left="114"/>
                          <w:rPr>
                            <w:sz w:val="24"/>
                          </w:rPr>
                        </w:pPr>
                        <w:r>
                          <w:rPr>
                            <w:sz w:val="24"/>
                          </w:rPr>
                          <w:t>48</w:t>
                        </w:r>
                      </w:p>
                    </w:tc>
                  </w:tr>
                  <w:tr>
                    <w:trPr>
                      <w:trHeight w:val="414" w:hRule="exact"/>
                    </w:trPr>
                    <w:tc>
                      <w:tcPr>
                        <w:tcW w:w="7996" w:type="dxa"/>
                      </w:tcPr>
                      <w:p>
                        <w:pPr>
                          <w:pStyle w:val="TableParagraph"/>
                          <w:spacing w:before="57"/>
                          <w:ind w:left="200" w:right="106"/>
                          <w:rPr>
                            <w:sz w:val="24"/>
                          </w:rPr>
                        </w:pPr>
                        <w:r>
                          <w:rPr>
                            <w:sz w:val="24"/>
                          </w:rPr>
                          <w:t>Figura 4.3. Zonas de riesgo de inundación.</w:t>
                        </w:r>
                      </w:p>
                    </w:tc>
                    <w:tc>
                      <w:tcPr>
                        <w:tcW w:w="579" w:type="dxa"/>
                      </w:tcPr>
                      <w:p>
                        <w:pPr>
                          <w:pStyle w:val="TableParagraph"/>
                          <w:spacing w:before="57"/>
                          <w:ind w:left="114"/>
                          <w:rPr>
                            <w:sz w:val="24"/>
                          </w:rPr>
                        </w:pPr>
                        <w:r>
                          <w:rPr>
                            <w:sz w:val="24"/>
                          </w:rPr>
                          <w:t>49</w:t>
                        </w:r>
                      </w:p>
                    </w:tc>
                  </w:tr>
                  <w:tr>
                    <w:trPr>
                      <w:trHeight w:val="414" w:hRule="exact"/>
                    </w:trPr>
                    <w:tc>
                      <w:tcPr>
                        <w:tcW w:w="7996" w:type="dxa"/>
                      </w:tcPr>
                      <w:p>
                        <w:pPr>
                          <w:pStyle w:val="TableParagraph"/>
                          <w:spacing w:before="55"/>
                          <w:ind w:left="200" w:right="106"/>
                          <w:rPr>
                            <w:sz w:val="24"/>
                          </w:rPr>
                        </w:pPr>
                        <w:r>
                          <w:rPr>
                            <w:sz w:val="24"/>
                          </w:rPr>
                          <w:t>Figura 4.4. Polvorines, escuelas e iglesias en la zona.</w:t>
                        </w:r>
                      </w:p>
                    </w:tc>
                    <w:tc>
                      <w:tcPr>
                        <w:tcW w:w="579" w:type="dxa"/>
                      </w:tcPr>
                      <w:p>
                        <w:pPr>
                          <w:pStyle w:val="TableParagraph"/>
                          <w:spacing w:before="55"/>
                          <w:ind w:left="114"/>
                          <w:rPr>
                            <w:sz w:val="24"/>
                          </w:rPr>
                        </w:pPr>
                        <w:r>
                          <w:rPr>
                            <w:sz w:val="24"/>
                          </w:rPr>
                          <w:t>50</w:t>
                        </w:r>
                      </w:p>
                    </w:tc>
                  </w:tr>
                  <w:tr>
                    <w:trPr>
                      <w:trHeight w:val="828" w:hRule="exact"/>
                    </w:trPr>
                    <w:tc>
                      <w:tcPr>
                        <w:tcW w:w="7996" w:type="dxa"/>
                      </w:tcPr>
                      <w:p>
                        <w:pPr>
                          <w:pStyle w:val="TableParagraph"/>
                          <w:spacing w:line="357" w:lineRule="auto" w:before="57"/>
                          <w:ind w:left="200" w:right="106"/>
                          <w:rPr>
                            <w:sz w:val="24"/>
                          </w:rPr>
                        </w:pPr>
                        <w:r>
                          <w:rPr>
                            <w:sz w:val="24"/>
                          </w:rPr>
                          <w:t>Figura 4.5. Ubicación de los talleres pirotecnicos con su número de permiso.</w:t>
                        </w:r>
                      </w:p>
                    </w:tc>
                    <w:tc>
                      <w:tcPr>
                        <w:tcW w:w="579" w:type="dxa"/>
                      </w:tcPr>
                      <w:p>
                        <w:pPr>
                          <w:pStyle w:val="TableParagraph"/>
                          <w:spacing w:before="57"/>
                          <w:ind w:left="114"/>
                          <w:rPr>
                            <w:sz w:val="24"/>
                          </w:rPr>
                        </w:pPr>
                        <w:r>
                          <w:rPr>
                            <w:sz w:val="24"/>
                          </w:rPr>
                          <w:t>51</w:t>
                        </w:r>
                      </w:p>
                    </w:tc>
                  </w:tr>
                  <w:tr>
                    <w:trPr>
                      <w:trHeight w:val="414" w:hRule="exact"/>
                    </w:trPr>
                    <w:tc>
                      <w:tcPr>
                        <w:tcW w:w="7996" w:type="dxa"/>
                      </w:tcPr>
                      <w:p>
                        <w:pPr>
                          <w:pStyle w:val="TableParagraph"/>
                          <w:spacing w:before="57"/>
                          <w:ind w:left="200" w:right="106"/>
                          <w:rPr>
                            <w:sz w:val="24"/>
                          </w:rPr>
                        </w:pPr>
                        <w:r>
                          <w:rPr>
                            <w:sz w:val="24"/>
                          </w:rPr>
                          <w:t>Figura 4.6. Pirotécnico de San Mateo Tlalchichilpan.</w:t>
                        </w:r>
                      </w:p>
                    </w:tc>
                    <w:tc>
                      <w:tcPr>
                        <w:tcW w:w="579" w:type="dxa"/>
                      </w:tcPr>
                      <w:p>
                        <w:pPr>
                          <w:pStyle w:val="TableParagraph"/>
                          <w:spacing w:before="57"/>
                          <w:ind w:left="114"/>
                          <w:rPr>
                            <w:sz w:val="24"/>
                          </w:rPr>
                        </w:pPr>
                        <w:r>
                          <w:rPr>
                            <w:sz w:val="24"/>
                          </w:rPr>
                          <w:t>55</w:t>
                        </w:r>
                      </w:p>
                    </w:tc>
                  </w:tr>
                  <w:tr>
                    <w:trPr>
                      <w:trHeight w:val="414" w:hRule="exact"/>
                    </w:trPr>
                    <w:tc>
                      <w:tcPr>
                        <w:tcW w:w="7996" w:type="dxa"/>
                      </w:tcPr>
                      <w:p>
                        <w:pPr>
                          <w:pStyle w:val="TableParagraph"/>
                          <w:spacing w:before="55"/>
                          <w:ind w:left="200" w:right="106"/>
                          <w:rPr>
                            <w:sz w:val="24"/>
                          </w:rPr>
                        </w:pPr>
                        <w:r>
                          <w:rPr>
                            <w:sz w:val="24"/>
                          </w:rPr>
                          <w:t>Figura 4.7. Diagrama de la actividad pirotecnica.</w:t>
                        </w:r>
                      </w:p>
                    </w:tc>
                    <w:tc>
                      <w:tcPr>
                        <w:tcW w:w="579" w:type="dxa"/>
                      </w:tcPr>
                      <w:p>
                        <w:pPr>
                          <w:pStyle w:val="TableParagraph"/>
                          <w:spacing w:before="55"/>
                          <w:ind w:left="114"/>
                          <w:rPr>
                            <w:sz w:val="24"/>
                          </w:rPr>
                        </w:pPr>
                        <w:r>
                          <w:rPr>
                            <w:sz w:val="24"/>
                          </w:rPr>
                          <w:t>56</w:t>
                        </w:r>
                      </w:p>
                    </w:tc>
                  </w:tr>
                  <w:tr>
                    <w:trPr>
                      <w:trHeight w:val="414" w:hRule="exact"/>
                    </w:trPr>
                    <w:tc>
                      <w:tcPr>
                        <w:tcW w:w="7996" w:type="dxa"/>
                      </w:tcPr>
                      <w:p>
                        <w:pPr>
                          <w:pStyle w:val="TableParagraph"/>
                          <w:spacing w:before="57"/>
                          <w:ind w:left="200" w:right="106"/>
                          <w:rPr>
                            <w:sz w:val="24"/>
                          </w:rPr>
                        </w:pPr>
                        <w:r>
                          <w:rPr>
                            <w:sz w:val="24"/>
                          </w:rPr>
                          <w:t>Figura 4.8. Talleres pirotecnicos en Tlalchichilpan.</w:t>
                        </w:r>
                      </w:p>
                    </w:tc>
                    <w:tc>
                      <w:tcPr>
                        <w:tcW w:w="579" w:type="dxa"/>
                      </w:tcPr>
                      <w:p>
                        <w:pPr>
                          <w:pStyle w:val="TableParagraph"/>
                          <w:spacing w:before="57"/>
                          <w:ind w:left="114"/>
                          <w:rPr>
                            <w:sz w:val="24"/>
                          </w:rPr>
                        </w:pPr>
                        <w:r>
                          <w:rPr>
                            <w:sz w:val="24"/>
                          </w:rPr>
                          <w:t>58</w:t>
                        </w:r>
                      </w:p>
                    </w:tc>
                  </w:tr>
                  <w:tr>
                    <w:trPr>
                      <w:trHeight w:val="414" w:hRule="exact"/>
                    </w:trPr>
                    <w:tc>
                      <w:tcPr>
                        <w:tcW w:w="7996" w:type="dxa"/>
                      </w:tcPr>
                      <w:p>
                        <w:pPr>
                          <w:pStyle w:val="TableParagraph"/>
                          <w:spacing w:before="55"/>
                          <w:ind w:left="200" w:right="106"/>
                          <w:rPr>
                            <w:sz w:val="24"/>
                          </w:rPr>
                        </w:pPr>
                        <w:r>
                          <w:rPr>
                            <w:sz w:val="24"/>
                          </w:rPr>
                          <w:t>Figura 4.9. Elaboración de bombas pirotécnicas.</w:t>
                        </w:r>
                      </w:p>
                    </w:tc>
                    <w:tc>
                      <w:tcPr>
                        <w:tcW w:w="579" w:type="dxa"/>
                      </w:tcPr>
                      <w:p>
                        <w:pPr>
                          <w:pStyle w:val="TableParagraph"/>
                          <w:spacing w:before="55"/>
                          <w:ind w:left="114"/>
                          <w:rPr>
                            <w:sz w:val="24"/>
                          </w:rPr>
                        </w:pPr>
                        <w:r>
                          <w:rPr>
                            <w:sz w:val="24"/>
                          </w:rPr>
                          <w:t>59</w:t>
                        </w:r>
                      </w:p>
                    </w:tc>
                  </w:tr>
                  <w:tr>
                    <w:trPr>
                      <w:trHeight w:val="414" w:hRule="exact"/>
                    </w:trPr>
                    <w:tc>
                      <w:tcPr>
                        <w:tcW w:w="7996" w:type="dxa"/>
                      </w:tcPr>
                      <w:p>
                        <w:pPr>
                          <w:pStyle w:val="TableParagraph"/>
                          <w:spacing w:before="57"/>
                          <w:ind w:left="200" w:right="106"/>
                          <w:rPr>
                            <w:sz w:val="24"/>
                          </w:rPr>
                        </w:pPr>
                        <w:r>
                          <w:rPr>
                            <w:sz w:val="24"/>
                          </w:rPr>
                          <w:t>Figura 4.10. Taller de elaboración pirotecnica.</w:t>
                        </w:r>
                      </w:p>
                    </w:tc>
                    <w:tc>
                      <w:tcPr>
                        <w:tcW w:w="579" w:type="dxa"/>
                      </w:tcPr>
                      <w:p>
                        <w:pPr>
                          <w:pStyle w:val="TableParagraph"/>
                          <w:spacing w:before="57"/>
                          <w:ind w:left="114"/>
                          <w:rPr>
                            <w:sz w:val="24"/>
                          </w:rPr>
                        </w:pPr>
                        <w:r>
                          <w:rPr>
                            <w:sz w:val="24"/>
                          </w:rPr>
                          <w:t>60</w:t>
                        </w:r>
                      </w:p>
                    </w:tc>
                  </w:tr>
                  <w:tr>
                    <w:trPr>
                      <w:trHeight w:val="412" w:hRule="exact"/>
                    </w:trPr>
                    <w:tc>
                      <w:tcPr>
                        <w:tcW w:w="7996" w:type="dxa"/>
                      </w:tcPr>
                      <w:p>
                        <w:pPr>
                          <w:pStyle w:val="TableParagraph"/>
                          <w:spacing w:before="55"/>
                          <w:ind w:left="200" w:right="106"/>
                          <w:rPr>
                            <w:sz w:val="24"/>
                          </w:rPr>
                        </w:pPr>
                        <w:r>
                          <w:rPr>
                            <w:sz w:val="24"/>
                          </w:rPr>
                          <w:t>Figura 4.11 Sustancias químicas usadas regularmente.</w:t>
                        </w:r>
                      </w:p>
                    </w:tc>
                    <w:tc>
                      <w:tcPr>
                        <w:tcW w:w="579" w:type="dxa"/>
                      </w:tcPr>
                      <w:p>
                        <w:pPr>
                          <w:pStyle w:val="TableParagraph"/>
                          <w:spacing w:before="55"/>
                          <w:ind w:left="114"/>
                          <w:rPr>
                            <w:sz w:val="24"/>
                          </w:rPr>
                        </w:pPr>
                        <w:r>
                          <w:rPr>
                            <w:sz w:val="24"/>
                          </w:rPr>
                          <w:t>60</w:t>
                        </w:r>
                      </w:p>
                    </w:tc>
                  </w:tr>
                  <w:tr>
                    <w:trPr>
                      <w:trHeight w:val="326" w:hRule="exact"/>
                    </w:trPr>
                    <w:tc>
                      <w:tcPr>
                        <w:tcW w:w="7996" w:type="dxa"/>
                      </w:tcPr>
                      <w:p>
                        <w:pPr>
                          <w:pStyle w:val="TableParagraph"/>
                          <w:spacing w:before="55"/>
                          <w:ind w:left="200" w:right="106"/>
                          <w:rPr>
                            <w:sz w:val="24"/>
                          </w:rPr>
                        </w:pPr>
                        <w:r>
                          <w:rPr>
                            <w:sz w:val="24"/>
                          </w:rPr>
                          <w:t>Figura 4.12. Cercanía de casas habitación a talleres pirotécnicos.</w:t>
                        </w:r>
                      </w:p>
                    </w:tc>
                    <w:tc>
                      <w:tcPr>
                        <w:tcW w:w="579" w:type="dxa"/>
                      </w:tcPr>
                      <w:p>
                        <w:pPr>
                          <w:pStyle w:val="TableParagraph"/>
                          <w:spacing w:before="55"/>
                          <w:ind w:left="114"/>
                          <w:rPr>
                            <w:sz w:val="24"/>
                          </w:rPr>
                        </w:pPr>
                        <w:r>
                          <w:rPr>
                            <w:sz w:val="24"/>
                          </w:rPr>
                          <w:t>61</w:t>
                        </w:r>
                      </w:p>
                    </w:tc>
                  </w:tr>
                </w:tbl>
                <w:p>
                  <w:pPr>
                    <w:pStyle w:val="BodyText"/>
                  </w:pPr>
                </w:p>
              </w:txbxContent>
            </v:textbox>
            <w10:wrap type="none"/>
          </v:shape>
        </w:pict>
      </w:r>
      <w:r>
        <w:rPr>
          <w:b/>
          <w:sz w:val="24"/>
        </w:rPr>
        <w:t>INDICE DE FIGURAS Y TABLAS FIGURAS:</w:t>
      </w:r>
    </w:p>
    <w:p>
      <w:pPr>
        <w:spacing w:after="0" w:line="720" w:lineRule="auto"/>
        <w:jc w:val="left"/>
        <w:rPr>
          <w:sz w:val="24"/>
        </w:rPr>
        <w:sectPr>
          <w:pgSz w:w="12240" w:h="15840"/>
          <w:pgMar w:header="0" w:footer="1011" w:top="1360" w:bottom="1200" w:left="1400" w:right="17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98"/>
        <w:gridCol w:w="710"/>
      </w:tblGrid>
      <w:tr>
        <w:trPr>
          <w:trHeight w:val="328" w:hRule="exact"/>
        </w:trPr>
        <w:tc>
          <w:tcPr>
            <w:tcW w:w="7998" w:type="dxa"/>
          </w:tcPr>
          <w:p>
            <w:pPr>
              <w:pStyle w:val="TableParagraph"/>
              <w:spacing w:line="245" w:lineRule="exact"/>
              <w:ind w:left="200"/>
              <w:rPr>
                <w:sz w:val="24"/>
              </w:rPr>
            </w:pPr>
            <w:r>
              <w:rPr>
                <w:sz w:val="24"/>
              </w:rPr>
              <w:t>Figura 4.13. Estructura de la fracción 2 del capítulo IV.</w:t>
            </w:r>
          </w:p>
        </w:tc>
        <w:tc>
          <w:tcPr>
            <w:tcW w:w="710" w:type="dxa"/>
          </w:tcPr>
          <w:p>
            <w:pPr>
              <w:pStyle w:val="TableParagraph"/>
              <w:spacing w:line="245" w:lineRule="exact"/>
              <w:ind w:left="112"/>
              <w:rPr>
                <w:sz w:val="24"/>
              </w:rPr>
            </w:pPr>
            <w:r>
              <w:rPr>
                <w:sz w:val="24"/>
              </w:rPr>
              <w:t>64</w:t>
            </w:r>
          </w:p>
        </w:tc>
      </w:tr>
      <w:tr>
        <w:trPr>
          <w:trHeight w:val="414" w:hRule="exact"/>
        </w:trPr>
        <w:tc>
          <w:tcPr>
            <w:tcW w:w="7998" w:type="dxa"/>
          </w:tcPr>
          <w:p>
            <w:pPr>
              <w:pStyle w:val="TableParagraph"/>
              <w:spacing w:before="57"/>
              <w:ind w:left="200"/>
              <w:rPr>
                <w:sz w:val="24"/>
              </w:rPr>
            </w:pPr>
            <w:r>
              <w:rPr>
                <w:sz w:val="24"/>
              </w:rPr>
              <w:t>Figura 4.14. Producción de pirotecnia francesa en 1770.</w:t>
            </w:r>
          </w:p>
        </w:tc>
        <w:tc>
          <w:tcPr>
            <w:tcW w:w="710" w:type="dxa"/>
          </w:tcPr>
          <w:p>
            <w:pPr>
              <w:pStyle w:val="TableParagraph"/>
              <w:spacing w:before="57"/>
              <w:ind w:left="112"/>
              <w:rPr>
                <w:sz w:val="24"/>
              </w:rPr>
            </w:pPr>
            <w:r>
              <w:rPr>
                <w:sz w:val="24"/>
              </w:rPr>
              <w:t>65</w:t>
            </w:r>
          </w:p>
        </w:tc>
      </w:tr>
      <w:tr>
        <w:trPr>
          <w:trHeight w:val="466" w:hRule="exact"/>
        </w:trPr>
        <w:tc>
          <w:tcPr>
            <w:tcW w:w="7998" w:type="dxa"/>
          </w:tcPr>
          <w:p>
            <w:pPr>
              <w:pStyle w:val="TableParagraph"/>
              <w:spacing w:before="55"/>
              <w:ind w:left="200"/>
              <w:rPr>
                <w:sz w:val="24"/>
              </w:rPr>
            </w:pPr>
            <w:r>
              <w:rPr>
                <w:sz w:val="24"/>
              </w:rPr>
              <w:t>Figura 4.15. Accidente pirotécnico en Tlalchichilpan, agosto 7 de 2012</w:t>
            </w:r>
          </w:p>
        </w:tc>
        <w:tc>
          <w:tcPr>
            <w:tcW w:w="710" w:type="dxa"/>
          </w:tcPr>
          <w:p>
            <w:pPr>
              <w:pStyle w:val="TableParagraph"/>
              <w:spacing w:before="55"/>
              <w:ind w:left="112"/>
              <w:rPr>
                <w:sz w:val="24"/>
              </w:rPr>
            </w:pPr>
            <w:r>
              <w:rPr>
                <w:sz w:val="24"/>
              </w:rPr>
              <w:t>67</w:t>
            </w:r>
          </w:p>
        </w:tc>
      </w:tr>
      <w:tr>
        <w:trPr>
          <w:trHeight w:val="518" w:hRule="exact"/>
        </w:trPr>
        <w:tc>
          <w:tcPr>
            <w:tcW w:w="7998" w:type="dxa"/>
          </w:tcPr>
          <w:p>
            <w:pPr>
              <w:pStyle w:val="TableParagraph"/>
              <w:spacing w:before="109"/>
              <w:ind w:left="200"/>
              <w:rPr>
                <w:sz w:val="24"/>
              </w:rPr>
            </w:pPr>
            <w:r>
              <w:rPr>
                <w:sz w:val="24"/>
              </w:rPr>
              <w:t>Figura 4.16. Uso de cohetón pirotécnico en procesiones.</w:t>
            </w:r>
          </w:p>
        </w:tc>
        <w:tc>
          <w:tcPr>
            <w:tcW w:w="710" w:type="dxa"/>
          </w:tcPr>
          <w:p>
            <w:pPr>
              <w:pStyle w:val="TableParagraph"/>
              <w:spacing w:before="109"/>
              <w:ind w:left="112"/>
              <w:rPr>
                <w:sz w:val="24"/>
              </w:rPr>
            </w:pPr>
            <w:r>
              <w:rPr>
                <w:sz w:val="24"/>
              </w:rPr>
              <w:t>68</w:t>
            </w:r>
          </w:p>
        </w:tc>
      </w:tr>
      <w:tr>
        <w:trPr>
          <w:trHeight w:val="848" w:hRule="exact"/>
        </w:trPr>
        <w:tc>
          <w:tcPr>
            <w:tcW w:w="7998" w:type="dxa"/>
          </w:tcPr>
          <w:p>
            <w:pPr>
              <w:pStyle w:val="TableParagraph"/>
              <w:spacing w:line="276" w:lineRule="auto" w:before="107"/>
              <w:ind w:left="200"/>
              <w:rPr>
                <w:sz w:val="24"/>
              </w:rPr>
            </w:pPr>
            <w:r>
              <w:rPr>
                <w:sz w:val="24"/>
              </w:rPr>
              <w:t>Figura 4.17. Crecimiento de la población acercándose a talleres pirotécnicos.</w:t>
            </w:r>
          </w:p>
        </w:tc>
        <w:tc>
          <w:tcPr>
            <w:tcW w:w="710" w:type="dxa"/>
          </w:tcPr>
          <w:p>
            <w:pPr>
              <w:pStyle w:val="TableParagraph"/>
              <w:spacing w:before="107"/>
              <w:ind w:left="112"/>
              <w:rPr>
                <w:sz w:val="24"/>
              </w:rPr>
            </w:pPr>
            <w:r>
              <w:rPr>
                <w:sz w:val="24"/>
              </w:rPr>
              <w:t>69</w:t>
            </w:r>
          </w:p>
        </w:tc>
      </w:tr>
      <w:tr>
        <w:trPr>
          <w:trHeight w:val="852" w:hRule="exact"/>
        </w:trPr>
        <w:tc>
          <w:tcPr>
            <w:tcW w:w="7998" w:type="dxa"/>
          </w:tcPr>
          <w:p>
            <w:pPr>
              <w:pStyle w:val="TableParagraph"/>
              <w:tabs>
                <w:tab w:pos="1119" w:val="left" w:leader="none"/>
                <w:tab w:pos="1890" w:val="left" w:leader="none"/>
                <w:tab w:pos="2730" w:val="left" w:leader="none"/>
                <w:tab w:pos="3294" w:val="left" w:leader="none"/>
                <w:tab w:pos="4629" w:val="left" w:leader="none"/>
                <w:tab w:pos="5748" w:val="left" w:leader="none"/>
                <w:tab w:pos="6736" w:val="left" w:leader="none"/>
                <w:tab w:pos="7107" w:val="left" w:leader="none"/>
              </w:tabs>
              <w:spacing w:line="278" w:lineRule="auto" w:before="123"/>
              <w:ind w:left="200" w:right="112"/>
              <w:rPr>
                <w:sz w:val="24"/>
              </w:rPr>
            </w:pPr>
            <w:r>
              <w:rPr>
                <w:sz w:val="24"/>
              </w:rPr>
              <w:t>Figura</w:t>
              <w:tab/>
              <w:t>4.18.</w:t>
              <w:tab/>
              <w:t>Cerro</w:t>
              <w:tab/>
              <w:t>del</w:t>
              <w:tab/>
              <w:t>molcajete:</w:t>
              <w:tab/>
              <w:t>invasión</w:t>
              <w:tab/>
              <w:t>urbana</w:t>
              <w:tab/>
              <w:t>a</w:t>
              <w:tab/>
              <w:t>talleres pirotécnicos.</w:t>
            </w:r>
          </w:p>
        </w:tc>
        <w:tc>
          <w:tcPr>
            <w:tcW w:w="710" w:type="dxa"/>
          </w:tcPr>
          <w:p>
            <w:pPr>
              <w:pStyle w:val="TableParagraph"/>
              <w:spacing w:before="123"/>
              <w:ind w:left="112"/>
              <w:rPr>
                <w:sz w:val="24"/>
              </w:rPr>
            </w:pPr>
            <w:r>
              <w:rPr>
                <w:sz w:val="24"/>
              </w:rPr>
              <w:t>71</w:t>
            </w:r>
          </w:p>
        </w:tc>
      </w:tr>
      <w:tr>
        <w:trPr>
          <w:trHeight w:val="516" w:hRule="exact"/>
        </w:trPr>
        <w:tc>
          <w:tcPr>
            <w:tcW w:w="7998" w:type="dxa"/>
          </w:tcPr>
          <w:p>
            <w:pPr>
              <w:pStyle w:val="TableParagraph"/>
              <w:spacing w:before="107"/>
              <w:ind w:left="200"/>
              <w:rPr>
                <w:sz w:val="24"/>
              </w:rPr>
            </w:pPr>
            <w:r>
              <w:rPr>
                <w:sz w:val="24"/>
              </w:rPr>
              <w:t>Figura 4.19. Estructura de la fracción 3 del capítulo IV.</w:t>
            </w:r>
          </w:p>
        </w:tc>
        <w:tc>
          <w:tcPr>
            <w:tcW w:w="710" w:type="dxa"/>
          </w:tcPr>
          <w:p>
            <w:pPr>
              <w:pStyle w:val="TableParagraph"/>
              <w:spacing w:before="107"/>
              <w:ind w:left="112"/>
              <w:rPr>
                <w:sz w:val="24"/>
              </w:rPr>
            </w:pPr>
            <w:r>
              <w:rPr>
                <w:sz w:val="24"/>
              </w:rPr>
              <w:t>83</w:t>
            </w:r>
          </w:p>
        </w:tc>
      </w:tr>
      <w:tr>
        <w:trPr>
          <w:trHeight w:val="518" w:hRule="exact"/>
        </w:trPr>
        <w:tc>
          <w:tcPr>
            <w:tcW w:w="7998" w:type="dxa"/>
          </w:tcPr>
          <w:p>
            <w:pPr>
              <w:pStyle w:val="TableParagraph"/>
              <w:spacing w:before="107"/>
              <w:ind w:left="200"/>
              <w:rPr>
                <w:sz w:val="24"/>
              </w:rPr>
            </w:pPr>
            <w:r>
              <w:rPr>
                <w:sz w:val="24"/>
              </w:rPr>
              <w:t>Figura 4.20. Vulnerabilidad social en Tlalchichilpan, año 2000 (SAVER).</w:t>
            </w:r>
          </w:p>
        </w:tc>
        <w:tc>
          <w:tcPr>
            <w:tcW w:w="710" w:type="dxa"/>
          </w:tcPr>
          <w:p>
            <w:pPr>
              <w:pStyle w:val="TableParagraph"/>
              <w:spacing w:before="107"/>
              <w:ind w:left="112"/>
              <w:rPr>
                <w:sz w:val="24"/>
              </w:rPr>
            </w:pPr>
            <w:r>
              <w:rPr>
                <w:sz w:val="24"/>
              </w:rPr>
              <w:t>84</w:t>
            </w:r>
          </w:p>
        </w:tc>
      </w:tr>
      <w:tr>
        <w:trPr>
          <w:trHeight w:val="518" w:hRule="exact"/>
        </w:trPr>
        <w:tc>
          <w:tcPr>
            <w:tcW w:w="7998" w:type="dxa"/>
          </w:tcPr>
          <w:p>
            <w:pPr>
              <w:pStyle w:val="TableParagraph"/>
              <w:spacing w:before="109"/>
              <w:ind w:left="200"/>
              <w:rPr>
                <w:sz w:val="24"/>
              </w:rPr>
            </w:pPr>
            <w:r>
              <w:rPr>
                <w:sz w:val="24"/>
              </w:rPr>
              <w:t>Figura 4.21. Vulnerabilidad social en Tlalchichilpan, año 2010 (SAVER).</w:t>
            </w:r>
          </w:p>
        </w:tc>
        <w:tc>
          <w:tcPr>
            <w:tcW w:w="710" w:type="dxa"/>
          </w:tcPr>
          <w:p>
            <w:pPr>
              <w:pStyle w:val="TableParagraph"/>
              <w:spacing w:before="109"/>
              <w:ind w:left="112"/>
              <w:rPr>
                <w:sz w:val="24"/>
              </w:rPr>
            </w:pPr>
            <w:r>
              <w:rPr>
                <w:sz w:val="24"/>
              </w:rPr>
              <w:t>85</w:t>
            </w:r>
          </w:p>
        </w:tc>
      </w:tr>
      <w:tr>
        <w:trPr>
          <w:trHeight w:val="516" w:hRule="exact"/>
        </w:trPr>
        <w:tc>
          <w:tcPr>
            <w:tcW w:w="7998" w:type="dxa"/>
          </w:tcPr>
          <w:p>
            <w:pPr>
              <w:pStyle w:val="TableParagraph"/>
              <w:spacing w:before="107"/>
              <w:ind w:left="200"/>
              <w:rPr>
                <w:sz w:val="24"/>
              </w:rPr>
            </w:pPr>
            <w:r>
              <w:rPr>
                <w:sz w:val="24"/>
              </w:rPr>
              <w:t>Figura 5. Pirotécnicos de Tlalchichilpan, al fondo el Nevado de Toluca.</w:t>
            </w:r>
          </w:p>
        </w:tc>
        <w:tc>
          <w:tcPr>
            <w:tcW w:w="710" w:type="dxa"/>
          </w:tcPr>
          <w:p>
            <w:pPr>
              <w:pStyle w:val="TableParagraph"/>
              <w:spacing w:before="107"/>
              <w:ind w:left="112"/>
              <w:rPr>
                <w:sz w:val="24"/>
              </w:rPr>
            </w:pPr>
            <w:r>
              <w:rPr>
                <w:sz w:val="24"/>
              </w:rPr>
              <w:t>90</w:t>
            </w:r>
          </w:p>
        </w:tc>
      </w:tr>
      <w:tr>
        <w:trPr>
          <w:trHeight w:val="518" w:hRule="exact"/>
        </w:trPr>
        <w:tc>
          <w:tcPr>
            <w:tcW w:w="7998" w:type="dxa"/>
          </w:tcPr>
          <w:p>
            <w:pPr>
              <w:pStyle w:val="TableParagraph"/>
              <w:spacing w:before="107"/>
              <w:ind w:left="200"/>
              <w:rPr>
                <w:sz w:val="24"/>
              </w:rPr>
            </w:pPr>
            <w:r>
              <w:rPr>
                <w:sz w:val="24"/>
              </w:rPr>
              <w:t>Figura 6. Quema de cohetón pirotécnico.</w:t>
            </w:r>
          </w:p>
        </w:tc>
        <w:tc>
          <w:tcPr>
            <w:tcW w:w="710" w:type="dxa"/>
          </w:tcPr>
          <w:p>
            <w:pPr>
              <w:pStyle w:val="TableParagraph"/>
              <w:spacing w:before="107"/>
              <w:ind w:left="112"/>
              <w:rPr>
                <w:sz w:val="24"/>
              </w:rPr>
            </w:pPr>
            <w:r>
              <w:rPr>
                <w:sz w:val="24"/>
              </w:rPr>
              <w:t>94</w:t>
            </w:r>
          </w:p>
        </w:tc>
      </w:tr>
      <w:tr>
        <w:trPr>
          <w:trHeight w:val="518" w:hRule="exact"/>
        </w:trPr>
        <w:tc>
          <w:tcPr>
            <w:tcW w:w="7998" w:type="dxa"/>
          </w:tcPr>
          <w:p>
            <w:pPr>
              <w:pStyle w:val="TableParagraph"/>
              <w:spacing w:before="109"/>
              <w:ind w:left="200"/>
              <w:rPr>
                <w:sz w:val="24"/>
              </w:rPr>
            </w:pPr>
            <w:r>
              <w:rPr>
                <w:sz w:val="24"/>
              </w:rPr>
              <w:t>Figura A1. Croquis de la zona de trabajo.</w:t>
            </w:r>
          </w:p>
        </w:tc>
        <w:tc>
          <w:tcPr>
            <w:tcW w:w="710" w:type="dxa"/>
          </w:tcPr>
          <w:p>
            <w:pPr>
              <w:pStyle w:val="TableParagraph"/>
              <w:spacing w:before="109"/>
              <w:ind w:left="112"/>
              <w:rPr>
                <w:sz w:val="24"/>
              </w:rPr>
            </w:pPr>
            <w:r>
              <w:rPr>
                <w:sz w:val="24"/>
              </w:rPr>
              <w:t>105</w:t>
            </w:r>
          </w:p>
        </w:tc>
      </w:tr>
      <w:tr>
        <w:trPr>
          <w:trHeight w:val="516" w:hRule="exact"/>
        </w:trPr>
        <w:tc>
          <w:tcPr>
            <w:tcW w:w="7998" w:type="dxa"/>
          </w:tcPr>
          <w:p>
            <w:pPr>
              <w:pStyle w:val="TableParagraph"/>
              <w:spacing w:before="107"/>
              <w:ind w:left="200"/>
              <w:rPr>
                <w:sz w:val="24"/>
              </w:rPr>
            </w:pPr>
            <w:r>
              <w:rPr>
                <w:sz w:val="24"/>
              </w:rPr>
              <w:t>Figura A2. Diagrama de elaboración del impulsor.</w:t>
            </w:r>
          </w:p>
        </w:tc>
        <w:tc>
          <w:tcPr>
            <w:tcW w:w="710" w:type="dxa"/>
          </w:tcPr>
          <w:p>
            <w:pPr>
              <w:pStyle w:val="TableParagraph"/>
              <w:spacing w:before="107"/>
              <w:ind w:left="112"/>
              <w:rPr>
                <w:sz w:val="24"/>
              </w:rPr>
            </w:pPr>
            <w:r>
              <w:rPr>
                <w:sz w:val="24"/>
              </w:rPr>
              <w:t>107</w:t>
            </w:r>
          </w:p>
        </w:tc>
      </w:tr>
      <w:tr>
        <w:trPr>
          <w:trHeight w:val="518" w:hRule="exact"/>
        </w:trPr>
        <w:tc>
          <w:tcPr>
            <w:tcW w:w="7998" w:type="dxa"/>
          </w:tcPr>
          <w:p>
            <w:pPr>
              <w:pStyle w:val="TableParagraph"/>
              <w:spacing w:before="107"/>
              <w:ind w:left="200"/>
              <w:rPr>
                <w:sz w:val="24"/>
              </w:rPr>
            </w:pPr>
            <w:r>
              <w:rPr>
                <w:sz w:val="24"/>
              </w:rPr>
              <w:t>Figura A3. Barril de elaboración de pólvora y compactación de material.</w:t>
            </w:r>
          </w:p>
        </w:tc>
        <w:tc>
          <w:tcPr>
            <w:tcW w:w="710" w:type="dxa"/>
          </w:tcPr>
          <w:p>
            <w:pPr>
              <w:pStyle w:val="TableParagraph"/>
              <w:spacing w:before="107"/>
              <w:ind w:left="112"/>
              <w:rPr>
                <w:sz w:val="24"/>
              </w:rPr>
            </w:pPr>
            <w:r>
              <w:rPr>
                <w:sz w:val="24"/>
              </w:rPr>
              <w:t>107</w:t>
            </w:r>
          </w:p>
        </w:tc>
      </w:tr>
      <w:tr>
        <w:trPr>
          <w:trHeight w:val="518" w:hRule="exact"/>
        </w:trPr>
        <w:tc>
          <w:tcPr>
            <w:tcW w:w="7998" w:type="dxa"/>
          </w:tcPr>
          <w:p>
            <w:pPr>
              <w:pStyle w:val="TableParagraph"/>
              <w:spacing w:before="109"/>
              <w:ind w:left="200"/>
              <w:rPr>
                <w:sz w:val="24"/>
              </w:rPr>
            </w:pPr>
            <w:r>
              <w:rPr>
                <w:sz w:val="24"/>
              </w:rPr>
              <w:t>Figura A4. Diagrama de elaboración del efecto.</w:t>
            </w:r>
          </w:p>
        </w:tc>
        <w:tc>
          <w:tcPr>
            <w:tcW w:w="710" w:type="dxa"/>
          </w:tcPr>
          <w:p>
            <w:pPr>
              <w:pStyle w:val="TableParagraph"/>
              <w:spacing w:before="109"/>
              <w:ind w:left="112"/>
              <w:rPr>
                <w:sz w:val="24"/>
              </w:rPr>
            </w:pPr>
            <w:r>
              <w:rPr>
                <w:sz w:val="24"/>
              </w:rPr>
              <w:t>109</w:t>
            </w:r>
          </w:p>
        </w:tc>
      </w:tr>
      <w:tr>
        <w:trPr>
          <w:trHeight w:val="516" w:hRule="exact"/>
        </w:trPr>
        <w:tc>
          <w:tcPr>
            <w:tcW w:w="7998" w:type="dxa"/>
          </w:tcPr>
          <w:p>
            <w:pPr>
              <w:pStyle w:val="TableParagraph"/>
              <w:spacing w:before="107"/>
              <w:ind w:left="200"/>
              <w:rPr>
                <w:sz w:val="24"/>
              </w:rPr>
            </w:pPr>
            <w:r>
              <w:rPr>
                <w:sz w:val="24"/>
              </w:rPr>
              <w:t>Figura A5. Cuarto de elaboración de cohetón pirotécnico.</w:t>
            </w:r>
          </w:p>
        </w:tc>
        <w:tc>
          <w:tcPr>
            <w:tcW w:w="710" w:type="dxa"/>
          </w:tcPr>
          <w:p>
            <w:pPr>
              <w:pStyle w:val="TableParagraph"/>
              <w:spacing w:before="107"/>
              <w:ind w:left="112"/>
              <w:rPr>
                <w:sz w:val="24"/>
              </w:rPr>
            </w:pPr>
            <w:r>
              <w:rPr>
                <w:sz w:val="24"/>
              </w:rPr>
              <w:t>109</w:t>
            </w:r>
          </w:p>
        </w:tc>
      </w:tr>
      <w:tr>
        <w:trPr>
          <w:trHeight w:val="518" w:hRule="exact"/>
        </w:trPr>
        <w:tc>
          <w:tcPr>
            <w:tcW w:w="7998" w:type="dxa"/>
          </w:tcPr>
          <w:p>
            <w:pPr>
              <w:pStyle w:val="TableParagraph"/>
              <w:spacing w:before="107"/>
              <w:ind w:left="200"/>
              <w:rPr>
                <w:sz w:val="24"/>
              </w:rPr>
            </w:pPr>
            <w:r>
              <w:rPr>
                <w:sz w:val="24"/>
              </w:rPr>
              <w:t>Figura A6. Diagrama de elaboración de mechas.</w:t>
            </w:r>
          </w:p>
        </w:tc>
        <w:tc>
          <w:tcPr>
            <w:tcW w:w="710" w:type="dxa"/>
          </w:tcPr>
          <w:p>
            <w:pPr>
              <w:pStyle w:val="TableParagraph"/>
              <w:spacing w:before="107"/>
              <w:ind w:left="112"/>
              <w:rPr>
                <w:sz w:val="24"/>
              </w:rPr>
            </w:pPr>
            <w:r>
              <w:rPr>
                <w:sz w:val="24"/>
              </w:rPr>
              <w:t>110</w:t>
            </w:r>
          </w:p>
        </w:tc>
      </w:tr>
      <w:tr>
        <w:trPr>
          <w:trHeight w:val="380" w:hRule="exact"/>
        </w:trPr>
        <w:tc>
          <w:tcPr>
            <w:tcW w:w="7998" w:type="dxa"/>
          </w:tcPr>
          <w:p>
            <w:pPr>
              <w:pStyle w:val="TableParagraph"/>
              <w:spacing w:before="109"/>
              <w:ind w:left="200"/>
              <w:rPr>
                <w:sz w:val="24"/>
              </w:rPr>
            </w:pPr>
            <w:r>
              <w:rPr>
                <w:sz w:val="24"/>
              </w:rPr>
              <w:t>Figura A7. Diagrama de armado del cohetón.</w:t>
            </w:r>
          </w:p>
        </w:tc>
        <w:tc>
          <w:tcPr>
            <w:tcW w:w="710" w:type="dxa"/>
          </w:tcPr>
          <w:p>
            <w:pPr>
              <w:pStyle w:val="TableParagraph"/>
              <w:spacing w:before="109"/>
              <w:ind w:left="112"/>
              <w:rPr>
                <w:sz w:val="24"/>
              </w:rPr>
            </w:pPr>
            <w:r>
              <w:rPr>
                <w:sz w:val="24"/>
              </w:rPr>
              <w:t>111</w:t>
            </w:r>
          </w:p>
        </w:tc>
      </w:tr>
    </w:tbl>
    <w:p>
      <w:pPr>
        <w:spacing w:after="0"/>
        <w:rPr>
          <w:sz w:val="24"/>
        </w:rPr>
        <w:sectPr>
          <w:pgSz w:w="12240" w:h="15840"/>
          <w:pgMar w:header="0" w:footer="1011" w:top="1440" w:bottom="1200" w:left="1400" w:right="1720"/>
        </w:sectPr>
      </w:pPr>
    </w:p>
    <w:p>
      <w:pPr>
        <w:spacing w:before="51"/>
        <w:ind w:left="300" w:right="4053" w:firstLine="0"/>
        <w:jc w:val="left"/>
        <w:rPr>
          <w:b/>
          <w:sz w:val="24"/>
        </w:rPr>
      </w:pPr>
      <w:r>
        <w:rPr>
          <w:b/>
          <w:sz w:val="24"/>
        </w:rPr>
        <w:t>TABLAS</w:t>
      </w:r>
    </w:p>
    <w:p>
      <w:pPr>
        <w:pStyle w:val="BodyText"/>
        <w:spacing w:before="2"/>
        <w:rPr>
          <w:b/>
          <w:sz w:val="15"/>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01"/>
        <w:gridCol w:w="707"/>
      </w:tblGrid>
      <w:tr>
        <w:trPr>
          <w:trHeight w:val="326" w:hRule="exact"/>
        </w:trPr>
        <w:tc>
          <w:tcPr>
            <w:tcW w:w="8001" w:type="dxa"/>
          </w:tcPr>
          <w:p>
            <w:pPr>
              <w:pStyle w:val="TableParagraph"/>
              <w:spacing w:line="245" w:lineRule="exact"/>
              <w:ind w:left="200" w:right="97"/>
              <w:rPr>
                <w:sz w:val="24"/>
              </w:rPr>
            </w:pPr>
            <w:r>
              <w:rPr>
                <w:sz w:val="24"/>
              </w:rPr>
              <w:t>Tabla 4.1. Identificación de riesgos, basada en la matriz de Leopold.</w:t>
            </w:r>
          </w:p>
        </w:tc>
        <w:tc>
          <w:tcPr>
            <w:tcW w:w="707" w:type="dxa"/>
          </w:tcPr>
          <w:p>
            <w:pPr>
              <w:pStyle w:val="TableParagraph"/>
              <w:spacing w:line="245" w:lineRule="exact"/>
              <w:ind w:left="109"/>
              <w:rPr>
                <w:sz w:val="24"/>
              </w:rPr>
            </w:pPr>
            <w:r>
              <w:rPr>
                <w:sz w:val="24"/>
              </w:rPr>
              <w:t>53</w:t>
            </w:r>
          </w:p>
        </w:tc>
      </w:tr>
      <w:tr>
        <w:trPr>
          <w:trHeight w:val="414" w:hRule="exact"/>
        </w:trPr>
        <w:tc>
          <w:tcPr>
            <w:tcW w:w="8001" w:type="dxa"/>
          </w:tcPr>
          <w:p>
            <w:pPr>
              <w:pStyle w:val="TableParagraph"/>
              <w:spacing w:before="55"/>
              <w:ind w:left="200" w:right="97"/>
              <w:rPr>
                <w:sz w:val="24"/>
              </w:rPr>
            </w:pPr>
            <w:r>
              <w:rPr>
                <w:sz w:val="24"/>
              </w:rPr>
              <w:t>Tabla 4.2. Acciones durante la fabricación de pirotecnia</w:t>
            </w:r>
          </w:p>
        </w:tc>
        <w:tc>
          <w:tcPr>
            <w:tcW w:w="707" w:type="dxa"/>
          </w:tcPr>
          <w:p>
            <w:pPr>
              <w:pStyle w:val="TableParagraph"/>
              <w:spacing w:before="55"/>
              <w:ind w:left="109"/>
              <w:rPr>
                <w:sz w:val="24"/>
              </w:rPr>
            </w:pPr>
            <w:r>
              <w:rPr>
                <w:sz w:val="24"/>
              </w:rPr>
              <w:t>57</w:t>
            </w:r>
          </w:p>
        </w:tc>
      </w:tr>
      <w:tr>
        <w:trPr>
          <w:trHeight w:val="414" w:hRule="exact"/>
        </w:trPr>
        <w:tc>
          <w:tcPr>
            <w:tcW w:w="8001" w:type="dxa"/>
          </w:tcPr>
          <w:p>
            <w:pPr>
              <w:pStyle w:val="TableParagraph"/>
              <w:spacing w:before="57"/>
              <w:ind w:left="200" w:right="97"/>
              <w:rPr>
                <w:sz w:val="24"/>
              </w:rPr>
            </w:pPr>
            <w:r>
              <w:rPr>
                <w:sz w:val="24"/>
              </w:rPr>
              <w:t>Tabla 4.3. Tabla de identificación de receptores y rutas de exposición.</w:t>
            </w:r>
          </w:p>
        </w:tc>
        <w:tc>
          <w:tcPr>
            <w:tcW w:w="707" w:type="dxa"/>
          </w:tcPr>
          <w:p>
            <w:pPr>
              <w:pStyle w:val="TableParagraph"/>
              <w:spacing w:before="57"/>
              <w:ind w:left="109"/>
              <w:rPr>
                <w:sz w:val="24"/>
              </w:rPr>
            </w:pPr>
            <w:r>
              <w:rPr>
                <w:sz w:val="24"/>
              </w:rPr>
              <w:t>62</w:t>
            </w:r>
          </w:p>
        </w:tc>
      </w:tr>
      <w:tr>
        <w:trPr>
          <w:trHeight w:val="414" w:hRule="exact"/>
        </w:trPr>
        <w:tc>
          <w:tcPr>
            <w:tcW w:w="8001" w:type="dxa"/>
          </w:tcPr>
          <w:p>
            <w:pPr>
              <w:pStyle w:val="TableParagraph"/>
              <w:spacing w:before="55"/>
              <w:ind w:left="200" w:right="97"/>
              <w:rPr>
                <w:sz w:val="24"/>
              </w:rPr>
            </w:pPr>
            <w:r>
              <w:rPr>
                <w:sz w:val="24"/>
              </w:rPr>
              <w:t>Tabla 4.4. Datos de población en Tlalchichilpan, año 2010 (SAVER).</w:t>
            </w:r>
          </w:p>
        </w:tc>
        <w:tc>
          <w:tcPr>
            <w:tcW w:w="707" w:type="dxa"/>
          </w:tcPr>
          <w:p>
            <w:pPr>
              <w:pStyle w:val="TableParagraph"/>
              <w:spacing w:before="55"/>
              <w:ind w:left="109"/>
              <w:rPr>
                <w:sz w:val="24"/>
              </w:rPr>
            </w:pPr>
            <w:r>
              <w:rPr>
                <w:sz w:val="24"/>
              </w:rPr>
              <w:t>85</w:t>
            </w:r>
          </w:p>
        </w:tc>
      </w:tr>
      <w:tr>
        <w:trPr>
          <w:trHeight w:val="828" w:hRule="exact"/>
        </w:trPr>
        <w:tc>
          <w:tcPr>
            <w:tcW w:w="8001" w:type="dxa"/>
          </w:tcPr>
          <w:p>
            <w:pPr>
              <w:pStyle w:val="TableParagraph"/>
              <w:spacing w:line="357" w:lineRule="auto" w:before="57"/>
              <w:ind w:left="200" w:right="97"/>
              <w:rPr>
                <w:sz w:val="24"/>
              </w:rPr>
            </w:pPr>
            <w:r>
              <w:rPr>
                <w:sz w:val="24"/>
              </w:rPr>
              <w:t>Tabla 4.5. Acceso a servicios de salud en Tlalchichilpan,  2010 (SAVER).</w:t>
            </w:r>
          </w:p>
        </w:tc>
        <w:tc>
          <w:tcPr>
            <w:tcW w:w="707" w:type="dxa"/>
          </w:tcPr>
          <w:p>
            <w:pPr>
              <w:pStyle w:val="TableParagraph"/>
              <w:spacing w:before="57"/>
              <w:ind w:left="109"/>
              <w:rPr>
                <w:sz w:val="24"/>
              </w:rPr>
            </w:pPr>
            <w:r>
              <w:rPr>
                <w:sz w:val="24"/>
              </w:rPr>
              <w:t>86</w:t>
            </w:r>
          </w:p>
        </w:tc>
      </w:tr>
      <w:tr>
        <w:trPr>
          <w:trHeight w:val="414" w:hRule="exact"/>
        </w:trPr>
        <w:tc>
          <w:tcPr>
            <w:tcW w:w="8001" w:type="dxa"/>
          </w:tcPr>
          <w:p>
            <w:pPr>
              <w:pStyle w:val="TableParagraph"/>
              <w:spacing w:before="57"/>
              <w:ind w:left="200" w:right="97"/>
              <w:rPr>
                <w:sz w:val="24"/>
              </w:rPr>
            </w:pPr>
            <w:r>
              <w:rPr>
                <w:sz w:val="24"/>
              </w:rPr>
              <w:t>Tabla 4.6. Acceso a infraestructura educativa en Tlalchichilpan, 2010.</w:t>
            </w:r>
          </w:p>
        </w:tc>
        <w:tc>
          <w:tcPr>
            <w:tcW w:w="707" w:type="dxa"/>
          </w:tcPr>
          <w:p>
            <w:pPr>
              <w:pStyle w:val="TableParagraph"/>
              <w:spacing w:before="57"/>
              <w:ind w:left="109"/>
              <w:rPr>
                <w:sz w:val="24"/>
              </w:rPr>
            </w:pPr>
            <w:r>
              <w:rPr>
                <w:sz w:val="24"/>
              </w:rPr>
              <w:t>86</w:t>
            </w:r>
          </w:p>
        </w:tc>
      </w:tr>
      <w:tr>
        <w:trPr>
          <w:trHeight w:val="414" w:hRule="exact"/>
        </w:trPr>
        <w:tc>
          <w:tcPr>
            <w:tcW w:w="8001" w:type="dxa"/>
          </w:tcPr>
          <w:p>
            <w:pPr>
              <w:pStyle w:val="TableParagraph"/>
              <w:spacing w:before="55"/>
              <w:ind w:left="200" w:right="97"/>
              <w:rPr>
                <w:sz w:val="24"/>
              </w:rPr>
            </w:pPr>
            <w:r>
              <w:rPr>
                <w:sz w:val="24"/>
              </w:rPr>
              <w:t>Tabla A1. Principales sustancias químicas usadas por los pirotécnicos.</w:t>
            </w:r>
          </w:p>
        </w:tc>
        <w:tc>
          <w:tcPr>
            <w:tcW w:w="707" w:type="dxa"/>
          </w:tcPr>
          <w:p>
            <w:pPr>
              <w:pStyle w:val="TableParagraph"/>
              <w:spacing w:before="55"/>
              <w:ind w:left="109"/>
              <w:rPr>
                <w:sz w:val="24"/>
              </w:rPr>
            </w:pPr>
            <w:r>
              <w:rPr>
                <w:sz w:val="24"/>
              </w:rPr>
              <w:t>95</w:t>
            </w:r>
          </w:p>
        </w:tc>
      </w:tr>
      <w:tr>
        <w:trPr>
          <w:trHeight w:val="414" w:hRule="exact"/>
        </w:trPr>
        <w:tc>
          <w:tcPr>
            <w:tcW w:w="8001" w:type="dxa"/>
          </w:tcPr>
          <w:p>
            <w:pPr>
              <w:pStyle w:val="TableParagraph"/>
              <w:spacing w:before="57"/>
              <w:ind w:left="200" w:right="97"/>
              <w:rPr>
                <w:sz w:val="24"/>
              </w:rPr>
            </w:pPr>
            <w:r>
              <w:rPr>
                <w:sz w:val="24"/>
              </w:rPr>
              <w:t>Tabla A2. Etapas en elaboración de impulsores.</w:t>
            </w:r>
          </w:p>
        </w:tc>
        <w:tc>
          <w:tcPr>
            <w:tcW w:w="707" w:type="dxa"/>
          </w:tcPr>
          <w:p>
            <w:pPr>
              <w:pStyle w:val="TableParagraph"/>
              <w:spacing w:before="57"/>
              <w:ind w:left="109"/>
              <w:rPr>
                <w:sz w:val="24"/>
              </w:rPr>
            </w:pPr>
            <w:r>
              <w:rPr>
                <w:sz w:val="24"/>
              </w:rPr>
              <w:t>106</w:t>
            </w:r>
          </w:p>
        </w:tc>
      </w:tr>
      <w:tr>
        <w:trPr>
          <w:trHeight w:val="414" w:hRule="exact"/>
        </w:trPr>
        <w:tc>
          <w:tcPr>
            <w:tcW w:w="8001" w:type="dxa"/>
          </w:tcPr>
          <w:p>
            <w:pPr>
              <w:pStyle w:val="TableParagraph"/>
              <w:spacing w:before="55"/>
              <w:ind w:left="200" w:right="97"/>
              <w:rPr>
                <w:sz w:val="24"/>
              </w:rPr>
            </w:pPr>
            <w:r>
              <w:rPr>
                <w:sz w:val="24"/>
              </w:rPr>
              <w:t>Tabla A3. Etapas en elaboración de efectos.</w:t>
            </w:r>
          </w:p>
        </w:tc>
        <w:tc>
          <w:tcPr>
            <w:tcW w:w="707" w:type="dxa"/>
          </w:tcPr>
          <w:p>
            <w:pPr>
              <w:pStyle w:val="TableParagraph"/>
              <w:spacing w:before="55"/>
              <w:ind w:left="109"/>
              <w:rPr>
                <w:sz w:val="24"/>
              </w:rPr>
            </w:pPr>
            <w:r>
              <w:rPr>
                <w:sz w:val="24"/>
              </w:rPr>
              <w:t>108</w:t>
            </w:r>
          </w:p>
        </w:tc>
      </w:tr>
      <w:tr>
        <w:trPr>
          <w:trHeight w:val="414" w:hRule="exact"/>
        </w:trPr>
        <w:tc>
          <w:tcPr>
            <w:tcW w:w="8001" w:type="dxa"/>
          </w:tcPr>
          <w:p>
            <w:pPr>
              <w:pStyle w:val="TableParagraph"/>
              <w:spacing w:before="57"/>
              <w:ind w:left="200" w:right="97"/>
              <w:rPr>
                <w:sz w:val="24"/>
              </w:rPr>
            </w:pPr>
            <w:r>
              <w:rPr>
                <w:sz w:val="24"/>
              </w:rPr>
              <w:t>Tabla A4. Etapas en elaboración de mechas.</w:t>
            </w:r>
          </w:p>
        </w:tc>
        <w:tc>
          <w:tcPr>
            <w:tcW w:w="707" w:type="dxa"/>
          </w:tcPr>
          <w:p>
            <w:pPr>
              <w:pStyle w:val="TableParagraph"/>
              <w:spacing w:before="57"/>
              <w:ind w:left="109"/>
              <w:rPr>
                <w:sz w:val="24"/>
              </w:rPr>
            </w:pPr>
            <w:r>
              <w:rPr>
                <w:sz w:val="24"/>
              </w:rPr>
              <w:t>110</w:t>
            </w:r>
          </w:p>
        </w:tc>
      </w:tr>
      <w:tr>
        <w:trPr>
          <w:trHeight w:val="414" w:hRule="exact"/>
        </w:trPr>
        <w:tc>
          <w:tcPr>
            <w:tcW w:w="8001" w:type="dxa"/>
          </w:tcPr>
          <w:p>
            <w:pPr>
              <w:pStyle w:val="TableParagraph"/>
              <w:spacing w:before="55"/>
              <w:ind w:left="200" w:right="97"/>
              <w:rPr>
                <w:sz w:val="24"/>
              </w:rPr>
            </w:pPr>
            <w:r>
              <w:rPr>
                <w:sz w:val="24"/>
              </w:rPr>
              <w:t>Tabla A5. Etapas de armado de cohetón.</w:t>
            </w:r>
          </w:p>
        </w:tc>
        <w:tc>
          <w:tcPr>
            <w:tcW w:w="707" w:type="dxa"/>
          </w:tcPr>
          <w:p>
            <w:pPr>
              <w:pStyle w:val="TableParagraph"/>
              <w:spacing w:before="55"/>
              <w:ind w:left="109"/>
              <w:rPr>
                <w:sz w:val="24"/>
              </w:rPr>
            </w:pPr>
            <w:r>
              <w:rPr>
                <w:sz w:val="24"/>
              </w:rPr>
              <w:t>111</w:t>
            </w:r>
          </w:p>
        </w:tc>
      </w:tr>
      <w:tr>
        <w:trPr>
          <w:trHeight w:val="414" w:hRule="exact"/>
        </w:trPr>
        <w:tc>
          <w:tcPr>
            <w:tcW w:w="8001" w:type="dxa"/>
          </w:tcPr>
          <w:p>
            <w:pPr>
              <w:pStyle w:val="TableParagraph"/>
              <w:spacing w:before="57"/>
              <w:ind w:left="200" w:right="97"/>
              <w:rPr>
                <w:sz w:val="24"/>
              </w:rPr>
            </w:pPr>
            <w:r>
              <w:rPr>
                <w:sz w:val="24"/>
              </w:rPr>
              <w:t>Tabla A6. Costos de productos inertes</w:t>
            </w:r>
          </w:p>
        </w:tc>
        <w:tc>
          <w:tcPr>
            <w:tcW w:w="707" w:type="dxa"/>
          </w:tcPr>
          <w:p>
            <w:pPr>
              <w:pStyle w:val="TableParagraph"/>
              <w:spacing w:before="57"/>
              <w:ind w:left="109"/>
              <w:rPr>
                <w:sz w:val="24"/>
              </w:rPr>
            </w:pPr>
            <w:r>
              <w:rPr>
                <w:sz w:val="24"/>
              </w:rPr>
              <w:t>112</w:t>
            </w:r>
          </w:p>
        </w:tc>
      </w:tr>
      <w:tr>
        <w:trPr>
          <w:trHeight w:val="414" w:hRule="exact"/>
        </w:trPr>
        <w:tc>
          <w:tcPr>
            <w:tcW w:w="8001" w:type="dxa"/>
          </w:tcPr>
          <w:p>
            <w:pPr>
              <w:pStyle w:val="TableParagraph"/>
              <w:spacing w:before="55"/>
              <w:ind w:left="200" w:right="97"/>
              <w:rPr>
                <w:sz w:val="24"/>
              </w:rPr>
            </w:pPr>
            <w:r>
              <w:rPr>
                <w:sz w:val="24"/>
              </w:rPr>
              <w:t>Tabla A7. Costos de sustancias químicas.</w:t>
            </w:r>
          </w:p>
        </w:tc>
        <w:tc>
          <w:tcPr>
            <w:tcW w:w="707" w:type="dxa"/>
          </w:tcPr>
          <w:p>
            <w:pPr>
              <w:pStyle w:val="TableParagraph"/>
              <w:spacing w:before="55"/>
              <w:ind w:left="109"/>
              <w:rPr>
                <w:sz w:val="24"/>
              </w:rPr>
            </w:pPr>
            <w:r>
              <w:rPr>
                <w:sz w:val="24"/>
              </w:rPr>
              <w:t>112</w:t>
            </w:r>
          </w:p>
        </w:tc>
      </w:tr>
      <w:tr>
        <w:trPr>
          <w:trHeight w:val="414" w:hRule="exact"/>
        </w:trPr>
        <w:tc>
          <w:tcPr>
            <w:tcW w:w="8001" w:type="dxa"/>
          </w:tcPr>
          <w:p>
            <w:pPr>
              <w:pStyle w:val="TableParagraph"/>
              <w:spacing w:before="57"/>
              <w:ind w:left="200" w:right="97"/>
              <w:rPr>
                <w:sz w:val="24"/>
              </w:rPr>
            </w:pPr>
            <w:r>
              <w:rPr>
                <w:sz w:val="24"/>
              </w:rPr>
              <w:t>Tabla A8. Costos de mermas.</w:t>
            </w:r>
          </w:p>
        </w:tc>
        <w:tc>
          <w:tcPr>
            <w:tcW w:w="707" w:type="dxa"/>
          </w:tcPr>
          <w:p>
            <w:pPr>
              <w:pStyle w:val="TableParagraph"/>
              <w:spacing w:before="57"/>
              <w:ind w:left="109"/>
              <w:rPr>
                <w:sz w:val="24"/>
              </w:rPr>
            </w:pPr>
            <w:r>
              <w:rPr>
                <w:sz w:val="24"/>
              </w:rPr>
              <w:t>113</w:t>
            </w:r>
          </w:p>
        </w:tc>
      </w:tr>
      <w:tr>
        <w:trPr>
          <w:trHeight w:val="414" w:hRule="exact"/>
        </w:trPr>
        <w:tc>
          <w:tcPr>
            <w:tcW w:w="8001" w:type="dxa"/>
          </w:tcPr>
          <w:p>
            <w:pPr>
              <w:pStyle w:val="TableParagraph"/>
              <w:spacing w:before="55"/>
              <w:ind w:left="200" w:right="97"/>
              <w:rPr>
                <w:sz w:val="24"/>
              </w:rPr>
            </w:pPr>
            <w:r>
              <w:rPr>
                <w:sz w:val="24"/>
              </w:rPr>
              <w:t>Tabla A9. Costos de elaboración de trueno.</w:t>
            </w:r>
          </w:p>
        </w:tc>
        <w:tc>
          <w:tcPr>
            <w:tcW w:w="707" w:type="dxa"/>
          </w:tcPr>
          <w:p>
            <w:pPr>
              <w:pStyle w:val="TableParagraph"/>
              <w:spacing w:before="55"/>
              <w:ind w:left="109"/>
              <w:rPr>
                <w:sz w:val="24"/>
              </w:rPr>
            </w:pPr>
            <w:r>
              <w:rPr>
                <w:sz w:val="24"/>
              </w:rPr>
              <w:t>113</w:t>
            </w:r>
          </w:p>
        </w:tc>
      </w:tr>
      <w:tr>
        <w:trPr>
          <w:trHeight w:val="414" w:hRule="exact"/>
        </w:trPr>
        <w:tc>
          <w:tcPr>
            <w:tcW w:w="8001" w:type="dxa"/>
          </w:tcPr>
          <w:p>
            <w:pPr>
              <w:pStyle w:val="TableParagraph"/>
              <w:spacing w:before="57"/>
              <w:ind w:left="200" w:right="97"/>
              <w:rPr>
                <w:sz w:val="24"/>
              </w:rPr>
            </w:pPr>
            <w:r>
              <w:rPr>
                <w:sz w:val="24"/>
              </w:rPr>
              <w:t>Tabla A10. Costos de elaboración de mechas.</w:t>
            </w:r>
          </w:p>
        </w:tc>
        <w:tc>
          <w:tcPr>
            <w:tcW w:w="707" w:type="dxa"/>
          </w:tcPr>
          <w:p>
            <w:pPr>
              <w:pStyle w:val="TableParagraph"/>
              <w:spacing w:before="57"/>
              <w:ind w:left="109"/>
              <w:rPr>
                <w:sz w:val="24"/>
              </w:rPr>
            </w:pPr>
            <w:r>
              <w:rPr>
                <w:sz w:val="24"/>
              </w:rPr>
              <w:t>114</w:t>
            </w:r>
          </w:p>
        </w:tc>
      </w:tr>
      <w:tr>
        <w:trPr>
          <w:trHeight w:val="326" w:hRule="exact"/>
        </w:trPr>
        <w:tc>
          <w:tcPr>
            <w:tcW w:w="8001" w:type="dxa"/>
          </w:tcPr>
          <w:p>
            <w:pPr>
              <w:pStyle w:val="TableParagraph"/>
              <w:spacing w:before="55"/>
              <w:ind w:left="200" w:right="97"/>
              <w:rPr>
                <w:sz w:val="24"/>
              </w:rPr>
            </w:pPr>
            <w:r>
              <w:rPr>
                <w:sz w:val="24"/>
              </w:rPr>
              <w:t>Tabla A11. Integración del costo de un cohetón.</w:t>
            </w:r>
          </w:p>
        </w:tc>
        <w:tc>
          <w:tcPr>
            <w:tcW w:w="707" w:type="dxa"/>
          </w:tcPr>
          <w:p>
            <w:pPr>
              <w:pStyle w:val="TableParagraph"/>
              <w:spacing w:before="55"/>
              <w:ind w:left="109"/>
              <w:rPr>
                <w:sz w:val="24"/>
              </w:rPr>
            </w:pPr>
            <w:r>
              <w:rPr>
                <w:sz w:val="24"/>
              </w:rPr>
              <w:t>115</w:t>
            </w:r>
          </w:p>
        </w:tc>
      </w:tr>
    </w:tbl>
    <w:p>
      <w:pPr>
        <w:spacing w:after="0"/>
        <w:rPr>
          <w:sz w:val="24"/>
        </w:rPr>
        <w:sectPr>
          <w:pgSz w:w="12240" w:h="15840"/>
          <w:pgMar w:header="0" w:footer="1011" w:top="1360" w:bottom="1200" w:left="1400" w:right="1720"/>
        </w:sectPr>
      </w:pPr>
    </w:p>
    <w:p>
      <w:pPr>
        <w:spacing w:before="51"/>
        <w:ind w:left="100" w:right="0" w:firstLine="0"/>
        <w:jc w:val="both"/>
        <w:rPr>
          <w:b/>
          <w:sz w:val="24"/>
        </w:rPr>
      </w:pPr>
      <w:r>
        <w:rPr>
          <w:b/>
          <w:sz w:val="24"/>
        </w:rPr>
        <w:t>RESUMEN</w:t>
      </w:r>
    </w:p>
    <w:p>
      <w:pPr>
        <w:pStyle w:val="BodyText"/>
        <w:rPr>
          <w:b/>
        </w:rPr>
      </w:pPr>
    </w:p>
    <w:p>
      <w:pPr>
        <w:pStyle w:val="BodyText"/>
        <w:spacing w:before="1"/>
        <w:rPr>
          <w:b/>
          <w:sz w:val="35"/>
        </w:rPr>
      </w:pPr>
    </w:p>
    <w:p>
      <w:pPr>
        <w:pStyle w:val="BodyText"/>
        <w:spacing w:line="360" w:lineRule="auto"/>
        <w:ind w:left="100" w:right="100"/>
        <w:jc w:val="both"/>
      </w:pPr>
      <w:r>
        <w:rPr/>
        <w:t>La pirotecnia en el Estado de México es de gran importancia ya que en esta entidad se elabora más del 50% de la producción nacional y dentro del Estado de México la zona con mayor elaboración de pirotecnia de tipo castillería se  concentra en la comunidad de San Mateo Tlalchichilpan, municipio de Almoloya de Juárez, sin embargo esta actividad ha presentado aumento en los indicadores de vulnerabilidad por lo cual en el presente trabajo se abordaron los estudios de las características de la producción y se elaboró un análisis de la sustentabilidad en los ámbitos sociales, ambientales y económicos con la finalidad de identificar si se puede considerar una actividad vulnerable y con ello generar recomendaciones que permitan evitar esta</w:t>
      </w:r>
      <w:r>
        <w:rPr>
          <w:spacing w:val="-22"/>
        </w:rPr>
        <w:t> </w:t>
      </w:r>
      <w:r>
        <w:rPr/>
        <w:t>condición.</w:t>
      </w:r>
    </w:p>
    <w:p>
      <w:pPr>
        <w:pStyle w:val="BodyText"/>
      </w:pPr>
    </w:p>
    <w:p>
      <w:pPr>
        <w:pStyle w:val="BodyText"/>
      </w:pPr>
    </w:p>
    <w:p>
      <w:pPr>
        <w:pStyle w:val="BodyText"/>
      </w:pPr>
    </w:p>
    <w:p>
      <w:pPr>
        <w:pStyle w:val="BodyText"/>
      </w:pPr>
    </w:p>
    <w:p>
      <w:pPr>
        <w:pStyle w:val="BodyText"/>
      </w:pPr>
    </w:p>
    <w:p>
      <w:pPr>
        <w:pStyle w:val="Heading2"/>
        <w:spacing w:before="178"/>
        <w:jc w:val="both"/>
      </w:pPr>
      <w:r>
        <w:rPr/>
        <w:t>ABSTRACT</w:t>
      </w:r>
    </w:p>
    <w:p>
      <w:pPr>
        <w:pStyle w:val="BodyText"/>
        <w:rPr>
          <w:b/>
        </w:rPr>
      </w:pPr>
    </w:p>
    <w:p>
      <w:pPr>
        <w:pStyle w:val="BodyText"/>
        <w:rPr>
          <w:b/>
        </w:rPr>
      </w:pPr>
    </w:p>
    <w:p>
      <w:pPr>
        <w:pStyle w:val="BodyText"/>
        <w:spacing w:line="360" w:lineRule="auto" w:before="204"/>
        <w:ind w:left="100" w:right="104"/>
        <w:jc w:val="both"/>
      </w:pPr>
      <w:r>
        <w:rPr/>
        <w:t>The fireworks in the State of Mexico is of great importance since this entity is made more than 50% of national production and within the State of Mexico making the area more “castle” type pyrotechnics focuses on the community of San Mateo Tlalchichilpan, Almoloya municipality, however this activity has presented  increased vulnerability indicators by which in the present work deals with the study of the characteristics of production and developed a sustainability analysis  in social, environmental and economic in order to identify whether an activity can be considered vulnerable and thus generate recommendations to avoid this</w:t>
      </w:r>
      <w:r>
        <w:rPr>
          <w:spacing w:val="-41"/>
        </w:rPr>
        <w:t> </w:t>
      </w:r>
      <w:r>
        <w:rPr/>
        <w:t>condition.</w:t>
      </w:r>
    </w:p>
    <w:p>
      <w:pPr>
        <w:spacing w:after="0" w:line="360" w:lineRule="auto"/>
        <w:jc w:val="both"/>
        <w:sectPr>
          <w:pgSz w:w="12240" w:h="15840"/>
          <w:pgMar w:header="0" w:footer="1011" w:top="1360" w:bottom="1260" w:left="1600" w:right="1600"/>
        </w:sectPr>
      </w:pPr>
    </w:p>
    <w:p>
      <w:pPr>
        <w:pStyle w:val="Heading2"/>
        <w:jc w:val="both"/>
      </w:pPr>
      <w:r>
        <w:rPr/>
        <w:t>ESTRUCTURA DE LA TESIS</w:t>
      </w:r>
    </w:p>
    <w:p>
      <w:pPr>
        <w:pStyle w:val="BodyText"/>
        <w:rPr>
          <w:b/>
        </w:rPr>
      </w:pPr>
    </w:p>
    <w:p>
      <w:pPr>
        <w:pStyle w:val="BodyText"/>
        <w:spacing w:before="1"/>
        <w:rPr>
          <w:b/>
          <w:sz w:val="35"/>
        </w:rPr>
      </w:pPr>
    </w:p>
    <w:p>
      <w:pPr>
        <w:pStyle w:val="BodyText"/>
        <w:spacing w:line="276" w:lineRule="auto"/>
        <w:ind w:left="100" w:right="104"/>
        <w:jc w:val="both"/>
      </w:pPr>
      <w:r>
        <w:rPr/>
        <w:t>El presente trabajo de investigación consta de cinco capítulos donde se describen desde sus orígenes el arte de la pirotecnia en México hasta la situación actual y el por qué se considera un grupo vulnerable. Para lo cual en cada tema desarrollado dentro de los capítulos se plantean conclusiones particulares generando de esta forma las discusiones concernientes a los mismos simplificando de esta manera la presentación de los resultados.</w:t>
      </w:r>
    </w:p>
    <w:p>
      <w:pPr>
        <w:pStyle w:val="BodyText"/>
        <w:spacing w:before="9"/>
        <w:rPr>
          <w:sz w:val="27"/>
        </w:rPr>
      </w:pPr>
    </w:p>
    <w:p>
      <w:pPr>
        <w:pStyle w:val="BodyText"/>
        <w:spacing w:line="276" w:lineRule="auto"/>
        <w:ind w:left="100" w:right="99"/>
        <w:jc w:val="both"/>
      </w:pPr>
      <w:r>
        <w:rPr/>
        <w:t>En el primer capítulo se establecieron los antecedentes de la pirotecnia para plantear un marco histórico que permita entender cómo ha llegado la actividad pirotécnica a tener una fuerte importancia social en nuestro país.</w:t>
      </w:r>
    </w:p>
    <w:p>
      <w:pPr>
        <w:pStyle w:val="BodyText"/>
        <w:spacing w:before="9"/>
        <w:rPr>
          <w:sz w:val="27"/>
        </w:rPr>
      </w:pPr>
    </w:p>
    <w:p>
      <w:pPr>
        <w:pStyle w:val="BodyText"/>
        <w:spacing w:line="276" w:lineRule="auto"/>
        <w:ind w:left="100" w:right="99"/>
        <w:jc w:val="both"/>
      </w:pPr>
      <w:r>
        <w:rPr/>
        <w:t>El segundo capítulo explica los conceptos necesarios para realizar el análisis de sustentabilidad y los parámetros utilizados para considerar un grado de vulnerabilidad. Aunado a esto se presentan los problemas de investigación y los objetivos alcanzados por la presente.</w:t>
      </w:r>
    </w:p>
    <w:p>
      <w:pPr>
        <w:pStyle w:val="BodyText"/>
        <w:spacing w:before="9"/>
        <w:rPr>
          <w:sz w:val="27"/>
        </w:rPr>
      </w:pPr>
    </w:p>
    <w:p>
      <w:pPr>
        <w:pStyle w:val="BodyText"/>
        <w:spacing w:line="276" w:lineRule="auto" w:before="1"/>
        <w:ind w:left="100" w:right="108"/>
        <w:jc w:val="both"/>
      </w:pPr>
      <w:r>
        <w:rPr/>
        <w:t>Una vez planteados los conceptos se establece la metodología usada para esta tesis en el tercer capítulo describiendo el proceso de investigación aplicado.</w:t>
      </w:r>
    </w:p>
    <w:p>
      <w:pPr>
        <w:pStyle w:val="BodyText"/>
        <w:spacing w:before="9"/>
        <w:rPr>
          <w:sz w:val="27"/>
        </w:rPr>
      </w:pPr>
    </w:p>
    <w:p>
      <w:pPr>
        <w:pStyle w:val="BodyText"/>
        <w:spacing w:line="276" w:lineRule="auto"/>
        <w:ind w:left="100" w:right="98"/>
        <w:jc w:val="both"/>
      </w:pPr>
      <w:r>
        <w:rPr/>
        <w:t>Los resultados y su discusión son presentados en el capítulo cuatro, para lo cual se realiza una EDA de la comunidad, el análisis de riesgos, la descripción de los indicadores de sustentabilidad y su condición actual, y por último el grado de vulnerabilidad con las recomendaciones para mejorar la producción de la pirotecnia de esta</w:t>
      </w:r>
      <w:r>
        <w:rPr>
          <w:spacing w:val="-18"/>
        </w:rPr>
        <w:t> </w:t>
      </w:r>
      <w:r>
        <w:rPr/>
        <w:t>zona.</w:t>
      </w:r>
    </w:p>
    <w:p>
      <w:pPr>
        <w:pStyle w:val="BodyText"/>
        <w:spacing w:before="9"/>
        <w:rPr>
          <w:sz w:val="27"/>
        </w:rPr>
      </w:pPr>
    </w:p>
    <w:p>
      <w:pPr>
        <w:pStyle w:val="BodyText"/>
        <w:spacing w:line="276" w:lineRule="auto"/>
        <w:ind w:left="100" w:right="104"/>
        <w:jc w:val="both"/>
      </w:pPr>
      <w:r>
        <w:rPr/>
        <w:t>Las conclusiones generales se muestran en el capítulo cinco recapitulando las discusiones obtenidas de los capítulos anteriores.</w:t>
      </w:r>
    </w:p>
    <w:p>
      <w:pPr>
        <w:pStyle w:val="BodyText"/>
        <w:spacing w:before="9"/>
        <w:rPr>
          <w:sz w:val="27"/>
        </w:rPr>
      </w:pPr>
    </w:p>
    <w:p>
      <w:pPr>
        <w:pStyle w:val="BodyText"/>
        <w:spacing w:line="276" w:lineRule="auto"/>
        <w:ind w:left="100" w:right="105"/>
        <w:jc w:val="both"/>
      </w:pPr>
      <w:r>
        <w:rPr/>
        <w:t>Por último se presentan dos anexos que permiten comprender más a fondo la labor del productor de pirotecnia, en primera instancia conociendo las sustancias químicas utilizadas y en segundo término la descripción de ciclo de vida del producto </w:t>
      </w:r>
      <w:r>
        <w:rPr>
          <w:spacing w:val="-2"/>
        </w:rPr>
        <w:t>más </w:t>
      </w:r>
      <w:r>
        <w:rPr/>
        <w:t>difundido en la zona, obteniendo datos económicos ambientales y sociales.</w:t>
      </w:r>
    </w:p>
    <w:p>
      <w:pPr>
        <w:spacing w:after="0" w:line="276" w:lineRule="auto"/>
        <w:jc w:val="both"/>
        <w:sectPr>
          <w:pgSz w:w="12240" w:h="15840"/>
          <w:pgMar w:header="0" w:footer="1011" w:top="1360" w:bottom="1260" w:left="1600" w:right="1600"/>
        </w:sectPr>
      </w:pPr>
    </w:p>
    <w:p>
      <w:pPr>
        <w:pStyle w:val="BodyText"/>
        <w:spacing w:before="2"/>
        <w:rPr>
          <w:sz w:val="10"/>
        </w:rPr>
      </w:pPr>
    </w:p>
    <w:p>
      <w:pPr>
        <w:pStyle w:val="BodyText"/>
        <w:spacing w:before="70"/>
        <w:ind w:left="100" w:right="5199"/>
      </w:pPr>
      <w:r>
        <w:rPr>
          <w:color w:val="333333"/>
        </w:rPr>
        <w:t>"Nuestra pobreza puede medirse por el número y suntuosidad</w:t>
      </w:r>
    </w:p>
    <w:p>
      <w:pPr>
        <w:pStyle w:val="BodyText"/>
        <w:ind w:left="100" w:right="5199"/>
      </w:pPr>
      <w:r>
        <w:rPr>
          <w:color w:val="333333"/>
        </w:rPr>
        <w:t>de las fiestas populares"</w:t>
      </w:r>
    </w:p>
    <w:p>
      <w:pPr>
        <w:pStyle w:val="BodyText"/>
      </w:pPr>
    </w:p>
    <w:p>
      <w:pPr>
        <w:pStyle w:val="BodyText"/>
        <w:ind w:left="100" w:right="5199"/>
      </w:pPr>
      <w:r>
        <w:rPr>
          <w:color w:val="333333"/>
        </w:rPr>
        <w:t>O. Paz</w:t>
      </w:r>
    </w:p>
    <w:p>
      <w:pPr>
        <w:pStyle w:val="BodyText"/>
        <w:rPr>
          <w:sz w:val="20"/>
        </w:rPr>
      </w:pPr>
    </w:p>
    <w:p>
      <w:pPr>
        <w:pStyle w:val="BodyText"/>
        <w:spacing w:before="2"/>
        <w:rPr>
          <w:sz w:val="13"/>
        </w:rPr>
      </w:pPr>
      <w:r>
        <w:rPr/>
        <w:drawing>
          <wp:anchor distT="0" distB="0" distL="0" distR="0" allowOverlap="1" layoutInCell="1" locked="0" behindDoc="0" simplePos="0" relativeHeight="1216">
            <wp:simplePos x="0" y="0"/>
            <wp:positionH relativeFrom="page">
              <wp:posOffset>1099185</wp:posOffset>
            </wp:positionH>
            <wp:positionV relativeFrom="paragraph">
              <wp:posOffset>121005</wp:posOffset>
            </wp:positionV>
            <wp:extent cx="5696283" cy="4744211"/>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1" cstate="print"/>
                    <a:stretch>
                      <a:fillRect/>
                    </a:stretch>
                  </pic:blipFill>
                  <pic:spPr>
                    <a:xfrm>
                      <a:off x="0" y="0"/>
                      <a:ext cx="5696283" cy="4744211"/>
                    </a:xfrm>
                    <a:prstGeom prst="rect">
                      <a:avLst/>
                    </a:prstGeom>
                  </pic:spPr>
                </pic:pic>
              </a:graphicData>
            </a:graphic>
          </wp:anchor>
        </w:drawing>
      </w:r>
    </w:p>
    <w:p>
      <w:pPr>
        <w:spacing w:before="38"/>
        <w:ind w:left="2933" w:right="0" w:firstLine="0"/>
        <w:jc w:val="left"/>
        <w:rPr>
          <w:sz w:val="20"/>
        </w:rPr>
      </w:pPr>
      <w:r>
        <w:rPr>
          <w:sz w:val="20"/>
        </w:rPr>
        <w:t>Figura 1. Accidente en San Mateo Tlalchichilpan. 7 de agosto 2012.</w:t>
      </w: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1"/>
        <w:ind w:left="3225"/>
      </w:pPr>
      <w:r>
        <w:rPr/>
        <w:t>CAPITULO I. INTRODUCCIÓN.</w:t>
      </w:r>
    </w:p>
    <w:p>
      <w:pPr>
        <w:spacing w:after="0"/>
        <w:sectPr>
          <w:footerReference w:type="default" r:id="rId10"/>
          <w:pgSz w:w="12240" w:h="15840"/>
          <w:pgMar w:footer="1071" w:header="0" w:top="1500" w:bottom="1260" w:left="1600" w:right="1500"/>
        </w:sectPr>
      </w:pPr>
    </w:p>
    <w:p>
      <w:pPr>
        <w:pStyle w:val="Heading2"/>
        <w:jc w:val="both"/>
      </w:pPr>
      <w:r>
        <w:rPr/>
        <w:t>CAPITULO I. INTRODUCCIÓN</w:t>
      </w:r>
    </w:p>
    <w:p>
      <w:pPr>
        <w:pStyle w:val="BodyText"/>
        <w:rPr>
          <w:b/>
        </w:rPr>
      </w:pPr>
    </w:p>
    <w:p>
      <w:pPr>
        <w:pStyle w:val="BodyText"/>
        <w:spacing w:before="3"/>
        <w:rPr>
          <w:b/>
        </w:rPr>
      </w:pPr>
    </w:p>
    <w:p>
      <w:pPr>
        <w:pStyle w:val="BodyText"/>
        <w:spacing w:line="360" w:lineRule="auto" w:before="1"/>
        <w:ind w:left="100" w:right="117"/>
        <w:jc w:val="both"/>
      </w:pPr>
      <w:r>
        <w:rPr/>
        <w:t>No hubo explosión pero si escuchamos el flamazo, en unos cuantos segundos el humo tenía una columna de más de 50 metros y seguía creciendo, el maestro pirotécnico y </w:t>
      </w:r>
      <w:r>
        <w:rPr>
          <w:spacing w:val="-3"/>
        </w:rPr>
        <w:t>yo </w:t>
      </w:r>
      <w:r>
        <w:rPr/>
        <w:t>estábamos parados de frente hacia la construcción que se incendiaba y él solamente pudo decir con voz temblorosa “mi hermano…” se quedó pasmado unos segundos y comenzó a temblarle la cara como un reflejo de desesperación y</w:t>
      </w:r>
      <w:r>
        <w:rPr>
          <w:spacing w:val="-14"/>
        </w:rPr>
        <w:t> </w:t>
      </w:r>
      <w:r>
        <w:rPr/>
        <w:t>miedo.</w:t>
      </w:r>
    </w:p>
    <w:p>
      <w:pPr>
        <w:pStyle w:val="BodyText"/>
      </w:pPr>
    </w:p>
    <w:p>
      <w:pPr>
        <w:pStyle w:val="BodyText"/>
        <w:spacing w:line="360" w:lineRule="auto" w:before="142"/>
        <w:ind w:left="100" w:right="118"/>
        <w:jc w:val="both"/>
      </w:pPr>
      <w:r>
        <w:rPr/>
        <w:t>Tlalchichilpan al ser un pueblo pequeño, muchos de los talleres pertenecen a familiares cercanos y este era el caso, no había transcurrido un minuto desde el flamazo y ya se veía correr personas de los polvorines vecinos que acudían para ayudar.</w:t>
      </w:r>
    </w:p>
    <w:p>
      <w:pPr>
        <w:pStyle w:val="BodyText"/>
      </w:pPr>
    </w:p>
    <w:p>
      <w:pPr>
        <w:pStyle w:val="BodyText"/>
        <w:spacing w:line="360" w:lineRule="auto" w:before="142"/>
        <w:ind w:left="100" w:right="120"/>
        <w:jc w:val="both"/>
      </w:pPr>
      <w:r>
        <w:rPr/>
        <w:t>El pirotécnico no podía manejar así que me dio las llaves de su auto y fuimos a toda prisa, su sobrino corría ya entre los maizales para cortar camino. Cuando llegamos escuchamos el grito de un trabajador que decía “todos estamos acá, nadie se quemó” aun así él seguía temblando y yo no sabía cómo ayudar.</w:t>
      </w:r>
    </w:p>
    <w:p>
      <w:pPr>
        <w:pStyle w:val="BodyText"/>
      </w:pPr>
    </w:p>
    <w:p>
      <w:pPr>
        <w:pStyle w:val="BodyText"/>
        <w:spacing w:line="360" w:lineRule="auto" w:before="142"/>
        <w:ind w:left="100" w:right="120"/>
        <w:jc w:val="both"/>
      </w:pPr>
      <w:r>
        <w:rPr/>
        <w:t>Al interrogar acerca de lo sucedido nos comentaron que estaban encerando las mechas cuando una braza voló hasta la puerta principal del taller, ahí inició el fuego, por lo que los dos trabajadores que permanecían dentro tuvieron que salir por una ventana, -estábamos 7 adentro- comentó uno de ellos con una risa nerviosa –pero justo antes de que todo pasara una señora que vendía tortas se acercó ofertándolas y 5 salimos a comprar, de no haber pasado esto la ventana hubiera sido pequeña para salir todos, así que el hambre nos salvó-.</w:t>
      </w:r>
    </w:p>
    <w:p>
      <w:pPr>
        <w:pStyle w:val="BodyText"/>
      </w:pPr>
    </w:p>
    <w:p>
      <w:pPr>
        <w:pStyle w:val="BodyText"/>
        <w:spacing w:line="357" w:lineRule="auto" w:before="142"/>
        <w:ind w:left="100" w:right="117"/>
        <w:jc w:val="both"/>
      </w:pPr>
      <w:r>
        <w:rPr/>
        <w:t>Cuando les enseñé la foto algunos de ellos juraron ver la silueta de un diablo entre el humo (Figura 1), y yo aún no me explico cuanto amor le tienen a este arte que después de todo siguen trabajando ahí.</w:t>
      </w:r>
    </w:p>
    <w:p>
      <w:pPr>
        <w:spacing w:after="0" w:line="357" w:lineRule="auto"/>
        <w:jc w:val="both"/>
        <w:sectPr>
          <w:footerReference w:type="default" r:id="rId12"/>
          <w:pgSz w:w="12240" w:h="15840"/>
          <w:pgMar w:footer="1071" w:header="0" w:top="1360" w:bottom="1260" w:left="1600" w:right="1580"/>
          <w:pgNumType w:start="11"/>
        </w:sectPr>
      </w:pPr>
    </w:p>
    <w:p>
      <w:pPr>
        <w:pStyle w:val="Heading2"/>
        <w:tabs>
          <w:tab w:pos="1540" w:val="left" w:leader="none"/>
        </w:tabs>
        <w:ind w:left="821" w:right="9"/>
      </w:pPr>
      <w:r>
        <w:rPr/>
        <w:t>1.1.</w:t>
        <w:tab/>
      </w:r>
      <w:r>
        <w:rPr>
          <w:spacing w:val="2"/>
        </w:rPr>
        <w:t>LA </w:t>
      </w:r>
      <w:r>
        <w:rPr/>
        <w:t>PIROTECNIA Y SU</w:t>
      </w:r>
      <w:r>
        <w:rPr>
          <w:spacing w:val="-42"/>
        </w:rPr>
        <w:t> </w:t>
      </w:r>
      <w:r>
        <w:rPr>
          <w:spacing w:val="-4"/>
        </w:rPr>
        <w:t>IMPACTO </w:t>
      </w:r>
      <w:r>
        <w:rPr/>
        <w:t>SOCIAL</w:t>
      </w:r>
    </w:p>
    <w:p>
      <w:pPr>
        <w:pStyle w:val="BodyText"/>
        <w:rPr>
          <w:b/>
        </w:rPr>
      </w:pPr>
    </w:p>
    <w:p>
      <w:pPr>
        <w:pStyle w:val="BodyText"/>
        <w:spacing w:before="3"/>
        <w:rPr>
          <w:b/>
        </w:rPr>
      </w:pPr>
    </w:p>
    <w:p>
      <w:pPr>
        <w:pStyle w:val="BodyText"/>
        <w:spacing w:line="360" w:lineRule="auto" w:before="1"/>
        <w:ind w:left="100" w:right="101"/>
        <w:jc w:val="both"/>
      </w:pPr>
      <w:r>
        <w:rPr/>
        <w:t>Para comprender mejor el ámbito pirotécnico y cuál ha sido su evolución es importante conocer los progresos de este arte, sin embargo con fines prácticos se realizó una cronología de los avances de la química que procuraron cambios en este sector económico a nivel mundial, el conocer las fechas en las que se comenzaron a usar ciertas materias primas es un factor para determinar el grado evolutivo de la pirotecnia desde un contexto particular en comparativa con el general. De igual manera para contextualizar el sitio de investigación se hace referencia a la historia de la pirotecnia en México, esto justifica el arraigo cultural de la pirotecnia como un uso tradicional e incluso necesario por el contexto cívico y</w:t>
      </w:r>
      <w:r>
        <w:rPr>
          <w:spacing w:val="-11"/>
        </w:rPr>
        <w:t> </w:t>
      </w:r>
      <w:r>
        <w:rPr/>
        <w:t>religioso.</w:t>
      </w:r>
    </w:p>
    <w:p>
      <w:pPr>
        <w:pStyle w:val="BodyText"/>
      </w:pPr>
    </w:p>
    <w:p>
      <w:pPr>
        <w:pStyle w:val="BodyText"/>
        <w:spacing w:line="360" w:lineRule="auto" w:before="142"/>
        <w:ind w:left="100" w:right="101"/>
        <w:jc w:val="both"/>
      </w:pPr>
      <w:r>
        <w:rPr/>
        <w:t>Es por ello que el presente capítulo menciona la evolución histórica de la pólvora comenzando con el proceso internacional, posteriormente la inclusión de este arte en México, y una vez colocados los aspectos históricos se realiza una evaluación internacional y nacional de la pirotecnia en la actualidad, delimitándolo posteriormente al Estado de México y finalizando con las implicaciones gubernamentales en esta entidad federativa.</w:t>
      </w:r>
    </w:p>
    <w:p>
      <w:pPr>
        <w:pStyle w:val="BodyText"/>
        <w:rPr>
          <w:sz w:val="20"/>
        </w:rPr>
      </w:pPr>
    </w:p>
    <w:p>
      <w:pPr>
        <w:pStyle w:val="BodyText"/>
        <w:rPr>
          <w:sz w:val="20"/>
        </w:rPr>
      </w:pPr>
    </w:p>
    <w:p>
      <w:pPr>
        <w:pStyle w:val="BodyText"/>
        <w:rPr>
          <w:sz w:val="29"/>
        </w:rPr>
      </w:pPr>
      <w:r>
        <w:rPr/>
        <w:drawing>
          <wp:anchor distT="0" distB="0" distL="0" distR="0" allowOverlap="1" layoutInCell="1" locked="0" behindDoc="0" simplePos="0" relativeHeight="1240">
            <wp:simplePos x="0" y="0"/>
            <wp:positionH relativeFrom="page">
              <wp:posOffset>1587119</wp:posOffset>
            </wp:positionH>
            <wp:positionV relativeFrom="paragraph">
              <wp:posOffset>236929</wp:posOffset>
            </wp:positionV>
            <wp:extent cx="5032764" cy="2184273"/>
            <wp:effectExtent l="0" t="0" r="0" b="0"/>
            <wp:wrapTopAndBottom/>
            <wp:docPr id="15" name="image6.jpeg" descr=""/>
            <wp:cNvGraphicFramePr>
              <a:graphicFrameLocks noChangeAspect="1"/>
            </wp:cNvGraphicFramePr>
            <a:graphic>
              <a:graphicData uri="http://schemas.openxmlformats.org/drawingml/2006/picture">
                <pic:pic>
                  <pic:nvPicPr>
                    <pic:cNvPr id="16" name="image6.jpeg"/>
                    <pic:cNvPicPr/>
                  </pic:nvPicPr>
                  <pic:blipFill>
                    <a:blip r:embed="rId13" cstate="print"/>
                    <a:stretch>
                      <a:fillRect/>
                    </a:stretch>
                  </pic:blipFill>
                  <pic:spPr>
                    <a:xfrm>
                      <a:off x="0" y="0"/>
                      <a:ext cx="5032764" cy="2184273"/>
                    </a:xfrm>
                    <a:prstGeom prst="rect">
                      <a:avLst/>
                    </a:prstGeom>
                  </pic:spPr>
                </pic:pic>
              </a:graphicData>
            </a:graphic>
          </wp:anchor>
        </w:drawing>
      </w:r>
    </w:p>
    <w:p>
      <w:pPr>
        <w:spacing w:before="127"/>
        <w:ind w:left="3289" w:right="9" w:firstLine="0"/>
        <w:jc w:val="left"/>
        <w:rPr>
          <w:sz w:val="20"/>
        </w:rPr>
      </w:pPr>
      <w:r>
        <w:rPr>
          <w:sz w:val="20"/>
        </w:rPr>
        <w:t>Figura 1.1. Estructura del capítulo I.</w:t>
      </w:r>
    </w:p>
    <w:p>
      <w:pPr>
        <w:spacing w:after="0"/>
        <w:jc w:val="left"/>
        <w:rPr>
          <w:sz w:val="20"/>
        </w:rPr>
        <w:sectPr>
          <w:pgSz w:w="12240" w:h="15840"/>
          <w:pgMar w:header="0" w:footer="1071" w:top="1360" w:bottom="1260" w:left="1600" w:right="1600"/>
        </w:sectPr>
      </w:pPr>
    </w:p>
    <w:p>
      <w:pPr>
        <w:pStyle w:val="Heading2"/>
        <w:numPr>
          <w:ilvl w:val="1"/>
          <w:numId w:val="2"/>
        </w:numPr>
        <w:tabs>
          <w:tab w:pos="1249" w:val="left" w:leader="none"/>
        </w:tabs>
        <w:spacing w:line="240" w:lineRule="auto" w:before="51" w:after="0"/>
        <w:ind w:left="1249" w:right="0" w:hanging="428"/>
        <w:jc w:val="left"/>
      </w:pPr>
      <w:r>
        <w:rPr/>
        <w:t>ORIGEN DEL </w:t>
      </w:r>
      <w:r>
        <w:rPr>
          <w:spacing w:val="-3"/>
        </w:rPr>
        <w:t>ARTE</w:t>
      </w:r>
      <w:r>
        <w:rPr>
          <w:spacing w:val="-14"/>
        </w:rPr>
        <w:t> </w:t>
      </w:r>
      <w:r>
        <w:rPr/>
        <w:t>PIROTECNICO.</w:t>
      </w:r>
    </w:p>
    <w:p>
      <w:pPr>
        <w:pStyle w:val="BodyText"/>
        <w:rPr>
          <w:b/>
        </w:rPr>
      </w:pPr>
    </w:p>
    <w:p>
      <w:pPr>
        <w:pStyle w:val="BodyText"/>
        <w:spacing w:before="3"/>
        <w:rPr>
          <w:b/>
        </w:rPr>
      </w:pPr>
    </w:p>
    <w:p>
      <w:pPr>
        <w:pStyle w:val="BodyText"/>
        <w:spacing w:line="360" w:lineRule="auto" w:before="1"/>
        <w:ind w:left="100" w:right="102"/>
        <w:jc w:val="both"/>
      </w:pPr>
      <w:r>
        <w:rPr/>
        <w:t>Desde la prehistoria la humanidad ha mostrado un interés creciente en los fenómenos naturales a los cuales temía o respetaba al grado de asociarlos con deidades que posteriormente serian origen de innumerables leyendas y mitos, tal es el caso del fuego. Para nuestros ancestros fue parte fundamental para la evolución de la especie ya que al aprender a manejarlo lograron no solo mejorar su alimentación sino defenderse de otras especies, por ello para las primeras culturas quienes lograban controlarlo se manifestaron como los primeros sabios y eran dignos de alcanzar jerarquías más elevadas en las sociedades</w:t>
      </w:r>
      <w:r>
        <w:rPr>
          <w:spacing w:val="-33"/>
        </w:rPr>
        <w:t> </w:t>
      </w:r>
      <w:r>
        <w:rPr/>
        <w:t>primitivas.</w:t>
      </w:r>
    </w:p>
    <w:p>
      <w:pPr>
        <w:pStyle w:val="BodyText"/>
      </w:pPr>
    </w:p>
    <w:p>
      <w:pPr>
        <w:pStyle w:val="BodyText"/>
        <w:spacing w:line="360" w:lineRule="auto" w:before="142"/>
        <w:ind w:left="100" w:right="103"/>
        <w:jc w:val="both"/>
      </w:pPr>
      <w:r>
        <w:rPr/>
        <w:t>El origen específico del manejo del fuego con fines sociales se desconoce ya que existen muchos autores que lo atribuyen a la cultura egipcia (Lancaster, 2000) quienes arrojaban sales obtenidas del rio Nilo al fuego en ceremonias religiosas logrando con ello generar humo y flamas en tonalidades verdes, sin embargo, las culturas hindúes y persas (559 al 459 a.C.) se mostraban en gran medida interesados en el uso del fuego, sin embargo la mayoría de los autores coinciden en señalar que el mayor avance fue logrado por la cultura China con el descubrimiento de la pólvora (Manochio, Lancaster, Carranza).</w:t>
      </w:r>
    </w:p>
    <w:p>
      <w:pPr>
        <w:pStyle w:val="BodyText"/>
      </w:pPr>
    </w:p>
    <w:p>
      <w:pPr>
        <w:pStyle w:val="BodyText"/>
        <w:spacing w:line="360" w:lineRule="auto" w:before="142"/>
        <w:ind w:left="100" w:right="100"/>
        <w:jc w:val="both"/>
      </w:pPr>
      <w:r>
        <w:rPr/>
        <w:t>Como muchos de los grandes inventos se le imputa un origen accidental </w:t>
      </w:r>
      <w:r>
        <w:rPr>
          <w:spacing w:val="-3"/>
        </w:rPr>
        <w:t>ya </w:t>
      </w:r>
      <w:r>
        <w:rPr/>
        <w:t>que  los componentes para fabricarlos son materiales usados en la cocina tradicional china, el carbón como combustible, el azufre y la sal de nitrato la cual se creía que tenía propiedades medicinales y era usada en cantidades no mayores a 1.3 g para conservar carne (Lancaster,</w:t>
      </w:r>
      <w:r>
        <w:rPr>
          <w:spacing w:val="-18"/>
        </w:rPr>
        <w:t> </w:t>
      </w:r>
      <w:r>
        <w:rPr/>
        <w:t>2010).</w:t>
      </w:r>
    </w:p>
    <w:p>
      <w:pPr>
        <w:pStyle w:val="BodyText"/>
      </w:pPr>
    </w:p>
    <w:p>
      <w:pPr>
        <w:pStyle w:val="BodyText"/>
        <w:spacing w:line="360" w:lineRule="auto" w:before="142"/>
        <w:ind w:left="100" w:right="99"/>
        <w:jc w:val="both"/>
      </w:pPr>
      <w:r>
        <w:rPr/>
        <w:t>Según Manochio (1992) en ciertas regiones de Asia era común la existencia de depósitos superficiales de nitrato de potasio en los suelos alejados de la costa por lo que si en algún momento los viajeros se detenían y formaban fogatas en dichos lugares  sería  un  espectáculo  curioso  observar  cómo  se  agitaba  el        fuego,</w:t>
      </w:r>
    </w:p>
    <w:p>
      <w:pPr>
        <w:spacing w:after="0" w:line="360" w:lineRule="auto"/>
        <w:jc w:val="both"/>
        <w:sectPr>
          <w:pgSz w:w="12240" w:h="15840"/>
          <w:pgMar w:header="0" w:footer="1071" w:top="1360" w:bottom="1260" w:left="1600" w:right="1600"/>
        </w:sectPr>
      </w:pPr>
    </w:p>
    <w:p>
      <w:pPr>
        <w:pStyle w:val="BodyText"/>
        <w:spacing w:line="362" w:lineRule="auto" w:before="55"/>
        <w:ind w:left="100" w:right="108"/>
        <w:jc w:val="both"/>
      </w:pPr>
      <w:r>
        <w:rPr/>
        <w:t>expulsando chispas y creando el efecto que ahora llamamos “cracker” formado por ligeras explosiones simultaneas acompañadas de destellos brillantes.</w:t>
      </w:r>
    </w:p>
    <w:p>
      <w:pPr>
        <w:pStyle w:val="BodyText"/>
      </w:pPr>
    </w:p>
    <w:p>
      <w:pPr>
        <w:pStyle w:val="BodyText"/>
        <w:spacing w:line="360" w:lineRule="auto" w:before="139"/>
        <w:ind w:left="100" w:right="107"/>
        <w:jc w:val="both"/>
      </w:pPr>
      <w:r>
        <w:rPr/>
        <w:t>El uso de la pólvora originalmente es usada en la milicia, creando los primeros artificios para ser amarrados a flechas que llegarían más lejos al ser encendidas, o de cañones fabricados con bambú disparando piedras las cuales eran impulsadas con este nuevo invento (ibíd.).</w:t>
      </w:r>
    </w:p>
    <w:p>
      <w:pPr>
        <w:pStyle w:val="BodyText"/>
      </w:pPr>
    </w:p>
    <w:p>
      <w:pPr>
        <w:pStyle w:val="BodyText"/>
        <w:spacing w:line="360" w:lineRule="auto" w:before="142"/>
        <w:ind w:left="100" w:right="104"/>
        <w:jc w:val="both"/>
      </w:pPr>
      <w:r>
        <w:rPr/>
        <w:t>La pirotecnia recreativa comienza su historia luego del manejo de la armamentística y posterior al uso por parte de los chinos se expandió a los mongoles, esto debido a las constantes batallas entabladas entre ambas culturas.</w:t>
      </w:r>
    </w:p>
    <w:p>
      <w:pPr>
        <w:pStyle w:val="BodyText"/>
      </w:pPr>
    </w:p>
    <w:p>
      <w:pPr>
        <w:pStyle w:val="BodyText"/>
        <w:spacing w:line="360" w:lineRule="auto" w:before="142"/>
        <w:ind w:left="100" w:right="102"/>
        <w:jc w:val="both"/>
      </w:pPr>
      <w:r>
        <w:rPr/>
        <w:t>Entre los años 1275 a 1292 Marco Polo y su padre vivieron en China, aprendiendo el arte de la pirotecnia y llevándolo a Europa por el </w:t>
      </w:r>
      <w:r>
        <w:rPr>
          <w:spacing w:val="-2"/>
        </w:rPr>
        <w:t>mar </w:t>
      </w:r>
      <w:r>
        <w:rPr/>
        <w:t>mediterráneo, siendo Italia uno de los primeros países en adoptar este arte, por lo que la tradición se intensifica en estas zonas. Prueba de ello es la aparición de uno de los primeros libros de pirotecnia, escrito por la familia Valle en 1524, familia que actualmente figura en el sur de Italia como una de las de mayor tradición pirotécnica  (Manochio,</w:t>
      </w:r>
      <w:r>
        <w:rPr>
          <w:spacing w:val="-12"/>
        </w:rPr>
        <w:t> </w:t>
      </w:r>
      <w:r>
        <w:rPr/>
        <w:t>1992).</w:t>
      </w:r>
    </w:p>
    <w:p>
      <w:pPr>
        <w:pStyle w:val="BodyText"/>
      </w:pPr>
    </w:p>
    <w:p>
      <w:pPr>
        <w:pStyle w:val="BodyText"/>
        <w:spacing w:line="360" w:lineRule="auto" w:before="142"/>
        <w:ind w:left="100" w:right="103"/>
        <w:jc w:val="both"/>
      </w:pPr>
      <w:r>
        <w:rPr/>
        <w:t>Durante los siglos 14 a 16 la pirotecnia sufre un periodo de uso constante en festividades religiosas, sin embargo no hay cambios en los materiales y procesos de fabricación, incluso existe poca documentación que mencione la pirotecnia recreativa durante este periodo. En 1635 aparece uno de los primeros libros escritos en Inglés donde se describían metodologías para la fabricación de pirotecnia, posterior a ello no existen avances documentados en la elaboración de nuevos productos en casi un siglo.</w:t>
      </w:r>
    </w:p>
    <w:p>
      <w:pPr>
        <w:spacing w:after="0" w:line="360" w:lineRule="auto"/>
        <w:jc w:val="both"/>
        <w:sectPr>
          <w:pgSz w:w="12240" w:h="15840"/>
          <w:pgMar w:header="0" w:footer="1071" w:top="1360" w:bottom="1260" w:left="1600" w:right="1600"/>
        </w:sectPr>
      </w:pPr>
    </w:p>
    <w:p>
      <w:pPr>
        <w:pStyle w:val="BodyText"/>
        <w:ind w:left="2055"/>
        <w:rPr>
          <w:sz w:val="20"/>
        </w:rPr>
      </w:pPr>
      <w:r>
        <w:rPr>
          <w:sz w:val="20"/>
        </w:rPr>
        <w:drawing>
          <wp:inline distT="0" distB="0" distL="0" distR="0">
            <wp:extent cx="3575192" cy="5002149"/>
            <wp:effectExtent l="0" t="0" r="0" b="0"/>
            <wp:docPr id="17" name="image7.jpeg" descr=""/>
            <wp:cNvGraphicFramePr>
              <a:graphicFrameLocks noChangeAspect="1"/>
            </wp:cNvGraphicFramePr>
            <a:graphic>
              <a:graphicData uri="http://schemas.openxmlformats.org/drawingml/2006/picture">
                <pic:pic>
                  <pic:nvPicPr>
                    <pic:cNvPr id="18" name="image7.jpeg"/>
                    <pic:cNvPicPr/>
                  </pic:nvPicPr>
                  <pic:blipFill>
                    <a:blip r:embed="rId14" cstate="print"/>
                    <a:stretch>
                      <a:fillRect/>
                    </a:stretch>
                  </pic:blipFill>
                  <pic:spPr>
                    <a:xfrm>
                      <a:off x="0" y="0"/>
                      <a:ext cx="3575192" cy="5002149"/>
                    </a:xfrm>
                    <a:prstGeom prst="rect">
                      <a:avLst/>
                    </a:prstGeom>
                  </pic:spPr>
                </pic:pic>
              </a:graphicData>
            </a:graphic>
          </wp:inline>
        </w:drawing>
      </w:r>
      <w:r>
        <w:rPr>
          <w:sz w:val="20"/>
        </w:rPr>
      </w:r>
    </w:p>
    <w:p>
      <w:pPr>
        <w:spacing w:before="97"/>
        <w:ind w:left="1533" w:right="9" w:firstLine="0"/>
        <w:jc w:val="left"/>
        <w:rPr>
          <w:sz w:val="20"/>
        </w:rPr>
      </w:pPr>
      <w:r>
        <w:rPr>
          <w:sz w:val="20"/>
        </w:rPr>
        <w:t>Figura 1.2. Pirotécnico italiano del siglo XVI. (Pirotecnia Mexiquense, 2008)</w:t>
      </w:r>
    </w:p>
    <w:p>
      <w:pPr>
        <w:pStyle w:val="BodyText"/>
        <w:rPr>
          <w:sz w:val="20"/>
        </w:rPr>
      </w:pPr>
    </w:p>
    <w:p>
      <w:pPr>
        <w:pStyle w:val="BodyText"/>
        <w:spacing w:before="11"/>
        <w:rPr>
          <w:sz w:val="25"/>
        </w:rPr>
      </w:pPr>
    </w:p>
    <w:p>
      <w:pPr>
        <w:pStyle w:val="BodyText"/>
        <w:spacing w:line="360" w:lineRule="auto"/>
        <w:ind w:left="100" w:right="98"/>
        <w:jc w:val="both"/>
      </w:pPr>
      <w:r>
        <w:rPr/>
        <w:t>Para 1739 la familia Ruggieri de Bologna Italia, presentan un espectáculo pirotécnico usando dispositivos móviles nunca vistos hasta entonces y genera la aparición de primeros colores en base a clorato (clorato de amonio), sin embargo no es sino hasta 1786 cuando Berthollet prepara clorato de potasio, producto que cambiaría radicalmente la forma de elaborar colores en pirotecnia. Fue hasta el primer cuarto del siglo XIX cuando se inició la etapa moderna de la pirotecnia, gracias al francés Chertier, quien empleó dos nuevos agentes químicos en las composiciones de los fuegos artificiales: el clorato de potasio y el nitrato de estroncio (Pirotecnia mexiquense, 2008). En 1823 se publica en el “American Journal of Science” el uso de clorato de potasio para la elaboración de pirotecnia.</w:t>
      </w:r>
    </w:p>
    <w:p>
      <w:pPr>
        <w:spacing w:after="0" w:line="360" w:lineRule="auto"/>
        <w:jc w:val="both"/>
        <w:sectPr>
          <w:pgSz w:w="12240" w:h="15840"/>
          <w:pgMar w:header="0" w:footer="1071" w:top="1440" w:bottom="1260" w:left="1600" w:right="1600"/>
        </w:sectPr>
      </w:pPr>
    </w:p>
    <w:p>
      <w:pPr>
        <w:pStyle w:val="BodyText"/>
        <w:spacing w:before="10"/>
        <w:rPr>
          <w:sz w:val="28"/>
        </w:rPr>
      </w:pPr>
    </w:p>
    <w:p>
      <w:pPr>
        <w:pStyle w:val="BodyText"/>
        <w:ind w:left="131" w:right="-8"/>
        <w:rPr>
          <w:sz w:val="20"/>
        </w:rPr>
      </w:pPr>
      <w:r>
        <w:rPr>
          <w:sz w:val="20"/>
        </w:rPr>
        <w:drawing>
          <wp:inline distT="0" distB="0" distL="0" distR="0">
            <wp:extent cx="5661937" cy="3981450"/>
            <wp:effectExtent l="0" t="0" r="0" b="0"/>
            <wp:docPr id="19" name="image8.jpeg" descr=""/>
            <wp:cNvGraphicFramePr>
              <a:graphicFrameLocks noChangeAspect="1"/>
            </wp:cNvGraphicFramePr>
            <a:graphic>
              <a:graphicData uri="http://schemas.openxmlformats.org/drawingml/2006/picture">
                <pic:pic>
                  <pic:nvPicPr>
                    <pic:cNvPr id="20" name="image8.jpeg"/>
                    <pic:cNvPicPr/>
                  </pic:nvPicPr>
                  <pic:blipFill>
                    <a:blip r:embed="rId15" cstate="print"/>
                    <a:stretch>
                      <a:fillRect/>
                    </a:stretch>
                  </pic:blipFill>
                  <pic:spPr>
                    <a:xfrm>
                      <a:off x="0" y="0"/>
                      <a:ext cx="5661937" cy="3981450"/>
                    </a:xfrm>
                    <a:prstGeom prst="rect">
                      <a:avLst/>
                    </a:prstGeom>
                  </pic:spPr>
                </pic:pic>
              </a:graphicData>
            </a:graphic>
          </wp:inline>
        </w:drawing>
      </w:r>
      <w:r>
        <w:rPr>
          <w:sz w:val="20"/>
        </w:rPr>
      </w:r>
    </w:p>
    <w:p>
      <w:pPr>
        <w:spacing w:before="80"/>
        <w:ind w:left="376" w:right="0" w:firstLine="0"/>
        <w:jc w:val="left"/>
        <w:rPr>
          <w:sz w:val="20"/>
        </w:rPr>
      </w:pPr>
      <w:r>
        <w:rPr>
          <w:sz w:val="20"/>
        </w:rPr>
        <w:t>Figura 1.3. Detalle de “Artificier” publicado en 1770 en Francia, obtenido de Manochio (1992).</w:t>
      </w:r>
    </w:p>
    <w:p>
      <w:pPr>
        <w:pStyle w:val="BodyText"/>
        <w:rPr>
          <w:sz w:val="20"/>
        </w:rPr>
      </w:pPr>
    </w:p>
    <w:p>
      <w:pPr>
        <w:pStyle w:val="BodyText"/>
        <w:spacing w:before="3"/>
        <w:rPr>
          <w:sz w:val="26"/>
        </w:rPr>
      </w:pPr>
    </w:p>
    <w:p>
      <w:pPr>
        <w:pStyle w:val="BodyText"/>
        <w:spacing w:line="360" w:lineRule="auto"/>
        <w:ind w:left="100" w:right="143"/>
        <w:jc w:val="both"/>
      </w:pPr>
      <w:r>
        <w:rPr/>
        <w:t>La carrera por la innovación de pirotecnia tiene entonces avances cada vez </w:t>
      </w:r>
      <w:r>
        <w:rPr>
          <w:spacing w:val="-2"/>
        </w:rPr>
        <w:t>más </w:t>
      </w:r>
      <w:r>
        <w:rPr/>
        <w:t>constantes, en 1864 se patentan las primeras prensas especializadas en pirotecnia, en 1865 se descubren las propiedades del magnesio para la  generación de chispas y trueno, el cual comienza su historia pirotécnica hasta 1880.</w:t>
      </w:r>
    </w:p>
    <w:p>
      <w:pPr>
        <w:pStyle w:val="BodyText"/>
      </w:pPr>
    </w:p>
    <w:p>
      <w:pPr>
        <w:pStyle w:val="BodyText"/>
        <w:spacing w:line="360" w:lineRule="auto" w:before="142"/>
        <w:ind w:left="100" w:right="142"/>
        <w:jc w:val="both"/>
      </w:pPr>
      <w:r>
        <w:rPr/>
        <w:t>En 1872 se publican fórmulas para elaboración de colores con menor generación de humos y de igual manera son fabricados los primeros dispositivos con composiciones que emitían silbidos al reaccionar.</w:t>
      </w:r>
    </w:p>
    <w:p>
      <w:pPr>
        <w:pStyle w:val="BodyText"/>
      </w:pPr>
    </w:p>
    <w:p>
      <w:pPr>
        <w:pStyle w:val="BodyText"/>
        <w:spacing w:line="360" w:lineRule="auto" w:before="142"/>
        <w:ind w:left="100" w:right="145"/>
        <w:jc w:val="both"/>
      </w:pPr>
      <w:r>
        <w:rPr/>
        <w:t>Para 1894 se añade el aluminio para las fórmulas abrillantadoras, comenzando de igual manera con la problemática de la corrosión en las sustancias utilizadas, problema  que  es  abordado  casi  50  años  después,  durante  el  periodo  de   la</w:t>
      </w:r>
    </w:p>
    <w:p>
      <w:pPr>
        <w:spacing w:after="0" w:line="360" w:lineRule="auto"/>
        <w:jc w:val="both"/>
        <w:sectPr>
          <w:pgSz w:w="12240" w:h="15840"/>
          <w:pgMar w:header="0" w:footer="1071" w:top="1500" w:bottom="1260" w:left="1600" w:right="1560"/>
        </w:sectPr>
      </w:pPr>
    </w:p>
    <w:p>
      <w:pPr>
        <w:pStyle w:val="BodyText"/>
        <w:spacing w:line="360" w:lineRule="auto" w:before="55"/>
        <w:ind w:left="100" w:right="102"/>
        <w:jc w:val="both"/>
      </w:pPr>
      <w:r>
        <w:rPr/>
        <w:t>segunda guerra mundial, el cual se caracteriza por un nuevo estancamiento de la pirotecnia recreativa, sin embargo con la investigación en nuevos armamentos, combustibles y tecnología bélica se logran avances indirectos al arte pirotécnico (Manochio, 1992).</w:t>
      </w:r>
    </w:p>
    <w:p>
      <w:pPr>
        <w:pStyle w:val="BodyText"/>
      </w:pPr>
    </w:p>
    <w:p>
      <w:pPr>
        <w:pStyle w:val="BodyText"/>
        <w:spacing w:line="360" w:lineRule="auto" w:before="142"/>
        <w:ind w:left="100" w:right="104"/>
        <w:jc w:val="both"/>
      </w:pPr>
      <w:r>
        <w:rPr/>
        <w:t>Thomas G. Hitt, en 1916 experimentó con el uso de metales y logra formular la pólvora de “flash”, esta es utilizada originalmente con fines fotográficos, sin embargo no pasa mucho tiempo antes de que los pirotécnicos chinos la adoptaran para la creación de petardos. La formula estaba constituida en base a una mezcla de magnesio, aluminio y algunos componentes oxidantes, los cuales al ser incluidos en artificios píricos el estruendo obtenido era mucho mayor al obtenido con el uso de la pólvora negra (Carranza, 2000).</w:t>
      </w:r>
    </w:p>
    <w:p>
      <w:pPr>
        <w:pStyle w:val="BodyText"/>
      </w:pPr>
    </w:p>
    <w:p>
      <w:pPr>
        <w:pStyle w:val="BodyText"/>
        <w:spacing w:line="360" w:lineRule="auto" w:before="142"/>
        <w:ind w:left="100" w:right="101"/>
        <w:jc w:val="both"/>
      </w:pPr>
      <w:r>
        <w:rPr/>
        <w:t>En la década de 1960 se implementan materiales con componentes altamente perjudiciales a la salud, entre los que destacan el llamado verde parís, que contiene arsénico, el calomel (oxido de mercurio) y el minio (oxido de plomo), junto con los cuales se inicia el manejo del titanio en composiciones brillantes y el uso de estabilizantes en metales como el ácido bórico y gomas</w:t>
      </w:r>
      <w:r>
        <w:rPr>
          <w:spacing w:val="-31"/>
        </w:rPr>
        <w:t> </w:t>
      </w:r>
      <w:r>
        <w:rPr/>
        <w:t>epóxicas.</w:t>
      </w:r>
    </w:p>
    <w:p>
      <w:pPr>
        <w:pStyle w:val="BodyText"/>
      </w:pPr>
    </w:p>
    <w:p>
      <w:pPr>
        <w:pStyle w:val="BodyText"/>
        <w:spacing w:line="360" w:lineRule="auto" w:before="142"/>
        <w:ind w:left="100" w:right="104"/>
        <w:jc w:val="both"/>
      </w:pPr>
      <w:r>
        <w:rPr/>
        <w:t>Posterior a ello en función de incrementar los efectos de luminosidad se comenzó a utilizar componentes abrillantadores como fueron el hexaclorobenceno, o hexacloroetano, con lo que los riesgos por manejo de materiales químicos se incrementó dado el carácter cancerígeno de dichos componentes</w:t>
      </w:r>
      <w:r>
        <w:rPr>
          <w:spacing w:val="-34"/>
        </w:rPr>
        <w:t> </w:t>
      </w:r>
      <w:r>
        <w:rPr/>
        <w:t>clorados.</w:t>
      </w:r>
    </w:p>
    <w:p>
      <w:pPr>
        <w:pStyle w:val="BodyText"/>
      </w:pPr>
    </w:p>
    <w:p>
      <w:pPr>
        <w:pStyle w:val="BodyText"/>
        <w:spacing w:line="360" w:lineRule="auto" w:before="142"/>
        <w:ind w:left="100" w:right="105"/>
        <w:jc w:val="both"/>
      </w:pPr>
      <w:r>
        <w:rPr/>
        <w:t>En la actualidad muchos maestros pirotécnicos niegan el uso de materiales como el verde parís, el calomel o el minio, y comentan que ya han sustituido los abrillantadores como el hexaclorobenceno, sin embargo en visitas a centros de trabajo se han encontrado restos de empaques de dichos productos en basura común con lo cual se rechaza la concepción de ser productos obsoletos.</w:t>
      </w:r>
    </w:p>
    <w:p>
      <w:pPr>
        <w:spacing w:after="0" w:line="360" w:lineRule="auto"/>
        <w:jc w:val="both"/>
        <w:sectPr>
          <w:pgSz w:w="12240" w:h="15840"/>
          <w:pgMar w:header="0" w:footer="1071" w:top="1360" w:bottom="1260" w:left="1600" w:right="1600"/>
        </w:sectPr>
      </w:pPr>
    </w:p>
    <w:p>
      <w:pPr>
        <w:pStyle w:val="Heading2"/>
        <w:numPr>
          <w:ilvl w:val="1"/>
          <w:numId w:val="2"/>
        </w:numPr>
        <w:tabs>
          <w:tab w:pos="1209" w:val="left" w:leader="none"/>
        </w:tabs>
        <w:spacing w:line="240" w:lineRule="auto" w:before="51" w:after="0"/>
        <w:ind w:left="1209" w:right="0" w:hanging="400"/>
        <w:jc w:val="left"/>
      </w:pPr>
      <w:r>
        <w:rPr/>
        <w:t>HISTORIA DE </w:t>
      </w:r>
      <w:r>
        <w:rPr>
          <w:spacing w:val="2"/>
        </w:rPr>
        <w:t>LA </w:t>
      </w:r>
      <w:r>
        <w:rPr/>
        <w:t>PIROTECNIA</w:t>
      </w:r>
      <w:r>
        <w:rPr>
          <w:spacing w:val="-18"/>
        </w:rPr>
        <w:t> </w:t>
      </w:r>
      <w:r>
        <w:rPr/>
        <w:t>MEXICANA</w:t>
      </w:r>
    </w:p>
    <w:p>
      <w:pPr>
        <w:pStyle w:val="BodyText"/>
        <w:rPr>
          <w:b/>
        </w:rPr>
      </w:pPr>
    </w:p>
    <w:p>
      <w:pPr>
        <w:pStyle w:val="BodyText"/>
        <w:spacing w:before="3"/>
        <w:rPr>
          <w:b/>
        </w:rPr>
      </w:pPr>
    </w:p>
    <w:p>
      <w:pPr>
        <w:pStyle w:val="BodyText"/>
        <w:spacing w:line="360" w:lineRule="auto" w:before="1"/>
        <w:ind w:left="100" w:right="98"/>
        <w:jc w:val="both"/>
      </w:pPr>
      <w:r>
        <w:rPr/>
        <w:t>La pirotecnia como la conocemos actualmente tiene su introducción en América con la conquista española, sin embargo el arraigo que presenta actualmente tiene explicaciones que datan de las culturas que poblaban este continente mucho  antes de la época del descubrimiento y conquista de América. Para el caso específico de las culturas asentadas en lo que hoy es México el manejo del fuego representaba un culto importante, por ello el sol era considerado </w:t>
      </w:r>
      <w:r>
        <w:rPr>
          <w:spacing w:val="2"/>
        </w:rPr>
        <w:t>como </w:t>
      </w:r>
      <w:r>
        <w:rPr/>
        <w:t>una deidad y en su honor se ofrecían diversas celebraciones y rituales (López,</w:t>
      </w:r>
      <w:r>
        <w:rPr>
          <w:spacing w:val="-39"/>
        </w:rPr>
        <w:t> </w:t>
      </w:r>
      <w:r>
        <w:rPr/>
        <w:t>2000).</w:t>
      </w:r>
    </w:p>
    <w:p>
      <w:pPr>
        <w:pStyle w:val="BodyText"/>
      </w:pPr>
    </w:p>
    <w:p>
      <w:pPr>
        <w:pStyle w:val="BodyText"/>
        <w:spacing w:line="360" w:lineRule="auto" w:before="142"/>
        <w:ind w:left="100" w:right="105"/>
        <w:jc w:val="both"/>
      </w:pPr>
      <w:r>
        <w:rPr/>
        <w:t>Para la cultura Maya existían ciclos que duraban 52 años y al término de cada uno de ellos se rendía culto al dios Xiuhtecuhtli, llamado también el “Dios Viejo”,  deidad del fuego quien permitía que el inicio de cada periodo trajera bonanza para el pueblo maya por lo que su celebración era fundamental ofertando sacrificios en ceremonias rituales en su</w:t>
      </w:r>
      <w:r>
        <w:rPr>
          <w:spacing w:val="-17"/>
        </w:rPr>
        <w:t> </w:t>
      </w:r>
      <w:r>
        <w:rPr/>
        <w:t>honor.</w:t>
      </w:r>
    </w:p>
    <w:p>
      <w:pPr>
        <w:pStyle w:val="BodyText"/>
      </w:pPr>
    </w:p>
    <w:p>
      <w:pPr>
        <w:pStyle w:val="BodyText"/>
        <w:spacing w:line="360" w:lineRule="auto" w:before="142"/>
        <w:ind w:left="100" w:right="104"/>
        <w:jc w:val="both"/>
      </w:pPr>
      <w:r>
        <w:rPr/>
        <w:t>Muchos otros mitos giran alrededor del fuego, incluso la despedida del dios Quetzalcóatl es mediante su incineración planteando uno de los presagios de retorno en la aparición de bolas de fuego que alumbrarían el cielo nocturno. En códices aztecas también aparece el culto al fuego, prueba de ello es el códice Boturini o “tira de la peregrinación” en el cual durante el trayecto que realizan de Aztlán a la tierra prometida por el dios Texcaltipoca, realizan ceremonias llamadas de “encendido del fuego nuevo” mostrando la importancia social de este preciado elemento.</w:t>
      </w:r>
    </w:p>
    <w:p>
      <w:pPr>
        <w:pStyle w:val="BodyText"/>
      </w:pPr>
    </w:p>
    <w:p>
      <w:pPr>
        <w:pStyle w:val="BodyText"/>
        <w:spacing w:line="360" w:lineRule="auto" w:before="142"/>
        <w:ind w:left="100" w:right="105"/>
        <w:jc w:val="both"/>
      </w:pPr>
      <w:r>
        <w:rPr/>
        <w:t>Por lo mostrado con anterioridad no es de extrañarse que a la llegada de los españoles al territorio mexicano los nativos se sorprendieran y adoptaran con fervor el manejo del fuego para sus celebraciones cívico religiosas.</w:t>
      </w:r>
    </w:p>
    <w:p>
      <w:pPr>
        <w:pStyle w:val="BodyText"/>
      </w:pPr>
    </w:p>
    <w:p>
      <w:pPr>
        <w:pStyle w:val="BodyText"/>
        <w:spacing w:line="362" w:lineRule="auto" w:before="138"/>
        <w:ind w:left="100" w:right="103"/>
        <w:jc w:val="both"/>
      </w:pPr>
      <w:r>
        <w:rPr/>
        <w:t>Durante la conquista española la pirotecnia juega un papel bélico, manteniendo el uso de la pólvora para el funcionamiento de los mosquetes y cañones con los  que</w:t>
      </w:r>
    </w:p>
    <w:p>
      <w:pPr>
        <w:spacing w:after="0" w:line="362" w:lineRule="auto"/>
        <w:jc w:val="both"/>
        <w:sectPr>
          <w:pgSz w:w="12240" w:h="15840"/>
          <w:pgMar w:header="0" w:footer="1071" w:top="1360" w:bottom="1260" w:left="1600" w:right="1600"/>
        </w:sectPr>
      </w:pPr>
    </w:p>
    <w:p>
      <w:pPr>
        <w:pStyle w:val="BodyText"/>
        <w:spacing w:line="360" w:lineRule="auto" w:before="55"/>
        <w:ind w:left="100" w:right="98"/>
        <w:jc w:val="both"/>
      </w:pPr>
      <w:r>
        <w:rPr/>
        <w:t>se realizaría el ataque a los pueblos oriundos. Obtener los componentes para fabricar la pólvora no representaría ningún problema para los conquistadores ya que podrían usar salitre conseguido de las orillas del lago de Texcoco, carbón de los bosques circundantes y azufre extraído del volcán Popocatepetl, con lo que Hernán Cortés llevaría a cabo su campaña. El cronista Baltasar Dorantes de Carranza refiere que entre los conquistadores que subieron al volcán estaban Diego de Ordaz, Diego Hernández Nieto y Francisco Montaño, quienes posteriormente se establecerían como los primeros “polvoristas” (Córdoba, 2000).</w:t>
      </w:r>
    </w:p>
    <w:p>
      <w:pPr>
        <w:pStyle w:val="BodyText"/>
      </w:pPr>
    </w:p>
    <w:p>
      <w:pPr>
        <w:pStyle w:val="BodyText"/>
        <w:spacing w:line="360" w:lineRule="auto" w:before="142"/>
        <w:ind w:left="100" w:right="101"/>
        <w:jc w:val="both"/>
      </w:pPr>
      <w:r>
        <w:rPr/>
        <w:t>Una vez consumada la conquista española comenzaría la tarea de las diversas órdenes religiosas para la conversión del pueblo oriundo, y para ello se utilizó de nuevo a la pirotecnia, esta vez en espectáculos que amedrentaban a los nativos, creando con ello una asociación de la pirotecnia con los festejos religiosos que a  la fecha se conserva como uno de los principales usos de la pirotecnia. Por ello, para el siglo XII la pirotecnia en México se desarrolla de formas cada vez </w:t>
      </w:r>
      <w:r>
        <w:rPr>
          <w:spacing w:val="-2"/>
        </w:rPr>
        <w:t>más </w:t>
      </w:r>
      <w:r>
        <w:rPr/>
        <w:t>ingeniosas y su avance es a tal grado que para el siglo XIII se había difundido la tradición pirotécnica en medios rurales e indígenas de todo el país, ampliándose a festejos cívico religiosos y sociales (Carranza,</w:t>
      </w:r>
      <w:r>
        <w:rPr>
          <w:spacing w:val="-32"/>
        </w:rPr>
        <w:t> </w:t>
      </w:r>
      <w:r>
        <w:rPr/>
        <w:t>2000).</w:t>
      </w:r>
    </w:p>
    <w:p>
      <w:pPr>
        <w:pStyle w:val="BodyText"/>
      </w:pPr>
    </w:p>
    <w:p>
      <w:pPr>
        <w:pStyle w:val="BodyText"/>
        <w:spacing w:line="360" w:lineRule="auto" w:before="142"/>
        <w:ind w:left="100" w:right="99"/>
        <w:jc w:val="both"/>
      </w:pPr>
      <w:r>
        <w:rPr/>
        <w:t>La producción de pólvora fue controlada por el gobierno virreinal desde los inicios de la colonia, y monopolizada por la Corona española desde 1590. La primer fábrica de pólvora se estableció en Chapultepec en 1600, y es trasladada fuera de la ciudad en 1776 (Córdoba, 2000), para Inés Carranza (2000) esto representa  una estancamiento de esta actividad al existir una única fábrica de pólvora, dirigiendo su uso principalmente en guerra y minería y en segundo término para la manufactura de cohetes y fuegos de artificio, sin embargo comenta que estas acciones no alcanzaron a controlar la fabricación de este polvo, </w:t>
      </w:r>
      <w:r>
        <w:rPr>
          <w:spacing w:val="-3"/>
        </w:rPr>
        <w:t>ya </w:t>
      </w:r>
      <w:r>
        <w:rPr/>
        <w:t>que para entonces se fabricaba y vendía en grandes cantidades de forma</w:t>
      </w:r>
      <w:r>
        <w:rPr>
          <w:spacing w:val="-40"/>
        </w:rPr>
        <w:t> </w:t>
      </w:r>
      <w:r>
        <w:rPr/>
        <w:t>clandestina.</w:t>
      </w:r>
    </w:p>
    <w:p>
      <w:pPr>
        <w:pStyle w:val="BodyText"/>
      </w:pPr>
    </w:p>
    <w:p>
      <w:pPr>
        <w:pStyle w:val="BodyText"/>
        <w:spacing w:line="362" w:lineRule="auto" w:before="138"/>
        <w:ind w:left="100" w:right="98"/>
        <w:jc w:val="both"/>
      </w:pPr>
      <w:r>
        <w:rPr/>
        <w:t>La tradición y uso de la pólvora se arraigó en el centro del país donde se empezaron a formar los primeros pirotécnicos ya que en esta zona se encontraban</w:t>
      </w:r>
    </w:p>
    <w:p>
      <w:pPr>
        <w:spacing w:after="0" w:line="362" w:lineRule="auto"/>
        <w:jc w:val="both"/>
        <w:sectPr>
          <w:pgSz w:w="12240" w:h="15840"/>
          <w:pgMar w:header="0" w:footer="1071" w:top="1360" w:bottom="1260" w:left="1600" w:right="1600"/>
        </w:sectPr>
      </w:pPr>
    </w:p>
    <w:p>
      <w:pPr>
        <w:pStyle w:val="BodyText"/>
        <w:spacing w:line="360" w:lineRule="auto" w:before="55"/>
        <w:ind w:left="100" w:right="121"/>
        <w:jc w:val="both"/>
      </w:pPr>
      <w:r>
        <w:rPr/>
        <w:t>las materias primas para su fabricación como el azufre en el cráter del volcán Popocatepetl y las sales que provenían de las costas de Guerrero o de la tierra de los purépechas de la costa del Pacífico y el carbón de los bosques que rodeaban al lago de Texcoco, asentándose en la Ciudad de México y sus alrededores, en los barrios de Coyoacán, Xochimilco, Cuautitlán, Texcoco y Zumpango (Martínez, 1983).</w:t>
      </w:r>
    </w:p>
    <w:p>
      <w:pPr>
        <w:pStyle w:val="BodyText"/>
        <w:rPr>
          <w:sz w:val="20"/>
        </w:rPr>
      </w:pPr>
    </w:p>
    <w:p>
      <w:pPr>
        <w:pStyle w:val="BodyText"/>
        <w:spacing w:before="11"/>
        <w:rPr>
          <w:sz w:val="12"/>
        </w:rPr>
      </w:pPr>
      <w:r>
        <w:rPr/>
        <w:drawing>
          <wp:anchor distT="0" distB="0" distL="0" distR="0" allowOverlap="1" layoutInCell="1" locked="0" behindDoc="0" simplePos="0" relativeHeight="1264">
            <wp:simplePos x="0" y="0"/>
            <wp:positionH relativeFrom="page">
              <wp:posOffset>1968500</wp:posOffset>
            </wp:positionH>
            <wp:positionV relativeFrom="paragraph">
              <wp:posOffset>119441</wp:posOffset>
            </wp:positionV>
            <wp:extent cx="4312294" cy="2929508"/>
            <wp:effectExtent l="0" t="0" r="0" b="0"/>
            <wp:wrapTopAndBottom/>
            <wp:docPr id="23" name="image9.jpeg" descr=""/>
            <wp:cNvGraphicFramePr>
              <a:graphicFrameLocks noChangeAspect="1"/>
            </wp:cNvGraphicFramePr>
            <a:graphic>
              <a:graphicData uri="http://schemas.openxmlformats.org/drawingml/2006/picture">
                <pic:pic>
                  <pic:nvPicPr>
                    <pic:cNvPr id="24" name="image9.jpeg"/>
                    <pic:cNvPicPr/>
                  </pic:nvPicPr>
                  <pic:blipFill>
                    <a:blip r:embed="rId17" cstate="print"/>
                    <a:stretch>
                      <a:fillRect/>
                    </a:stretch>
                  </pic:blipFill>
                  <pic:spPr>
                    <a:xfrm>
                      <a:off x="0" y="0"/>
                      <a:ext cx="4312294" cy="2929508"/>
                    </a:xfrm>
                    <a:prstGeom prst="rect">
                      <a:avLst/>
                    </a:prstGeom>
                  </pic:spPr>
                </pic:pic>
              </a:graphicData>
            </a:graphic>
          </wp:anchor>
        </w:drawing>
      </w:r>
    </w:p>
    <w:p>
      <w:pPr>
        <w:spacing w:before="96"/>
        <w:ind w:left="3149" w:right="0" w:firstLine="0"/>
        <w:jc w:val="left"/>
        <w:rPr>
          <w:sz w:val="20"/>
        </w:rPr>
      </w:pPr>
      <w:r>
        <w:rPr>
          <w:sz w:val="20"/>
        </w:rPr>
        <w:t>Figura 1.4. Pirotécnicos de Zumpango.</w:t>
      </w:r>
    </w:p>
    <w:p>
      <w:pPr>
        <w:pStyle w:val="BodyText"/>
        <w:rPr>
          <w:sz w:val="20"/>
        </w:rPr>
      </w:pPr>
    </w:p>
    <w:p>
      <w:pPr>
        <w:pStyle w:val="BodyText"/>
        <w:spacing w:before="3"/>
        <w:rPr>
          <w:sz w:val="26"/>
        </w:rPr>
      </w:pPr>
    </w:p>
    <w:p>
      <w:pPr>
        <w:pStyle w:val="BodyText"/>
        <w:spacing w:line="360" w:lineRule="auto" w:before="1"/>
        <w:ind w:left="100" w:right="120"/>
        <w:jc w:val="both"/>
      </w:pPr>
      <w:r>
        <w:rPr/>
        <w:t>El primer artificio que se fabricó fue el cohetón que en la actualidad no ha variado mucho en su manufactura, desde el hilado y con vara de monte hasta la actualidad, con capuchón de plástico y palillo</w:t>
      </w:r>
      <w:r>
        <w:rPr>
          <w:spacing w:val="-39"/>
        </w:rPr>
        <w:t> </w:t>
      </w:r>
      <w:r>
        <w:rPr/>
        <w:t>industrializado.</w:t>
      </w:r>
    </w:p>
    <w:p>
      <w:pPr>
        <w:pStyle w:val="BodyText"/>
      </w:pPr>
    </w:p>
    <w:p>
      <w:pPr>
        <w:pStyle w:val="BodyText"/>
        <w:spacing w:line="360" w:lineRule="auto" w:before="142"/>
        <w:ind w:left="100" w:right="116"/>
        <w:jc w:val="both"/>
      </w:pPr>
      <w:r>
        <w:rPr/>
        <w:t>Los españoles trajeron el principio de la rueda pirotécnica pero debido a las necesidades y la maestría de los primeros pirotécnicos mexicanos conllevó a formar ruedas de diferentes tamaños montadas primero en troncos de árboles, posteriormente en polines y después en morillos de hasta 18 m de altura.</w:t>
      </w:r>
    </w:p>
    <w:p>
      <w:pPr>
        <w:spacing w:after="0" w:line="360" w:lineRule="auto"/>
        <w:jc w:val="both"/>
        <w:sectPr>
          <w:footerReference w:type="default" r:id="rId16"/>
          <w:pgSz w:w="12240" w:h="15840"/>
          <w:pgMar w:footer="1071" w:header="0" w:top="1360" w:bottom="1260" w:left="1600" w:right="1580"/>
        </w:sectPr>
      </w:pPr>
    </w:p>
    <w:p>
      <w:pPr>
        <w:pStyle w:val="BodyText"/>
        <w:spacing w:line="360" w:lineRule="auto" w:before="55"/>
        <w:ind w:left="100" w:right="106"/>
        <w:jc w:val="both"/>
      </w:pPr>
      <w:r>
        <w:rPr/>
        <w:t>Este tipo de pirotecnia se fue perfeccionando con los años hasta construir una  gran variedad de formas, con ello empieza la separación de la pirotecnia española con la tradición mexicana del</w:t>
      </w:r>
      <w:r>
        <w:rPr>
          <w:spacing w:val="-23"/>
        </w:rPr>
        <w:t> </w:t>
      </w:r>
      <w:r>
        <w:rPr/>
        <w:t>castillo.</w:t>
      </w:r>
    </w:p>
    <w:p>
      <w:pPr>
        <w:pStyle w:val="BodyText"/>
      </w:pPr>
    </w:p>
    <w:p>
      <w:pPr>
        <w:pStyle w:val="BodyText"/>
        <w:spacing w:line="360" w:lineRule="auto" w:before="142"/>
        <w:ind w:left="100" w:right="99"/>
        <w:jc w:val="both"/>
      </w:pPr>
      <w:r>
        <w:rPr/>
        <w:t>Otra tradición que empezó a tomar fuerza fue la aparición de los Judas, muñecos elaborados de carrizo y papel con forma demoniaca cuyos explosivos y propulsores hacían girar y destruir el muñeco, en la actualidad esta tradición se está perdiendo, sin embargo hay esfuerzos de diferentes organismos para rescatarla con la elaboración de concursos de judas en: Toluca, San Luis Potosí, Tultepec entre otros.</w:t>
      </w:r>
    </w:p>
    <w:p>
      <w:pPr>
        <w:pStyle w:val="BodyText"/>
      </w:pPr>
    </w:p>
    <w:p>
      <w:pPr>
        <w:pStyle w:val="BodyText"/>
        <w:spacing w:line="360" w:lineRule="auto" w:before="142"/>
        <w:ind w:left="100" w:right="101"/>
        <w:jc w:val="both"/>
      </w:pPr>
      <w:r>
        <w:rPr/>
        <w:t>Después de la independencia, la pirotecnia mexicana sufrió un estancamiento </w:t>
      </w:r>
      <w:r>
        <w:rPr>
          <w:spacing w:val="-3"/>
        </w:rPr>
        <w:t>ya </w:t>
      </w:r>
      <w:r>
        <w:rPr/>
        <w:t>que el contacto con Europa fue nulo en cuanto a esta actividad, por lo que los artesanos empezaron a desarrollar nuevos productos, con la introducción del clorato se empezaron a formular los primeros colores básicos y con ello la aparición de las ruedas con figuras complejas y cada vez </w:t>
      </w:r>
      <w:r>
        <w:rPr>
          <w:spacing w:val="-2"/>
        </w:rPr>
        <w:t>más </w:t>
      </w:r>
      <w:r>
        <w:rPr/>
        <w:t>grandes, lo que orilló a los artesanos pirotécnicos del centro del país a buscar nuevas estructuras donde montarlas, estructurando así el primer Castillo de torre en Zumpango, Edo de México de donde se propago a los municipios cercanos de Tultepec, Ecatepec, Texcoco, Almoloya de Juárez y Toluca (Carranza,</w:t>
      </w:r>
      <w:r>
        <w:rPr>
          <w:spacing w:val="-25"/>
        </w:rPr>
        <w:t> </w:t>
      </w:r>
      <w:r>
        <w:rPr/>
        <w:t>2000).</w:t>
      </w:r>
    </w:p>
    <w:p>
      <w:pPr>
        <w:pStyle w:val="BodyText"/>
      </w:pPr>
    </w:p>
    <w:p>
      <w:pPr>
        <w:pStyle w:val="BodyText"/>
        <w:spacing w:line="360" w:lineRule="auto" w:before="141"/>
        <w:ind w:left="100" w:right="102"/>
        <w:jc w:val="both"/>
      </w:pPr>
      <w:r>
        <w:rPr/>
        <w:t>Las primeras torres fueron de 5 m y con el tiempo fueron aumentando de altura hasta alcanzar en la actualidad los 35m, fue necesario proteger las figuras contra la lluvia que en los meses de junio a octubre son muy abundantes en esta zona, por lo que los maestros pirotécnicos de Guanajuato aportaron el sistema de protección llamado encerado contra</w:t>
      </w:r>
      <w:r>
        <w:rPr>
          <w:spacing w:val="-24"/>
        </w:rPr>
        <w:t> </w:t>
      </w:r>
      <w:r>
        <w:rPr/>
        <w:t>lluvia.</w:t>
      </w:r>
    </w:p>
    <w:p>
      <w:pPr>
        <w:pStyle w:val="BodyText"/>
      </w:pPr>
    </w:p>
    <w:p>
      <w:pPr>
        <w:pStyle w:val="BodyText"/>
        <w:spacing w:line="357" w:lineRule="auto" w:before="142"/>
        <w:ind w:left="100" w:right="109"/>
        <w:jc w:val="both"/>
      </w:pPr>
      <w:r>
        <w:rPr/>
        <w:t>La Pirotecnia de Castillo de Torre, es representativa del Estado de México y lo que ha catalogado como arte a este oficio es el fuego artificial representativo ante el mundo.</w:t>
      </w:r>
    </w:p>
    <w:p>
      <w:pPr>
        <w:spacing w:after="0" w:line="357" w:lineRule="auto"/>
        <w:jc w:val="both"/>
        <w:sectPr>
          <w:footerReference w:type="default" r:id="rId18"/>
          <w:pgSz w:w="12240" w:h="15840"/>
          <w:pgMar w:footer="1071" w:header="0" w:top="1360" w:bottom="1260" w:left="1600" w:right="1600"/>
          <w:pgNumType w:start="21"/>
        </w:sectPr>
      </w:pPr>
    </w:p>
    <w:p>
      <w:pPr>
        <w:pStyle w:val="BodyText"/>
        <w:spacing w:line="360" w:lineRule="auto" w:before="55"/>
        <w:ind w:left="100" w:right="127"/>
        <w:jc w:val="both"/>
      </w:pPr>
      <w:r>
        <w:rPr/>
        <w:t>Durante el siglo XX la pólvora encuentra un gran apogeo, asociada a las festividades religiosas, imprescindible en los festejos patrios y se consolida como una actividad de gran relevancia principalmente para el Estado de México por la cercanía con la capital mexicana y por la accesibilidad a las materias primas.</w:t>
      </w:r>
    </w:p>
    <w:p>
      <w:pPr>
        <w:pStyle w:val="BodyText"/>
      </w:pPr>
    </w:p>
    <w:p>
      <w:pPr>
        <w:pStyle w:val="BodyText"/>
      </w:pPr>
    </w:p>
    <w:p>
      <w:pPr>
        <w:pStyle w:val="BodyText"/>
        <w:spacing w:before="10"/>
        <w:rPr>
          <w:sz w:val="23"/>
        </w:rPr>
      </w:pPr>
    </w:p>
    <w:p>
      <w:pPr>
        <w:pStyle w:val="Heading2"/>
        <w:numPr>
          <w:ilvl w:val="1"/>
          <w:numId w:val="2"/>
        </w:numPr>
        <w:tabs>
          <w:tab w:pos="1209" w:val="left" w:leader="none"/>
        </w:tabs>
        <w:spacing w:line="240" w:lineRule="auto" w:before="0" w:after="0"/>
        <w:ind w:left="1209" w:right="0" w:hanging="400"/>
        <w:jc w:val="left"/>
      </w:pPr>
      <w:r>
        <w:rPr>
          <w:spacing w:val="2"/>
        </w:rPr>
        <w:t>LA </w:t>
      </w:r>
      <w:r>
        <w:rPr/>
        <w:t>PIROTECNIA DESDE EL ENFOQUE</w:t>
      </w:r>
      <w:r>
        <w:rPr>
          <w:spacing w:val="-29"/>
        </w:rPr>
        <w:t> </w:t>
      </w:r>
      <w:r>
        <w:rPr/>
        <w:t>INTERNACIONAL</w:t>
      </w:r>
    </w:p>
    <w:p>
      <w:pPr>
        <w:pStyle w:val="BodyText"/>
        <w:rPr>
          <w:b/>
        </w:rPr>
      </w:pPr>
    </w:p>
    <w:p>
      <w:pPr>
        <w:pStyle w:val="BodyText"/>
        <w:spacing w:before="4"/>
        <w:rPr>
          <w:b/>
        </w:rPr>
      </w:pPr>
    </w:p>
    <w:p>
      <w:pPr>
        <w:pStyle w:val="BodyText"/>
        <w:spacing w:line="360" w:lineRule="auto"/>
        <w:ind w:left="100" w:right="117"/>
        <w:jc w:val="both"/>
      </w:pPr>
      <w:r>
        <w:rPr/>
        <w:t>La pirotecnia a nivel internacional se encuentra en un periodo de implementación tecnológica ya que los esfuerzos de las grandes compañías están dirigidos al uso de sistemas computacionales para el diseño y disparo de secuencias pirotécnicas, más que a la búsqueda de los avances en la producción o a la sustitución de sustancias químicas, es por ello que podríamos categorizarla como estancada en cuanto a la producción y en constante crecimiento en cuanto a la quema del producto. Las grandes firmas pirotécnicas a nivel mundial han dedicado sus esfuerzos a la generación de espectáculos pirotécnicos diseñados con software de alta tecnología utilizando consolas de disparo con encendido electrónico.</w:t>
      </w:r>
    </w:p>
    <w:p>
      <w:pPr>
        <w:pStyle w:val="BodyText"/>
      </w:pPr>
    </w:p>
    <w:p>
      <w:pPr>
        <w:pStyle w:val="BodyText"/>
        <w:spacing w:line="360" w:lineRule="auto" w:before="142"/>
        <w:ind w:left="100" w:right="122"/>
        <w:jc w:val="both"/>
      </w:pPr>
      <w:r>
        <w:rPr/>
        <w:t>Esta clase de pirotecnia ha desplazado a la pirotecnia tradicional, haciendo de lado tradiciones como las portadas pirotécnicas españolas, o las figuras  mecánicas pirotécnicas de Malta e Italia, en su lugar se ha difundido en mayor escala los espectáculos llamados piromusicales, estos espectáculos se logran mediante el acoplamiento de la pirotecnia con una obra musical, sincronizando la luz y el estruendo con los acordes</w:t>
      </w:r>
      <w:r>
        <w:rPr>
          <w:spacing w:val="-27"/>
        </w:rPr>
        <w:t> </w:t>
      </w:r>
      <w:r>
        <w:rPr/>
        <w:t>musicales.</w:t>
      </w:r>
    </w:p>
    <w:p>
      <w:pPr>
        <w:pStyle w:val="BodyText"/>
      </w:pPr>
    </w:p>
    <w:p>
      <w:pPr>
        <w:pStyle w:val="BodyText"/>
        <w:spacing w:line="360" w:lineRule="auto" w:before="142"/>
        <w:ind w:left="100" w:right="121"/>
        <w:jc w:val="both"/>
      </w:pPr>
      <w:r>
        <w:rPr/>
        <w:t>La competencia por lograr el mayor mercado de pirotecnia en cuanto a espectáculos grandes los lideran naciones como China, Italia, España y Canadá, siendo ellos quienes realizan las quemas más representativas de cada año en diversos países, y el principal comprador de artificios pirotécnicos en general es Estados Unidos ya que en cada festividad cívica se realizan espectáculos de gran tamaño y de igual manera el 4 de julio se ha convertido en una fecha clave para la</w:t>
      </w:r>
    </w:p>
    <w:p>
      <w:pPr>
        <w:spacing w:after="0" w:line="360" w:lineRule="auto"/>
        <w:jc w:val="both"/>
        <w:sectPr>
          <w:pgSz w:w="12240" w:h="15840"/>
          <w:pgMar w:header="0" w:footer="1071" w:top="1360" w:bottom="1260" w:left="1600" w:right="1580"/>
        </w:sectPr>
      </w:pPr>
    </w:p>
    <w:p>
      <w:pPr>
        <w:pStyle w:val="BodyText"/>
        <w:spacing w:line="360" w:lineRule="auto" w:before="55"/>
        <w:ind w:left="100" w:right="102"/>
        <w:jc w:val="both"/>
      </w:pPr>
      <w:r>
        <w:rPr/>
        <w:t>pirotecnia en este país, para este evento, según el anterior subdirector de Capacitación e Innovación Tecnológica del IMEPI, Li Xie Jianxun el 50% de la pirotecnia producida en China es enviada a Estados Unidos.</w:t>
      </w:r>
    </w:p>
    <w:p>
      <w:pPr>
        <w:pStyle w:val="BodyText"/>
      </w:pPr>
    </w:p>
    <w:p>
      <w:pPr>
        <w:pStyle w:val="BodyText"/>
        <w:spacing w:line="360" w:lineRule="auto" w:before="142"/>
        <w:ind w:left="100" w:right="98"/>
        <w:jc w:val="both"/>
      </w:pPr>
      <w:r>
        <w:rPr/>
        <w:t>Siendo China el principal proveedor de pirotecnia a nivel mundial es interesante destacar sus modos de producción, para los cuales y dada la importancia económica el gobierno toma el control directo del principal insumo pirotécnico: la pólvora. Esta medida propicia una disminución importante en los accidentes asociados con la producción, implicando que el gobierno sea el único productor de pólvora mediante fábricas especializadas. Los empresarios de este arte en China tienen una amplia variedad de industrias circundantes a esta actividad como son de insumos de plástico, de cartón, de piezas de diseño específico, entre otras, las cuales permiten que la producción se centre en el llenado de cartuchos con material pírico y el armado de las diferentes piezas preconstruidas.</w:t>
      </w:r>
    </w:p>
    <w:p>
      <w:pPr>
        <w:pStyle w:val="BodyText"/>
      </w:pPr>
    </w:p>
    <w:p>
      <w:pPr>
        <w:pStyle w:val="BodyText"/>
        <w:spacing w:line="360" w:lineRule="auto" w:before="142"/>
        <w:ind w:left="100" w:right="101"/>
        <w:jc w:val="both"/>
      </w:pPr>
      <w:r>
        <w:rPr/>
        <w:t>El sistema de comercialización también es de gran interés, Danny Wong representante del ITQS (International Technical and Quality Services) de Hong Kong, mencionó que la legislación China permite la exportación e importación de pirotecnia, con lo que se incrementa el mercado para dar un mayor realce de esta actividad, sin embargo la mayoría de la comercialización es en material considerado para quemas en miniatura (pirotecnia de uso comercial), en cuanto a la pirotecnia de uso profesional la competencia es fuerte con países como España e Italia.</w:t>
      </w:r>
    </w:p>
    <w:p>
      <w:pPr>
        <w:pStyle w:val="BodyText"/>
      </w:pPr>
    </w:p>
    <w:p>
      <w:pPr>
        <w:pStyle w:val="BodyText"/>
        <w:spacing w:line="360" w:lineRule="auto" w:before="142"/>
        <w:ind w:left="100" w:right="102"/>
        <w:jc w:val="both"/>
      </w:pPr>
      <w:r>
        <w:rPr/>
        <w:t>Entre las empresas de mayor prestigio internacional se encuentran las firmas Caballer y Parente, las nacionalidades de ellas son española e italiana respectivamente, para compañías de esta magnitud la pelea por mantener o incrementar el mercado exterior es fundamental por lo que recurren a prácticas de comercialización basadas en el uso de pirotécnicos locales que fungen como prestanombres para conseguir contratos locales pero la inversión y las ganancias mayoritarias permanecen en manos de las grandes firmas pirotécnicas.</w:t>
      </w:r>
    </w:p>
    <w:p>
      <w:pPr>
        <w:spacing w:after="0" w:line="360" w:lineRule="auto"/>
        <w:jc w:val="both"/>
        <w:sectPr>
          <w:pgSz w:w="12240" w:h="15840"/>
          <w:pgMar w:header="0" w:footer="1071" w:top="1360" w:bottom="1260" w:left="1600" w:right="1600"/>
        </w:sectPr>
      </w:pPr>
    </w:p>
    <w:p>
      <w:pPr>
        <w:pStyle w:val="BodyText"/>
        <w:rPr>
          <w:sz w:val="20"/>
        </w:rPr>
      </w:pPr>
    </w:p>
    <w:p>
      <w:pPr>
        <w:pStyle w:val="BodyText"/>
        <w:rPr>
          <w:sz w:val="20"/>
        </w:rPr>
      </w:pPr>
    </w:p>
    <w:p>
      <w:pPr>
        <w:pStyle w:val="BodyText"/>
        <w:spacing w:before="3"/>
        <w:rPr>
          <w:sz w:val="18"/>
        </w:rPr>
      </w:pPr>
    </w:p>
    <w:p>
      <w:pPr>
        <w:pStyle w:val="Heading2"/>
        <w:numPr>
          <w:ilvl w:val="1"/>
          <w:numId w:val="2"/>
        </w:numPr>
        <w:tabs>
          <w:tab w:pos="1209" w:val="left" w:leader="none"/>
        </w:tabs>
        <w:spacing w:line="240" w:lineRule="auto" w:before="69" w:after="0"/>
        <w:ind w:left="1209" w:right="0" w:hanging="400"/>
        <w:jc w:val="left"/>
      </w:pPr>
      <w:r>
        <w:rPr/>
        <w:t>PIROTECNIA MODERNA EN</w:t>
      </w:r>
      <w:r>
        <w:rPr>
          <w:spacing w:val="-11"/>
        </w:rPr>
        <w:t> </w:t>
      </w:r>
      <w:r>
        <w:rPr/>
        <w:t>MÉXICO.</w:t>
      </w:r>
    </w:p>
    <w:p>
      <w:pPr>
        <w:pStyle w:val="BodyText"/>
        <w:rPr>
          <w:b/>
        </w:rPr>
      </w:pPr>
    </w:p>
    <w:p>
      <w:pPr>
        <w:pStyle w:val="BodyText"/>
        <w:spacing w:before="4"/>
        <w:rPr>
          <w:b/>
        </w:rPr>
      </w:pPr>
    </w:p>
    <w:p>
      <w:pPr>
        <w:pStyle w:val="BodyText"/>
        <w:spacing w:line="360" w:lineRule="auto"/>
        <w:ind w:left="100" w:right="105"/>
        <w:jc w:val="both"/>
      </w:pPr>
      <w:r>
        <w:rPr/>
        <w:t>En la actualidad y por la gran demanda, existe producción pirotécnica en 28 estados de la república en donde cada zona tiene sus propias técnicas y formulas. Al ser considerada de alto riesgo laboral y riesgo de seguridad nacional por el manejo de explosivos, se manifiesta como una actividad de ámbito federal y se le imputan a la Secretaria de la Defensa Nacional (SEDENA) las responsabilidades de vigilar y regular el consumo de materias primas, el transporte y la comercialización de producto pírico terminado.</w:t>
      </w:r>
    </w:p>
    <w:p>
      <w:pPr>
        <w:pStyle w:val="BodyText"/>
      </w:pPr>
    </w:p>
    <w:p>
      <w:pPr>
        <w:pStyle w:val="BodyText"/>
        <w:spacing w:line="362" w:lineRule="auto" w:before="142"/>
        <w:ind w:left="100" w:right="110"/>
        <w:jc w:val="both"/>
      </w:pPr>
      <w:r>
        <w:rPr/>
        <w:t>Existen alrededor de 2000 permisos emitidos por la SEDENA, los cuales están distribuidos en:</w:t>
      </w:r>
    </w:p>
    <w:p>
      <w:pPr>
        <w:pStyle w:val="ListParagraph"/>
        <w:numPr>
          <w:ilvl w:val="2"/>
          <w:numId w:val="2"/>
        </w:numPr>
        <w:tabs>
          <w:tab w:pos="2224" w:val="left" w:leader="none"/>
          <w:tab w:pos="2225" w:val="left" w:leader="none"/>
        </w:tabs>
        <w:spacing w:line="352" w:lineRule="auto" w:before="0" w:after="0"/>
        <w:ind w:left="821" w:right="104" w:firstLine="708"/>
        <w:jc w:val="left"/>
        <w:rPr>
          <w:sz w:val="24"/>
        </w:rPr>
      </w:pPr>
      <w:r>
        <w:rPr>
          <w:sz w:val="24"/>
        </w:rPr>
        <w:t>Permiso general para la compra de sustancias químicas para la fabricación de fuegos</w:t>
      </w:r>
      <w:r>
        <w:rPr>
          <w:spacing w:val="-25"/>
          <w:sz w:val="24"/>
        </w:rPr>
        <w:t> </w:t>
      </w:r>
      <w:r>
        <w:rPr>
          <w:sz w:val="24"/>
        </w:rPr>
        <w:t>artificiales.</w:t>
      </w:r>
    </w:p>
    <w:p>
      <w:pPr>
        <w:pStyle w:val="ListParagraph"/>
        <w:numPr>
          <w:ilvl w:val="2"/>
          <w:numId w:val="2"/>
        </w:numPr>
        <w:tabs>
          <w:tab w:pos="2224" w:val="left" w:leader="none"/>
          <w:tab w:pos="2225" w:val="left" w:leader="none"/>
        </w:tabs>
        <w:spacing w:line="240" w:lineRule="auto" w:before="10" w:after="0"/>
        <w:ind w:left="2225" w:right="0" w:hanging="696"/>
        <w:jc w:val="left"/>
        <w:rPr>
          <w:sz w:val="24"/>
        </w:rPr>
      </w:pPr>
      <w:r>
        <w:rPr>
          <w:sz w:val="24"/>
        </w:rPr>
        <w:t>Permiso general para compra y venta de fuegos</w:t>
      </w:r>
      <w:r>
        <w:rPr>
          <w:spacing w:val="-27"/>
          <w:sz w:val="24"/>
        </w:rPr>
        <w:t> </w:t>
      </w:r>
      <w:r>
        <w:rPr>
          <w:sz w:val="24"/>
        </w:rPr>
        <w:t>artificiales.</w:t>
      </w:r>
    </w:p>
    <w:p>
      <w:pPr>
        <w:pStyle w:val="ListParagraph"/>
        <w:numPr>
          <w:ilvl w:val="2"/>
          <w:numId w:val="2"/>
        </w:numPr>
        <w:tabs>
          <w:tab w:pos="2224" w:val="left" w:leader="none"/>
          <w:tab w:pos="2225" w:val="left" w:leader="none"/>
        </w:tabs>
        <w:spacing w:line="240" w:lineRule="auto" w:before="138" w:after="0"/>
        <w:ind w:left="2225" w:right="0" w:hanging="696"/>
        <w:jc w:val="left"/>
        <w:rPr>
          <w:sz w:val="24"/>
        </w:rPr>
      </w:pPr>
      <w:r>
        <w:rPr>
          <w:sz w:val="24"/>
        </w:rPr>
        <w:t>Permiso general para el transporte de fuegos</w:t>
      </w:r>
      <w:r>
        <w:rPr>
          <w:spacing w:val="-34"/>
          <w:sz w:val="24"/>
        </w:rPr>
        <w:t> </w:t>
      </w:r>
      <w:r>
        <w:rPr>
          <w:sz w:val="24"/>
        </w:rPr>
        <w:t>artificiales.</w:t>
      </w:r>
    </w:p>
    <w:p>
      <w:pPr>
        <w:pStyle w:val="BodyText"/>
      </w:pPr>
    </w:p>
    <w:p>
      <w:pPr>
        <w:pStyle w:val="BodyText"/>
      </w:pPr>
    </w:p>
    <w:p>
      <w:pPr>
        <w:pStyle w:val="BodyText"/>
        <w:spacing w:line="360" w:lineRule="auto" w:before="198"/>
        <w:ind w:left="100" w:right="100"/>
        <w:jc w:val="both"/>
      </w:pPr>
      <w:r>
        <w:rPr/>
        <w:t>Para obtener alguno de estos permisos es necesario contar con el visto bueno del ejecutivo estatal, protección civil estatal y presidente municipal, y una vez obtenidos estos la SEDENA otorga o niega la petición, lo que se convierte en un trámite burocrático que conlleva de tres a cuatro meses, esto ha ocasionado que existan productores considerados irregulares en esta actividad, ellos realizan las funciones de los pirotécnicos en lugares poco propicios para ello, utilizando consumibles de procedencia ilegal.</w:t>
      </w:r>
    </w:p>
    <w:p>
      <w:pPr>
        <w:pStyle w:val="BodyText"/>
      </w:pPr>
    </w:p>
    <w:p>
      <w:pPr>
        <w:pStyle w:val="BodyText"/>
        <w:spacing w:line="360" w:lineRule="auto" w:before="142"/>
        <w:ind w:left="100" w:right="104"/>
        <w:jc w:val="both"/>
      </w:pPr>
      <w:r>
        <w:rPr/>
        <w:t>Existen diferencias de un estado a otro en cuanto a los requisitos para obtener los vistos buenos, en los estados del norte existen mayores facilidades debido a la escases de productores y sobre todo al desconocimiento en la materia, en los del centro donde se concentran la mayor cantidad de productores (alrededor del 80%)</w:t>
      </w:r>
    </w:p>
    <w:p>
      <w:pPr>
        <w:spacing w:after="0" w:line="360" w:lineRule="auto"/>
        <w:jc w:val="both"/>
        <w:sectPr>
          <w:pgSz w:w="12240" w:h="15840"/>
          <w:pgMar w:header="0" w:footer="1071" w:top="1500" w:bottom="1260" w:left="1600" w:right="1600"/>
        </w:sectPr>
      </w:pPr>
    </w:p>
    <w:p>
      <w:pPr>
        <w:pStyle w:val="BodyText"/>
        <w:spacing w:line="360" w:lineRule="auto" w:before="55"/>
        <w:ind w:left="100" w:right="104"/>
        <w:jc w:val="both"/>
      </w:pPr>
      <w:r>
        <w:rPr/>
        <w:t>los requisitos son más estrictos en cuanto a instalaciones y ubicación en zonas aisladas, y en el sur se basan en la combinación de requisitos del centro y de las zona pirotécnica de Guatemala donde existe una venta libre total de estos artificios tanto nacionales como extranjeros.</w:t>
      </w:r>
    </w:p>
    <w:p>
      <w:pPr>
        <w:pStyle w:val="BodyText"/>
      </w:pPr>
    </w:p>
    <w:p>
      <w:pPr>
        <w:pStyle w:val="BodyText"/>
        <w:spacing w:line="360" w:lineRule="auto" w:before="142"/>
        <w:ind w:left="100" w:right="103"/>
        <w:jc w:val="both"/>
      </w:pPr>
      <w:r>
        <w:rPr/>
        <w:t>En la república la única autoridad competente para sancionar, suspender y decomisar cualquier tipo de fuegos artificiales es la SEDENA y en caso de proceder penalmente la Procuraduría General de la República, solo estas autoridades están amparadas en la Ley Federal de Armas de Fuego y Explosivos para proceder.</w:t>
      </w:r>
    </w:p>
    <w:p>
      <w:pPr>
        <w:pStyle w:val="BodyText"/>
      </w:pPr>
    </w:p>
    <w:p>
      <w:pPr>
        <w:pStyle w:val="BodyText"/>
        <w:spacing w:line="360" w:lineRule="auto" w:before="142"/>
        <w:ind w:left="100" w:right="98"/>
        <w:jc w:val="both"/>
      </w:pPr>
      <w:r>
        <w:rPr/>
        <w:t>Pese a la normatividad aplicable a este sector (figura 1.5) la SEDENA es quien maneja la única ley que regula directamente al gremio pirotécnico, esto propicia que se generen dificultades diversas que en muchos casos tiene que ver con lagunas existentes en la Ley Federal de Armas de Fuego y Explosivos, ya que es una ley emitida en 1972 con diversas reformas que no han cambiado de manera radical lo descrito desde su publicación, siendo la última reforma en 2004, existen numerosas características que al no ser especificadas dentro de la ley cada zona militar interpreta de forma distinta este escrito por lo que la milicia solicita características diferentes en las diversas regiones del país.</w:t>
      </w:r>
    </w:p>
    <w:p>
      <w:pPr>
        <w:pStyle w:val="BodyText"/>
      </w:pPr>
    </w:p>
    <w:p>
      <w:pPr>
        <w:pStyle w:val="BodyText"/>
        <w:spacing w:line="360" w:lineRule="auto" w:before="141"/>
        <w:ind w:left="100" w:right="99"/>
        <w:jc w:val="both"/>
      </w:pPr>
      <w:r>
        <w:rPr/>
        <w:t>Con la finalidad de lograr condiciones semejantes, una medida importante de los trabajadores de la pirotecnia ha sido agruparse en asociaciones que les permiten tener mayor representatividad ante las autoridades municipales, estatales e  incluso federales, esto permite una apertura de comunicación que hasta hace algunos años permanencia cerrado al ámbito local o</w:t>
      </w:r>
      <w:r>
        <w:rPr>
          <w:spacing w:val="-31"/>
        </w:rPr>
        <w:t> </w:t>
      </w:r>
      <w:r>
        <w:rPr/>
        <w:t>familiar.</w:t>
      </w:r>
    </w:p>
    <w:p>
      <w:pPr>
        <w:spacing w:after="0" w:line="360" w:lineRule="auto"/>
        <w:jc w:val="both"/>
        <w:sectPr>
          <w:pgSz w:w="12240" w:h="15840"/>
          <w:pgMar w:header="0" w:footer="1071" w:top="1360" w:bottom="1260" w:left="1600" w:right="1600"/>
        </w:sectPr>
      </w:pPr>
    </w:p>
    <w:p>
      <w:pPr>
        <w:pStyle w:val="BodyText"/>
        <w:ind w:left="1409"/>
        <w:rPr>
          <w:sz w:val="20"/>
        </w:rPr>
      </w:pPr>
      <w:r>
        <w:rPr>
          <w:sz w:val="20"/>
        </w:rPr>
        <w:drawing>
          <wp:inline distT="0" distB="0" distL="0" distR="0">
            <wp:extent cx="4403646" cy="3110007"/>
            <wp:effectExtent l="0" t="0" r="0" b="0"/>
            <wp:docPr id="27" name="image10.png" descr=""/>
            <wp:cNvGraphicFramePr>
              <a:graphicFrameLocks noChangeAspect="1"/>
            </wp:cNvGraphicFramePr>
            <a:graphic>
              <a:graphicData uri="http://schemas.openxmlformats.org/drawingml/2006/picture">
                <pic:pic>
                  <pic:nvPicPr>
                    <pic:cNvPr id="28" name="image10.png"/>
                    <pic:cNvPicPr/>
                  </pic:nvPicPr>
                  <pic:blipFill>
                    <a:blip r:embed="rId19" cstate="print"/>
                    <a:stretch>
                      <a:fillRect/>
                    </a:stretch>
                  </pic:blipFill>
                  <pic:spPr>
                    <a:xfrm>
                      <a:off x="0" y="0"/>
                      <a:ext cx="4403646" cy="3110007"/>
                    </a:xfrm>
                    <a:prstGeom prst="rect">
                      <a:avLst/>
                    </a:prstGeom>
                  </pic:spPr>
                </pic:pic>
              </a:graphicData>
            </a:graphic>
          </wp:inline>
        </w:drawing>
      </w:r>
      <w:r>
        <w:rPr>
          <w:sz w:val="20"/>
        </w:rPr>
      </w:r>
    </w:p>
    <w:p>
      <w:pPr>
        <w:spacing w:before="140"/>
        <w:ind w:left="2677" w:right="9" w:firstLine="0"/>
        <w:jc w:val="left"/>
        <w:rPr>
          <w:sz w:val="20"/>
        </w:rPr>
      </w:pPr>
      <w:r>
        <w:rPr>
          <w:sz w:val="20"/>
        </w:rPr>
        <w:t>Figura 1.5. Normatividad aplicable a la pirotecnia.</w:t>
      </w:r>
    </w:p>
    <w:p>
      <w:pPr>
        <w:pStyle w:val="BodyText"/>
        <w:rPr>
          <w:sz w:val="20"/>
        </w:rPr>
      </w:pPr>
    </w:p>
    <w:p>
      <w:pPr>
        <w:pStyle w:val="BodyText"/>
        <w:spacing w:before="4"/>
        <w:rPr>
          <w:sz w:val="26"/>
        </w:rPr>
      </w:pPr>
    </w:p>
    <w:p>
      <w:pPr>
        <w:pStyle w:val="BodyText"/>
        <w:spacing w:line="360" w:lineRule="auto"/>
        <w:ind w:left="100" w:right="107"/>
        <w:jc w:val="both"/>
      </w:pPr>
      <w:r>
        <w:rPr/>
        <w:t>Uno de los primeros intentos de unión entre pirotécnicos fue la creación de la Federación de pirotécnicos, grupo que pretendía trascender las fronteras del Estado de México, sin embargo se enfrentaron a la apatía del sector ya que en muchos casos los conocimientos al haber sido heredados los prefieren mantener herméticos, con lo que se limita el flujo de información y por consiguiente no existe gran interés en la afiliación a un grupo en particular.</w:t>
      </w:r>
    </w:p>
    <w:p>
      <w:pPr>
        <w:pStyle w:val="BodyText"/>
      </w:pPr>
    </w:p>
    <w:p>
      <w:pPr>
        <w:pStyle w:val="BodyText"/>
        <w:spacing w:line="360" w:lineRule="auto" w:before="141"/>
        <w:ind w:left="100" w:right="100"/>
        <w:jc w:val="both"/>
      </w:pPr>
      <w:r>
        <w:rPr/>
        <w:t>Luego de estos intentos se ha procurado conformar nuevas agrupaciones, prueba de ello es la creación de la Asociación de Pirotécnicos de México A.C. la cual es una entidad que reúne inicialmente a 28 representantes pirotécnicos de 6 estados, esta asociación se forma luego de la asistencia al 13 Simposio Internacional de Fuegos Artificiales, con representación directa de los Estados de México, Puebla, Jalisco, Hidalgo y Michoacán, este nuevo intento se genera con la intención de cumplir particularmente los siguientes objetivos:</w:t>
      </w:r>
    </w:p>
    <w:p>
      <w:pPr>
        <w:pStyle w:val="BodyText"/>
      </w:pPr>
    </w:p>
    <w:p>
      <w:pPr>
        <w:pStyle w:val="ListParagraph"/>
        <w:numPr>
          <w:ilvl w:val="0"/>
          <w:numId w:val="3"/>
        </w:numPr>
        <w:tabs>
          <w:tab w:pos="1528" w:val="left" w:leader="none"/>
          <w:tab w:pos="1529" w:val="left" w:leader="none"/>
        </w:tabs>
        <w:spacing w:line="240" w:lineRule="auto" w:before="142" w:after="0"/>
        <w:ind w:left="1529" w:right="0" w:hanging="360"/>
        <w:jc w:val="left"/>
        <w:rPr>
          <w:sz w:val="24"/>
        </w:rPr>
      </w:pPr>
      <w:r>
        <w:rPr>
          <w:sz w:val="24"/>
        </w:rPr>
        <w:t>Promover el uso seguro y responsable de la</w:t>
      </w:r>
      <w:r>
        <w:rPr>
          <w:spacing w:val="-27"/>
          <w:sz w:val="24"/>
        </w:rPr>
        <w:t> </w:t>
      </w:r>
      <w:r>
        <w:rPr>
          <w:sz w:val="24"/>
        </w:rPr>
        <w:t>pirotecnia.</w:t>
      </w:r>
    </w:p>
    <w:p>
      <w:pPr>
        <w:pStyle w:val="ListParagraph"/>
        <w:numPr>
          <w:ilvl w:val="0"/>
          <w:numId w:val="3"/>
        </w:numPr>
        <w:tabs>
          <w:tab w:pos="1528" w:val="left" w:leader="none"/>
          <w:tab w:pos="1529" w:val="left" w:leader="none"/>
        </w:tabs>
        <w:spacing w:line="240" w:lineRule="auto" w:before="138" w:after="0"/>
        <w:ind w:left="1529" w:right="0" w:hanging="360"/>
        <w:jc w:val="left"/>
        <w:rPr>
          <w:sz w:val="24"/>
        </w:rPr>
      </w:pPr>
      <w:r>
        <w:rPr>
          <w:sz w:val="24"/>
        </w:rPr>
        <w:t>Generar una regulación responsable para el sector</w:t>
      </w:r>
      <w:r>
        <w:rPr>
          <w:spacing w:val="-35"/>
          <w:sz w:val="24"/>
        </w:rPr>
        <w:t> </w:t>
      </w:r>
      <w:r>
        <w:rPr>
          <w:sz w:val="24"/>
        </w:rPr>
        <w:t>pirotécnico.</w:t>
      </w:r>
    </w:p>
    <w:p>
      <w:pPr>
        <w:spacing w:after="0" w:line="240" w:lineRule="auto"/>
        <w:jc w:val="left"/>
        <w:rPr>
          <w:sz w:val="24"/>
        </w:rPr>
        <w:sectPr>
          <w:pgSz w:w="12240" w:h="15840"/>
          <w:pgMar w:header="0" w:footer="1071" w:top="1420" w:bottom="1260" w:left="1600" w:right="1600"/>
        </w:sectPr>
      </w:pPr>
    </w:p>
    <w:p>
      <w:pPr>
        <w:pStyle w:val="ListParagraph"/>
        <w:numPr>
          <w:ilvl w:val="0"/>
          <w:numId w:val="3"/>
        </w:numPr>
        <w:tabs>
          <w:tab w:pos="1528" w:val="left" w:leader="none"/>
          <w:tab w:pos="1529" w:val="left" w:leader="none"/>
        </w:tabs>
        <w:spacing w:line="352" w:lineRule="auto" w:before="35" w:after="0"/>
        <w:ind w:left="1529" w:right="110" w:hanging="360"/>
        <w:jc w:val="left"/>
        <w:rPr>
          <w:sz w:val="24"/>
        </w:rPr>
      </w:pPr>
      <w:r>
        <w:rPr>
          <w:sz w:val="24"/>
        </w:rPr>
        <w:t>Incrementar el contacto a nivel federal con autoridades relacionadas a la</w:t>
      </w:r>
      <w:r>
        <w:rPr>
          <w:spacing w:val="-12"/>
          <w:sz w:val="24"/>
        </w:rPr>
        <w:t> </w:t>
      </w:r>
      <w:r>
        <w:rPr>
          <w:sz w:val="24"/>
        </w:rPr>
        <w:t>pirotecnia.</w:t>
      </w:r>
    </w:p>
    <w:p>
      <w:pPr>
        <w:pStyle w:val="ListParagraph"/>
        <w:numPr>
          <w:ilvl w:val="0"/>
          <w:numId w:val="3"/>
        </w:numPr>
        <w:tabs>
          <w:tab w:pos="1528" w:val="left" w:leader="none"/>
          <w:tab w:pos="1529" w:val="left" w:leader="none"/>
        </w:tabs>
        <w:spacing w:line="352" w:lineRule="auto" w:before="10" w:after="0"/>
        <w:ind w:left="1529" w:right="103" w:hanging="360"/>
        <w:jc w:val="left"/>
        <w:rPr>
          <w:sz w:val="24"/>
        </w:rPr>
      </w:pPr>
      <w:r>
        <w:rPr>
          <w:sz w:val="24"/>
        </w:rPr>
        <w:t>Proveer a los miembros con información actual acerca de esta actividad.</w:t>
      </w:r>
    </w:p>
    <w:p>
      <w:pPr>
        <w:pStyle w:val="ListParagraph"/>
        <w:numPr>
          <w:ilvl w:val="0"/>
          <w:numId w:val="3"/>
        </w:numPr>
        <w:tabs>
          <w:tab w:pos="1528" w:val="left" w:leader="none"/>
          <w:tab w:pos="1529" w:val="left" w:leader="none"/>
        </w:tabs>
        <w:spacing w:line="352" w:lineRule="auto" w:before="10" w:after="0"/>
        <w:ind w:left="1529" w:right="108" w:hanging="360"/>
        <w:jc w:val="left"/>
        <w:rPr>
          <w:sz w:val="24"/>
        </w:rPr>
      </w:pPr>
      <w:r>
        <w:rPr>
          <w:sz w:val="24"/>
        </w:rPr>
        <w:t>Preservar, promover y proteger a la pirotecnia como una tradición Mexicana.</w:t>
      </w:r>
    </w:p>
    <w:p>
      <w:pPr>
        <w:pStyle w:val="ListParagraph"/>
        <w:numPr>
          <w:ilvl w:val="0"/>
          <w:numId w:val="3"/>
        </w:numPr>
        <w:tabs>
          <w:tab w:pos="1528" w:val="left" w:leader="none"/>
          <w:tab w:pos="1529" w:val="left" w:leader="none"/>
        </w:tabs>
        <w:spacing w:line="240" w:lineRule="auto" w:before="10" w:after="0"/>
        <w:ind w:left="1529" w:right="0" w:hanging="360"/>
        <w:jc w:val="left"/>
        <w:rPr>
          <w:sz w:val="24"/>
        </w:rPr>
      </w:pPr>
      <w:r>
        <w:rPr>
          <w:sz w:val="24"/>
        </w:rPr>
        <w:t>Promover una sana competencia y buenas prácticas</w:t>
      </w:r>
      <w:r>
        <w:rPr>
          <w:spacing w:val="-31"/>
          <w:sz w:val="24"/>
        </w:rPr>
        <w:t> </w:t>
      </w:r>
      <w:r>
        <w:rPr>
          <w:sz w:val="24"/>
        </w:rPr>
        <w:t>industriales.</w:t>
      </w:r>
    </w:p>
    <w:p>
      <w:pPr>
        <w:pStyle w:val="ListParagraph"/>
        <w:numPr>
          <w:ilvl w:val="0"/>
          <w:numId w:val="3"/>
        </w:numPr>
        <w:tabs>
          <w:tab w:pos="1596" w:val="left" w:leader="none"/>
          <w:tab w:pos="1597" w:val="left" w:leader="none"/>
        </w:tabs>
        <w:spacing w:line="240" w:lineRule="auto" w:before="138" w:after="0"/>
        <w:ind w:left="1597" w:right="0" w:hanging="428"/>
        <w:jc w:val="left"/>
        <w:rPr>
          <w:sz w:val="24"/>
        </w:rPr>
      </w:pPr>
      <w:r>
        <w:rPr>
          <w:sz w:val="24"/>
        </w:rPr>
        <w:t>Organizar eventos relacionados con la industria</w:t>
      </w:r>
      <w:r>
        <w:rPr>
          <w:spacing w:val="-31"/>
          <w:sz w:val="24"/>
        </w:rPr>
        <w:t> </w:t>
      </w:r>
      <w:r>
        <w:rPr>
          <w:sz w:val="24"/>
        </w:rPr>
        <w:t>pirotécnica.</w:t>
      </w:r>
    </w:p>
    <w:p>
      <w:pPr>
        <w:pStyle w:val="BodyText"/>
      </w:pPr>
    </w:p>
    <w:p>
      <w:pPr>
        <w:pStyle w:val="BodyText"/>
        <w:spacing w:before="10"/>
        <w:rPr>
          <w:sz w:val="23"/>
        </w:rPr>
      </w:pPr>
    </w:p>
    <w:p>
      <w:pPr>
        <w:pStyle w:val="BodyText"/>
        <w:spacing w:line="360" w:lineRule="auto"/>
        <w:ind w:left="100" w:right="105"/>
        <w:jc w:val="both"/>
      </w:pPr>
      <w:r>
        <w:rPr/>
        <w:t>De esta organización se esperaba contar con una participación proactiva de sus miembros, y un crecimiento organizacional adecuado, sin embargo luego de las primeras juntas de organización fue muy notoria la preferencia que hubo para que de los pirotécnicos que quisieran ingresar solo formaran parte los que representaban un interés directo para los miembros de la organización, por lo que según algunos pirotécnicos del Estado de México no pronostican un futuro adecuado para esta asociación.</w:t>
      </w:r>
    </w:p>
    <w:p>
      <w:pPr>
        <w:pStyle w:val="BodyText"/>
      </w:pPr>
    </w:p>
    <w:p>
      <w:pPr>
        <w:pStyle w:val="BodyText"/>
      </w:pPr>
    </w:p>
    <w:p>
      <w:pPr>
        <w:pStyle w:val="BodyText"/>
        <w:spacing w:before="9"/>
        <w:rPr>
          <w:sz w:val="23"/>
        </w:rPr>
      </w:pPr>
    </w:p>
    <w:p>
      <w:pPr>
        <w:pStyle w:val="Heading2"/>
        <w:numPr>
          <w:ilvl w:val="1"/>
          <w:numId w:val="2"/>
        </w:numPr>
        <w:tabs>
          <w:tab w:pos="1209" w:val="left" w:leader="none"/>
        </w:tabs>
        <w:spacing w:line="240" w:lineRule="auto" w:before="0" w:after="0"/>
        <w:ind w:left="1209" w:right="0" w:hanging="400"/>
        <w:jc w:val="left"/>
      </w:pPr>
      <w:r>
        <w:rPr/>
        <w:t>PIROTECNIA EN EL ESTADO DE</w:t>
      </w:r>
      <w:r>
        <w:rPr>
          <w:spacing w:val="-11"/>
        </w:rPr>
        <w:t> </w:t>
      </w:r>
      <w:r>
        <w:rPr/>
        <w:t>MEXICO.</w:t>
      </w:r>
    </w:p>
    <w:p>
      <w:pPr>
        <w:pStyle w:val="BodyText"/>
        <w:rPr>
          <w:b/>
        </w:rPr>
      </w:pPr>
    </w:p>
    <w:p>
      <w:pPr>
        <w:pStyle w:val="BodyText"/>
        <w:spacing w:before="4"/>
        <w:rPr>
          <w:b/>
        </w:rPr>
      </w:pPr>
    </w:p>
    <w:p>
      <w:pPr>
        <w:pStyle w:val="BodyText"/>
        <w:spacing w:line="360" w:lineRule="auto"/>
        <w:ind w:left="100" w:right="102"/>
        <w:jc w:val="both"/>
      </w:pPr>
      <w:r>
        <w:rPr/>
        <w:t>Actualmente el Estado de México concentra el mayor número de pirotécnicos distribuidos en 62 municipios entre los que destacan Tultepec, Zumpango y Almoloya de Juárez, los cuales han podido elaborar efectos muy parecidos a los que se ven en otros países como China, España, Brasil e Italia, tal vez no con la misma intensidad, debido a la falta de nuevas materias primas y de insumos para lograr los efectos deseados. Pero no hay duda que los artesanos mexicanos pueden desarrollar e innovar productos de primer nivel.</w:t>
      </w:r>
    </w:p>
    <w:p>
      <w:pPr>
        <w:pStyle w:val="BodyText"/>
      </w:pPr>
    </w:p>
    <w:p>
      <w:pPr>
        <w:pStyle w:val="BodyText"/>
        <w:spacing w:line="360" w:lineRule="auto" w:before="142"/>
        <w:ind w:left="100" w:right="104"/>
        <w:jc w:val="both"/>
      </w:pPr>
      <w:r>
        <w:rPr/>
        <w:t>Estadísticamente el Estado de México produce más del 50 por ciento de la producción nacional pero a la vez es la entidad donde se suscitan más recurrentemente los accidentes relacionados con la materia.</w:t>
      </w:r>
    </w:p>
    <w:p>
      <w:pPr>
        <w:spacing w:after="0" w:line="360" w:lineRule="auto"/>
        <w:jc w:val="both"/>
        <w:sectPr>
          <w:pgSz w:w="12240" w:h="15840"/>
          <w:pgMar w:header="0" w:footer="1071" w:top="1380" w:bottom="1260" w:left="1600" w:right="1600"/>
        </w:sectPr>
      </w:pPr>
    </w:p>
    <w:p>
      <w:pPr>
        <w:pStyle w:val="BodyText"/>
        <w:spacing w:before="9"/>
        <w:rPr>
          <w:sz w:val="22"/>
        </w:rPr>
      </w:pPr>
    </w:p>
    <w:p>
      <w:pPr>
        <w:pStyle w:val="BodyText"/>
        <w:spacing w:line="360" w:lineRule="auto" w:before="69"/>
        <w:ind w:left="100" w:right="117"/>
        <w:jc w:val="both"/>
      </w:pPr>
      <w:r>
        <w:rPr/>
        <w:t>Dentro de los municipios con mayor presencia de pirotécnicos se encuentra primeramente el municipio de Tultepec, donde se asientan alrededor de 600 artesanos divididos en un 30% de productores de castillos y un 70% de productores de juguetería pirotécnica, considerando a permisionarios y no permisionarios (IMEPI, 2012). Por la cantidad de artesanos que prevalece en este municipio es conocida como la capital de la pirotecnia en nuestro país.</w:t>
      </w:r>
    </w:p>
    <w:p>
      <w:pPr>
        <w:pStyle w:val="BodyText"/>
        <w:rPr>
          <w:sz w:val="20"/>
        </w:rPr>
      </w:pPr>
    </w:p>
    <w:p>
      <w:pPr>
        <w:pStyle w:val="BodyText"/>
        <w:rPr>
          <w:sz w:val="13"/>
        </w:rPr>
      </w:pPr>
      <w:r>
        <w:rPr/>
        <w:drawing>
          <wp:anchor distT="0" distB="0" distL="0" distR="0" allowOverlap="1" layoutInCell="1" locked="0" behindDoc="0" simplePos="0" relativeHeight="1288">
            <wp:simplePos x="0" y="0"/>
            <wp:positionH relativeFrom="page">
              <wp:posOffset>1549400</wp:posOffset>
            </wp:positionH>
            <wp:positionV relativeFrom="paragraph">
              <wp:posOffset>119950</wp:posOffset>
            </wp:positionV>
            <wp:extent cx="5013260" cy="3281934"/>
            <wp:effectExtent l="0" t="0" r="0" b="0"/>
            <wp:wrapTopAndBottom/>
            <wp:docPr id="29" name="image11.jpeg" descr=""/>
            <wp:cNvGraphicFramePr>
              <a:graphicFrameLocks noChangeAspect="1"/>
            </wp:cNvGraphicFramePr>
            <a:graphic>
              <a:graphicData uri="http://schemas.openxmlformats.org/drawingml/2006/picture">
                <pic:pic>
                  <pic:nvPicPr>
                    <pic:cNvPr id="30" name="image11.jpeg"/>
                    <pic:cNvPicPr/>
                  </pic:nvPicPr>
                  <pic:blipFill>
                    <a:blip r:embed="rId20" cstate="print"/>
                    <a:stretch>
                      <a:fillRect/>
                    </a:stretch>
                  </pic:blipFill>
                  <pic:spPr>
                    <a:xfrm>
                      <a:off x="0" y="0"/>
                      <a:ext cx="5013260" cy="3281934"/>
                    </a:xfrm>
                    <a:prstGeom prst="rect">
                      <a:avLst/>
                    </a:prstGeom>
                  </pic:spPr>
                </pic:pic>
              </a:graphicData>
            </a:graphic>
          </wp:anchor>
        </w:drawing>
      </w:r>
    </w:p>
    <w:p>
      <w:pPr>
        <w:spacing w:before="121"/>
        <w:ind w:left="1661" w:right="0" w:firstLine="0"/>
        <w:jc w:val="left"/>
        <w:rPr>
          <w:sz w:val="20"/>
        </w:rPr>
      </w:pPr>
      <w:r>
        <w:rPr>
          <w:sz w:val="20"/>
        </w:rPr>
        <w:t>Figura 1.6. Pirotécnico de Almoloya de Juárez, familia Martínez (QEPD).</w:t>
      </w:r>
    </w:p>
    <w:p>
      <w:pPr>
        <w:pStyle w:val="BodyText"/>
        <w:rPr>
          <w:sz w:val="20"/>
        </w:rPr>
      </w:pPr>
    </w:p>
    <w:p>
      <w:pPr>
        <w:pStyle w:val="BodyText"/>
        <w:spacing w:before="3"/>
        <w:rPr>
          <w:sz w:val="26"/>
        </w:rPr>
      </w:pPr>
    </w:p>
    <w:p>
      <w:pPr>
        <w:pStyle w:val="BodyText"/>
        <w:spacing w:line="360" w:lineRule="auto"/>
        <w:ind w:left="100" w:right="120"/>
        <w:jc w:val="both"/>
      </w:pPr>
      <w:r>
        <w:rPr/>
        <w:t>Otro municipio destacado es Zumpango, la relación es totalmente contraria, se asientan alrededor de 150 pirotécnicos donde el 80% son castilleros y el 20% es juguetero. Mientras que en Almoloya de Juárez de los 200 pirotécnicos el 100% se dedica a la elaboración de castillos. Otros municipios con gran presencia de productores de pirotecnia son: Ozumba, Texcoco, Chimalhuacán y Axapusco, donde su actividad es básicamente de Castillería (IMEPI, 2012).</w:t>
      </w:r>
    </w:p>
    <w:p>
      <w:pPr>
        <w:pStyle w:val="BodyText"/>
      </w:pPr>
    </w:p>
    <w:p>
      <w:pPr>
        <w:pStyle w:val="BodyText"/>
        <w:spacing w:line="357" w:lineRule="auto" w:before="142"/>
        <w:ind w:left="100" w:right="120"/>
        <w:jc w:val="both"/>
      </w:pPr>
      <w:r>
        <w:rPr/>
        <w:t>El Mercado de la Merced es considerado el principal proveedor de diferentes productos donde también se encontraba a la venta gran cantidad de juguetería</w:t>
      </w:r>
    </w:p>
    <w:p>
      <w:pPr>
        <w:spacing w:after="0" w:line="357" w:lineRule="auto"/>
        <w:jc w:val="both"/>
        <w:sectPr>
          <w:pgSz w:w="12240" w:h="15840"/>
          <w:pgMar w:header="0" w:footer="1071" w:top="1500" w:bottom="1260" w:left="1600" w:right="1580"/>
        </w:sectPr>
      </w:pPr>
    </w:p>
    <w:p>
      <w:pPr>
        <w:pStyle w:val="BodyText"/>
        <w:spacing w:line="360" w:lineRule="auto" w:before="55"/>
        <w:ind w:left="100" w:right="101"/>
        <w:jc w:val="both"/>
      </w:pPr>
      <w:r>
        <w:rPr/>
        <w:t>pirotécnica, siendo el principal abastecedor del resto del país. Hace </w:t>
      </w:r>
      <w:r>
        <w:rPr>
          <w:spacing w:val="-2"/>
        </w:rPr>
        <w:t>más </w:t>
      </w:r>
      <w:r>
        <w:rPr/>
        <w:t>de 20 años ocurrió una explosión causada por estos últimos, provocando que los distribuidores emigraran al lugar de su producción Tultepec, donde se fundó el principal Tianguis de distribución de juguetería pirotécnica del Estado de México, y con ello se incrementó el riesgo latente de alguna contingencia, la cual se suscitó en el año de 2005 y 2006 con la destrucción total de dicho tianguis, a raíz de estos sucesos el gobierno del Estado de México en su afán por crear una actividad económica importante para la región, se percató de la necesidad de impulsar, capacitar y adecuar la fabricación, distribución, venta y quema de fuegos artificiales principalmente para disminuir los accidentes con los artesanos por lo que fue fundado el Instituto Mexiquense de la</w:t>
      </w:r>
      <w:r>
        <w:rPr>
          <w:spacing w:val="-34"/>
        </w:rPr>
        <w:t> </w:t>
      </w:r>
      <w:r>
        <w:rPr/>
        <w:t>Pirotecnia.</w:t>
      </w:r>
    </w:p>
    <w:p>
      <w:pPr>
        <w:pStyle w:val="BodyText"/>
      </w:pPr>
    </w:p>
    <w:p>
      <w:pPr>
        <w:pStyle w:val="BodyText"/>
      </w:pPr>
    </w:p>
    <w:p>
      <w:pPr>
        <w:pStyle w:val="BodyText"/>
        <w:spacing w:before="2"/>
      </w:pPr>
    </w:p>
    <w:p>
      <w:pPr>
        <w:pStyle w:val="Heading2"/>
        <w:spacing w:before="0"/>
        <w:ind w:left="809" w:right="9"/>
      </w:pPr>
      <w:r>
        <w:rPr/>
        <w:t>1.6.1 INSTITUTO MEXIQUENSE DE LA PIROTECNIA.</w:t>
      </w:r>
    </w:p>
    <w:p>
      <w:pPr>
        <w:pStyle w:val="BodyText"/>
        <w:rPr>
          <w:b/>
        </w:rPr>
      </w:pPr>
    </w:p>
    <w:p>
      <w:pPr>
        <w:pStyle w:val="BodyText"/>
        <w:spacing w:before="4"/>
        <w:rPr>
          <w:b/>
        </w:rPr>
      </w:pPr>
    </w:p>
    <w:p>
      <w:pPr>
        <w:pStyle w:val="BodyText"/>
        <w:spacing w:line="360" w:lineRule="auto"/>
        <w:ind w:left="100" w:right="100"/>
        <w:jc w:val="both"/>
      </w:pPr>
      <w:r>
        <w:rPr/>
        <w:t>Único organismo en funciones dedicado a la pirotecnia a nivel nacional, es un organismo público descentralizado, con personalidad jurídica y patrimonio propio, creado por decreto No. 142, de fecha 15 de julio de 2003. La misión del IMEPI contempla el desarrollo de la Pirotecnia en el Estado de México, convirtiéndola de una actividad artesanal en una industria vigorosa, que opera con altos niveles de seguridad,  cumpliendo con  la aplicación de medidas preventivas oportunas.</w:t>
      </w:r>
    </w:p>
    <w:p>
      <w:pPr>
        <w:pStyle w:val="BodyText"/>
      </w:pPr>
    </w:p>
    <w:p>
      <w:pPr>
        <w:pStyle w:val="BodyText"/>
        <w:spacing w:line="360" w:lineRule="auto" w:before="142"/>
        <w:ind w:left="100" w:right="99"/>
        <w:jc w:val="both"/>
      </w:pPr>
      <w:r>
        <w:rPr/>
        <w:t>Tiene como objetivos formular, controlar y vigilar las medidas de seguridad que se deben observar en las actividades de fabricación, uso, venta, transporte, almacenamiento y exhibición de artículos pirotécnicos desarrollados en el Estado de México (arts. 1, 2 y 3 de la Ley del IMEPI), coordinar y promover acciones modernizadoras de capacitación y tecnológicas en materia pirotécnica entre los diferentes grupos de la sociedad y las autoridades (art. 2, fracc. II de la Ley del IMEPI), y generar, desarrollar y consolidar una cultura de prevención y de seguridad en materia pirotécnica (art. 2, fracc. III de la Ley del IMEPI).</w:t>
      </w:r>
    </w:p>
    <w:p>
      <w:pPr>
        <w:spacing w:after="0" w:line="360" w:lineRule="auto"/>
        <w:jc w:val="both"/>
        <w:sectPr>
          <w:pgSz w:w="12240" w:h="15840"/>
          <w:pgMar w:header="0" w:footer="1071" w:top="1360" w:bottom="1260" w:left="1600" w:right="1600"/>
        </w:sectPr>
      </w:pPr>
    </w:p>
    <w:p>
      <w:pPr>
        <w:pStyle w:val="Heading2"/>
        <w:ind w:left="809" w:right="9"/>
      </w:pPr>
      <w:r>
        <w:rPr/>
        <w:t>1.7 CONCLUSIONES</w:t>
      </w:r>
    </w:p>
    <w:p>
      <w:pPr>
        <w:pStyle w:val="BodyText"/>
        <w:rPr>
          <w:b/>
        </w:rPr>
      </w:pPr>
    </w:p>
    <w:p>
      <w:pPr>
        <w:pStyle w:val="BodyText"/>
        <w:spacing w:before="3"/>
        <w:rPr>
          <w:b/>
        </w:rPr>
      </w:pPr>
    </w:p>
    <w:p>
      <w:pPr>
        <w:pStyle w:val="BodyText"/>
        <w:spacing w:line="360" w:lineRule="auto" w:before="1"/>
        <w:ind w:left="100" w:right="105"/>
        <w:jc w:val="both"/>
      </w:pPr>
      <w:r>
        <w:rPr/>
        <w:t>Históricamente el uso del fuego en cuestiones recreativas ha tenido su evolución a partir de la adecuación de diversas sustancias químicas que le han permitido la creación de efectos novedosos, sin embargo para ello se ha recurrido al uso de sustancias toxicas que ponen en riesgo la salud del productor y comprometen la estabilidad ambiental de las zonas de fabricación y quema.</w:t>
      </w:r>
    </w:p>
    <w:p>
      <w:pPr>
        <w:pStyle w:val="BodyText"/>
      </w:pPr>
    </w:p>
    <w:p>
      <w:pPr>
        <w:pStyle w:val="BodyText"/>
        <w:spacing w:line="360" w:lineRule="auto" w:before="142"/>
        <w:ind w:left="100" w:right="99"/>
        <w:jc w:val="both"/>
      </w:pPr>
      <w:r>
        <w:rPr/>
        <w:t>Actualmente los sistemas tecnológicos han visto a la pirotecnia como un área de oportunidad por lo que se ofertan sistemas de encendido electrónico que permiten la conjunción de este arte milenario con las adecuaciones de la tecnología moderna, coordinando la computación con la técnica de la pirotecnia logrando con ello un arte en crecimiento generalizado: los piromusicales.</w:t>
      </w:r>
    </w:p>
    <w:p>
      <w:pPr>
        <w:pStyle w:val="BodyText"/>
      </w:pPr>
    </w:p>
    <w:p>
      <w:pPr>
        <w:pStyle w:val="BodyText"/>
        <w:spacing w:line="360" w:lineRule="auto" w:before="142"/>
        <w:ind w:left="100" w:right="106"/>
        <w:jc w:val="both"/>
      </w:pPr>
      <w:r>
        <w:rPr/>
        <w:t>En México gran parte de la conquista física e intelectual del pueblo precolombino es realizada mediante el uso de la pólvora, </w:t>
      </w:r>
      <w:r>
        <w:rPr>
          <w:spacing w:val="-3"/>
        </w:rPr>
        <w:t>ya </w:t>
      </w:r>
      <w:r>
        <w:rPr/>
        <w:t>sea como arma de fuego o como medio teatral para inducir </w:t>
      </w:r>
      <w:r>
        <w:rPr>
          <w:spacing w:val="2"/>
        </w:rPr>
        <w:t>al </w:t>
      </w:r>
      <w:r>
        <w:rPr/>
        <w:t>cambio de religión, por lo que la tradición se arraiga de forma tal que la sociedad actual la concibe como parte fundamental de sus festividades cívico</w:t>
      </w:r>
      <w:r>
        <w:rPr>
          <w:spacing w:val="-21"/>
        </w:rPr>
        <w:t> </w:t>
      </w:r>
      <w:r>
        <w:rPr/>
        <w:t>religiosas.</w:t>
      </w:r>
    </w:p>
    <w:p>
      <w:pPr>
        <w:pStyle w:val="BodyText"/>
      </w:pPr>
    </w:p>
    <w:p>
      <w:pPr>
        <w:pStyle w:val="BodyText"/>
        <w:spacing w:line="360" w:lineRule="auto" w:before="142"/>
        <w:ind w:left="100" w:right="105"/>
        <w:jc w:val="both"/>
      </w:pPr>
      <w:r>
        <w:rPr/>
        <w:t>Los espectáculos piromusicales están teniendo un mayor auge, sin embargo se conserva de forma mayoritaria el uso de cohetón y de castillos como forma predominante de la pirotecnia en todas las festividades religiosas del país.</w:t>
      </w:r>
    </w:p>
    <w:p>
      <w:pPr>
        <w:pStyle w:val="BodyText"/>
      </w:pPr>
    </w:p>
    <w:p>
      <w:pPr>
        <w:pStyle w:val="BodyText"/>
        <w:spacing w:line="360" w:lineRule="auto" w:before="142"/>
        <w:ind w:left="100" w:right="98"/>
        <w:jc w:val="both"/>
      </w:pPr>
      <w:r>
        <w:rPr/>
        <w:t>Tecnológicamente el arte pirotécnico ha tenido muy poca innovación, y la </w:t>
      </w:r>
      <w:r>
        <w:rPr>
          <w:spacing w:val="2"/>
        </w:rPr>
        <w:t>forma </w:t>
      </w:r>
      <w:r>
        <w:rPr/>
        <w:t>de trabajar aún es artesanal, se trabaja con métodos, herramientas y equipos que  han tenido muy pocos cambios a lo largo de los años, por lo que el crecimiento ha sido indirecto </w:t>
      </w:r>
      <w:r>
        <w:rPr>
          <w:spacing w:val="-3"/>
        </w:rPr>
        <w:t>ya </w:t>
      </w:r>
      <w:r>
        <w:rPr/>
        <w:t>sea por la experiencia de accidentes, por la apertura internacional o por la inserción de equipos utilizados en industrias de otra naturaleza  que pueden acoplarse al ritmo de la producción</w:t>
      </w:r>
      <w:r>
        <w:rPr>
          <w:spacing w:val="-31"/>
        </w:rPr>
        <w:t> </w:t>
      </w:r>
      <w:r>
        <w:rPr/>
        <w:t>pírica.</w:t>
      </w:r>
    </w:p>
    <w:p>
      <w:pPr>
        <w:spacing w:after="0" w:line="360" w:lineRule="auto"/>
        <w:jc w:val="both"/>
        <w:sectPr>
          <w:footerReference w:type="default" r:id="rId21"/>
          <w:pgSz w:w="12240" w:h="15840"/>
          <w:pgMar w:footer="1071" w:header="0" w:top="1360" w:bottom="1260" w:left="1600" w:right="1600"/>
        </w:sectPr>
      </w:pPr>
    </w:p>
    <w:p>
      <w:pPr>
        <w:pStyle w:val="BodyText"/>
        <w:spacing w:line="360" w:lineRule="auto" w:before="55"/>
        <w:ind w:left="100" w:right="108"/>
        <w:jc w:val="both"/>
      </w:pPr>
      <w:r>
        <w:rPr/>
        <w:t>Debido a esto y a la gran cantidad de pirotécnicos asentados en el Estado de México se ha creado el IMEPI como forma de ayudar al sector pirotécnico a tener representatividad en el gobierno del Estado y con ello mejorar sus condiciones de trabajo.</w:t>
      </w:r>
    </w:p>
    <w:p>
      <w:pPr>
        <w:spacing w:after="0" w:line="360" w:lineRule="auto"/>
        <w:jc w:val="both"/>
        <w:sectPr>
          <w:footerReference w:type="default" r:id="rId22"/>
          <w:pgSz w:w="12240" w:h="15840"/>
          <w:pgMar w:footer="1071" w:header="0" w:top="1360" w:bottom="1260" w:left="1600" w:right="1600"/>
          <w:pgNumType w:start="31"/>
        </w:sectPr>
      </w:pPr>
    </w:p>
    <w:p>
      <w:pPr>
        <w:pStyle w:val="BodyText"/>
        <w:spacing w:line="360" w:lineRule="auto" w:before="55"/>
        <w:ind w:left="100" w:right="139"/>
        <w:jc w:val="both"/>
      </w:pPr>
      <w:r>
        <w:rPr/>
        <w:t>“iba caminando con mi primo cuando escuchamos un estruendo, pasamos por donde debía estar el cuarto pero no había nada, seguimos caminando y en la milpa siguiente encontramos una cabeza. Tres días tardaron en armar el cuerpo. Yo con 14 años de edad llegue a casa, me dolía el cerebro y la fiebre me pego muy duro hasta que entendí que si me pasa algo quiero que sea como ese chavo, sin dolor, eso de estar quemado en un hospital es</w:t>
      </w:r>
      <w:r>
        <w:rPr>
          <w:spacing w:val="-22"/>
        </w:rPr>
        <w:t> </w:t>
      </w:r>
      <w:r>
        <w:rPr/>
        <w:t>peor”.</w:t>
      </w:r>
    </w:p>
    <w:p>
      <w:pPr>
        <w:pStyle w:val="BodyText"/>
      </w:pPr>
    </w:p>
    <w:p>
      <w:pPr>
        <w:pStyle w:val="BodyText"/>
        <w:spacing w:before="142"/>
        <w:ind w:left="4002" w:firstLine="40"/>
      </w:pPr>
      <w:r>
        <w:rPr/>
        <w:t>Hijo de artesano pirotécnico de Tlalchichilpan.</w:t>
      </w:r>
    </w:p>
    <w:p>
      <w:pPr>
        <w:pStyle w:val="BodyText"/>
        <w:rPr>
          <w:sz w:val="20"/>
        </w:rPr>
      </w:pPr>
    </w:p>
    <w:p>
      <w:pPr>
        <w:pStyle w:val="BodyText"/>
        <w:spacing w:before="7"/>
      </w:pPr>
      <w:r>
        <w:rPr/>
        <w:drawing>
          <wp:anchor distT="0" distB="0" distL="0" distR="0" allowOverlap="1" layoutInCell="1" locked="0" behindDoc="0" simplePos="0" relativeHeight="1312">
            <wp:simplePos x="0" y="0"/>
            <wp:positionH relativeFrom="page">
              <wp:posOffset>1099185</wp:posOffset>
            </wp:positionH>
            <wp:positionV relativeFrom="paragraph">
              <wp:posOffset>204571</wp:posOffset>
            </wp:positionV>
            <wp:extent cx="5658333" cy="3784473"/>
            <wp:effectExtent l="0" t="0" r="0" b="0"/>
            <wp:wrapTopAndBottom/>
            <wp:docPr id="35" name="image12.jpeg" descr=""/>
            <wp:cNvGraphicFramePr>
              <a:graphicFrameLocks noChangeAspect="1"/>
            </wp:cNvGraphicFramePr>
            <a:graphic>
              <a:graphicData uri="http://schemas.openxmlformats.org/drawingml/2006/picture">
                <pic:pic>
                  <pic:nvPicPr>
                    <pic:cNvPr id="36" name="image12.jpeg"/>
                    <pic:cNvPicPr/>
                  </pic:nvPicPr>
                  <pic:blipFill>
                    <a:blip r:embed="rId23" cstate="print"/>
                    <a:stretch>
                      <a:fillRect/>
                    </a:stretch>
                  </pic:blipFill>
                  <pic:spPr>
                    <a:xfrm>
                      <a:off x="0" y="0"/>
                      <a:ext cx="5658333" cy="3784473"/>
                    </a:xfrm>
                    <a:prstGeom prst="rect">
                      <a:avLst/>
                    </a:prstGeom>
                  </pic:spPr>
                </pic:pic>
              </a:graphicData>
            </a:graphic>
          </wp:anchor>
        </w:drawing>
      </w:r>
    </w:p>
    <w:p>
      <w:pPr>
        <w:spacing w:before="58"/>
        <w:ind w:left="4002" w:right="0" w:firstLine="0"/>
        <w:jc w:val="left"/>
        <w:rPr>
          <w:sz w:val="20"/>
        </w:rPr>
      </w:pPr>
      <w:r>
        <w:rPr>
          <w:sz w:val="20"/>
        </w:rPr>
        <w:t>Figura 2. Quema de castillo pirotécnico, Familia Urbano</w:t>
      </w:r>
    </w:p>
    <w:p>
      <w:pPr>
        <w:pStyle w:val="BodyText"/>
        <w:rPr>
          <w:sz w:val="20"/>
        </w:rPr>
      </w:pPr>
    </w:p>
    <w:p>
      <w:pPr>
        <w:pStyle w:val="BodyText"/>
        <w:rPr>
          <w:sz w:val="20"/>
        </w:rPr>
      </w:pPr>
    </w:p>
    <w:p>
      <w:pPr>
        <w:pStyle w:val="BodyText"/>
        <w:rPr>
          <w:sz w:val="20"/>
        </w:rPr>
      </w:pPr>
    </w:p>
    <w:p>
      <w:pPr>
        <w:pStyle w:val="BodyText"/>
        <w:rPr>
          <w:sz w:val="22"/>
        </w:rPr>
      </w:pPr>
    </w:p>
    <w:p>
      <w:pPr>
        <w:pStyle w:val="Heading1"/>
        <w:ind w:left="2537"/>
      </w:pPr>
      <w:r>
        <w:rPr/>
        <w:t>CAPITULO II. MARCO ANALÍTICO</w:t>
      </w:r>
    </w:p>
    <w:p>
      <w:pPr>
        <w:spacing w:after="0"/>
        <w:sectPr>
          <w:pgSz w:w="12240" w:h="15840"/>
          <w:pgMar w:header="0" w:footer="1071" w:top="1360" w:bottom="1260" w:left="1600" w:right="1560"/>
        </w:sectPr>
      </w:pPr>
    </w:p>
    <w:p>
      <w:pPr>
        <w:pStyle w:val="Heading2"/>
        <w:jc w:val="both"/>
      </w:pPr>
      <w:r>
        <w:rPr/>
        <w:t>CAPITULO II. MARCO ANALÍTICO.</w:t>
      </w:r>
    </w:p>
    <w:p>
      <w:pPr>
        <w:pStyle w:val="BodyText"/>
        <w:rPr>
          <w:b/>
        </w:rPr>
      </w:pPr>
    </w:p>
    <w:p>
      <w:pPr>
        <w:pStyle w:val="BodyText"/>
        <w:spacing w:before="11"/>
        <w:rPr>
          <w:b/>
          <w:sz w:val="23"/>
        </w:rPr>
      </w:pPr>
    </w:p>
    <w:p>
      <w:pPr>
        <w:pStyle w:val="ListParagraph"/>
        <w:numPr>
          <w:ilvl w:val="1"/>
          <w:numId w:val="4"/>
        </w:numPr>
        <w:tabs>
          <w:tab w:pos="1209" w:val="left" w:leader="none"/>
        </w:tabs>
        <w:spacing w:line="240" w:lineRule="auto" w:before="0" w:after="0"/>
        <w:ind w:left="100" w:right="0" w:firstLine="709"/>
        <w:jc w:val="left"/>
        <w:rPr>
          <w:b/>
          <w:sz w:val="24"/>
        </w:rPr>
      </w:pPr>
      <w:r>
        <w:rPr>
          <w:b/>
          <w:sz w:val="24"/>
        </w:rPr>
        <w:t>MARCO</w:t>
      </w:r>
      <w:r>
        <w:rPr>
          <w:b/>
          <w:spacing w:val="-9"/>
          <w:sz w:val="24"/>
        </w:rPr>
        <w:t> </w:t>
      </w:r>
      <w:r>
        <w:rPr>
          <w:b/>
          <w:sz w:val="24"/>
        </w:rPr>
        <w:t>ANALÍTICO.</w:t>
      </w:r>
    </w:p>
    <w:p>
      <w:pPr>
        <w:pStyle w:val="BodyText"/>
        <w:rPr>
          <w:b/>
        </w:rPr>
      </w:pPr>
    </w:p>
    <w:p>
      <w:pPr>
        <w:pStyle w:val="BodyText"/>
        <w:spacing w:before="4"/>
        <w:rPr>
          <w:b/>
        </w:rPr>
      </w:pPr>
    </w:p>
    <w:p>
      <w:pPr>
        <w:pStyle w:val="BodyText"/>
        <w:spacing w:line="360" w:lineRule="auto"/>
        <w:ind w:left="100" w:right="101"/>
        <w:jc w:val="both"/>
      </w:pPr>
      <w:r>
        <w:rPr/>
        <w:t>En el presente capítulo se analizan los conceptos utilizados como base analítica para la realización de este trabajo de tesis, en primer instancia se plantea una explicación del uso de la sustentabilidad como una herramienta para generar un análisis completo de las actividades de una población, para ello se desglosa el concepto de sustentabilidad en tres factores: el económico, el ecológico y el social.</w:t>
      </w:r>
    </w:p>
    <w:p>
      <w:pPr>
        <w:pStyle w:val="BodyText"/>
      </w:pPr>
    </w:p>
    <w:p>
      <w:pPr>
        <w:pStyle w:val="BodyText"/>
        <w:spacing w:line="360" w:lineRule="auto" w:before="142"/>
        <w:ind w:left="100" w:right="102"/>
        <w:jc w:val="both"/>
      </w:pPr>
      <w:r>
        <w:rPr/>
        <w:t>Para lograr la interpretación adecuada de la sustentabilidad utilizando los datos recabados en campo es necesario plantear los atributos a medir para cada factor previamente mencionado, esto se logra mediante la metodología MESMIS añadiéndole atributos que permiten incrementar la veracidad de los resultados y con ello lograr una cuantificación de la vulnerabilidad, este último concepto es fundamental para resolver el problema de investigación por lo que su definición es vital para ponderar las recomendaciones de las conclusiones finales que arrojen los resultados obtenidos.</w:t>
      </w:r>
    </w:p>
    <w:p>
      <w:pPr>
        <w:pStyle w:val="BodyText"/>
        <w:rPr>
          <w:sz w:val="20"/>
        </w:rPr>
      </w:pPr>
    </w:p>
    <w:p>
      <w:pPr>
        <w:pStyle w:val="BodyText"/>
        <w:spacing w:before="10"/>
        <w:rPr>
          <w:sz w:val="12"/>
        </w:rPr>
      </w:pPr>
      <w:r>
        <w:rPr/>
        <w:drawing>
          <wp:anchor distT="0" distB="0" distL="0" distR="0" allowOverlap="1" layoutInCell="1" locked="0" behindDoc="0" simplePos="0" relativeHeight="1336">
            <wp:simplePos x="0" y="0"/>
            <wp:positionH relativeFrom="page">
              <wp:posOffset>1695450</wp:posOffset>
            </wp:positionH>
            <wp:positionV relativeFrom="paragraph">
              <wp:posOffset>118806</wp:posOffset>
            </wp:positionV>
            <wp:extent cx="4640291" cy="2478024"/>
            <wp:effectExtent l="0" t="0" r="0" b="0"/>
            <wp:wrapTopAndBottom/>
            <wp:docPr id="37" name="image13.png" descr=""/>
            <wp:cNvGraphicFramePr>
              <a:graphicFrameLocks noChangeAspect="1"/>
            </wp:cNvGraphicFramePr>
            <a:graphic>
              <a:graphicData uri="http://schemas.openxmlformats.org/drawingml/2006/picture">
                <pic:pic>
                  <pic:nvPicPr>
                    <pic:cNvPr id="38" name="image13.png"/>
                    <pic:cNvPicPr/>
                  </pic:nvPicPr>
                  <pic:blipFill>
                    <a:blip r:embed="rId24" cstate="print"/>
                    <a:stretch>
                      <a:fillRect/>
                    </a:stretch>
                  </pic:blipFill>
                  <pic:spPr>
                    <a:xfrm>
                      <a:off x="0" y="0"/>
                      <a:ext cx="4640291" cy="2478024"/>
                    </a:xfrm>
                    <a:prstGeom prst="rect">
                      <a:avLst/>
                    </a:prstGeom>
                  </pic:spPr>
                </pic:pic>
              </a:graphicData>
            </a:graphic>
          </wp:anchor>
        </w:drawing>
      </w:r>
    </w:p>
    <w:p>
      <w:pPr>
        <w:spacing w:before="108"/>
        <w:ind w:left="2741" w:right="9" w:firstLine="0"/>
        <w:jc w:val="left"/>
        <w:rPr>
          <w:sz w:val="20"/>
        </w:rPr>
      </w:pPr>
      <w:r>
        <w:rPr>
          <w:sz w:val="20"/>
        </w:rPr>
        <w:t>Figura 2.1. Estructura general del capítulo II.</w:t>
      </w:r>
    </w:p>
    <w:p>
      <w:pPr>
        <w:spacing w:after="0"/>
        <w:jc w:val="left"/>
        <w:rPr>
          <w:sz w:val="20"/>
        </w:rPr>
        <w:sectPr>
          <w:pgSz w:w="12240" w:h="15840"/>
          <w:pgMar w:header="0" w:footer="1071" w:top="1360" w:bottom="1260" w:left="1600" w:right="1600"/>
        </w:sectPr>
      </w:pPr>
    </w:p>
    <w:p>
      <w:pPr>
        <w:pStyle w:val="Heading2"/>
        <w:numPr>
          <w:ilvl w:val="2"/>
          <w:numId w:val="4"/>
        </w:numPr>
        <w:tabs>
          <w:tab w:pos="1409" w:val="left" w:leader="none"/>
        </w:tabs>
        <w:spacing w:line="240" w:lineRule="auto" w:before="51" w:after="0"/>
        <w:ind w:left="1409" w:right="0" w:hanging="600"/>
        <w:jc w:val="left"/>
      </w:pPr>
      <w:r>
        <w:rPr/>
        <w:t>SUSTENTABILIDAD.</w:t>
      </w:r>
    </w:p>
    <w:p>
      <w:pPr>
        <w:pStyle w:val="BodyText"/>
        <w:rPr>
          <w:b/>
        </w:rPr>
      </w:pPr>
    </w:p>
    <w:p>
      <w:pPr>
        <w:pStyle w:val="BodyText"/>
        <w:spacing w:before="3"/>
        <w:rPr>
          <w:b/>
        </w:rPr>
      </w:pPr>
    </w:p>
    <w:p>
      <w:pPr>
        <w:pStyle w:val="BodyText"/>
        <w:spacing w:line="360" w:lineRule="auto" w:before="1"/>
        <w:ind w:left="100" w:right="103"/>
        <w:jc w:val="both"/>
      </w:pPr>
      <w:r>
        <w:rPr/>
        <w:t>Desde la publicación del informe Brundtland en 1987 por la Comisión Mundial para el Medio Ambiente y el Desarrollo de la ONU, múltiples trabajos se han basado en el concepto de desarrollo sustentable para analizar las carencias de algunas regiones, la vulnerabilidad de los pueblos o para mostrar los grados de pobreza de los países, en ese mismo ámbito esta definición ha sido manejada como discurso demagógico restándole credibilidad o como base para grupos ecologistas alejándolo de la parcialidad necesaria para convertirse en una herramienta de análisis o un medio para la gestión de calidad, ambiental y seguridad de las  nuevas instituciones que podrían aprovecharlo en su máximo</w:t>
      </w:r>
      <w:r>
        <w:rPr>
          <w:spacing w:val="-40"/>
        </w:rPr>
        <w:t> </w:t>
      </w:r>
      <w:r>
        <w:rPr/>
        <w:t>significado.</w:t>
      </w:r>
    </w:p>
    <w:p>
      <w:pPr>
        <w:pStyle w:val="BodyText"/>
      </w:pPr>
    </w:p>
    <w:p>
      <w:pPr>
        <w:pStyle w:val="BodyText"/>
        <w:spacing w:line="360" w:lineRule="auto" w:before="142"/>
        <w:ind w:left="100" w:right="105"/>
        <w:jc w:val="both"/>
      </w:pPr>
      <w:r>
        <w:rPr/>
        <w:t>Pese a ello Duran (2012) menciona que a partir de dicho informe, el mundo es concebido como un sistema global cuyas partes están interrelacionadas considerándose el concepto de desarrollo sustentable como un proceso multidimensional que afecta al sistema económico, ecológico y social.</w:t>
      </w:r>
    </w:p>
    <w:p>
      <w:pPr>
        <w:pStyle w:val="BodyText"/>
      </w:pPr>
    </w:p>
    <w:p>
      <w:pPr>
        <w:pStyle w:val="BodyText"/>
        <w:spacing w:line="360" w:lineRule="auto" w:before="142"/>
        <w:ind w:left="100" w:right="104"/>
        <w:jc w:val="both"/>
      </w:pPr>
      <w:r>
        <w:rPr/>
        <w:t>El concepto primordial menciona que “el desarrollo sustentable es el progreso económico que satisface las necesidades de las generaciones presentes sin comprometer el de las generaciones futuras” (Informe Brundtland, 1987), sin embargo la delimitación a las características económicas dejaba vacios en los análisis de sustentabilidad que se cubrieron al estipular como un sistema sustentable a aquel que cumpliese con tres características fundamentales: económicamente viable, socialmente aceptable y ambientalmente amigable.</w:t>
      </w:r>
    </w:p>
    <w:p>
      <w:pPr>
        <w:pStyle w:val="BodyText"/>
      </w:pPr>
    </w:p>
    <w:p>
      <w:pPr>
        <w:pStyle w:val="BodyText"/>
        <w:spacing w:line="360" w:lineRule="auto" w:before="142"/>
        <w:ind w:left="100" w:right="102"/>
        <w:jc w:val="both"/>
      </w:pPr>
      <w:r>
        <w:rPr/>
        <w:t>Es decir, la economía pretende maximizar el bienestar humano dentro de las limitaciones del capital y las tecnologías existentes. La ecología hace especial hincapié en preservar la integridad de los subsistemas ecológicos con el fin de asegurar la estabilidad del ecosistema siendo sus unidades de cuenta física, no monetaria y, por último, la sociología recalca que los agentes clave son los seres humanos, siendo su esquema de organización social fundamental para   encontrar</w:t>
      </w:r>
    </w:p>
    <w:p>
      <w:pPr>
        <w:spacing w:after="0" w:line="360" w:lineRule="auto"/>
        <w:jc w:val="both"/>
        <w:sectPr>
          <w:pgSz w:w="12240" w:h="15840"/>
          <w:pgMar w:header="0" w:footer="1071" w:top="1360" w:bottom="1260" w:left="1600" w:right="1600"/>
        </w:sectPr>
      </w:pPr>
    </w:p>
    <w:p>
      <w:pPr>
        <w:pStyle w:val="BodyText"/>
        <w:spacing w:line="362" w:lineRule="auto" w:before="55"/>
        <w:ind w:left="100" w:right="120"/>
        <w:jc w:val="both"/>
      </w:pPr>
      <w:r>
        <w:rPr/>
        <w:t>soluciones viables que permitan encontrar el desarrollo sostenible (Serageldin, 1993).</w:t>
      </w:r>
    </w:p>
    <w:p>
      <w:pPr>
        <w:pStyle w:val="BodyText"/>
      </w:pPr>
    </w:p>
    <w:p>
      <w:pPr>
        <w:pStyle w:val="BodyText"/>
        <w:spacing w:line="360" w:lineRule="auto" w:before="139"/>
        <w:ind w:left="100" w:right="122"/>
        <w:jc w:val="both"/>
      </w:pPr>
      <w:r>
        <w:rPr/>
        <w:t>Utilizando como parámetro el Marco para la Evaluación de Sistemas de Manejo de recursos naturales incorporando Indicadores de Sustentabilidad (MESMIS), el concepto de sustentabilidad se define a partir de cinco atributos generales de los sistemas de manejo: (a) productividad; (b) estabilidad, confiabilidad y    resiliencia;</w:t>
      </w:r>
    </w:p>
    <w:p>
      <w:pPr>
        <w:pStyle w:val="ListParagraph"/>
        <w:numPr>
          <w:ilvl w:val="0"/>
          <w:numId w:val="5"/>
        </w:numPr>
        <w:tabs>
          <w:tab w:pos="449" w:val="left" w:leader="none"/>
        </w:tabs>
        <w:spacing w:line="240" w:lineRule="auto" w:before="6" w:after="0"/>
        <w:ind w:left="448" w:right="0" w:hanging="348"/>
        <w:jc w:val="both"/>
        <w:rPr>
          <w:sz w:val="24"/>
        </w:rPr>
      </w:pPr>
      <w:r>
        <w:rPr>
          <w:sz w:val="24"/>
        </w:rPr>
        <w:t>adaptabilidad; (d) equidad, y (e) autodependencia</w:t>
      </w:r>
      <w:r>
        <w:rPr>
          <w:spacing w:val="-36"/>
          <w:sz w:val="24"/>
        </w:rPr>
        <w:t> </w:t>
      </w:r>
      <w:r>
        <w:rPr>
          <w:sz w:val="24"/>
        </w:rPr>
        <w:t>(autogestión).</w:t>
      </w:r>
    </w:p>
    <w:p>
      <w:pPr>
        <w:pStyle w:val="BodyText"/>
      </w:pPr>
    </w:p>
    <w:p>
      <w:pPr>
        <w:pStyle w:val="BodyText"/>
      </w:pPr>
    </w:p>
    <w:p>
      <w:pPr>
        <w:pStyle w:val="BodyText"/>
        <w:spacing w:line="360" w:lineRule="auto"/>
        <w:ind w:left="100" w:right="113"/>
        <w:jc w:val="both"/>
      </w:pPr>
      <w:r>
        <w:rPr/>
        <w:t>La sustentabilidad no puede evaluarse per se sino de manera comparativa o relativa. Para esto existen dos vías fundamentales: (a) comparar la evolución de  un mismo sistema a través del tiempo (comparación longitudinal), o (b) comparar simultáneamente uno o </w:t>
      </w:r>
      <w:r>
        <w:rPr>
          <w:spacing w:val="-2"/>
        </w:rPr>
        <w:t>más </w:t>
      </w:r>
      <w:r>
        <w:rPr/>
        <w:t>sistemas de manejo alternativo o innovador con un sistema de referencia (comparación transversal) (Monterroso,</w:t>
      </w:r>
      <w:r>
        <w:rPr>
          <w:spacing w:val="-33"/>
        </w:rPr>
        <w:t> </w:t>
      </w:r>
      <w:r>
        <w:rPr/>
        <w:t>2009).</w:t>
      </w:r>
    </w:p>
    <w:p>
      <w:pPr>
        <w:pStyle w:val="BodyText"/>
      </w:pPr>
    </w:p>
    <w:p>
      <w:pPr>
        <w:pStyle w:val="BodyText"/>
        <w:spacing w:line="360" w:lineRule="auto" w:before="142"/>
        <w:ind w:left="100" w:right="122"/>
        <w:jc w:val="both"/>
      </w:pPr>
      <w:r>
        <w:rPr/>
        <w:t>La evaluación de sustentabilidad es un proceso cíclico que tiene como objetivo central el fortalecimiento tanto de los sistemas de manejo como de la metodología utilizada. Operativamente, para utilizar los atributos generales, se definen una serie de puntos críticos o fortalezas y debilidades para la sustentabilidad del sistema que se relacionan con tres áreas de evaluación: ambiental, social y económica. En cada área de evaluación se definen criterios de diagnóstico e indicadores. Este mecanismo asegura una relación clara entre los indicadores y  los atributos de</w:t>
      </w:r>
      <w:r>
        <w:rPr>
          <w:spacing w:val="-22"/>
        </w:rPr>
        <w:t> </w:t>
      </w:r>
      <w:r>
        <w:rPr/>
        <w:t>sustentabilidad.</w:t>
      </w:r>
    </w:p>
    <w:p>
      <w:pPr>
        <w:pStyle w:val="BodyText"/>
      </w:pPr>
    </w:p>
    <w:p>
      <w:pPr>
        <w:pStyle w:val="BodyText"/>
        <w:spacing w:line="360" w:lineRule="auto" w:before="142"/>
        <w:ind w:left="100" w:right="123"/>
        <w:jc w:val="both"/>
      </w:pPr>
      <w:r>
        <w:rPr/>
        <w:t>Finalmente, la información obtenida mediante los diferentes indicadores se integra utilizando técnicas de análisis multicriterio, con el fin de emitir un juicio de valor sobre los sistemas de manejo y brindar sugerencias para mejorar su perfil socioambiental y económico.</w:t>
      </w:r>
    </w:p>
    <w:p>
      <w:pPr>
        <w:spacing w:after="0" w:line="360" w:lineRule="auto"/>
        <w:jc w:val="both"/>
        <w:sectPr>
          <w:pgSz w:w="12240" w:h="15840"/>
          <w:pgMar w:header="0" w:footer="1071" w:top="1360" w:bottom="1260" w:left="1600" w:right="1580"/>
        </w:sectPr>
      </w:pPr>
    </w:p>
    <w:p>
      <w:pPr>
        <w:pStyle w:val="Heading2"/>
        <w:numPr>
          <w:ilvl w:val="2"/>
          <w:numId w:val="4"/>
        </w:numPr>
        <w:tabs>
          <w:tab w:pos="1409" w:val="left" w:leader="none"/>
        </w:tabs>
        <w:spacing w:line="240" w:lineRule="auto" w:before="51" w:after="0"/>
        <w:ind w:left="1409" w:right="0" w:hanging="600"/>
        <w:jc w:val="left"/>
      </w:pPr>
      <w:r>
        <w:rPr/>
        <w:t>SUSTENTABILIDAD ECOLÓGICA, ECONÓMICA Y</w:t>
      </w:r>
      <w:r>
        <w:rPr>
          <w:spacing w:val="-26"/>
        </w:rPr>
        <w:t> </w:t>
      </w:r>
      <w:r>
        <w:rPr/>
        <w:t>SOCIAL</w:t>
      </w:r>
    </w:p>
    <w:p>
      <w:pPr>
        <w:pStyle w:val="BodyText"/>
        <w:rPr>
          <w:b/>
        </w:rPr>
      </w:pPr>
    </w:p>
    <w:p>
      <w:pPr>
        <w:pStyle w:val="BodyText"/>
        <w:spacing w:before="3"/>
        <w:rPr>
          <w:b/>
        </w:rPr>
      </w:pPr>
    </w:p>
    <w:p>
      <w:pPr>
        <w:pStyle w:val="BodyText"/>
        <w:spacing w:line="360" w:lineRule="auto" w:before="1"/>
        <w:ind w:left="100" w:right="101"/>
        <w:jc w:val="both"/>
      </w:pPr>
      <w:r>
        <w:rPr/>
        <w:t>Para utilizar el concepto de sustentabilidad como herramienta para el análisis de la vulnerabilidad en una actividad económica se pueden adoptar las premisas básicas planteadas por Monterroso (2009) para el análisis social de la sustentabilidad  de  una  comunidad,  complementándolas  con  el   Marco  para   la Evaluación de Sistemas de Manejo de recursos naturales incorporando Indicadores de Sustentabilidad (MESMIS) y extrapolarlas al análisis social, económico y ambiental en el marco de la pirotecnia </w:t>
      </w:r>
      <w:r>
        <w:rPr>
          <w:spacing w:val="-3"/>
        </w:rPr>
        <w:t>ya </w:t>
      </w:r>
      <w:r>
        <w:rPr/>
        <w:t>que en el primero de los casos se utiliza para un análisis social de una comunidad con un proyecto de aprovechamiento de recursos naturales y en el caso del MESMIS su tendencia es agropecuaria, dichas premisas</w:t>
      </w:r>
      <w:r>
        <w:rPr>
          <w:spacing w:val="-21"/>
        </w:rPr>
        <w:t> </w:t>
      </w:r>
      <w:r>
        <w:rPr/>
        <w:t>son:</w:t>
      </w:r>
    </w:p>
    <w:p>
      <w:pPr>
        <w:pStyle w:val="BodyText"/>
      </w:pPr>
    </w:p>
    <w:p>
      <w:pPr>
        <w:pStyle w:val="ListParagraph"/>
        <w:numPr>
          <w:ilvl w:val="3"/>
          <w:numId w:val="4"/>
        </w:numPr>
        <w:tabs>
          <w:tab w:pos="1529" w:val="left" w:leader="none"/>
        </w:tabs>
        <w:spacing w:line="357" w:lineRule="auto" w:before="142" w:after="0"/>
        <w:ind w:left="1529" w:right="104" w:hanging="360"/>
        <w:jc w:val="both"/>
        <w:rPr>
          <w:sz w:val="24"/>
        </w:rPr>
      </w:pPr>
      <w:r>
        <w:rPr>
          <w:sz w:val="24"/>
        </w:rPr>
        <w:t>La sustentabilidad tiene dos vías fundamentales para su posible evaluación: comparar la evolución de un mismo sistema a través del tiempo (longitudinal), o comparar simultáneamente uno o </w:t>
      </w:r>
      <w:r>
        <w:rPr>
          <w:spacing w:val="-2"/>
          <w:sz w:val="24"/>
        </w:rPr>
        <w:t>más </w:t>
      </w:r>
      <w:r>
        <w:rPr>
          <w:sz w:val="24"/>
        </w:rPr>
        <w:t>sistemas de manejo con un sistema de referencia</w:t>
      </w:r>
      <w:r>
        <w:rPr>
          <w:spacing w:val="-29"/>
          <w:sz w:val="24"/>
        </w:rPr>
        <w:t> </w:t>
      </w:r>
      <w:r>
        <w:rPr>
          <w:sz w:val="24"/>
        </w:rPr>
        <w:t>(transversal).</w:t>
      </w:r>
    </w:p>
    <w:p>
      <w:pPr>
        <w:pStyle w:val="BodyText"/>
      </w:pPr>
    </w:p>
    <w:p>
      <w:pPr>
        <w:pStyle w:val="ListParagraph"/>
        <w:numPr>
          <w:ilvl w:val="3"/>
          <w:numId w:val="4"/>
        </w:numPr>
        <w:tabs>
          <w:tab w:pos="1529" w:val="left" w:leader="none"/>
        </w:tabs>
        <w:spacing w:line="357" w:lineRule="auto" w:before="144" w:after="0"/>
        <w:ind w:left="1529" w:right="99" w:hanging="360"/>
        <w:jc w:val="both"/>
        <w:rPr>
          <w:sz w:val="24"/>
        </w:rPr>
      </w:pPr>
      <w:r>
        <w:rPr>
          <w:sz w:val="24"/>
        </w:rPr>
        <w:t>La evaluación de la sustentabilidad es válida para sistemas de manejo específico de un espacio geográfico y en un determinado contexto social y político; una escala espacial y una temporal definidas</w:t>
      </w:r>
      <w:r>
        <w:rPr>
          <w:spacing w:val="-18"/>
          <w:sz w:val="24"/>
        </w:rPr>
        <w:t> </w:t>
      </w:r>
      <w:r>
        <w:rPr>
          <w:sz w:val="24"/>
        </w:rPr>
        <w:t>previamente.</w:t>
      </w:r>
    </w:p>
    <w:p>
      <w:pPr>
        <w:pStyle w:val="BodyText"/>
      </w:pPr>
    </w:p>
    <w:p>
      <w:pPr>
        <w:pStyle w:val="BodyText"/>
        <w:spacing w:before="11"/>
        <w:rPr>
          <w:sz w:val="29"/>
        </w:rPr>
      </w:pPr>
    </w:p>
    <w:p>
      <w:pPr>
        <w:pStyle w:val="ListParagraph"/>
        <w:numPr>
          <w:ilvl w:val="3"/>
          <w:numId w:val="4"/>
        </w:numPr>
        <w:tabs>
          <w:tab w:pos="1529" w:val="left" w:leader="none"/>
        </w:tabs>
        <w:spacing w:line="350" w:lineRule="auto" w:before="0" w:after="0"/>
        <w:ind w:left="1529" w:right="105" w:hanging="360"/>
        <w:jc w:val="both"/>
        <w:rPr>
          <w:sz w:val="24"/>
        </w:rPr>
      </w:pPr>
      <w:r>
        <w:rPr>
          <w:sz w:val="24"/>
        </w:rPr>
        <w:t>La evaluación es un proceso cíclico para el fortalecimiento tanto de los sistemas de manejo como de la metodología</w:t>
      </w:r>
      <w:r>
        <w:rPr>
          <w:spacing w:val="-32"/>
          <w:sz w:val="24"/>
        </w:rPr>
        <w:t> </w:t>
      </w:r>
      <w:r>
        <w:rPr>
          <w:sz w:val="24"/>
        </w:rPr>
        <w:t>utilizada.</w:t>
      </w:r>
    </w:p>
    <w:p>
      <w:pPr>
        <w:pStyle w:val="BodyText"/>
      </w:pPr>
    </w:p>
    <w:p>
      <w:pPr>
        <w:pStyle w:val="ListParagraph"/>
        <w:numPr>
          <w:ilvl w:val="3"/>
          <w:numId w:val="4"/>
        </w:numPr>
        <w:tabs>
          <w:tab w:pos="1529" w:val="left" w:leader="none"/>
        </w:tabs>
        <w:spacing w:line="355" w:lineRule="auto" w:before="152" w:after="0"/>
        <w:ind w:left="1529" w:right="102" w:hanging="360"/>
        <w:jc w:val="both"/>
        <w:rPr>
          <w:sz w:val="24"/>
        </w:rPr>
      </w:pPr>
      <w:r>
        <w:rPr>
          <w:sz w:val="24"/>
        </w:rPr>
        <w:t>Los procesos deberán incluir análisis y retroalimentación. Evitando que el análisis proporcione únicamente una calificación de los sistemas de manejo en escalas de</w:t>
      </w:r>
      <w:r>
        <w:rPr>
          <w:spacing w:val="-19"/>
          <w:sz w:val="24"/>
        </w:rPr>
        <w:t> </w:t>
      </w:r>
      <w:r>
        <w:rPr>
          <w:sz w:val="24"/>
        </w:rPr>
        <w:t>sustentabilidad.</w:t>
      </w:r>
    </w:p>
    <w:p>
      <w:pPr>
        <w:spacing w:after="0" w:line="355" w:lineRule="auto"/>
        <w:jc w:val="both"/>
        <w:rPr>
          <w:sz w:val="24"/>
        </w:rPr>
        <w:sectPr>
          <w:pgSz w:w="12240" w:h="15840"/>
          <w:pgMar w:header="0" w:footer="1071" w:top="1360" w:bottom="1260" w:left="1600" w:right="1600"/>
        </w:sectPr>
      </w:pPr>
    </w:p>
    <w:p>
      <w:pPr>
        <w:pStyle w:val="ListParagraph"/>
        <w:numPr>
          <w:ilvl w:val="3"/>
          <w:numId w:val="4"/>
        </w:numPr>
        <w:tabs>
          <w:tab w:pos="1529" w:val="left" w:leader="none"/>
        </w:tabs>
        <w:spacing w:line="357" w:lineRule="auto" w:before="35" w:after="0"/>
        <w:ind w:left="1529" w:right="104" w:hanging="360"/>
        <w:jc w:val="both"/>
        <w:rPr>
          <w:sz w:val="24"/>
        </w:rPr>
      </w:pPr>
      <w:r>
        <w:rPr>
          <w:sz w:val="24"/>
        </w:rPr>
        <w:t>Constituye una herramienta en desarrollo. La experiencia de su aplicación permitirá mejorar el propio marco. En este sentido, debe entenderse como un método para organizar la discusión sobre sustentabilidad y la forma de hacer operativo el</w:t>
      </w:r>
      <w:r>
        <w:rPr>
          <w:spacing w:val="-35"/>
          <w:sz w:val="24"/>
        </w:rPr>
        <w:t> </w:t>
      </w:r>
      <w:r>
        <w:rPr>
          <w:sz w:val="24"/>
        </w:rPr>
        <w:t>concepto.</w:t>
      </w:r>
    </w:p>
    <w:p>
      <w:pPr>
        <w:pStyle w:val="BodyText"/>
      </w:pPr>
    </w:p>
    <w:p>
      <w:pPr>
        <w:pStyle w:val="ListParagraph"/>
        <w:numPr>
          <w:ilvl w:val="3"/>
          <w:numId w:val="4"/>
        </w:numPr>
        <w:tabs>
          <w:tab w:pos="1529" w:val="left" w:leader="none"/>
        </w:tabs>
        <w:spacing w:line="355" w:lineRule="auto" w:before="145" w:after="0"/>
        <w:ind w:left="1529" w:right="106" w:hanging="360"/>
        <w:jc w:val="both"/>
        <w:rPr>
          <w:sz w:val="24"/>
        </w:rPr>
      </w:pPr>
      <w:r>
        <w:rPr>
          <w:sz w:val="24"/>
        </w:rPr>
        <w:t>Busca entender de manera integral las limitantes y posibilidades para los sistemas de manejo que surgen de la intersección de procesos ambientales con el ámbito social y</w:t>
      </w:r>
      <w:r>
        <w:rPr>
          <w:spacing w:val="-26"/>
          <w:sz w:val="24"/>
        </w:rPr>
        <w:t> </w:t>
      </w:r>
      <w:r>
        <w:rPr>
          <w:sz w:val="24"/>
        </w:rPr>
        <w:t>económico.</w:t>
      </w:r>
    </w:p>
    <w:p>
      <w:pPr>
        <w:pStyle w:val="BodyText"/>
      </w:pPr>
    </w:p>
    <w:p>
      <w:pPr>
        <w:pStyle w:val="BodyText"/>
        <w:spacing w:line="360" w:lineRule="auto" w:before="143"/>
        <w:ind w:left="100" w:right="106"/>
        <w:jc w:val="both"/>
      </w:pPr>
      <w:r>
        <w:rPr/>
        <w:t>Se define la </w:t>
      </w:r>
      <w:r>
        <w:rPr>
          <w:b/>
        </w:rPr>
        <w:t>sustentabilidad ecológica </w:t>
      </w:r>
      <w:r>
        <w:rPr/>
        <w:t>como la capacidad de un sistema (o un ecosistema) de mantener su estado en el tiempo, manteniendo para ello los parámetros de volumen, tasas de cambio y circulación invariables o haciéndoles fluctuar cíclicamente en torno a valores promedio (Gligo, 1987)</w:t>
      </w:r>
    </w:p>
    <w:p>
      <w:pPr>
        <w:pStyle w:val="BodyText"/>
      </w:pPr>
    </w:p>
    <w:p>
      <w:pPr>
        <w:pStyle w:val="BodyText"/>
        <w:spacing w:line="362" w:lineRule="auto" w:before="138"/>
        <w:ind w:left="100" w:right="103"/>
        <w:jc w:val="both"/>
      </w:pPr>
      <w:r>
        <w:rPr/>
        <w:t>Por otro lado, la </w:t>
      </w:r>
      <w:r>
        <w:rPr>
          <w:b/>
        </w:rPr>
        <w:t>sustentabilidad económica </w:t>
      </w:r>
      <w:r>
        <w:rPr/>
        <w:t>está inserta en el concepto de renta de Hicks definida como la cantidad máxima que un individuo puede consumir en un período determinado de tiempo sin reducir su consumo en un período futuro (Hicks,</w:t>
      </w:r>
      <w:r>
        <w:rPr>
          <w:spacing w:val="-9"/>
        </w:rPr>
        <w:t> </w:t>
      </w:r>
      <w:r>
        <w:rPr/>
        <w:t>1945).</w:t>
      </w:r>
    </w:p>
    <w:p>
      <w:pPr>
        <w:pStyle w:val="BodyText"/>
        <w:spacing w:before="9"/>
        <w:rPr>
          <w:sz w:val="35"/>
        </w:rPr>
      </w:pPr>
    </w:p>
    <w:p>
      <w:pPr>
        <w:pStyle w:val="BodyText"/>
        <w:spacing w:line="360" w:lineRule="auto"/>
        <w:ind w:left="100" w:right="100"/>
        <w:jc w:val="both"/>
      </w:pPr>
      <w:r>
        <w:rPr/>
        <w:t>Y, por último, se considera alcanzada la </w:t>
      </w:r>
      <w:r>
        <w:rPr>
          <w:b/>
        </w:rPr>
        <w:t>sustentabilidad social </w:t>
      </w:r>
      <w:r>
        <w:rPr/>
        <w:t>cuando los costes y beneficios son distribuidos de manera adecuada tanto entre el total de la población actual (equidad intrageneracional) como entre las generaciones presentes y futuras (equidad intergeneracional) (Duran, 2012)</w:t>
      </w:r>
    </w:p>
    <w:p>
      <w:pPr>
        <w:pStyle w:val="BodyText"/>
      </w:pPr>
    </w:p>
    <w:p>
      <w:pPr>
        <w:pStyle w:val="BodyText"/>
      </w:pPr>
    </w:p>
    <w:p>
      <w:pPr>
        <w:pStyle w:val="BodyText"/>
        <w:spacing w:before="2"/>
      </w:pPr>
    </w:p>
    <w:p>
      <w:pPr>
        <w:pStyle w:val="Heading2"/>
        <w:numPr>
          <w:ilvl w:val="2"/>
          <w:numId w:val="4"/>
        </w:numPr>
        <w:tabs>
          <w:tab w:pos="1409" w:val="left" w:leader="none"/>
        </w:tabs>
        <w:spacing w:line="240" w:lineRule="auto" w:before="0" w:after="0"/>
        <w:ind w:left="1409" w:right="0" w:hanging="600"/>
        <w:jc w:val="left"/>
      </w:pPr>
      <w:r>
        <w:rPr/>
        <w:t>VULNERABILIDAD</w:t>
      </w:r>
    </w:p>
    <w:p>
      <w:pPr>
        <w:pStyle w:val="BodyText"/>
        <w:rPr>
          <w:b/>
        </w:rPr>
      </w:pPr>
    </w:p>
    <w:p>
      <w:pPr>
        <w:pStyle w:val="BodyText"/>
        <w:spacing w:line="360" w:lineRule="auto" w:before="144"/>
        <w:ind w:left="100" w:right="100"/>
        <w:jc w:val="both"/>
      </w:pPr>
      <w:r>
        <w:rPr/>
        <w:t>Durante el trabajo del artesano pirotécnico existen múltiples dificultades que han propiciado un estancamiento en su crecimiento económico y social, ello indica la existencia  de  factores  que  se  consideran  un  riesgo  o  que  pueden  afectar de</w:t>
      </w:r>
    </w:p>
    <w:p>
      <w:pPr>
        <w:spacing w:after="0" w:line="360" w:lineRule="auto"/>
        <w:jc w:val="both"/>
        <w:sectPr>
          <w:pgSz w:w="12240" w:h="15840"/>
          <w:pgMar w:header="0" w:footer="1071" w:top="1380" w:bottom="1260" w:left="1600" w:right="1600"/>
        </w:sectPr>
      </w:pPr>
    </w:p>
    <w:p>
      <w:pPr>
        <w:pStyle w:val="BodyText"/>
        <w:spacing w:line="362" w:lineRule="auto" w:before="55"/>
        <w:ind w:left="100" w:right="104"/>
        <w:jc w:val="both"/>
      </w:pPr>
      <w:r>
        <w:rPr/>
        <w:t>manera directa al crecimiento empresarial o familiar de dicho grupo, por ello es factible estudiar a este sector económico como un grupo socialmente vulnerable.</w:t>
      </w:r>
    </w:p>
    <w:p>
      <w:pPr>
        <w:pStyle w:val="BodyText"/>
        <w:spacing w:before="3"/>
      </w:pPr>
    </w:p>
    <w:p>
      <w:pPr>
        <w:pStyle w:val="BodyText"/>
        <w:spacing w:line="360" w:lineRule="auto"/>
        <w:ind w:left="100" w:right="101"/>
        <w:jc w:val="both"/>
      </w:pPr>
      <w:r>
        <w:rPr/>
        <w:t>En su sentido etimológico, el término vulnerable expresa la susceptibilidad o posibilidad de ser herido, de recibir un daño o de ser afectado por alguna circunstancia. Por ello podemos decir que la “vulnerabilidad social” se referiría a la potencialidad de que la población de un determinado espacio sea afectada por alguna circunstancia adversa, de modo que el concepto alude no tanto a la existencia de una situación crítica constatada en la actualidad como a la de unas determinadas condiciones de riesgo, fragilidad, desfavorecimiento o desventaja que harían posible la entrada en esa situación crítica.</w:t>
      </w:r>
    </w:p>
    <w:p>
      <w:pPr>
        <w:pStyle w:val="BodyText"/>
      </w:pPr>
    </w:p>
    <w:p>
      <w:pPr>
        <w:pStyle w:val="BodyText"/>
        <w:spacing w:line="360" w:lineRule="auto" w:before="141"/>
        <w:ind w:left="100" w:right="109"/>
        <w:jc w:val="both"/>
      </w:pPr>
      <w:r>
        <w:rPr/>
        <w:t>Un concepto de vulnerabilidad encaminado a los propósitos del siguiente trabajo se encuentra en el escrito del Departamento de Asuntos Económicos y Sociales  de las Naciones</w:t>
      </w:r>
      <w:r>
        <w:rPr>
          <w:spacing w:val="-17"/>
        </w:rPr>
        <w:t> </w:t>
      </w:r>
      <w:r>
        <w:rPr/>
        <w:t>Unidas:</w:t>
      </w:r>
    </w:p>
    <w:p>
      <w:pPr>
        <w:spacing w:line="360" w:lineRule="auto" w:before="198"/>
        <w:ind w:left="100" w:right="105" w:firstLine="68"/>
        <w:jc w:val="both"/>
        <w:rPr>
          <w:i/>
          <w:sz w:val="24"/>
        </w:rPr>
      </w:pPr>
      <w:r>
        <w:rPr>
          <w:i/>
          <w:sz w:val="24"/>
        </w:rPr>
        <w:t>“(...) En esencia, la vulnerabilidad puede definirse como un estado de elevada </w:t>
      </w:r>
      <w:r>
        <w:rPr>
          <w:i/>
          <w:sz w:val="24"/>
        </w:rPr>
        <w:t>exposición a determinados riesgos e incertidumbres, combinado con  una capacidad disminuida para protegerse o defenderse de ellos y hacer frente a sus consecuencias negativas. La vulnerabilidad existe en todos los niveles y dimensiones de la sociedad y es parte integrante de la condición humana, por lo que afecta tanto a cada persona como a la sociedad en su totalidad” (ONU, 2003).</w:t>
      </w:r>
    </w:p>
    <w:p>
      <w:pPr>
        <w:pStyle w:val="BodyText"/>
        <w:rPr>
          <w:i/>
        </w:rPr>
      </w:pPr>
    </w:p>
    <w:p>
      <w:pPr>
        <w:pStyle w:val="BodyText"/>
        <w:rPr>
          <w:i/>
          <w:sz w:val="30"/>
        </w:rPr>
      </w:pPr>
    </w:p>
    <w:p>
      <w:pPr>
        <w:pStyle w:val="BodyText"/>
        <w:spacing w:line="360" w:lineRule="auto" w:before="1"/>
        <w:ind w:left="100" w:right="102"/>
        <w:jc w:val="both"/>
      </w:pPr>
      <w:r>
        <w:rPr/>
        <w:t>Para el sector productivo que estudiamos la principal amenaza se presenta en la disminución de quemas pirotécnicas, ello se representa en la disminución de contratos por lo que la economía de la población de San Mateo Tlalchichilpan se ve afectada de forma directa, estos problemas se dan por los cambios sociales en usos y costumbres por lo que la vulnerabilidad se puede considerar como socio económica, para lo cual se contemplan tres variables</w:t>
      </w:r>
      <w:r>
        <w:rPr>
          <w:spacing w:val="-38"/>
        </w:rPr>
        <w:t> </w:t>
      </w:r>
      <w:r>
        <w:rPr/>
        <w:t>especificas:</w:t>
      </w:r>
    </w:p>
    <w:p>
      <w:pPr>
        <w:spacing w:after="0" w:line="360" w:lineRule="auto"/>
        <w:jc w:val="both"/>
        <w:sectPr>
          <w:pgSz w:w="12240" w:h="15840"/>
          <w:pgMar w:header="0" w:footer="1071" w:top="1360" w:bottom="1260" w:left="1600" w:right="1600"/>
        </w:sectPr>
      </w:pPr>
    </w:p>
    <w:p>
      <w:pPr>
        <w:pStyle w:val="ListParagraph"/>
        <w:numPr>
          <w:ilvl w:val="1"/>
          <w:numId w:val="5"/>
        </w:numPr>
        <w:tabs>
          <w:tab w:pos="821" w:val="left" w:leader="none"/>
        </w:tabs>
        <w:spacing w:line="355" w:lineRule="auto" w:before="35" w:after="0"/>
        <w:ind w:left="821" w:right="105" w:hanging="361"/>
        <w:jc w:val="both"/>
        <w:rPr>
          <w:sz w:val="24"/>
        </w:rPr>
      </w:pPr>
      <w:r>
        <w:rPr>
          <w:sz w:val="24"/>
        </w:rPr>
        <w:t>El desempleo: las elevadas tasas de desempleo son una característica de nuestro mercado laboral, que no es capaz de incorporar a la población activa en su</w:t>
      </w:r>
      <w:r>
        <w:rPr>
          <w:spacing w:val="-17"/>
          <w:sz w:val="24"/>
        </w:rPr>
        <w:t> </w:t>
      </w:r>
      <w:r>
        <w:rPr>
          <w:sz w:val="24"/>
        </w:rPr>
        <w:t>totalidad.</w:t>
      </w:r>
    </w:p>
    <w:p>
      <w:pPr>
        <w:pStyle w:val="BodyText"/>
      </w:pPr>
    </w:p>
    <w:p>
      <w:pPr>
        <w:pStyle w:val="ListParagraph"/>
        <w:numPr>
          <w:ilvl w:val="1"/>
          <w:numId w:val="5"/>
        </w:numPr>
        <w:tabs>
          <w:tab w:pos="821" w:val="left" w:leader="none"/>
        </w:tabs>
        <w:spacing w:line="357" w:lineRule="auto" w:before="147" w:after="0"/>
        <w:ind w:left="821" w:right="99" w:hanging="361"/>
        <w:jc w:val="both"/>
        <w:rPr>
          <w:sz w:val="24"/>
        </w:rPr>
      </w:pPr>
      <w:r>
        <w:rPr>
          <w:sz w:val="24"/>
        </w:rPr>
        <w:t>La precariedad laboral: es decir, existe una capa notable de trabajadores con bajo salario que constituyen ya un grupo incorporado al denominado sector de pobreza. En este caso se presenta una base productiva que genera un empleo precario, en gran parte de escasa calificación producto de ello existe una población trabajadora con un nivel salarial que no  asegura ya la cobertura de las necesidades básicas de sus</w:t>
      </w:r>
      <w:r>
        <w:rPr>
          <w:spacing w:val="-35"/>
          <w:sz w:val="24"/>
        </w:rPr>
        <w:t> </w:t>
      </w:r>
      <w:r>
        <w:rPr>
          <w:sz w:val="24"/>
        </w:rPr>
        <w:t>familias.</w:t>
      </w:r>
    </w:p>
    <w:p>
      <w:pPr>
        <w:pStyle w:val="BodyText"/>
      </w:pPr>
    </w:p>
    <w:p>
      <w:pPr>
        <w:pStyle w:val="ListParagraph"/>
        <w:numPr>
          <w:ilvl w:val="1"/>
          <w:numId w:val="5"/>
        </w:numPr>
        <w:tabs>
          <w:tab w:pos="821" w:val="left" w:leader="none"/>
        </w:tabs>
        <w:spacing w:line="357" w:lineRule="auto" w:before="144" w:after="0"/>
        <w:ind w:left="821" w:right="103" w:hanging="361"/>
        <w:jc w:val="both"/>
        <w:rPr>
          <w:sz w:val="24"/>
        </w:rPr>
      </w:pPr>
      <w:r>
        <w:rPr>
          <w:sz w:val="24"/>
        </w:rPr>
        <w:t>Los bajos niveles formativos de las clases trabajadoras: hay que destacar los elevados niveles de abandono escolar que afecta a los jóvenes de estas fracciones sociales y este es un factor determinante para entender las elevadas tasas de desempleo y de precariedad</w:t>
      </w:r>
      <w:r>
        <w:rPr>
          <w:spacing w:val="-32"/>
          <w:sz w:val="24"/>
        </w:rPr>
        <w:t> </w:t>
      </w:r>
      <w:r>
        <w:rPr>
          <w:sz w:val="24"/>
        </w:rPr>
        <w:t>laboral.</w:t>
      </w:r>
    </w:p>
    <w:p>
      <w:pPr>
        <w:pStyle w:val="BodyText"/>
      </w:pPr>
    </w:p>
    <w:p>
      <w:pPr>
        <w:pStyle w:val="BodyText"/>
        <w:spacing w:before="11"/>
        <w:rPr>
          <w:sz w:val="29"/>
        </w:rPr>
      </w:pPr>
    </w:p>
    <w:p>
      <w:pPr>
        <w:pStyle w:val="ListParagraph"/>
        <w:numPr>
          <w:ilvl w:val="1"/>
          <w:numId w:val="5"/>
        </w:numPr>
        <w:tabs>
          <w:tab w:pos="821" w:val="left" w:leader="none"/>
        </w:tabs>
        <w:spacing w:line="355" w:lineRule="auto" w:before="0" w:after="0"/>
        <w:ind w:left="821" w:right="107" w:hanging="361"/>
        <w:jc w:val="both"/>
        <w:rPr>
          <w:sz w:val="24"/>
        </w:rPr>
      </w:pPr>
      <w:r>
        <w:rPr>
          <w:sz w:val="24"/>
        </w:rPr>
        <w:t>Acceso a infraestructura y servicios: las dificultades para acceder a  recursos materiales para llevar a cabo su labor de forma adecuada obstaculiza el progreso de esta actividad</w:t>
      </w:r>
      <w:r>
        <w:rPr>
          <w:spacing w:val="-27"/>
          <w:sz w:val="24"/>
        </w:rPr>
        <w:t> </w:t>
      </w:r>
      <w:r>
        <w:rPr>
          <w:sz w:val="24"/>
        </w:rPr>
        <w:t>económica.</w:t>
      </w:r>
    </w:p>
    <w:p>
      <w:pPr>
        <w:pStyle w:val="BodyText"/>
      </w:pPr>
    </w:p>
    <w:p>
      <w:pPr>
        <w:pStyle w:val="BodyText"/>
        <w:spacing w:line="360" w:lineRule="auto" w:before="148"/>
        <w:ind w:left="100" w:right="98"/>
        <w:jc w:val="both"/>
      </w:pPr>
      <w:r>
        <w:rPr/>
        <w:t>El grado de vulnerabilidad de un grupo social es un factor ponderante para encaminar esfuerzos que aplicados de forma adecuada pueden ayudar a la mejoría de los sectores en estudio, para este fin, se utilizaron los estudios de sustentabilidad para darle un valor a las características de vulnerabilidad, ello se analiza en el capítulo V una vez obtenidos los resultados de los estudios mencionados.</w:t>
      </w:r>
    </w:p>
    <w:p>
      <w:pPr>
        <w:spacing w:after="0" w:line="360" w:lineRule="auto"/>
        <w:jc w:val="both"/>
        <w:sectPr>
          <w:pgSz w:w="12240" w:h="15840"/>
          <w:pgMar w:header="0" w:footer="1071" w:top="1380" w:bottom="1260" w:left="1600" w:right="1600"/>
        </w:sectPr>
      </w:pPr>
    </w:p>
    <w:p>
      <w:pPr>
        <w:pStyle w:val="Heading2"/>
        <w:numPr>
          <w:ilvl w:val="2"/>
          <w:numId w:val="4"/>
        </w:numPr>
        <w:tabs>
          <w:tab w:pos="1409" w:val="left" w:leader="none"/>
        </w:tabs>
        <w:spacing w:line="240" w:lineRule="auto" w:before="51" w:after="0"/>
        <w:ind w:left="1409" w:right="0" w:hanging="600"/>
        <w:jc w:val="left"/>
      </w:pPr>
      <w:r>
        <w:rPr/>
        <w:t>CONCLUSIONES</w:t>
      </w:r>
    </w:p>
    <w:p>
      <w:pPr>
        <w:pStyle w:val="BodyText"/>
        <w:rPr>
          <w:b/>
        </w:rPr>
      </w:pPr>
    </w:p>
    <w:p>
      <w:pPr>
        <w:pStyle w:val="BodyText"/>
        <w:spacing w:before="3"/>
        <w:rPr>
          <w:b/>
        </w:rPr>
      </w:pPr>
    </w:p>
    <w:p>
      <w:pPr>
        <w:pStyle w:val="BodyText"/>
        <w:spacing w:line="360" w:lineRule="auto" w:before="1"/>
        <w:ind w:left="100" w:right="99"/>
        <w:jc w:val="both"/>
      </w:pPr>
      <w:r>
        <w:rPr/>
        <w:t>Para la realización de la presente investigación es necesario plantear como base el concepto de sustentabilidad y sus atribuciones, </w:t>
      </w:r>
      <w:r>
        <w:rPr>
          <w:spacing w:val="-3"/>
        </w:rPr>
        <w:t>ya </w:t>
      </w:r>
      <w:r>
        <w:rPr/>
        <w:t>que mediante estas se realizará la recopilación de información y la documentación de resultados. Manejados adecuadamente estos conceptos arrojaran una comprensión más profunda de la actividad pirotécnica, los roles que llevan los maestros pirotécnicos, los trabajadores y la comunidad para que perdure como una actividad ambiental, social y económicamente</w:t>
      </w:r>
      <w:r>
        <w:rPr>
          <w:spacing w:val="-17"/>
        </w:rPr>
        <w:t> </w:t>
      </w:r>
      <w:r>
        <w:rPr/>
        <w:t>responsable.</w:t>
      </w:r>
    </w:p>
    <w:p>
      <w:pPr>
        <w:pStyle w:val="BodyText"/>
      </w:pPr>
    </w:p>
    <w:p>
      <w:pPr>
        <w:pStyle w:val="BodyText"/>
        <w:spacing w:line="360" w:lineRule="auto" w:before="142"/>
        <w:ind w:left="100" w:right="102"/>
        <w:jc w:val="both"/>
      </w:pPr>
      <w:r>
        <w:rPr/>
        <w:t>Los conceptos de sustentabilidad se presentan mediante factores debidamente estructurados existiendo indicadores específicos que se analizan de manera clara, ello permite elaborar una valoración de la vulnerabilidad el cual representa un análisis de mayor dificultad puesto que se realiza con base en los resultados del concepto anterior.</w:t>
      </w:r>
    </w:p>
    <w:p>
      <w:pPr>
        <w:pStyle w:val="BodyText"/>
      </w:pPr>
    </w:p>
    <w:p>
      <w:pPr>
        <w:pStyle w:val="BodyText"/>
        <w:spacing w:line="360" w:lineRule="auto" w:before="142"/>
        <w:ind w:left="100" w:right="101"/>
        <w:jc w:val="both"/>
      </w:pPr>
      <w:r>
        <w:rPr/>
        <w:t>En este mismo sentido se requiere el concepto de vulnerabilidad para conocer el grado de riesgo a los que está inmerso el sector pirotécnico y por consiguiente emitir los valores de juicio que permitan crear cambios positivos en la producción de pirotecnia de la comunidad en estudio.</w:t>
      </w:r>
    </w:p>
    <w:p>
      <w:pPr>
        <w:pStyle w:val="BodyText"/>
      </w:pPr>
    </w:p>
    <w:p>
      <w:pPr>
        <w:pStyle w:val="BodyText"/>
      </w:pPr>
    </w:p>
    <w:p>
      <w:pPr>
        <w:pStyle w:val="BodyText"/>
        <w:spacing w:before="9"/>
        <w:rPr>
          <w:sz w:val="23"/>
        </w:rPr>
      </w:pPr>
    </w:p>
    <w:p>
      <w:pPr>
        <w:pStyle w:val="Heading2"/>
        <w:numPr>
          <w:ilvl w:val="1"/>
          <w:numId w:val="4"/>
        </w:numPr>
        <w:tabs>
          <w:tab w:pos="861" w:val="left" w:leader="none"/>
        </w:tabs>
        <w:spacing w:line="240" w:lineRule="auto" w:before="0" w:after="0"/>
        <w:ind w:left="861" w:right="0" w:hanging="401"/>
        <w:jc w:val="left"/>
      </w:pPr>
      <w:r>
        <w:rPr/>
        <w:t>PROBLEMA DE</w:t>
      </w:r>
      <w:r>
        <w:rPr>
          <w:spacing w:val="-12"/>
        </w:rPr>
        <w:t> </w:t>
      </w:r>
      <w:r>
        <w:rPr/>
        <w:t>INVESTIGACIÓN:</w:t>
      </w:r>
    </w:p>
    <w:p>
      <w:pPr>
        <w:pStyle w:val="BodyText"/>
        <w:rPr>
          <w:b/>
        </w:rPr>
      </w:pPr>
    </w:p>
    <w:p>
      <w:pPr>
        <w:pStyle w:val="BodyText"/>
        <w:spacing w:before="4"/>
        <w:rPr>
          <w:b/>
        </w:rPr>
      </w:pPr>
    </w:p>
    <w:p>
      <w:pPr>
        <w:pStyle w:val="ListParagraph"/>
        <w:numPr>
          <w:ilvl w:val="0"/>
          <w:numId w:val="6"/>
        </w:numPr>
        <w:tabs>
          <w:tab w:pos="821" w:val="left" w:leader="none"/>
        </w:tabs>
        <w:spacing w:line="360" w:lineRule="auto" w:before="0" w:after="0"/>
        <w:ind w:left="821" w:right="100" w:hanging="361"/>
        <w:jc w:val="both"/>
        <w:rPr>
          <w:sz w:val="24"/>
        </w:rPr>
      </w:pPr>
      <w:r>
        <w:rPr>
          <w:sz w:val="24"/>
        </w:rPr>
        <w:t>Dados los riesgos y sustentabilidad de la pirotecnia, los artesanos pirotécnicos enfrentan perturbaciones externas de carácter social, cultural, económico y ambiental, que los hacen catalogables como un grupo vulnerable.</w:t>
      </w:r>
    </w:p>
    <w:p>
      <w:pPr>
        <w:spacing w:after="0" w:line="360" w:lineRule="auto"/>
        <w:jc w:val="both"/>
        <w:rPr>
          <w:sz w:val="24"/>
        </w:rPr>
        <w:sectPr>
          <w:footerReference w:type="default" r:id="rId25"/>
          <w:pgSz w:w="12240" w:h="15840"/>
          <w:pgMar w:footer="1071" w:header="0" w:top="1360" w:bottom="1260" w:left="1600" w:right="1600"/>
        </w:sectPr>
      </w:pPr>
    </w:p>
    <w:p>
      <w:pPr>
        <w:pStyle w:val="Heading2"/>
        <w:numPr>
          <w:ilvl w:val="1"/>
          <w:numId w:val="4"/>
        </w:numPr>
        <w:tabs>
          <w:tab w:pos="861" w:val="left" w:leader="none"/>
        </w:tabs>
        <w:spacing w:line="720" w:lineRule="auto" w:before="51" w:after="0"/>
        <w:ind w:left="100" w:right="6722" w:firstLine="360"/>
        <w:jc w:val="left"/>
      </w:pPr>
      <w:r>
        <w:rPr/>
        <w:t>OBJETIVOS: GENERAL.</w:t>
      </w:r>
    </w:p>
    <w:p>
      <w:pPr>
        <w:pStyle w:val="ListParagraph"/>
        <w:numPr>
          <w:ilvl w:val="1"/>
          <w:numId w:val="5"/>
        </w:numPr>
        <w:tabs>
          <w:tab w:pos="821" w:val="left" w:leader="none"/>
        </w:tabs>
        <w:spacing w:line="355" w:lineRule="auto" w:before="20" w:after="0"/>
        <w:ind w:left="821" w:right="104" w:hanging="361"/>
        <w:jc w:val="both"/>
        <w:rPr>
          <w:sz w:val="24"/>
        </w:rPr>
      </w:pPr>
      <w:r>
        <w:rPr>
          <w:sz w:val="24"/>
        </w:rPr>
        <w:t>Determinar si la actividad pirotécnica en la comunidad de San Mateo Tlalchichilpan se maneja de forma sustentable determinando los puntos de vulnerabilidad en sus sistemas sociales y</w:t>
      </w:r>
      <w:r>
        <w:rPr>
          <w:spacing w:val="-20"/>
          <w:sz w:val="24"/>
        </w:rPr>
        <w:t> </w:t>
      </w:r>
      <w:r>
        <w:rPr>
          <w:sz w:val="24"/>
        </w:rPr>
        <w:t>productivos.</w:t>
      </w:r>
    </w:p>
    <w:p>
      <w:pPr>
        <w:pStyle w:val="BodyText"/>
      </w:pPr>
    </w:p>
    <w:p>
      <w:pPr>
        <w:pStyle w:val="BodyText"/>
        <w:spacing w:before="9"/>
        <w:rPr>
          <w:sz w:val="29"/>
        </w:rPr>
      </w:pPr>
    </w:p>
    <w:p>
      <w:pPr>
        <w:pStyle w:val="Heading2"/>
        <w:spacing w:before="1"/>
        <w:ind w:right="9"/>
      </w:pPr>
      <w:r>
        <w:rPr/>
        <w:t>PARTICULARES.</w:t>
      </w:r>
    </w:p>
    <w:p>
      <w:pPr>
        <w:pStyle w:val="BodyText"/>
        <w:rPr>
          <w:b/>
        </w:rPr>
      </w:pPr>
    </w:p>
    <w:p>
      <w:pPr>
        <w:pStyle w:val="BodyText"/>
        <w:spacing w:before="4"/>
        <w:rPr>
          <w:b/>
        </w:rPr>
      </w:pPr>
    </w:p>
    <w:p>
      <w:pPr>
        <w:pStyle w:val="ListParagraph"/>
        <w:numPr>
          <w:ilvl w:val="1"/>
          <w:numId w:val="5"/>
        </w:numPr>
        <w:tabs>
          <w:tab w:pos="821" w:val="left" w:leader="none"/>
        </w:tabs>
        <w:spacing w:line="352" w:lineRule="auto" w:before="0" w:after="0"/>
        <w:ind w:left="821" w:right="106" w:hanging="361"/>
        <w:jc w:val="both"/>
        <w:rPr>
          <w:sz w:val="24"/>
        </w:rPr>
      </w:pPr>
      <w:r>
        <w:rPr>
          <w:sz w:val="24"/>
        </w:rPr>
        <w:t>Analizar desde el punto de vista económico, social y ambiental la actividad pirotécnica en San Mateo</w:t>
      </w:r>
      <w:r>
        <w:rPr>
          <w:spacing w:val="-23"/>
          <w:sz w:val="24"/>
        </w:rPr>
        <w:t> </w:t>
      </w:r>
      <w:r>
        <w:rPr>
          <w:sz w:val="24"/>
        </w:rPr>
        <w:t>Tlalchichilpan.</w:t>
      </w:r>
    </w:p>
    <w:p>
      <w:pPr>
        <w:pStyle w:val="BodyText"/>
      </w:pPr>
    </w:p>
    <w:p>
      <w:pPr>
        <w:pStyle w:val="ListParagraph"/>
        <w:numPr>
          <w:ilvl w:val="1"/>
          <w:numId w:val="5"/>
        </w:numPr>
        <w:tabs>
          <w:tab w:pos="821" w:val="left" w:leader="none"/>
        </w:tabs>
        <w:spacing w:line="350" w:lineRule="auto" w:before="149" w:after="0"/>
        <w:ind w:left="821" w:right="105" w:hanging="361"/>
        <w:jc w:val="both"/>
        <w:rPr>
          <w:sz w:val="24"/>
        </w:rPr>
      </w:pPr>
      <w:r>
        <w:rPr>
          <w:sz w:val="24"/>
        </w:rPr>
        <w:t>Identificar los factores económicos, sociales y ambientales que influyen en este sector, que pueden afectarlo en su avance técnico y</w:t>
      </w:r>
      <w:r>
        <w:rPr>
          <w:spacing w:val="-31"/>
          <w:sz w:val="24"/>
        </w:rPr>
        <w:t> </w:t>
      </w:r>
      <w:r>
        <w:rPr>
          <w:sz w:val="24"/>
        </w:rPr>
        <w:t>social.</w:t>
      </w:r>
    </w:p>
    <w:p>
      <w:pPr>
        <w:pStyle w:val="BodyText"/>
      </w:pPr>
    </w:p>
    <w:p>
      <w:pPr>
        <w:pStyle w:val="BodyText"/>
      </w:pPr>
    </w:p>
    <w:p>
      <w:pPr>
        <w:pStyle w:val="ListParagraph"/>
        <w:numPr>
          <w:ilvl w:val="1"/>
          <w:numId w:val="5"/>
        </w:numPr>
        <w:tabs>
          <w:tab w:pos="821" w:val="left" w:leader="none"/>
        </w:tabs>
        <w:spacing w:line="350" w:lineRule="auto" w:before="196" w:after="0"/>
        <w:ind w:left="821" w:right="110" w:hanging="361"/>
        <w:jc w:val="both"/>
        <w:rPr>
          <w:sz w:val="24"/>
        </w:rPr>
      </w:pPr>
      <w:r>
        <w:rPr>
          <w:sz w:val="24"/>
        </w:rPr>
        <w:t>Caracterizar la vulnerabilidad social, ecológica y económica del sector pirotécnico.</w:t>
      </w:r>
    </w:p>
    <w:p>
      <w:pPr>
        <w:pStyle w:val="BodyText"/>
      </w:pPr>
    </w:p>
    <w:p>
      <w:pPr>
        <w:pStyle w:val="BodyText"/>
      </w:pPr>
    </w:p>
    <w:p>
      <w:pPr>
        <w:pStyle w:val="ListParagraph"/>
        <w:numPr>
          <w:ilvl w:val="1"/>
          <w:numId w:val="5"/>
        </w:numPr>
        <w:tabs>
          <w:tab w:pos="821" w:val="left" w:leader="none"/>
        </w:tabs>
        <w:spacing w:line="355" w:lineRule="auto" w:before="193" w:after="0"/>
        <w:ind w:left="821" w:right="101" w:hanging="361"/>
        <w:jc w:val="both"/>
        <w:rPr>
          <w:sz w:val="24"/>
        </w:rPr>
      </w:pPr>
      <w:r>
        <w:rPr>
          <w:sz w:val="24"/>
        </w:rPr>
        <w:t>Plantear acciones correctivas y preventivas a los procesos económicos, sociales y ambientales que repercuten de forma negativa en el desarrollo  de esta</w:t>
      </w:r>
      <w:r>
        <w:rPr>
          <w:spacing w:val="-16"/>
          <w:sz w:val="24"/>
        </w:rPr>
        <w:t> </w:t>
      </w:r>
      <w:r>
        <w:rPr>
          <w:sz w:val="24"/>
        </w:rPr>
        <w:t>actividad.</w:t>
      </w:r>
    </w:p>
    <w:p>
      <w:pPr>
        <w:spacing w:after="0" w:line="355" w:lineRule="auto"/>
        <w:jc w:val="both"/>
        <w:rPr>
          <w:sz w:val="24"/>
        </w:rPr>
        <w:sectPr>
          <w:footerReference w:type="default" r:id="rId26"/>
          <w:pgSz w:w="12240" w:h="15840"/>
          <w:pgMar w:footer="1071" w:header="0" w:top="1360" w:bottom="1260" w:left="1600" w:right="1600"/>
          <w:pgNumType w:start="41"/>
        </w:sectPr>
      </w:pPr>
    </w:p>
    <w:p>
      <w:pPr>
        <w:pStyle w:val="BodyText"/>
        <w:spacing w:before="9"/>
        <w:rPr>
          <w:sz w:val="22"/>
        </w:rPr>
      </w:pPr>
    </w:p>
    <w:p>
      <w:pPr>
        <w:pStyle w:val="BodyText"/>
        <w:spacing w:line="357" w:lineRule="auto" w:before="69"/>
        <w:ind w:left="168" w:right="4731" w:hanging="68"/>
      </w:pPr>
      <w:r>
        <w:rPr/>
        <w:t>“Antes los castillos los transportábamos a lomo de burro…</w:t>
      </w:r>
    </w:p>
    <w:p>
      <w:pPr>
        <w:pStyle w:val="BodyText"/>
        <w:spacing w:line="360" w:lineRule="auto" w:before="8"/>
        <w:ind w:left="100" w:right="4343"/>
      </w:pPr>
      <w:r>
        <w:rPr/>
        <w:t>y cuando entrabamos al pueblo la gente nos seguía como haciendo un desfile.</w:t>
      </w:r>
    </w:p>
    <w:p>
      <w:pPr>
        <w:pStyle w:val="BodyText"/>
        <w:spacing w:line="357" w:lineRule="auto" w:before="6"/>
        <w:ind w:left="100" w:right="4106"/>
      </w:pPr>
      <w:r>
        <w:rPr/>
        <w:t>En algunos lugares nos querían más que al Sacerdote de la comunidad.”</w:t>
      </w:r>
    </w:p>
    <w:p>
      <w:pPr>
        <w:pStyle w:val="BodyText"/>
        <w:rPr>
          <w:sz w:val="20"/>
        </w:rPr>
      </w:pPr>
    </w:p>
    <w:p>
      <w:pPr>
        <w:pStyle w:val="BodyText"/>
        <w:spacing w:before="190"/>
        <w:ind w:left="4890" w:firstLine="1472"/>
      </w:pPr>
      <w:r>
        <w:rPr/>
        <w:t>Pirotécnico de Tultepec.</w:t>
      </w:r>
    </w:p>
    <w:p>
      <w:pPr>
        <w:pStyle w:val="BodyText"/>
        <w:rPr>
          <w:sz w:val="20"/>
        </w:rPr>
      </w:pPr>
    </w:p>
    <w:p>
      <w:pPr>
        <w:pStyle w:val="BodyText"/>
        <w:spacing w:before="7"/>
      </w:pPr>
      <w:r>
        <w:rPr/>
        <w:drawing>
          <wp:anchor distT="0" distB="0" distL="0" distR="0" allowOverlap="1" layoutInCell="1" locked="0" behindDoc="0" simplePos="0" relativeHeight="1360">
            <wp:simplePos x="0" y="0"/>
            <wp:positionH relativeFrom="page">
              <wp:posOffset>1099185</wp:posOffset>
            </wp:positionH>
            <wp:positionV relativeFrom="paragraph">
              <wp:posOffset>204952</wp:posOffset>
            </wp:positionV>
            <wp:extent cx="5656865" cy="3784473"/>
            <wp:effectExtent l="0" t="0" r="0" b="0"/>
            <wp:wrapTopAndBottom/>
            <wp:docPr id="43" name="image14.jpeg" descr=""/>
            <wp:cNvGraphicFramePr>
              <a:graphicFrameLocks noChangeAspect="1"/>
            </wp:cNvGraphicFramePr>
            <a:graphic>
              <a:graphicData uri="http://schemas.openxmlformats.org/drawingml/2006/picture">
                <pic:pic>
                  <pic:nvPicPr>
                    <pic:cNvPr id="44" name="image14.jpeg"/>
                    <pic:cNvPicPr/>
                  </pic:nvPicPr>
                  <pic:blipFill>
                    <a:blip r:embed="rId27" cstate="print"/>
                    <a:stretch>
                      <a:fillRect/>
                    </a:stretch>
                  </pic:blipFill>
                  <pic:spPr>
                    <a:xfrm>
                      <a:off x="0" y="0"/>
                      <a:ext cx="5656865" cy="3784473"/>
                    </a:xfrm>
                    <a:prstGeom prst="rect">
                      <a:avLst/>
                    </a:prstGeom>
                  </pic:spPr>
                </pic:pic>
              </a:graphicData>
            </a:graphic>
          </wp:anchor>
        </w:drawing>
      </w:r>
    </w:p>
    <w:p>
      <w:pPr>
        <w:spacing w:before="62"/>
        <w:ind w:left="4890" w:right="0" w:firstLine="0"/>
        <w:jc w:val="left"/>
        <w:rPr>
          <w:sz w:val="20"/>
        </w:rPr>
      </w:pPr>
      <w:r>
        <w:rPr>
          <w:sz w:val="20"/>
        </w:rPr>
        <w:t>Figura 3. Explosión de crisantemo tipo sauce.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36"/>
        <w:ind w:left="3093"/>
      </w:pPr>
      <w:r>
        <w:rPr/>
        <w:t>CAPITULO III. METODOLOGÍA.</w:t>
      </w:r>
    </w:p>
    <w:p>
      <w:pPr>
        <w:spacing w:after="0"/>
        <w:sectPr>
          <w:pgSz w:w="12240" w:h="15840"/>
          <w:pgMar w:header="0" w:footer="1071" w:top="1500" w:bottom="1260" w:left="1600" w:right="1560"/>
        </w:sectPr>
      </w:pPr>
    </w:p>
    <w:p>
      <w:pPr>
        <w:pStyle w:val="Heading2"/>
        <w:jc w:val="both"/>
      </w:pPr>
      <w:r>
        <w:rPr/>
        <w:t>CAPITULO III. METODOLOGÍA</w:t>
      </w:r>
    </w:p>
    <w:p>
      <w:pPr>
        <w:pStyle w:val="BodyText"/>
        <w:rPr>
          <w:b/>
        </w:rPr>
      </w:pPr>
    </w:p>
    <w:p>
      <w:pPr>
        <w:pStyle w:val="BodyText"/>
        <w:spacing w:before="11"/>
        <w:rPr>
          <w:b/>
          <w:sz w:val="23"/>
        </w:rPr>
      </w:pPr>
    </w:p>
    <w:p>
      <w:pPr>
        <w:pStyle w:val="ListParagraph"/>
        <w:numPr>
          <w:ilvl w:val="1"/>
          <w:numId w:val="7"/>
        </w:numPr>
        <w:tabs>
          <w:tab w:pos="501" w:val="left" w:leader="none"/>
        </w:tabs>
        <w:spacing w:line="240" w:lineRule="auto" w:before="0" w:after="0"/>
        <w:ind w:left="500" w:right="0" w:hanging="400"/>
        <w:jc w:val="both"/>
        <w:rPr>
          <w:b/>
          <w:sz w:val="24"/>
        </w:rPr>
      </w:pPr>
      <w:r>
        <w:rPr>
          <w:b/>
          <w:sz w:val="24"/>
        </w:rPr>
        <w:t>METODOLOGIA:</w:t>
      </w:r>
    </w:p>
    <w:p>
      <w:pPr>
        <w:pStyle w:val="BodyText"/>
        <w:rPr>
          <w:b/>
        </w:rPr>
      </w:pPr>
    </w:p>
    <w:p>
      <w:pPr>
        <w:pStyle w:val="BodyText"/>
        <w:spacing w:before="4"/>
        <w:rPr>
          <w:b/>
        </w:rPr>
      </w:pPr>
    </w:p>
    <w:p>
      <w:pPr>
        <w:pStyle w:val="BodyText"/>
        <w:spacing w:line="360" w:lineRule="auto"/>
        <w:ind w:left="100" w:right="106"/>
        <w:jc w:val="both"/>
      </w:pPr>
      <w:r>
        <w:rPr/>
        <w:t>Para la realización del presente estudio se utilizaron diferentes técnicas para la medición de los factores sociales, económicos y ambientales que intervienen en la actividad pirotécnica, todo ello para elaborar una descripción de los factores de la sustentabilidad de la pirotécnica en una comunidad del Estado de México y con ello evaluar el grado de vulnerabilidad de este sector</w:t>
      </w:r>
      <w:r>
        <w:rPr>
          <w:spacing w:val="-33"/>
        </w:rPr>
        <w:t> </w:t>
      </w:r>
      <w:r>
        <w:rPr/>
        <w:t>económico.</w:t>
      </w:r>
    </w:p>
    <w:p>
      <w:pPr>
        <w:pStyle w:val="BodyText"/>
      </w:pPr>
    </w:p>
    <w:p>
      <w:pPr>
        <w:pStyle w:val="BodyText"/>
        <w:spacing w:line="360" w:lineRule="auto" w:before="142"/>
        <w:ind w:left="100" w:right="106"/>
        <w:jc w:val="both"/>
      </w:pPr>
      <w:r>
        <w:rPr/>
        <w:t>Para lograr esto se comenzó por realizar una investigación bibliográfica para conocer los orígenes de la cultura pirotécnica en México a modo tal que  se explique el grado de arraigo de la tradición de la producción y las quemas de material pirotécnico, una vez conocidos los orígenes de este arte se explicaron las técnicas utilizadas para su manufactura y su difusión en las  festividades populares.</w:t>
      </w:r>
    </w:p>
    <w:p>
      <w:pPr>
        <w:pStyle w:val="BodyText"/>
      </w:pPr>
    </w:p>
    <w:p>
      <w:pPr>
        <w:pStyle w:val="BodyText"/>
        <w:spacing w:line="360" w:lineRule="auto" w:before="142"/>
        <w:ind w:left="100" w:right="105"/>
        <w:jc w:val="both"/>
      </w:pPr>
      <w:r>
        <w:rPr/>
        <w:t>Aunado a la búsqueda bibliográfica en el proceso de esta investigación se recurrió al sistema SAVER (Sistema de Análisis y Visualización de Escenarios de Riesgo) emitido por el CENAPRED, este es un sistema que permite visualizar un Sistema de Información Geográfica (SIG) con datos actualizados por el INEGI y los atlas de riesgo de cada uno de los municipios a nivel nacional, con ello se generaron las estadísticas presentadas para la elaboración del análisis de riesgos planteado en el capítulo</w:t>
      </w:r>
      <w:r>
        <w:rPr>
          <w:spacing w:val="-14"/>
        </w:rPr>
        <w:t> </w:t>
      </w:r>
      <w:r>
        <w:rPr/>
        <w:t>III.</w:t>
      </w:r>
    </w:p>
    <w:p>
      <w:pPr>
        <w:pStyle w:val="BodyText"/>
      </w:pPr>
    </w:p>
    <w:p>
      <w:pPr>
        <w:pStyle w:val="BodyText"/>
        <w:spacing w:line="360" w:lineRule="auto" w:before="142"/>
        <w:ind w:left="100" w:right="103"/>
        <w:jc w:val="both"/>
      </w:pPr>
      <w:r>
        <w:rPr/>
        <w:t>Para contextualizar a la pirotecnia dentro del esquema global, se utilizaron los datos recabados por la asistencia a tres simposios internacionales en fuegos artificiales (International Symposium on Fireworks) en Canadá (2002), Puerto Vallarta, México (2009) y Malta (2012). Los datos y las experiencias obtenidas permitieron caracterizar la situación de la pirotecnia a nivel internacional, las nuevas tecnologías utilizadas, sistemas de comercialización entre otras.    Durante</w:t>
      </w:r>
    </w:p>
    <w:p>
      <w:pPr>
        <w:spacing w:after="0" w:line="360" w:lineRule="auto"/>
        <w:jc w:val="both"/>
        <w:sectPr>
          <w:pgSz w:w="12240" w:h="15840"/>
          <w:pgMar w:header="0" w:footer="1071" w:top="1360" w:bottom="1260" w:left="1600" w:right="1600"/>
        </w:sectPr>
      </w:pPr>
    </w:p>
    <w:p>
      <w:pPr>
        <w:pStyle w:val="BodyText"/>
        <w:spacing w:line="360" w:lineRule="auto" w:before="55"/>
        <w:ind w:left="100" w:right="117"/>
        <w:jc w:val="both"/>
      </w:pPr>
      <w:r>
        <w:rPr/>
        <w:t>estos eventos se reúnen cada año y medio los principales productores e investigadores de pirotecnia a nivel mundial, exponiendo los avances científicos y tecnológicos que tienen relación con este rubro, de ahí se obtuvo información importante para conocer el estado de la pirotecnia fuera del país y de esta forma asignarle un grado de avance tecnológico comparativo a nivel mundial.</w:t>
      </w:r>
    </w:p>
    <w:p>
      <w:pPr>
        <w:pStyle w:val="BodyText"/>
      </w:pPr>
    </w:p>
    <w:p>
      <w:pPr>
        <w:pStyle w:val="BodyText"/>
        <w:spacing w:line="360" w:lineRule="auto" w:before="142"/>
        <w:ind w:left="100" w:right="117"/>
        <w:jc w:val="both"/>
      </w:pPr>
      <w:r>
        <w:rPr/>
        <w:t>Una vez planteado el contexto de la pirotecnia desde un punto de vista externo se llevó a cabo el análisis local de la pirotecnia utilizando los conceptos de sustentabilidad planteados como base del análisis social, económico y ambiental. En este parámetro se utilizaron principalmente las características de sustentabilidad social descritas por Monterroso (2009) para establecer los indicadores y acoplándolo al proyecto “</w:t>
      </w:r>
      <w:r>
        <w:rPr>
          <w:color w:val="212121"/>
        </w:rPr>
        <w:t>Marco para la Evaluación de Sistemas de Manejo de recursos naturales incorporando Indicadores de Sustentabilidad” </w:t>
      </w:r>
      <w:r>
        <w:rPr/>
        <w:t>(MESMIS) de la UAEM, se pudieron anexar descripciones, metodologías y propiedades más específicas que nutren la metodología del análisis de la sustentabilidad.</w:t>
      </w:r>
    </w:p>
    <w:p>
      <w:pPr>
        <w:pStyle w:val="BodyText"/>
      </w:pPr>
    </w:p>
    <w:p>
      <w:pPr>
        <w:pStyle w:val="BodyText"/>
        <w:spacing w:line="360" w:lineRule="auto" w:before="142"/>
        <w:ind w:left="100" w:right="117"/>
        <w:jc w:val="both"/>
      </w:pPr>
      <w:r>
        <w:rPr/>
        <w:t>Utilizando como base el proyecto MESMIS para la determinación del grado de vulnerabilidad, se dividió el trabajo en tres parámetros principales: Plantear los atributos de la sustentabilidad, elaborar los criterios de diagnóstico y realizar un estudio FODA.</w:t>
      </w:r>
    </w:p>
    <w:p>
      <w:pPr>
        <w:pStyle w:val="BodyText"/>
      </w:pPr>
    </w:p>
    <w:p>
      <w:pPr>
        <w:pStyle w:val="BodyText"/>
        <w:spacing w:line="360" w:lineRule="auto" w:before="142"/>
        <w:ind w:left="100" w:right="124"/>
        <w:jc w:val="both"/>
      </w:pPr>
      <w:r>
        <w:rPr/>
        <w:t>Los atributos de la sustentabilidad que se manejan para esta metodología son: productividad; estabilidad, confiabilidad y resiliencia; adaptabilidad; equidad, y autodependencia (autogestión). Para realizar el análisis en cada uno de estos puntos se generó una investigación bibliográfica con lo que se soportó un sistema de entrevistas a maestros pirotécnicos de la zona de estudio, para lograr estas entrevistas se diseñó una guía de tópicos a tratar, se eligió el grupo de estudio, se aplicó la entrevista y se analizaron los resultados separándolos en sociales, ambientales y económicos.</w:t>
      </w:r>
    </w:p>
    <w:p>
      <w:pPr>
        <w:spacing w:after="0" w:line="360" w:lineRule="auto"/>
        <w:jc w:val="both"/>
        <w:sectPr>
          <w:pgSz w:w="12240" w:h="15840"/>
          <w:pgMar w:header="0" w:footer="1071" w:top="1360" w:bottom="1260" w:left="1600" w:right="1580"/>
        </w:sectPr>
      </w:pPr>
    </w:p>
    <w:p>
      <w:pPr>
        <w:pStyle w:val="BodyText"/>
        <w:spacing w:line="360" w:lineRule="auto" w:before="55"/>
        <w:ind w:left="100" w:right="262"/>
        <w:jc w:val="both"/>
      </w:pPr>
      <w:r>
        <w:rPr/>
        <w:t>Conforme se realizaron estas actividades se formuló un diagnóstico de la  población a estudiar, analizando en primer instancia los factores físicos del terreno donde se asentaron los maestros pirotécnicos, para ello se revisaron fuentes secundarias (datos del INEGI, IMEPI y atlas de riesgo de P.C.), y se realizaron visitas a la zona pirotécnica. Posteriormente se generó un análisis de los procesos manejados por los maestros pirotécnicos mediante análisis de los resultados en las entrevistas y la bibliografía consultada. De igual forma se analizaron las sustancias químicas utilizadas para determinar los riesgos químicos existentes, esto mediante revisión bibliográfica y resultados de las</w:t>
      </w:r>
      <w:r>
        <w:rPr>
          <w:spacing w:val="-42"/>
        </w:rPr>
        <w:t> </w:t>
      </w:r>
      <w:r>
        <w:rPr/>
        <w:t>entrevistas.</w:t>
      </w:r>
    </w:p>
    <w:p>
      <w:pPr>
        <w:pStyle w:val="BodyText"/>
      </w:pPr>
    </w:p>
    <w:p>
      <w:pPr>
        <w:pStyle w:val="BodyText"/>
        <w:spacing w:line="360" w:lineRule="auto" w:before="142"/>
        <w:ind w:left="100" w:right="261"/>
        <w:jc w:val="both"/>
      </w:pPr>
      <w:r>
        <w:rPr/>
        <w:t>La metodología es finalizada con un estudio de fortalezas y debilidades del  sistema para realizarlo fué fundamental la recopilación de resultados de los pasos anteriores a forma tal de explicar el grado de vulnerabilidad del sector pirotécnico en la comunidad de San Mateo Tlalchichilpan, municipio </w:t>
      </w:r>
      <w:r>
        <w:rPr>
          <w:spacing w:val="2"/>
        </w:rPr>
        <w:t>de </w:t>
      </w:r>
      <w:r>
        <w:rPr/>
        <w:t>Almoloya de Juárez, Estado de</w:t>
      </w:r>
      <w:r>
        <w:rPr>
          <w:spacing w:val="-12"/>
        </w:rPr>
        <w:t> </w:t>
      </w:r>
      <w:r>
        <w:rPr/>
        <w:t>México.</w:t>
      </w:r>
    </w:p>
    <w:p>
      <w:pPr>
        <w:pStyle w:val="BodyText"/>
        <w:rPr>
          <w:sz w:val="20"/>
        </w:rPr>
      </w:pPr>
    </w:p>
    <w:p>
      <w:pPr>
        <w:pStyle w:val="BodyText"/>
        <w:spacing w:before="10"/>
        <w:rPr>
          <w:sz w:val="12"/>
        </w:rPr>
      </w:pPr>
      <w:r>
        <w:rPr/>
        <w:drawing>
          <wp:anchor distT="0" distB="0" distL="0" distR="0" allowOverlap="1" layoutInCell="1" locked="0" behindDoc="0" simplePos="0" relativeHeight="1384">
            <wp:simplePos x="0" y="0"/>
            <wp:positionH relativeFrom="page">
              <wp:posOffset>1099185</wp:posOffset>
            </wp:positionH>
            <wp:positionV relativeFrom="paragraph">
              <wp:posOffset>119061</wp:posOffset>
            </wp:positionV>
            <wp:extent cx="5726782" cy="2288286"/>
            <wp:effectExtent l="0" t="0" r="0" b="0"/>
            <wp:wrapTopAndBottom/>
            <wp:docPr id="45" name="image15.jpeg" descr=""/>
            <wp:cNvGraphicFramePr>
              <a:graphicFrameLocks noChangeAspect="1"/>
            </wp:cNvGraphicFramePr>
            <a:graphic>
              <a:graphicData uri="http://schemas.openxmlformats.org/drawingml/2006/picture">
                <pic:pic>
                  <pic:nvPicPr>
                    <pic:cNvPr id="46" name="image15.jpeg"/>
                    <pic:cNvPicPr/>
                  </pic:nvPicPr>
                  <pic:blipFill>
                    <a:blip r:embed="rId28" cstate="print"/>
                    <a:stretch>
                      <a:fillRect/>
                    </a:stretch>
                  </pic:blipFill>
                  <pic:spPr>
                    <a:xfrm>
                      <a:off x="0" y="0"/>
                      <a:ext cx="5726782" cy="2288286"/>
                    </a:xfrm>
                    <a:prstGeom prst="rect">
                      <a:avLst/>
                    </a:prstGeom>
                  </pic:spPr>
                </pic:pic>
              </a:graphicData>
            </a:graphic>
          </wp:anchor>
        </w:drawing>
      </w:r>
    </w:p>
    <w:p>
      <w:pPr>
        <w:spacing w:before="86"/>
        <w:ind w:left="1216" w:right="0" w:firstLine="0"/>
        <w:jc w:val="left"/>
        <w:rPr>
          <w:sz w:val="20"/>
        </w:rPr>
      </w:pPr>
      <w:r>
        <w:rPr>
          <w:sz w:val="20"/>
        </w:rPr>
        <w:t>Figura 3.1. Metodología para la determinación del grado de vulnerabilidad.</w:t>
      </w:r>
    </w:p>
    <w:p>
      <w:pPr>
        <w:spacing w:after="0"/>
        <w:jc w:val="left"/>
        <w:rPr>
          <w:sz w:val="20"/>
        </w:rPr>
        <w:sectPr>
          <w:pgSz w:w="12240" w:h="15840"/>
          <w:pgMar w:header="0" w:footer="1071" w:top="1360" w:bottom="1260" w:left="1600" w:right="1440"/>
        </w:sectPr>
      </w:pPr>
    </w:p>
    <w:p>
      <w:pPr>
        <w:pStyle w:val="BodyText"/>
        <w:spacing w:line="360" w:lineRule="auto" w:before="55"/>
        <w:ind w:left="100" w:right="4106"/>
      </w:pPr>
      <w:r>
        <w:rPr/>
        <w:t>“yo estaba en mi taller cuando explotó el cuarto de almacenamiento del taller vecino. El techo de lámina salió volando y se doblaba como alas de un pájaro que</w:t>
      </w:r>
      <w:r>
        <w:rPr>
          <w:spacing w:val="-20"/>
        </w:rPr>
        <w:t> </w:t>
      </w:r>
      <w:r>
        <w:rPr/>
        <w:t>huía.</w:t>
      </w:r>
    </w:p>
    <w:p>
      <w:pPr>
        <w:pStyle w:val="BodyText"/>
        <w:spacing w:before="2"/>
        <w:ind w:left="100"/>
      </w:pPr>
      <w:r>
        <w:rPr/>
        <w:t>Ese día la pirotecnia se llevó al hijo del maestro pirotécnico”</w:t>
      </w:r>
    </w:p>
    <w:p>
      <w:pPr>
        <w:pStyle w:val="BodyText"/>
      </w:pPr>
    </w:p>
    <w:p>
      <w:pPr>
        <w:pStyle w:val="BodyText"/>
      </w:pPr>
    </w:p>
    <w:p>
      <w:pPr>
        <w:pStyle w:val="BodyText"/>
        <w:ind w:left="4070" w:firstLine="600"/>
      </w:pPr>
      <w:r>
        <w:rPr/>
        <w:t>Artesano pirotécnico de Temascalcingo.</w:t>
      </w:r>
    </w:p>
    <w:p>
      <w:pPr>
        <w:pStyle w:val="BodyText"/>
        <w:rPr>
          <w:sz w:val="20"/>
        </w:rPr>
      </w:pPr>
    </w:p>
    <w:p>
      <w:pPr>
        <w:pStyle w:val="BodyText"/>
        <w:spacing w:before="8"/>
      </w:pPr>
      <w:r>
        <w:rPr/>
        <w:drawing>
          <wp:anchor distT="0" distB="0" distL="0" distR="0" allowOverlap="1" layoutInCell="1" locked="0" behindDoc="0" simplePos="0" relativeHeight="1408">
            <wp:simplePos x="0" y="0"/>
            <wp:positionH relativeFrom="page">
              <wp:posOffset>1099185</wp:posOffset>
            </wp:positionH>
            <wp:positionV relativeFrom="paragraph">
              <wp:posOffset>205079</wp:posOffset>
            </wp:positionV>
            <wp:extent cx="5656164" cy="3784473"/>
            <wp:effectExtent l="0" t="0" r="0" b="0"/>
            <wp:wrapTopAndBottom/>
            <wp:docPr id="47" name="image16.jpeg" descr=""/>
            <wp:cNvGraphicFramePr>
              <a:graphicFrameLocks noChangeAspect="1"/>
            </wp:cNvGraphicFramePr>
            <a:graphic>
              <a:graphicData uri="http://schemas.openxmlformats.org/drawingml/2006/picture">
                <pic:pic>
                  <pic:nvPicPr>
                    <pic:cNvPr id="48" name="image16.jpeg"/>
                    <pic:cNvPicPr/>
                  </pic:nvPicPr>
                  <pic:blipFill>
                    <a:blip r:embed="rId29" cstate="print"/>
                    <a:stretch>
                      <a:fillRect/>
                    </a:stretch>
                  </pic:blipFill>
                  <pic:spPr>
                    <a:xfrm>
                      <a:off x="0" y="0"/>
                      <a:ext cx="5656164" cy="3784473"/>
                    </a:xfrm>
                    <a:prstGeom prst="rect">
                      <a:avLst/>
                    </a:prstGeom>
                  </pic:spPr>
                </pic:pic>
              </a:graphicData>
            </a:graphic>
          </wp:anchor>
        </w:drawing>
      </w:r>
    </w:p>
    <w:p>
      <w:pPr>
        <w:spacing w:before="61"/>
        <w:ind w:left="4070" w:right="0" w:firstLine="0"/>
        <w:jc w:val="left"/>
        <w:rPr>
          <w:sz w:val="20"/>
        </w:rPr>
      </w:pPr>
      <w:r>
        <w:rPr>
          <w:sz w:val="20"/>
        </w:rPr>
        <w:t>Figura 4. Llenado de cartucho para luces de castillería.</w:t>
      </w:r>
    </w:p>
    <w:p>
      <w:pPr>
        <w:pStyle w:val="BodyText"/>
        <w:rPr>
          <w:sz w:val="20"/>
        </w:rPr>
      </w:pPr>
    </w:p>
    <w:p>
      <w:pPr>
        <w:pStyle w:val="BodyText"/>
        <w:rPr>
          <w:sz w:val="20"/>
        </w:rPr>
      </w:pPr>
    </w:p>
    <w:p>
      <w:pPr>
        <w:pStyle w:val="BodyText"/>
        <w:rPr>
          <w:sz w:val="20"/>
        </w:rPr>
      </w:pPr>
    </w:p>
    <w:p>
      <w:pPr>
        <w:pStyle w:val="Heading1"/>
        <w:spacing w:before="117"/>
      </w:pPr>
      <w:r>
        <w:rPr/>
        <w:t>CAPITULO IV. RESULTADOS Y DISCUSIÓN</w:t>
      </w:r>
    </w:p>
    <w:p>
      <w:pPr>
        <w:spacing w:after="0"/>
        <w:sectPr>
          <w:pgSz w:w="12240" w:h="15840"/>
          <w:pgMar w:header="0" w:footer="1071" w:top="1360" w:bottom="1260" w:left="1600" w:right="1560"/>
        </w:sectPr>
      </w:pPr>
    </w:p>
    <w:p>
      <w:pPr>
        <w:pStyle w:val="Heading2"/>
        <w:jc w:val="both"/>
      </w:pPr>
      <w:r>
        <w:rPr/>
        <w:t>CAPITULO IV. RESULTADOS Y DISCUSIÓN</w:t>
      </w:r>
    </w:p>
    <w:p>
      <w:pPr>
        <w:pStyle w:val="BodyText"/>
        <w:rPr>
          <w:b/>
        </w:rPr>
      </w:pPr>
    </w:p>
    <w:p>
      <w:pPr>
        <w:pStyle w:val="BodyText"/>
        <w:spacing w:before="11"/>
        <w:rPr>
          <w:b/>
          <w:sz w:val="23"/>
        </w:rPr>
      </w:pPr>
    </w:p>
    <w:p>
      <w:pPr>
        <w:pStyle w:val="ListParagraph"/>
        <w:numPr>
          <w:ilvl w:val="1"/>
          <w:numId w:val="8"/>
        </w:numPr>
        <w:tabs>
          <w:tab w:pos="1253" w:val="left" w:leader="none"/>
        </w:tabs>
        <w:spacing w:line="362" w:lineRule="auto" w:before="0" w:after="0"/>
        <w:ind w:left="100" w:right="100" w:firstLine="709"/>
        <w:jc w:val="left"/>
        <w:rPr>
          <w:b/>
          <w:sz w:val="24"/>
        </w:rPr>
      </w:pPr>
      <w:r>
        <w:rPr>
          <w:b/>
          <w:sz w:val="24"/>
        </w:rPr>
        <w:t>EVALUACION DE DESEMPEÑO AMBIENTAL DE </w:t>
      </w:r>
      <w:r>
        <w:rPr>
          <w:b/>
          <w:spacing w:val="2"/>
          <w:sz w:val="24"/>
        </w:rPr>
        <w:t>LA </w:t>
      </w:r>
      <w:r>
        <w:rPr>
          <w:b/>
          <w:sz w:val="24"/>
        </w:rPr>
        <w:t>PIROTECNIA EN SAN MATEO</w:t>
      </w:r>
      <w:r>
        <w:rPr>
          <w:b/>
          <w:spacing w:val="-19"/>
          <w:sz w:val="24"/>
        </w:rPr>
        <w:t> </w:t>
      </w:r>
      <w:r>
        <w:rPr>
          <w:b/>
          <w:sz w:val="24"/>
        </w:rPr>
        <w:t>TLALCHICHILPAN.</w:t>
      </w:r>
    </w:p>
    <w:p>
      <w:pPr>
        <w:pStyle w:val="BodyText"/>
        <w:rPr>
          <w:b/>
        </w:rPr>
      </w:pPr>
    </w:p>
    <w:p>
      <w:pPr>
        <w:pStyle w:val="BodyText"/>
        <w:spacing w:line="360" w:lineRule="auto" w:before="143"/>
        <w:ind w:left="100" w:right="102"/>
        <w:jc w:val="both"/>
      </w:pPr>
      <w:r>
        <w:rPr/>
        <w:t>Parte fundamental para caracterizar un sistema es el conocimiento de su entorno y las condiciones específicas de los lugares donde se sitúa nuestro objeto de estudio, es por ello que se elabora una evaluación del desempeño ambiental (EDA) de la comunidad para ello se presenta el análisis físico de San Mateo Tlalchichilpan, lugar donde se ubican y desenvuelven los artesanos pirotécnicos  en su labor cotidiana. Parte de este análisis espacial es realizado mediante el uso del visualizador SAVER descrito en la metodología, con ello se genera un conocimiento mayor de las condiciones específicas de la comunidad y los riesgos y peligros a los que están</w:t>
      </w:r>
      <w:r>
        <w:rPr>
          <w:spacing w:val="-17"/>
        </w:rPr>
        <w:t> </w:t>
      </w:r>
      <w:r>
        <w:rPr/>
        <w:t>expuestos.</w:t>
      </w:r>
    </w:p>
    <w:p>
      <w:pPr>
        <w:pStyle w:val="BodyText"/>
      </w:pPr>
    </w:p>
    <w:p>
      <w:pPr>
        <w:pStyle w:val="BodyText"/>
        <w:spacing w:line="360" w:lineRule="auto" w:before="142"/>
        <w:ind w:left="100" w:right="103"/>
        <w:jc w:val="both"/>
      </w:pPr>
      <w:r>
        <w:rPr/>
        <w:t>Posteriormente se describe la actividad pirotécnica y se muestran los materiales y equipos que comúnmente utilizan para cumplir con la fabricación de los artificios píricos, generando un análisis de riesgos que permita comprender la labor pirotécnica desde el punto de vista de la seguridad.</w:t>
      </w:r>
    </w:p>
    <w:p>
      <w:pPr>
        <w:pStyle w:val="BodyText"/>
        <w:rPr>
          <w:sz w:val="20"/>
        </w:rPr>
      </w:pPr>
    </w:p>
    <w:p>
      <w:pPr>
        <w:pStyle w:val="BodyText"/>
        <w:spacing w:before="10"/>
        <w:rPr>
          <w:sz w:val="12"/>
        </w:rPr>
      </w:pPr>
      <w:r>
        <w:rPr/>
        <w:drawing>
          <wp:anchor distT="0" distB="0" distL="0" distR="0" allowOverlap="1" layoutInCell="1" locked="0" behindDoc="0" simplePos="0" relativeHeight="1432">
            <wp:simplePos x="0" y="0"/>
            <wp:positionH relativeFrom="page">
              <wp:posOffset>1657350</wp:posOffset>
            </wp:positionH>
            <wp:positionV relativeFrom="paragraph">
              <wp:posOffset>118933</wp:posOffset>
            </wp:positionV>
            <wp:extent cx="4488790" cy="2498026"/>
            <wp:effectExtent l="0" t="0" r="0" b="0"/>
            <wp:wrapTopAndBottom/>
            <wp:docPr id="49" name="image17.png" descr=""/>
            <wp:cNvGraphicFramePr>
              <a:graphicFrameLocks noChangeAspect="1"/>
            </wp:cNvGraphicFramePr>
            <a:graphic>
              <a:graphicData uri="http://schemas.openxmlformats.org/drawingml/2006/picture">
                <pic:pic>
                  <pic:nvPicPr>
                    <pic:cNvPr id="50" name="image17.png"/>
                    <pic:cNvPicPr/>
                  </pic:nvPicPr>
                  <pic:blipFill>
                    <a:blip r:embed="rId30" cstate="print"/>
                    <a:stretch>
                      <a:fillRect/>
                    </a:stretch>
                  </pic:blipFill>
                  <pic:spPr>
                    <a:xfrm>
                      <a:off x="0" y="0"/>
                      <a:ext cx="4488790" cy="2498026"/>
                    </a:xfrm>
                    <a:prstGeom prst="rect">
                      <a:avLst/>
                    </a:prstGeom>
                  </pic:spPr>
                </pic:pic>
              </a:graphicData>
            </a:graphic>
          </wp:anchor>
        </w:drawing>
      </w:r>
    </w:p>
    <w:p>
      <w:pPr>
        <w:spacing w:before="89"/>
        <w:ind w:left="2161" w:right="9" w:firstLine="0"/>
        <w:jc w:val="left"/>
        <w:rPr>
          <w:sz w:val="20"/>
        </w:rPr>
      </w:pPr>
      <w:r>
        <w:rPr>
          <w:sz w:val="20"/>
        </w:rPr>
        <w:t>Figura 4.1. Estructura de la fracción 1 del capítulo IV.</w:t>
      </w:r>
    </w:p>
    <w:p>
      <w:pPr>
        <w:spacing w:after="0"/>
        <w:jc w:val="left"/>
        <w:rPr>
          <w:sz w:val="20"/>
        </w:rPr>
        <w:sectPr>
          <w:pgSz w:w="12240" w:h="15840"/>
          <w:pgMar w:header="0" w:footer="1071" w:top="1360" w:bottom="1260" w:left="1600" w:right="1600"/>
        </w:sectPr>
      </w:pPr>
    </w:p>
    <w:p>
      <w:pPr>
        <w:pStyle w:val="Heading2"/>
        <w:numPr>
          <w:ilvl w:val="2"/>
          <w:numId w:val="8"/>
        </w:numPr>
        <w:tabs>
          <w:tab w:pos="1572" w:val="left" w:leader="none"/>
          <w:tab w:pos="1573" w:val="left" w:leader="none"/>
          <w:tab w:pos="2915" w:val="left" w:leader="none"/>
          <w:tab w:pos="3946" w:val="left" w:leader="none"/>
          <w:tab w:pos="4506" w:val="left" w:leader="none"/>
          <w:tab w:pos="5053" w:val="left" w:leader="none"/>
          <w:tab w:pos="6768" w:val="left" w:leader="none"/>
          <w:tab w:pos="7332" w:val="left" w:leader="none"/>
          <w:tab w:pos="8063" w:val="left" w:leader="none"/>
        </w:tabs>
        <w:spacing w:line="362" w:lineRule="auto" w:before="51" w:after="0"/>
        <w:ind w:left="100" w:right="784" w:firstLine="709"/>
        <w:jc w:val="left"/>
      </w:pPr>
      <w:r>
        <w:rPr/>
        <w:t>ANALISIS</w:t>
        <w:tab/>
        <w:t>FISICO</w:t>
        <w:tab/>
        <w:t>DE</w:t>
        <w:tab/>
      </w:r>
      <w:r>
        <w:rPr>
          <w:spacing w:val="2"/>
        </w:rPr>
        <w:t>LA</w:t>
        <w:tab/>
      </w:r>
      <w:r>
        <w:rPr/>
        <w:t>COMUNIDAD</w:t>
        <w:tab/>
        <w:t>DE</w:t>
        <w:tab/>
        <w:t>SAN</w:t>
        <w:tab/>
        <w:t>MATEO TLALCHICHILPAN.</w:t>
      </w:r>
    </w:p>
    <w:p>
      <w:pPr>
        <w:pStyle w:val="BodyText"/>
        <w:rPr>
          <w:b/>
        </w:rPr>
      </w:pPr>
    </w:p>
    <w:p>
      <w:pPr>
        <w:pStyle w:val="Heading3"/>
        <w:spacing w:before="143"/>
        <w:rPr>
          <w:i/>
        </w:rPr>
      </w:pPr>
      <w:r>
        <w:rPr>
          <w:i/>
        </w:rPr>
        <w:t>Ubicación del lugar de estudio.</w:t>
      </w:r>
    </w:p>
    <w:p>
      <w:pPr>
        <w:pStyle w:val="BodyText"/>
        <w:rPr>
          <w:b/>
          <w:i/>
        </w:rPr>
      </w:pPr>
    </w:p>
    <w:p>
      <w:pPr>
        <w:pStyle w:val="BodyText"/>
        <w:rPr>
          <w:b/>
          <w:i/>
        </w:rPr>
      </w:pPr>
    </w:p>
    <w:p>
      <w:pPr>
        <w:pStyle w:val="BodyText"/>
        <w:spacing w:line="360" w:lineRule="auto"/>
        <w:ind w:left="100" w:right="780"/>
        <w:jc w:val="both"/>
      </w:pPr>
      <w:r>
        <w:rPr/>
        <w:drawing>
          <wp:anchor distT="0" distB="0" distL="0" distR="0" allowOverlap="1" layoutInCell="1" locked="0" behindDoc="0" simplePos="0" relativeHeight="1456">
            <wp:simplePos x="0" y="0"/>
            <wp:positionH relativeFrom="page">
              <wp:posOffset>1099185</wp:posOffset>
            </wp:positionH>
            <wp:positionV relativeFrom="paragraph">
              <wp:posOffset>1051634</wp:posOffset>
            </wp:positionV>
            <wp:extent cx="6090559" cy="3044380"/>
            <wp:effectExtent l="0" t="0" r="0" b="0"/>
            <wp:wrapNone/>
            <wp:docPr id="51" name="image18.jpeg" descr=""/>
            <wp:cNvGraphicFramePr>
              <a:graphicFrameLocks noChangeAspect="1"/>
            </wp:cNvGraphicFramePr>
            <a:graphic>
              <a:graphicData uri="http://schemas.openxmlformats.org/drawingml/2006/picture">
                <pic:pic>
                  <pic:nvPicPr>
                    <pic:cNvPr id="52" name="image18.jpeg"/>
                    <pic:cNvPicPr/>
                  </pic:nvPicPr>
                  <pic:blipFill>
                    <a:blip r:embed="rId31" cstate="print"/>
                    <a:stretch>
                      <a:fillRect/>
                    </a:stretch>
                  </pic:blipFill>
                  <pic:spPr>
                    <a:xfrm>
                      <a:off x="0" y="0"/>
                      <a:ext cx="6090559" cy="3044380"/>
                    </a:xfrm>
                    <a:prstGeom prst="rect">
                      <a:avLst/>
                    </a:prstGeom>
                  </pic:spPr>
                </pic:pic>
              </a:graphicData>
            </a:graphic>
          </wp:anchor>
        </w:drawing>
      </w:r>
      <w:r>
        <w:rPr/>
        <w:t>El proyecto se localiza en la parte central del Estado de México, al sur del municipio de Almoloya de Juárez, en la comunidad de San Mateo Tlalchichilpan, en los límites con el municipio de</w:t>
      </w:r>
      <w:r>
        <w:rPr>
          <w:spacing w:val="-24"/>
        </w:rPr>
        <w:t> </w:t>
      </w:r>
      <w:r>
        <w:rPr/>
        <w:t>Zinacantepec.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8"/>
        </w:rPr>
      </w:pPr>
    </w:p>
    <w:p>
      <w:pPr>
        <w:spacing w:before="0"/>
        <w:ind w:left="2268" w:right="0" w:firstLine="0"/>
        <w:jc w:val="left"/>
        <w:rPr>
          <w:sz w:val="20"/>
        </w:rPr>
      </w:pPr>
      <w:r>
        <w:rPr>
          <w:sz w:val="20"/>
        </w:rPr>
        <w:t>Figura 4.2. Fotografía aérea de la zona de estudio.</w:t>
      </w:r>
    </w:p>
    <w:p>
      <w:pPr>
        <w:pStyle w:val="BodyText"/>
        <w:rPr>
          <w:sz w:val="20"/>
        </w:rPr>
      </w:pPr>
    </w:p>
    <w:p>
      <w:pPr>
        <w:pStyle w:val="BodyText"/>
        <w:spacing w:before="4"/>
        <w:rPr>
          <w:sz w:val="28"/>
        </w:rPr>
      </w:pPr>
    </w:p>
    <w:p>
      <w:pPr>
        <w:pStyle w:val="BodyText"/>
        <w:spacing w:line="362" w:lineRule="auto"/>
        <w:ind w:left="100" w:right="778"/>
        <w:jc w:val="both"/>
      </w:pPr>
      <w:r>
        <w:rPr/>
        <w:t>La localidad se encuentra en Longitud </w:t>
      </w:r>
      <w:r>
        <w:rPr>
          <w:i/>
        </w:rPr>
        <w:t>-99º45’20’’ y </w:t>
      </w:r>
      <w:r>
        <w:rPr/>
        <w:t>Latitud </w:t>
      </w:r>
      <w:r>
        <w:rPr>
          <w:i/>
        </w:rPr>
        <w:t>19º20’38’’’  </w:t>
      </w:r>
      <w:r>
        <w:rPr/>
        <w:t>coordenadas geográficas proyección NAD 27 a una altura media de 2710 metros sobre el nivel del</w:t>
      </w:r>
      <w:r>
        <w:rPr>
          <w:spacing w:val="-16"/>
        </w:rPr>
        <w:t> </w:t>
      </w:r>
      <w:r>
        <w:rPr/>
        <w:t>mar.</w:t>
      </w:r>
    </w:p>
    <w:p>
      <w:pPr>
        <w:spacing w:after="0" w:line="362" w:lineRule="auto"/>
        <w:jc w:val="both"/>
        <w:sectPr>
          <w:pgSz w:w="12240" w:h="15840"/>
          <w:pgMar w:header="0" w:footer="1071" w:top="1360" w:bottom="1260" w:left="1600" w:right="920"/>
        </w:sectPr>
      </w:pPr>
    </w:p>
    <w:p>
      <w:pPr>
        <w:pStyle w:val="Heading3"/>
        <w:rPr>
          <w:i/>
        </w:rPr>
      </w:pPr>
      <w:r>
        <w:rPr>
          <w:i/>
        </w:rPr>
        <w:t>Caracterización ambiental</w:t>
      </w:r>
    </w:p>
    <w:p>
      <w:pPr>
        <w:pStyle w:val="BodyText"/>
        <w:rPr>
          <w:b/>
          <w:i/>
        </w:rPr>
      </w:pPr>
    </w:p>
    <w:p>
      <w:pPr>
        <w:pStyle w:val="BodyText"/>
        <w:spacing w:before="11"/>
        <w:rPr>
          <w:b/>
          <w:i/>
          <w:sz w:val="23"/>
        </w:rPr>
      </w:pPr>
    </w:p>
    <w:p>
      <w:pPr>
        <w:pStyle w:val="BodyText"/>
        <w:spacing w:line="360" w:lineRule="auto"/>
        <w:ind w:left="100" w:right="1245"/>
        <w:jc w:val="both"/>
      </w:pPr>
      <w:r>
        <w:rPr/>
        <w:t>Clima: La temperatura oscila entre 6 y 14° C, la zona registra una precipitación anual entre: 700- 1500 mm. La unidad climática se identifica con la clave C (w2) w que corresponde al clima  Templado, subhúmedo, con lluvias en verano</w:t>
      </w:r>
    </w:p>
    <w:p>
      <w:pPr>
        <w:pStyle w:val="BodyText"/>
      </w:pPr>
    </w:p>
    <w:p>
      <w:pPr>
        <w:pStyle w:val="BodyText"/>
        <w:spacing w:line="360" w:lineRule="auto" w:before="142"/>
        <w:ind w:left="100" w:right="1242"/>
        <w:jc w:val="both"/>
      </w:pPr>
      <w:r>
        <w:rPr/>
        <w:t>Hidrología: En el área poblada de San Mateo Tlalchichilpan se encuentra el cauce de un río rodeado de viviendas. Debido al carácter joven de dicho río y a que la cuenca superior es de un área relativamente pequeña, el riesgo de inundación repentina es medio, sin embargo los procesos de denudación de laderas y rocas basálticas expuestas atestiguan que el flujo de agua puede representar una amenaza a los habitantes de este lugar.</w:t>
      </w:r>
    </w:p>
    <w:p>
      <w:pPr>
        <w:pStyle w:val="BodyText"/>
        <w:rPr>
          <w:sz w:val="20"/>
        </w:rPr>
      </w:pPr>
    </w:p>
    <w:p>
      <w:pPr>
        <w:pStyle w:val="BodyText"/>
        <w:spacing w:before="10"/>
        <w:rPr>
          <w:sz w:val="12"/>
        </w:rPr>
      </w:pPr>
      <w:r>
        <w:rPr/>
        <w:drawing>
          <wp:anchor distT="0" distB="0" distL="0" distR="0" allowOverlap="1" layoutInCell="1" locked="0" behindDoc="0" simplePos="0" relativeHeight="1480">
            <wp:simplePos x="0" y="0"/>
            <wp:positionH relativeFrom="page">
              <wp:posOffset>1099185</wp:posOffset>
            </wp:positionH>
            <wp:positionV relativeFrom="paragraph">
              <wp:posOffset>119188</wp:posOffset>
            </wp:positionV>
            <wp:extent cx="6369859" cy="3160014"/>
            <wp:effectExtent l="0" t="0" r="0" b="0"/>
            <wp:wrapTopAndBottom/>
            <wp:docPr id="53" name="image19.jpeg" descr=""/>
            <wp:cNvGraphicFramePr>
              <a:graphicFrameLocks noChangeAspect="1"/>
            </wp:cNvGraphicFramePr>
            <a:graphic>
              <a:graphicData uri="http://schemas.openxmlformats.org/drawingml/2006/picture">
                <pic:pic>
                  <pic:nvPicPr>
                    <pic:cNvPr id="54" name="image19.jpeg"/>
                    <pic:cNvPicPr/>
                  </pic:nvPicPr>
                  <pic:blipFill>
                    <a:blip r:embed="rId32" cstate="print"/>
                    <a:stretch>
                      <a:fillRect/>
                    </a:stretch>
                  </pic:blipFill>
                  <pic:spPr>
                    <a:xfrm>
                      <a:off x="0" y="0"/>
                      <a:ext cx="6369859" cy="3160014"/>
                    </a:xfrm>
                    <a:prstGeom prst="rect">
                      <a:avLst/>
                    </a:prstGeom>
                  </pic:spPr>
                </pic:pic>
              </a:graphicData>
            </a:graphic>
          </wp:anchor>
        </w:drawing>
      </w:r>
    </w:p>
    <w:p>
      <w:pPr>
        <w:spacing w:before="66"/>
        <w:ind w:left="2617" w:right="0" w:firstLine="0"/>
        <w:jc w:val="left"/>
        <w:rPr>
          <w:sz w:val="20"/>
        </w:rPr>
      </w:pPr>
      <w:r>
        <w:rPr>
          <w:sz w:val="20"/>
        </w:rPr>
        <w:t>Figura 4.3. Zonas de riesgo de inundación.</w:t>
      </w:r>
    </w:p>
    <w:p>
      <w:pPr>
        <w:pStyle w:val="BodyText"/>
        <w:rPr>
          <w:sz w:val="20"/>
        </w:rPr>
      </w:pPr>
    </w:p>
    <w:p>
      <w:pPr>
        <w:pStyle w:val="BodyText"/>
        <w:spacing w:before="3"/>
        <w:rPr>
          <w:sz w:val="26"/>
        </w:rPr>
      </w:pPr>
    </w:p>
    <w:p>
      <w:pPr>
        <w:pStyle w:val="BodyText"/>
        <w:spacing w:line="357" w:lineRule="auto"/>
        <w:ind w:left="100" w:right="1245"/>
        <w:jc w:val="both"/>
      </w:pPr>
      <w:r>
        <w:rPr/>
        <w:t>Uso de suelo: El uso de suelo predominante en la localidad corresponde a agricultura de riego, sin embargo se encuentra en proceso de urbanización.</w:t>
      </w:r>
    </w:p>
    <w:p>
      <w:pPr>
        <w:spacing w:after="0" w:line="357" w:lineRule="auto"/>
        <w:jc w:val="both"/>
        <w:sectPr>
          <w:pgSz w:w="12240" w:h="15840"/>
          <w:pgMar w:header="0" w:footer="1071" w:top="1360" w:bottom="1260" w:left="1600" w:right="460"/>
        </w:sectPr>
      </w:pPr>
    </w:p>
    <w:p>
      <w:pPr>
        <w:pStyle w:val="BodyText"/>
        <w:spacing w:line="360" w:lineRule="auto" w:before="55"/>
        <w:ind w:left="100" w:right="1268"/>
        <w:jc w:val="both"/>
      </w:pPr>
      <w:r>
        <w:rPr/>
        <w:t>Población: La población total de San Mateo Tlalchichilpan es de 4017 habitantes, de los cuales 1980 son población masculina y 2037 población femenina. La población de la localidad representa el 3.03% de la población total del municipio.</w:t>
      </w:r>
    </w:p>
    <w:p>
      <w:pPr>
        <w:pStyle w:val="BodyText"/>
      </w:pPr>
    </w:p>
    <w:p>
      <w:pPr>
        <w:pStyle w:val="BodyText"/>
        <w:spacing w:line="360" w:lineRule="auto" w:before="198"/>
        <w:ind w:left="100" w:right="1266"/>
        <w:jc w:val="both"/>
      </w:pPr>
      <w:r>
        <w:rPr/>
        <w:t>Rangos de edad: El mayor porcentaje de la población tiene entre 25 y 59 años y corresponde al 41.4%, seguido de la población entre 18 y 24 años que representa el 14.8%.</w:t>
      </w:r>
    </w:p>
    <w:p>
      <w:pPr>
        <w:pStyle w:val="BodyText"/>
      </w:pPr>
    </w:p>
    <w:p>
      <w:pPr>
        <w:pStyle w:val="BodyText"/>
        <w:spacing w:line="360" w:lineRule="auto" w:before="198"/>
        <w:ind w:left="100" w:right="1261"/>
        <w:jc w:val="both"/>
      </w:pPr>
      <w:r>
        <w:rPr/>
        <w:t>Servicios de salud: En cuanto a servicios de salud se refiere, el 71.14% de la población de la localidad tiene acceso a alguna institución pública o privada, entre las que se encuentran el ISSSTE, ISSEMYM, IMSS y Seguro Popular.</w:t>
      </w:r>
    </w:p>
    <w:p>
      <w:pPr>
        <w:pStyle w:val="BodyText"/>
        <w:rPr>
          <w:sz w:val="20"/>
        </w:rPr>
      </w:pPr>
    </w:p>
    <w:p>
      <w:pPr>
        <w:pStyle w:val="BodyText"/>
        <w:spacing w:before="11"/>
        <w:rPr>
          <w:sz w:val="12"/>
        </w:rPr>
      </w:pPr>
      <w:r>
        <w:rPr/>
        <w:drawing>
          <wp:anchor distT="0" distB="0" distL="0" distR="0" allowOverlap="1" layoutInCell="1" locked="0" behindDoc="0" simplePos="0" relativeHeight="1504">
            <wp:simplePos x="0" y="0"/>
            <wp:positionH relativeFrom="page">
              <wp:posOffset>1099185</wp:posOffset>
            </wp:positionH>
            <wp:positionV relativeFrom="paragraph">
              <wp:posOffset>119568</wp:posOffset>
            </wp:positionV>
            <wp:extent cx="6380133" cy="3151632"/>
            <wp:effectExtent l="0" t="0" r="0" b="0"/>
            <wp:wrapTopAndBottom/>
            <wp:docPr id="57" name="image20.jpeg" descr=""/>
            <wp:cNvGraphicFramePr>
              <a:graphicFrameLocks noChangeAspect="1"/>
            </wp:cNvGraphicFramePr>
            <a:graphic>
              <a:graphicData uri="http://schemas.openxmlformats.org/drawingml/2006/picture">
                <pic:pic>
                  <pic:nvPicPr>
                    <pic:cNvPr id="58" name="image20.jpeg"/>
                    <pic:cNvPicPr/>
                  </pic:nvPicPr>
                  <pic:blipFill>
                    <a:blip r:embed="rId34" cstate="print"/>
                    <a:stretch>
                      <a:fillRect/>
                    </a:stretch>
                  </pic:blipFill>
                  <pic:spPr>
                    <a:xfrm>
                      <a:off x="0" y="0"/>
                      <a:ext cx="6380133" cy="3151632"/>
                    </a:xfrm>
                    <a:prstGeom prst="rect">
                      <a:avLst/>
                    </a:prstGeom>
                  </pic:spPr>
                </pic:pic>
              </a:graphicData>
            </a:graphic>
          </wp:anchor>
        </w:drawing>
      </w:r>
    </w:p>
    <w:p>
      <w:pPr>
        <w:spacing w:before="66"/>
        <w:ind w:left="2133" w:right="0" w:firstLine="0"/>
        <w:jc w:val="left"/>
        <w:rPr>
          <w:sz w:val="20"/>
        </w:rPr>
      </w:pPr>
      <w:r>
        <w:rPr>
          <w:sz w:val="20"/>
        </w:rPr>
        <w:t>Figura 4.4. Polvorines, escuelas e iglesias en la zona.</w:t>
      </w:r>
    </w:p>
    <w:p>
      <w:pPr>
        <w:pStyle w:val="BodyText"/>
        <w:rPr>
          <w:sz w:val="20"/>
        </w:rPr>
      </w:pPr>
    </w:p>
    <w:p>
      <w:pPr>
        <w:pStyle w:val="BodyText"/>
        <w:spacing w:before="11"/>
        <w:rPr>
          <w:sz w:val="25"/>
        </w:rPr>
      </w:pPr>
    </w:p>
    <w:p>
      <w:pPr>
        <w:pStyle w:val="BodyText"/>
        <w:spacing w:line="360" w:lineRule="auto"/>
        <w:ind w:left="100" w:right="1258"/>
        <w:jc w:val="both"/>
      </w:pPr>
      <w:r>
        <w:rPr/>
        <w:t>Educación: Del total de la población, el 9.53% de 15 años o más es analfabeta, mientras que el 27.55% no tiene educación primaria completa; 1146 tienen una escolaridad incompleta. 594 tienen una escolaridad básica y 593 cuentan con una educación post-básica.</w:t>
      </w:r>
    </w:p>
    <w:p>
      <w:pPr>
        <w:spacing w:after="0" w:line="360" w:lineRule="auto"/>
        <w:jc w:val="both"/>
        <w:sectPr>
          <w:footerReference w:type="default" r:id="rId33"/>
          <w:pgSz w:w="12240" w:h="15840"/>
          <w:pgMar w:footer="1071" w:header="0" w:top="1360" w:bottom="1260" w:left="1600" w:right="440"/>
        </w:sectPr>
      </w:pPr>
    </w:p>
    <w:p>
      <w:pPr>
        <w:pStyle w:val="BodyText"/>
        <w:spacing w:line="362" w:lineRule="auto" w:before="55"/>
        <w:ind w:left="100" w:right="1242"/>
        <w:jc w:val="both"/>
      </w:pPr>
      <w:r>
        <w:rPr/>
        <w:t>Un total de 308 habitantes entre 15 y 24 años de edad han asistido a la escuela, el grado promedio de estudios es de 7 años.</w:t>
      </w:r>
    </w:p>
    <w:p>
      <w:pPr>
        <w:pStyle w:val="BodyText"/>
      </w:pPr>
    </w:p>
    <w:p>
      <w:pPr>
        <w:pStyle w:val="BodyText"/>
        <w:spacing w:line="360" w:lineRule="auto" w:before="167"/>
        <w:ind w:left="100" w:right="1246"/>
        <w:jc w:val="both"/>
      </w:pPr>
      <w:r>
        <w:rPr/>
        <w:t>Giro de la actividad: La pirotecnia es una actividad artesanal, combinación de arte y ciencia utilizada para producir efectos termales, visibles y auditivos mediante un proceso exotérmico, o una reacción química que se propaga sola involucrando componentes oxidantes y combustibles (Conkling,</w:t>
      </w:r>
      <w:r>
        <w:rPr>
          <w:spacing w:val="-33"/>
        </w:rPr>
        <w:t> </w:t>
      </w:r>
      <w:r>
        <w:rPr/>
        <w:t>2009)</w:t>
      </w:r>
    </w:p>
    <w:p>
      <w:pPr>
        <w:pStyle w:val="BodyText"/>
        <w:rPr>
          <w:sz w:val="20"/>
        </w:rPr>
      </w:pPr>
    </w:p>
    <w:p>
      <w:pPr>
        <w:pStyle w:val="BodyText"/>
        <w:rPr>
          <w:sz w:val="13"/>
        </w:rPr>
      </w:pPr>
      <w:r>
        <w:rPr/>
        <w:drawing>
          <wp:anchor distT="0" distB="0" distL="0" distR="0" allowOverlap="1" layoutInCell="1" locked="0" behindDoc="0" simplePos="0" relativeHeight="1528">
            <wp:simplePos x="0" y="0"/>
            <wp:positionH relativeFrom="page">
              <wp:posOffset>1099185</wp:posOffset>
            </wp:positionH>
            <wp:positionV relativeFrom="paragraph">
              <wp:posOffset>119949</wp:posOffset>
            </wp:positionV>
            <wp:extent cx="6289326" cy="4420552"/>
            <wp:effectExtent l="0" t="0" r="0" b="0"/>
            <wp:wrapTopAndBottom/>
            <wp:docPr id="61" name="image21.jpeg" descr=""/>
            <wp:cNvGraphicFramePr>
              <a:graphicFrameLocks noChangeAspect="1"/>
            </wp:cNvGraphicFramePr>
            <a:graphic>
              <a:graphicData uri="http://schemas.openxmlformats.org/drawingml/2006/picture">
                <pic:pic>
                  <pic:nvPicPr>
                    <pic:cNvPr id="62" name="image21.jpeg"/>
                    <pic:cNvPicPr/>
                  </pic:nvPicPr>
                  <pic:blipFill>
                    <a:blip r:embed="rId36" cstate="print"/>
                    <a:stretch>
                      <a:fillRect/>
                    </a:stretch>
                  </pic:blipFill>
                  <pic:spPr>
                    <a:xfrm>
                      <a:off x="0" y="0"/>
                      <a:ext cx="6289326" cy="4420552"/>
                    </a:xfrm>
                    <a:prstGeom prst="rect">
                      <a:avLst/>
                    </a:prstGeom>
                  </pic:spPr>
                </pic:pic>
              </a:graphicData>
            </a:graphic>
          </wp:anchor>
        </w:drawing>
      </w:r>
    </w:p>
    <w:p>
      <w:pPr>
        <w:spacing w:before="136"/>
        <w:ind w:left="1125" w:right="0" w:firstLine="0"/>
        <w:jc w:val="left"/>
        <w:rPr>
          <w:sz w:val="20"/>
        </w:rPr>
      </w:pPr>
      <w:r>
        <w:rPr>
          <w:sz w:val="20"/>
        </w:rPr>
        <w:t>Figura 4.5. Ubicación de los talleres pirotecnicos con su número de permiso.</w:t>
      </w:r>
    </w:p>
    <w:p>
      <w:pPr>
        <w:spacing w:after="0"/>
        <w:jc w:val="left"/>
        <w:rPr>
          <w:sz w:val="20"/>
        </w:rPr>
        <w:sectPr>
          <w:footerReference w:type="default" r:id="rId35"/>
          <w:pgSz w:w="12240" w:h="15840"/>
          <w:pgMar w:footer="1071" w:header="0" w:top="1360" w:bottom="1260" w:left="1600" w:right="460"/>
          <w:pgNumType w:start="51"/>
        </w:sectPr>
      </w:pPr>
    </w:p>
    <w:p>
      <w:pPr>
        <w:pStyle w:val="BodyText"/>
        <w:spacing w:before="4"/>
        <w:rPr>
          <w:sz w:val="22"/>
        </w:rPr>
      </w:pPr>
    </w:p>
    <w:p>
      <w:pPr>
        <w:pStyle w:val="Heading2"/>
        <w:spacing w:before="70"/>
        <w:jc w:val="both"/>
      </w:pPr>
      <w:r>
        <w:rPr/>
        <w:t>Identificación de impactos ambientales</w:t>
      </w:r>
    </w:p>
    <w:p>
      <w:pPr>
        <w:pStyle w:val="BodyText"/>
        <w:rPr>
          <w:b/>
        </w:rPr>
      </w:pPr>
    </w:p>
    <w:p>
      <w:pPr>
        <w:pStyle w:val="BodyText"/>
        <w:spacing w:before="4"/>
        <w:rPr>
          <w:b/>
        </w:rPr>
      </w:pPr>
    </w:p>
    <w:p>
      <w:pPr>
        <w:pStyle w:val="BodyText"/>
        <w:spacing w:line="360" w:lineRule="auto"/>
        <w:ind w:left="100" w:right="106"/>
        <w:jc w:val="both"/>
      </w:pPr>
      <w:r>
        <w:rPr/>
        <w:t>Para la identificación y evaluación de los impactos ambientales como resultado de la actividad pirotécnica en la localidad de San mateo Tlalchichilpan, fue necesario llevar a cabo visitas de campo para identificar las condiciones actuales del zona de ubicación y su área de influencia.</w:t>
      </w:r>
    </w:p>
    <w:p>
      <w:pPr>
        <w:pStyle w:val="BodyText"/>
      </w:pPr>
    </w:p>
    <w:p>
      <w:pPr>
        <w:pStyle w:val="BodyText"/>
        <w:spacing w:line="362" w:lineRule="auto" w:before="142"/>
        <w:ind w:left="100" w:right="106"/>
        <w:jc w:val="both"/>
      </w:pPr>
      <w:r>
        <w:rPr/>
        <w:t>Determinar las condiciones del sitio permite realizar una valoración más específica de los efectos de las actividades del proceso en los factores ambientales.</w:t>
      </w:r>
    </w:p>
    <w:p>
      <w:pPr>
        <w:pStyle w:val="BodyText"/>
      </w:pPr>
    </w:p>
    <w:p>
      <w:pPr>
        <w:pStyle w:val="BodyText"/>
        <w:spacing w:line="360" w:lineRule="auto" w:before="139"/>
        <w:ind w:left="100" w:right="108"/>
        <w:jc w:val="both"/>
      </w:pPr>
      <w:r>
        <w:rPr/>
        <w:t>El método utilizado para la evaluación de los impactos ambientales causados a los elementos ambientales por las actividades del proceso de la actividad pirotécnica es el de matriz causa-efecto.</w:t>
      </w:r>
    </w:p>
    <w:p>
      <w:pPr>
        <w:pStyle w:val="BodyText"/>
      </w:pPr>
    </w:p>
    <w:p>
      <w:pPr>
        <w:pStyle w:val="BodyText"/>
        <w:spacing w:line="360" w:lineRule="auto" w:before="142"/>
        <w:ind w:left="100" w:right="102"/>
        <w:jc w:val="both"/>
      </w:pPr>
      <w:r>
        <w:rPr/>
        <w:t>Una vez realizada la visita e identificados los elementos ambientales con mayor degradación, se procedió a definir con base en los factores ambientales establecidos en la Matriz de Leopold, aquellos que están presentes en el área de ubicación del proyecto y que pudieran resultar afectados en las diferentes etapas de la investigación.</w:t>
      </w:r>
    </w:p>
    <w:p>
      <w:pPr>
        <w:pStyle w:val="BodyText"/>
      </w:pPr>
    </w:p>
    <w:p>
      <w:pPr>
        <w:pStyle w:val="BodyText"/>
        <w:spacing w:line="360" w:lineRule="auto" w:before="141"/>
        <w:ind w:left="100" w:right="103"/>
        <w:jc w:val="both"/>
      </w:pPr>
      <w:r>
        <w:rPr/>
        <w:t>Una vez identificadas las interacciones entre las características ambientales y las actividades a desarrollar dentro del proceso, mediante un grupo de expertos en diferentes áreas, se asignaron valores que permitirían ponderar el grado de afectación.</w:t>
      </w:r>
    </w:p>
    <w:p>
      <w:pPr>
        <w:spacing w:after="0" w:line="360" w:lineRule="auto"/>
        <w:jc w:val="both"/>
        <w:sectPr>
          <w:pgSz w:w="12240" w:h="15840"/>
          <w:pgMar w:header="0" w:footer="1071" w:top="1500" w:bottom="1260" w:left="1600" w:right="1600"/>
        </w:sectPr>
      </w:pPr>
    </w:p>
    <w:p>
      <w:pPr>
        <w:pStyle w:val="BodyText"/>
        <w:spacing w:before="10"/>
        <w:rPr>
          <w:sz w:val="28"/>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60"/>
        <w:gridCol w:w="1436"/>
        <w:gridCol w:w="432"/>
        <w:gridCol w:w="517"/>
        <w:gridCol w:w="512"/>
        <w:gridCol w:w="512"/>
        <w:gridCol w:w="512"/>
        <w:gridCol w:w="512"/>
        <w:gridCol w:w="460"/>
        <w:gridCol w:w="461"/>
        <w:gridCol w:w="460"/>
        <w:gridCol w:w="408"/>
        <w:gridCol w:w="412"/>
        <w:gridCol w:w="460"/>
        <w:gridCol w:w="460"/>
        <w:gridCol w:w="456"/>
        <w:gridCol w:w="461"/>
        <w:gridCol w:w="460"/>
      </w:tblGrid>
      <w:tr>
        <w:trPr>
          <w:trHeight w:val="560" w:hRule="exact"/>
        </w:trPr>
        <w:tc>
          <w:tcPr>
            <w:tcW w:w="2096" w:type="dxa"/>
            <w:gridSpan w:val="2"/>
            <w:vMerge w:val="restart"/>
          </w:tcPr>
          <w:p>
            <w:pPr/>
          </w:p>
        </w:tc>
        <w:tc>
          <w:tcPr>
            <w:tcW w:w="3918" w:type="dxa"/>
            <w:gridSpan w:val="8"/>
          </w:tcPr>
          <w:p>
            <w:pPr>
              <w:pStyle w:val="TableParagraph"/>
              <w:spacing w:line="271" w:lineRule="exact"/>
              <w:ind w:left="1312" w:right="1317"/>
              <w:jc w:val="center"/>
              <w:rPr>
                <w:sz w:val="24"/>
              </w:rPr>
            </w:pPr>
            <w:r>
              <w:rPr>
                <w:sz w:val="24"/>
              </w:rPr>
              <w:t>Fabricación</w:t>
            </w:r>
          </w:p>
        </w:tc>
        <w:tc>
          <w:tcPr>
            <w:tcW w:w="2200" w:type="dxa"/>
            <w:gridSpan w:val="5"/>
          </w:tcPr>
          <w:p>
            <w:pPr>
              <w:pStyle w:val="TableParagraph"/>
              <w:ind w:left="687" w:right="402" w:hanging="264"/>
              <w:rPr>
                <w:sz w:val="24"/>
              </w:rPr>
            </w:pPr>
            <w:r>
              <w:rPr>
                <w:sz w:val="24"/>
              </w:rPr>
              <w:t>Transporte y armado</w:t>
            </w:r>
          </w:p>
        </w:tc>
        <w:tc>
          <w:tcPr>
            <w:tcW w:w="1377" w:type="dxa"/>
            <w:gridSpan w:val="3"/>
          </w:tcPr>
          <w:p>
            <w:pPr>
              <w:pStyle w:val="TableParagraph"/>
              <w:spacing w:line="271" w:lineRule="exact"/>
              <w:ind w:left="288"/>
              <w:rPr>
                <w:sz w:val="24"/>
              </w:rPr>
            </w:pPr>
            <w:r>
              <w:rPr>
                <w:sz w:val="24"/>
              </w:rPr>
              <w:t>Quema</w:t>
            </w:r>
          </w:p>
        </w:tc>
      </w:tr>
      <w:tr>
        <w:trPr>
          <w:trHeight w:val="1144" w:hRule="exact"/>
        </w:trPr>
        <w:tc>
          <w:tcPr>
            <w:tcW w:w="2096" w:type="dxa"/>
            <w:gridSpan w:val="2"/>
            <w:vMerge/>
          </w:tcPr>
          <w:p>
            <w:pPr/>
          </w:p>
        </w:tc>
        <w:tc>
          <w:tcPr>
            <w:tcW w:w="432" w:type="dxa"/>
            <w:textDirection w:val="btLr"/>
          </w:tcPr>
          <w:p>
            <w:pPr>
              <w:pStyle w:val="TableParagraph"/>
              <w:spacing w:before="104"/>
              <w:ind w:left="112"/>
              <w:rPr>
                <w:sz w:val="20"/>
              </w:rPr>
            </w:pPr>
            <w:r>
              <w:rPr>
                <w:spacing w:val="1"/>
                <w:w w:val="99"/>
                <w:sz w:val="20"/>
              </w:rPr>
              <w:t>M</w:t>
            </w:r>
            <w:r>
              <w:rPr>
                <w:w w:val="100"/>
                <w:sz w:val="20"/>
              </w:rPr>
              <w:t>.</w:t>
            </w:r>
            <w:r>
              <w:rPr>
                <w:sz w:val="20"/>
              </w:rPr>
              <w:t> </w:t>
            </w:r>
            <w:r>
              <w:rPr>
                <w:spacing w:val="-2"/>
                <w:sz w:val="20"/>
              </w:rPr>
              <w:t>P</w:t>
            </w:r>
            <w:r>
              <w:rPr>
                <w:w w:val="100"/>
                <w:sz w:val="20"/>
              </w:rPr>
              <w:t>.</w:t>
            </w:r>
          </w:p>
        </w:tc>
        <w:tc>
          <w:tcPr>
            <w:tcW w:w="517" w:type="dxa"/>
            <w:textDirection w:val="btLr"/>
          </w:tcPr>
          <w:p>
            <w:pPr>
              <w:pStyle w:val="TableParagraph"/>
              <w:spacing w:before="105"/>
              <w:ind w:left="112"/>
              <w:rPr>
                <w:sz w:val="20"/>
              </w:rPr>
            </w:pPr>
            <w:r>
              <w:rPr>
                <w:spacing w:val="1"/>
                <w:w w:val="99"/>
                <w:sz w:val="20"/>
              </w:rPr>
              <w:t>M</w:t>
            </w:r>
            <w:r>
              <w:rPr>
                <w:w w:val="99"/>
                <w:sz w:val="20"/>
              </w:rPr>
              <w:t>o</w:t>
            </w:r>
            <w:r>
              <w:rPr>
                <w:w w:val="99"/>
                <w:sz w:val="20"/>
              </w:rPr>
              <w:t>l</w:t>
            </w:r>
            <w:r>
              <w:rPr>
                <w:spacing w:val="-1"/>
                <w:w w:val="99"/>
                <w:sz w:val="20"/>
              </w:rPr>
              <w:t>i</w:t>
            </w:r>
            <w:r>
              <w:rPr>
                <w:w w:val="99"/>
                <w:sz w:val="20"/>
              </w:rPr>
              <w:t>enda</w:t>
            </w:r>
          </w:p>
        </w:tc>
        <w:tc>
          <w:tcPr>
            <w:tcW w:w="512" w:type="dxa"/>
            <w:textDirection w:val="btLr"/>
          </w:tcPr>
          <w:p>
            <w:pPr>
              <w:pStyle w:val="TableParagraph"/>
              <w:spacing w:before="104"/>
              <w:ind w:left="112"/>
              <w:rPr>
                <w:sz w:val="20"/>
              </w:rPr>
            </w:pPr>
            <w:r>
              <w:rPr>
                <w:spacing w:val="1"/>
                <w:w w:val="99"/>
                <w:sz w:val="20"/>
              </w:rPr>
              <w:t>M</w:t>
            </w:r>
            <w:r>
              <w:rPr>
                <w:w w:val="99"/>
                <w:sz w:val="20"/>
              </w:rPr>
              <w:t>ezcla</w:t>
            </w:r>
            <w:r>
              <w:rPr>
                <w:spacing w:val="1"/>
                <w:w w:val="99"/>
                <w:sz w:val="20"/>
              </w:rPr>
              <w:t>d</w:t>
            </w:r>
            <w:r>
              <w:rPr>
                <w:w w:val="99"/>
                <w:sz w:val="20"/>
              </w:rPr>
              <w:t>o</w:t>
            </w:r>
          </w:p>
        </w:tc>
        <w:tc>
          <w:tcPr>
            <w:tcW w:w="512" w:type="dxa"/>
            <w:textDirection w:val="btLr"/>
          </w:tcPr>
          <w:p>
            <w:pPr>
              <w:pStyle w:val="TableParagraph"/>
              <w:spacing w:before="104"/>
              <w:ind w:left="112"/>
              <w:rPr>
                <w:sz w:val="20"/>
              </w:rPr>
            </w:pPr>
            <w:r>
              <w:rPr>
                <w:spacing w:val="1"/>
                <w:w w:val="100"/>
                <w:sz w:val="20"/>
              </w:rPr>
              <w:t>T</w:t>
            </w:r>
            <w:r>
              <w:rPr>
                <w:w w:val="99"/>
                <w:sz w:val="20"/>
              </w:rPr>
              <w:t>a</w:t>
            </w:r>
            <w:r>
              <w:rPr>
                <w:spacing w:val="1"/>
                <w:w w:val="99"/>
                <w:sz w:val="20"/>
              </w:rPr>
              <w:t>m</w:t>
            </w:r>
            <w:r>
              <w:rPr>
                <w:w w:val="99"/>
                <w:sz w:val="20"/>
              </w:rPr>
              <w:t>iza</w:t>
            </w:r>
            <w:r>
              <w:rPr>
                <w:spacing w:val="1"/>
                <w:w w:val="99"/>
                <w:sz w:val="20"/>
              </w:rPr>
              <w:t>d</w:t>
            </w:r>
            <w:r>
              <w:rPr>
                <w:w w:val="99"/>
                <w:sz w:val="20"/>
              </w:rPr>
              <w:t>o</w:t>
            </w:r>
          </w:p>
        </w:tc>
        <w:tc>
          <w:tcPr>
            <w:tcW w:w="512" w:type="dxa"/>
            <w:textDirection w:val="btLr"/>
          </w:tcPr>
          <w:p>
            <w:pPr>
              <w:pStyle w:val="TableParagraph"/>
              <w:spacing w:before="105"/>
              <w:ind w:left="112"/>
              <w:rPr>
                <w:sz w:val="20"/>
              </w:rPr>
            </w:pPr>
            <w:r>
              <w:rPr>
                <w:w w:val="99"/>
                <w:sz w:val="20"/>
              </w:rPr>
              <w:t>Lle</w:t>
            </w:r>
            <w:r>
              <w:rPr>
                <w:spacing w:val="1"/>
                <w:w w:val="99"/>
                <w:sz w:val="20"/>
              </w:rPr>
              <w:t>n</w:t>
            </w:r>
            <w:r>
              <w:rPr>
                <w:w w:val="99"/>
                <w:sz w:val="20"/>
              </w:rPr>
              <w:t>ado</w:t>
            </w:r>
          </w:p>
        </w:tc>
        <w:tc>
          <w:tcPr>
            <w:tcW w:w="512" w:type="dxa"/>
            <w:textDirection w:val="btLr"/>
          </w:tcPr>
          <w:p>
            <w:pPr>
              <w:pStyle w:val="TableParagraph"/>
              <w:spacing w:before="104"/>
              <w:ind w:left="112"/>
              <w:rPr>
                <w:sz w:val="20"/>
              </w:rPr>
            </w:pPr>
            <w:r>
              <w:rPr>
                <w:spacing w:val="-2"/>
                <w:w w:val="100"/>
                <w:sz w:val="20"/>
              </w:rPr>
              <w:t>E</w:t>
            </w:r>
            <w:r>
              <w:rPr>
                <w:w w:val="100"/>
                <w:sz w:val="20"/>
              </w:rPr>
              <w:t>st</w:t>
            </w:r>
            <w:r>
              <w:rPr>
                <w:spacing w:val="1"/>
                <w:w w:val="100"/>
                <w:sz w:val="20"/>
              </w:rPr>
              <w:t>r</w:t>
            </w:r>
            <w:r>
              <w:rPr>
                <w:w w:val="99"/>
                <w:sz w:val="20"/>
              </w:rPr>
              <w:t>e</w:t>
            </w:r>
            <w:r>
              <w:rPr>
                <w:w w:val="99"/>
                <w:sz w:val="20"/>
              </w:rPr>
              <w:t>l</w:t>
            </w:r>
            <w:r>
              <w:rPr>
                <w:spacing w:val="-1"/>
                <w:w w:val="99"/>
                <w:sz w:val="20"/>
              </w:rPr>
              <w:t>l</w:t>
            </w:r>
            <w:r>
              <w:rPr>
                <w:w w:val="99"/>
                <w:sz w:val="20"/>
              </w:rPr>
              <w:t>a</w:t>
            </w:r>
            <w:r>
              <w:rPr>
                <w:sz w:val="20"/>
              </w:rPr>
              <w:t>s</w:t>
            </w:r>
          </w:p>
        </w:tc>
        <w:tc>
          <w:tcPr>
            <w:tcW w:w="460" w:type="dxa"/>
            <w:textDirection w:val="btLr"/>
          </w:tcPr>
          <w:p>
            <w:pPr>
              <w:pStyle w:val="TableParagraph"/>
              <w:spacing w:before="108"/>
              <w:ind w:left="112"/>
              <w:rPr>
                <w:sz w:val="20"/>
              </w:rPr>
            </w:pPr>
            <w:r>
              <w:rPr>
                <w:spacing w:val="-2"/>
                <w:w w:val="100"/>
                <w:sz w:val="20"/>
              </w:rPr>
              <w:t>S</w:t>
            </w:r>
            <w:r>
              <w:rPr>
                <w:w w:val="99"/>
                <w:sz w:val="20"/>
              </w:rPr>
              <w:t>e</w:t>
            </w:r>
            <w:r>
              <w:rPr>
                <w:w w:val="99"/>
                <w:sz w:val="20"/>
              </w:rPr>
              <w:t>ca</w:t>
            </w:r>
            <w:r>
              <w:rPr>
                <w:w w:val="99"/>
                <w:sz w:val="20"/>
              </w:rPr>
              <w:t>do</w:t>
            </w:r>
          </w:p>
        </w:tc>
        <w:tc>
          <w:tcPr>
            <w:tcW w:w="461" w:type="dxa"/>
            <w:textDirection w:val="btLr"/>
          </w:tcPr>
          <w:p>
            <w:pPr>
              <w:pStyle w:val="TableParagraph"/>
              <w:spacing w:before="105"/>
              <w:ind w:left="112"/>
              <w:rPr>
                <w:sz w:val="20"/>
              </w:rPr>
            </w:pPr>
            <w:r>
              <w:rPr>
                <w:spacing w:val="-2"/>
                <w:w w:val="100"/>
                <w:sz w:val="20"/>
              </w:rPr>
              <w:t>A</w:t>
            </w:r>
            <w:r>
              <w:rPr>
                <w:spacing w:val="1"/>
                <w:w w:val="100"/>
                <w:sz w:val="20"/>
              </w:rPr>
              <w:t>rm</w:t>
            </w:r>
            <w:r>
              <w:rPr>
                <w:w w:val="99"/>
                <w:sz w:val="20"/>
              </w:rPr>
              <w:t>a</w:t>
            </w:r>
            <w:r>
              <w:rPr>
                <w:w w:val="99"/>
                <w:sz w:val="20"/>
              </w:rPr>
              <w:t>zó</w:t>
            </w:r>
            <w:r>
              <w:rPr>
                <w:w w:val="99"/>
                <w:sz w:val="20"/>
              </w:rPr>
              <w:t>n</w:t>
            </w:r>
          </w:p>
        </w:tc>
        <w:tc>
          <w:tcPr>
            <w:tcW w:w="460" w:type="dxa"/>
            <w:textDirection w:val="btLr"/>
          </w:tcPr>
          <w:p>
            <w:pPr>
              <w:pStyle w:val="TableParagraph"/>
              <w:spacing w:before="104"/>
              <w:ind w:left="112"/>
              <w:rPr>
                <w:sz w:val="20"/>
              </w:rPr>
            </w:pPr>
            <w:r>
              <w:rPr>
                <w:w w:val="99"/>
                <w:sz w:val="20"/>
              </w:rPr>
              <w:t>Ca</w:t>
            </w:r>
            <w:r>
              <w:rPr>
                <w:spacing w:val="1"/>
                <w:w w:val="99"/>
                <w:sz w:val="20"/>
              </w:rPr>
              <w:t>r</w:t>
            </w:r>
            <w:r>
              <w:rPr>
                <w:w w:val="99"/>
                <w:sz w:val="20"/>
              </w:rPr>
              <w:t>ga</w:t>
            </w:r>
          </w:p>
        </w:tc>
        <w:tc>
          <w:tcPr>
            <w:tcW w:w="408" w:type="dxa"/>
            <w:textDirection w:val="btLr"/>
          </w:tcPr>
          <w:p>
            <w:pPr>
              <w:pStyle w:val="TableParagraph"/>
              <w:spacing w:before="103"/>
              <w:ind w:left="112"/>
              <w:rPr>
                <w:sz w:val="18"/>
              </w:rPr>
            </w:pPr>
            <w:r>
              <w:rPr>
                <w:spacing w:val="1"/>
                <w:w w:val="100"/>
                <w:sz w:val="18"/>
              </w:rPr>
              <w:t>T</w:t>
            </w:r>
            <w:r>
              <w:rPr>
                <w:w w:val="99"/>
                <w:sz w:val="18"/>
              </w:rPr>
              <w:t>ran</w:t>
            </w:r>
            <w:r>
              <w:rPr>
                <w:spacing w:val="1"/>
                <w:w w:val="99"/>
                <w:sz w:val="18"/>
              </w:rPr>
              <w:t>s</w:t>
            </w:r>
            <w:r>
              <w:rPr>
                <w:w w:val="99"/>
                <w:sz w:val="18"/>
              </w:rPr>
              <w:t>por</w:t>
            </w:r>
            <w:r>
              <w:rPr>
                <w:spacing w:val="1"/>
                <w:w w:val="99"/>
                <w:sz w:val="18"/>
              </w:rPr>
              <w:t>t</w:t>
            </w:r>
            <w:r>
              <w:rPr>
                <w:w w:val="99"/>
                <w:sz w:val="18"/>
              </w:rPr>
              <w:t>e</w:t>
            </w:r>
          </w:p>
        </w:tc>
        <w:tc>
          <w:tcPr>
            <w:tcW w:w="412" w:type="dxa"/>
            <w:textDirection w:val="btLr"/>
          </w:tcPr>
          <w:p>
            <w:pPr>
              <w:pStyle w:val="TableParagraph"/>
              <w:spacing w:before="102"/>
              <w:ind w:left="112"/>
              <w:rPr>
                <w:sz w:val="16"/>
              </w:rPr>
            </w:pPr>
            <w:r>
              <w:rPr>
                <w:spacing w:val="1"/>
                <w:w w:val="100"/>
                <w:sz w:val="16"/>
              </w:rPr>
              <w:t>E</w:t>
            </w:r>
            <w:r>
              <w:rPr>
                <w:w w:val="100"/>
                <w:sz w:val="16"/>
              </w:rPr>
              <w:t>s</w:t>
            </w:r>
            <w:r>
              <w:rPr>
                <w:spacing w:val="-1"/>
                <w:w w:val="100"/>
                <w:sz w:val="16"/>
              </w:rPr>
              <w:t>t</w:t>
            </w:r>
            <w:r>
              <w:rPr>
                <w:spacing w:val="-2"/>
                <w:w w:val="99"/>
                <w:sz w:val="16"/>
              </w:rPr>
              <w:t>r</w:t>
            </w:r>
            <w:r>
              <w:rPr>
                <w:spacing w:val="-1"/>
                <w:w w:val="99"/>
                <w:sz w:val="16"/>
              </w:rPr>
              <w:t>u</w:t>
            </w:r>
            <w:r>
              <w:rPr>
                <w:w w:val="100"/>
                <w:sz w:val="16"/>
              </w:rPr>
              <w:t>c</w:t>
            </w:r>
            <w:r>
              <w:rPr>
                <w:spacing w:val="-1"/>
                <w:w w:val="100"/>
                <w:sz w:val="16"/>
              </w:rPr>
              <w:t>t</w:t>
            </w:r>
            <w:r>
              <w:rPr>
                <w:spacing w:val="-1"/>
                <w:w w:val="99"/>
                <w:sz w:val="16"/>
              </w:rPr>
              <w:t>u</w:t>
            </w:r>
            <w:r>
              <w:rPr>
                <w:spacing w:val="-2"/>
                <w:w w:val="99"/>
                <w:sz w:val="16"/>
              </w:rPr>
              <w:t>r</w:t>
            </w:r>
            <w:r>
              <w:rPr>
                <w:spacing w:val="-1"/>
                <w:w w:val="99"/>
                <w:sz w:val="16"/>
              </w:rPr>
              <w:t>a</w:t>
            </w:r>
            <w:r>
              <w:rPr>
                <w:sz w:val="16"/>
              </w:rPr>
              <w:t>s</w:t>
            </w:r>
          </w:p>
        </w:tc>
        <w:tc>
          <w:tcPr>
            <w:tcW w:w="460" w:type="dxa"/>
            <w:textDirection w:val="btLr"/>
          </w:tcPr>
          <w:p>
            <w:pPr>
              <w:pStyle w:val="TableParagraph"/>
              <w:spacing w:before="105"/>
              <w:ind w:left="112"/>
              <w:rPr>
                <w:sz w:val="20"/>
              </w:rPr>
            </w:pPr>
            <w:r>
              <w:rPr>
                <w:spacing w:val="1"/>
                <w:w w:val="99"/>
                <w:sz w:val="20"/>
              </w:rPr>
              <w:t>M</w:t>
            </w:r>
            <w:r>
              <w:rPr>
                <w:w w:val="99"/>
                <w:sz w:val="20"/>
              </w:rPr>
              <w:t>e</w:t>
            </w:r>
            <w:r>
              <w:rPr>
                <w:w w:val="99"/>
                <w:sz w:val="20"/>
              </w:rPr>
              <w:t>ch</w:t>
            </w:r>
            <w:r>
              <w:rPr>
                <w:w w:val="99"/>
                <w:sz w:val="20"/>
              </w:rPr>
              <w:t>ado</w:t>
            </w:r>
          </w:p>
        </w:tc>
        <w:tc>
          <w:tcPr>
            <w:tcW w:w="460" w:type="dxa"/>
            <w:textDirection w:val="btLr"/>
          </w:tcPr>
          <w:p>
            <w:pPr>
              <w:pStyle w:val="TableParagraph"/>
              <w:spacing w:before="104"/>
              <w:ind w:left="112"/>
              <w:rPr>
                <w:sz w:val="20"/>
              </w:rPr>
            </w:pPr>
            <w:r>
              <w:rPr>
                <w:spacing w:val="-2"/>
                <w:w w:val="100"/>
                <w:sz w:val="20"/>
              </w:rPr>
              <w:t>B</w:t>
            </w:r>
            <w:r>
              <w:rPr>
                <w:w w:val="99"/>
                <w:sz w:val="20"/>
              </w:rPr>
              <w:t>o</w:t>
            </w:r>
            <w:r>
              <w:rPr>
                <w:spacing w:val="1"/>
                <w:w w:val="99"/>
                <w:sz w:val="20"/>
              </w:rPr>
              <w:t>m</w:t>
            </w:r>
            <w:r>
              <w:rPr>
                <w:w w:val="99"/>
                <w:sz w:val="20"/>
              </w:rPr>
              <w:t>ba</w:t>
            </w:r>
            <w:r>
              <w:rPr>
                <w:sz w:val="20"/>
              </w:rPr>
              <w:t>s</w:t>
            </w:r>
          </w:p>
        </w:tc>
        <w:tc>
          <w:tcPr>
            <w:tcW w:w="456" w:type="dxa"/>
            <w:textDirection w:val="btLr"/>
          </w:tcPr>
          <w:p>
            <w:pPr>
              <w:pStyle w:val="TableParagraph"/>
              <w:spacing w:before="104"/>
              <w:ind w:left="112"/>
              <w:rPr>
                <w:sz w:val="20"/>
              </w:rPr>
            </w:pPr>
            <w:r>
              <w:rPr>
                <w:w w:val="99"/>
                <w:sz w:val="20"/>
              </w:rPr>
              <w:t>Cast</w:t>
            </w:r>
            <w:r>
              <w:rPr>
                <w:w w:val="99"/>
                <w:sz w:val="20"/>
              </w:rPr>
              <w:t>i</w:t>
            </w:r>
            <w:r>
              <w:rPr>
                <w:spacing w:val="-1"/>
                <w:w w:val="99"/>
                <w:sz w:val="20"/>
              </w:rPr>
              <w:t>l</w:t>
            </w:r>
            <w:r>
              <w:rPr>
                <w:w w:val="99"/>
                <w:sz w:val="20"/>
              </w:rPr>
              <w:t>los</w:t>
            </w:r>
          </w:p>
        </w:tc>
        <w:tc>
          <w:tcPr>
            <w:tcW w:w="461" w:type="dxa"/>
            <w:textDirection w:val="btLr"/>
          </w:tcPr>
          <w:p>
            <w:pPr>
              <w:pStyle w:val="TableParagraph"/>
              <w:spacing w:before="104"/>
              <w:ind w:left="112"/>
              <w:rPr>
                <w:sz w:val="20"/>
              </w:rPr>
            </w:pPr>
            <w:r>
              <w:rPr>
                <w:w w:val="99"/>
                <w:sz w:val="20"/>
              </w:rPr>
              <w:t>Co</w:t>
            </w:r>
            <w:r>
              <w:rPr>
                <w:spacing w:val="1"/>
                <w:w w:val="99"/>
                <w:sz w:val="20"/>
              </w:rPr>
              <w:t>h</w:t>
            </w:r>
            <w:r>
              <w:rPr>
                <w:w w:val="99"/>
                <w:sz w:val="20"/>
              </w:rPr>
              <w:t>e</w:t>
            </w:r>
            <w:r>
              <w:rPr>
                <w:w w:val="100"/>
                <w:sz w:val="20"/>
              </w:rPr>
              <w:t>t</w:t>
            </w:r>
            <w:r>
              <w:rPr>
                <w:spacing w:val="1"/>
                <w:w w:val="100"/>
                <w:sz w:val="20"/>
              </w:rPr>
              <w:t>ó</w:t>
            </w:r>
            <w:r>
              <w:rPr>
                <w:w w:val="99"/>
                <w:sz w:val="20"/>
              </w:rPr>
              <w:t>n</w:t>
            </w:r>
          </w:p>
        </w:tc>
        <w:tc>
          <w:tcPr>
            <w:tcW w:w="460" w:type="dxa"/>
            <w:textDirection w:val="btLr"/>
          </w:tcPr>
          <w:p>
            <w:pPr>
              <w:pStyle w:val="TableParagraph"/>
              <w:spacing w:before="104"/>
              <w:ind w:left="112"/>
              <w:rPr>
                <w:sz w:val="20"/>
              </w:rPr>
            </w:pPr>
            <w:r>
              <w:rPr>
                <w:spacing w:val="-2"/>
                <w:w w:val="100"/>
                <w:sz w:val="20"/>
              </w:rPr>
              <w:t>B</w:t>
            </w:r>
            <w:r>
              <w:rPr>
                <w:w w:val="99"/>
                <w:sz w:val="20"/>
              </w:rPr>
              <w:t>o</w:t>
            </w:r>
            <w:r>
              <w:rPr>
                <w:spacing w:val="1"/>
                <w:w w:val="99"/>
                <w:sz w:val="20"/>
              </w:rPr>
              <w:t>m</w:t>
            </w:r>
            <w:r>
              <w:rPr>
                <w:w w:val="99"/>
                <w:sz w:val="20"/>
              </w:rPr>
              <w:t>ba</w:t>
            </w:r>
            <w:r>
              <w:rPr>
                <w:sz w:val="20"/>
              </w:rPr>
              <w:t>s</w:t>
            </w:r>
          </w:p>
        </w:tc>
      </w:tr>
      <w:tr>
        <w:trPr>
          <w:trHeight w:val="472" w:hRule="exact"/>
        </w:trPr>
        <w:tc>
          <w:tcPr>
            <w:tcW w:w="660" w:type="dxa"/>
            <w:vMerge w:val="restart"/>
            <w:textDirection w:val="btLr"/>
          </w:tcPr>
          <w:p>
            <w:pPr>
              <w:pStyle w:val="TableParagraph"/>
              <w:spacing w:before="107"/>
              <w:ind w:left="111"/>
              <w:rPr>
                <w:sz w:val="24"/>
              </w:rPr>
            </w:pPr>
            <w:r>
              <w:rPr>
                <w:w w:val="100"/>
                <w:sz w:val="24"/>
              </w:rPr>
              <w:t>At</w:t>
            </w:r>
            <w:r>
              <w:rPr>
                <w:w w:val="99"/>
                <w:sz w:val="24"/>
              </w:rPr>
              <w:t>m</w:t>
            </w:r>
            <w:r>
              <w:rPr>
                <w:spacing w:val="-2"/>
                <w:w w:val="99"/>
                <w:sz w:val="24"/>
              </w:rPr>
              <w:t>o</w:t>
            </w:r>
            <w:r>
              <w:rPr>
                <w:w w:val="100"/>
                <w:sz w:val="24"/>
              </w:rPr>
              <w:t>sf</w:t>
            </w:r>
            <w:r>
              <w:rPr>
                <w:spacing w:val="-2"/>
                <w:w w:val="99"/>
                <w:sz w:val="24"/>
              </w:rPr>
              <w:t>e</w:t>
            </w:r>
            <w:r>
              <w:rPr>
                <w:w w:val="99"/>
                <w:sz w:val="24"/>
              </w:rPr>
              <w:t>ra</w:t>
            </w:r>
          </w:p>
        </w:tc>
        <w:tc>
          <w:tcPr>
            <w:tcW w:w="1436" w:type="dxa"/>
          </w:tcPr>
          <w:p>
            <w:pPr>
              <w:pStyle w:val="TableParagraph"/>
              <w:ind w:left="144" w:right="141"/>
              <w:jc w:val="center"/>
              <w:rPr>
                <w:sz w:val="20"/>
              </w:rPr>
            </w:pPr>
            <w:r>
              <w:rPr>
                <w:sz w:val="20"/>
              </w:rPr>
              <w:t>Físico</w:t>
            </w:r>
          </w:p>
        </w:tc>
        <w:tc>
          <w:tcPr>
            <w:tcW w:w="432" w:type="dxa"/>
          </w:tcPr>
          <w:p>
            <w:pPr>
              <w:pStyle w:val="TableParagraph"/>
              <w:spacing w:before="91"/>
              <w:ind w:right="3"/>
              <w:jc w:val="center"/>
              <w:rPr>
                <w:sz w:val="24"/>
              </w:rPr>
            </w:pPr>
            <w:r>
              <w:rPr>
                <w:w w:val="99"/>
                <w:sz w:val="24"/>
              </w:rPr>
              <w:t>•</w:t>
            </w:r>
          </w:p>
        </w:tc>
        <w:tc>
          <w:tcPr>
            <w:tcW w:w="517" w:type="dxa"/>
          </w:tcPr>
          <w:p>
            <w:pPr/>
          </w:p>
        </w:tc>
        <w:tc>
          <w:tcPr>
            <w:tcW w:w="512" w:type="dxa"/>
          </w:tcPr>
          <w:p>
            <w:pPr>
              <w:pStyle w:val="TableParagraph"/>
              <w:spacing w:before="91"/>
              <w:ind w:left="208"/>
              <w:rPr>
                <w:sz w:val="24"/>
              </w:rPr>
            </w:pPr>
            <w:r>
              <w:rPr>
                <w:w w:val="99"/>
                <w:sz w:val="24"/>
              </w:rPr>
              <w:t>•</w:t>
            </w:r>
          </w:p>
        </w:tc>
        <w:tc>
          <w:tcPr>
            <w:tcW w:w="512" w:type="dxa"/>
          </w:tcPr>
          <w:p>
            <w:pPr>
              <w:pStyle w:val="TableParagraph"/>
              <w:spacing w:before="91"/>
              <w:ind w:right="211"/>
              <w:jc w:val="right"/>
              <w:rPr>
                <w:sz w:val="24"/>
              </w:rPr>
            </w:pPr>
            <w:r>
              <w:rPr>
                <w:w w:val="99"/>
                <w:sz w:val="24"/>
              </w:rPr>
              <w:t>•</w:t>
            </w:r>
          </w:p>
        </w:tc>
        <w:tc>
          <w:tcPr>
            <w:tcW w:w="512" w:type="dxa"/>
          </w:tcPr>
          <w:p>
            <w:pPr>
              <w:pStyle w:val="TableParagraph"/>
              <w:spacing w:before="91"/>
              <w:ind w:right="1"/>
              <w:jc w:val="center"/>
              <w:rPr>
                <w:sz w:val="24"/>
              </w:rPr>
            </w:pPr>
            <w:r>
              <w:rPr>
                <w:w w:val="99"/>
                <w:sz w:val="24"/>
              </w:rPr>
              <w:t>•</w:t>
            </w:r>
          </w:p>
        </w:tc>
        <w:tc>
          <w:tcPr>
            <w:tcW w:w="512" w:type="dxa"/>
          </w:tcPr>
          <w:p>
            <w:pPr>
              <w:pStyle w:val="TableParagraph"/>
              <w:spacing w:before="91"/>
              <w:ind w:right="3"/>
              <w:jc w:val="center"/>
              <w:rPr>
                <w:sz w:val="24"/>
              </w:rPr>
            </w:pPr>
            <w:r>
              <w:rPr>
                <w:w w:val="99"/>
                <w:sz w:val="24"/>
              </w:rPr>
              <w:t>•</w:t>
            </w:r>
          </w:p>
        </w:tc>
        <w:tc>
          <w:tcPr>
            <w:tcW w:w="460" w:type="dxa"/>
          </w:tcPr>
          <w:p>
            <w:pPr>
              <w:pStyle w:val="TableParagraph"/>
              <w:spacing w:before="91"/>
              <w:ind w:right="179"/>
              <w:jc w:val="right"/>
              <w:rPr>
                <w:sz w:val="24"/>
              </w:rPr>
            </w:pPr>
            <w:r>
              <w:rPr>
                <w:w w:val="99"/>
                <w:sz w:val="24"/>
              </w:rPr>
              <w:t>•</w:t>
            </w:r>
          </w:p>
        </w:tc>
        <w:tc>
          <w:tcPr>
            <w:tcW w:w="461" w:type="dxa"/>
          </w:tcPr>
          <w:p>
            <w:pPr/>
          </w:p>
        </w:tc>
        <w:tc>
          <w:tcPr>
            <w:tcW w:w="460" w:type="dxa"/>
          </w:tcPr>
          <w:p>
            <w:pPr/>
          </w:p>
        </w:tc>
        <w:tc>
          <w:tcPr>
            <w:tcW w:w="408" w:type="dxa"/>
          </w:tcPr>
          <w:p>
            <w:pPr>
              <w:pStyle w:val="TableParagraph"/>
              <w:spacing w:before="91"/>
              <w:ind w:right="155"/>
              <w:jc w:val="right"/>
              <w:rPr>
                <w:sz w:val="24"/>
              </w:rPr>
            </w:pPr>
            <w:r>
              <w:rPr>
                <w:w w:val="99"/>
                <w:sz w:val="24"/>
              </w:rPr>
              <w:t>•</w:t>
            </w:r>
          </w:p>
        </w:tc>
        <w:tc>
          <w:tcPr>
            <w:tcW w:w="412" w:type="dxa"/>
          </w:tcPr>
          <w:p>
            <w:pPr/>
          </w:p>
        </w:tc>
        <w:tc>
          <w:tcPr>
            <w:tcW w:w="460" w:type="dxa"/>
          </w:tcPr>
          <w:p>
            <w:pPr/>
          </w:p>
        </w:tc>
        <w:tc>
          <w:tcPr>
            <w:tcW w:w="460" w:type="dxa"/>
          </w:tcPr>
          <w:p>
            <w:pPr/>
          </w:p>
        </w:tc>
        <w:tc>
          <w:tcPr>
            <w:tcW w:w="456" w:type="dxa"/>
          </w:tcPr>
          <w:p>
            <w:pPr>
              <w:pStyle w:val="TableParagraph"/>
              <w:spacing w:line="275" w:lineRule="exact"/>
              <w:ind w:right="179"/>
              <w:jc w:val="right"/>
              <w:rPr>
                <w:sz w:val="24"/>
              </w:rPr>
            </w:pPr>
            <w:r>
              <w:rPr>
                <w:w w:val="99"/>
                <w:sz w:val="24"/>
              </w:rPr>
              <w:t>•</w:t>
            </w:r>
          </w:p>
        </w:tc>
        <w:tc>
          <w:tcPr>
            <w:tcW w:w="461" w:type="dxa"/>
          </w:tcPr>
          <w:p>
            <w:pPr>
              <w:pStyle w:val="TableParagraph"/>
              <w:spacing w:line="275" w:lineRule="exact"/>
              <w:ind w:left="184"/>
              <w:rPr>
                <w:sz w:val="24"/>
              </w:rPr>
            </w:pPr>
            <w:r>
              <w:rPr>
                <w:w w:val="99"/>
                <w:sz w:val="24"/>
              </w:rPr>
              <w:t>•</w:t>
            </w:r>
          </w:p>
        </w:tc>
        <w:tc>
          <w:tcPr>
            <w:tcW w:w="460" w:type="dxa"/>
          </w:tcPr>
          <w:p>
            <w:pPr>
              <w:pStyle w:val="TableParagraph"/>
              <w:spacing w:line="275" w:lineRule="exact"/>
              <w:jc w:val="center"/>
              <w:rPr>
                <w:sz w:val="24"/>
              </w:rPr>
            </w:pPr>
            <w:r>
              <w:rPr>
                <w:w w:val="99"/>
                <w:sz w:val="24"/>
              </w:rPr>
              <w:t>•</w:t>
            </w:r>
          </w:p>
        </w:tc>
      </w:tr>
      <w:tr>
        <w:trPr>
          <w:trHeight w:val="468" w:hRule="exact"/>
        </w:trPr>
        <w:tc>
          <w:tcPr>
            <w:tcW w:w="660" w:type="dxa"/>
            <w:vMerge/>
            <w:textDirection w:val="btLr"/>
          </w:tcPr>
          <w:p>
            <w:pPr/>
          </w:p>
        </w:tc>
        <w:tc>
          <w:tcPr>
            <w:tcW w:w="1436" w:type="dxa"/>
          </w:tcPr>
          <w:p>
            <w:pPr>
              <w:pStyle w:val="TableParagraph"/>
              <w:spacing w:line="226" w:lineRule="exact"/>
              <w:ind w:left="140" w:right="143"/>
              <w:jc w:val="center"/>
              <w:rPr>
                <w:sz w:val="20"/>
              </w:rPr>
            </w:pPr>
            <w:r>
              <w:rPr>
                <w:sz w:val="20"/>
              </w:rPr>
              <w:t>Químico</w:t>
            </w:r>
          </w:p>
        </w:tc>
        <w:tc>
          <w:tcPr>
            <w:tcW w:w="432" w:type="dxa"/>
          </w:tcPr>
          <w:p>
            <w:pPr>
              <w:pStyle w:val="TableParagraph"/>
              <w:spacing w:before="87"/>
              <w:ind w:right="3"/>
              <w:jc w:val="center"/>
              <w:rPr>
                <w:sz w:val="24"/>
              </w:rPr>
            </w:pPr>
            <w:r>
              <w:rPr>
                <w:w w:val="99"/>
                <w:sz w:val="24"/>
              </w:rPr>
              <w:t>•</w:t>
            </w:r>
          </w:p>
        </w:tc>
        <w:tc>
          <w:tcPr>
            <w:tcW w:w="517" w:type="dxa"/>
          </w:tcPr>
          <w:p>
            <w:pPr/>
          </w:p>
        </w:tc>
        <w:tc>
          <w:tcPr>
            <w:tcW w:w="512" w:type="dxa"/>
          </w:tcPr>
          <w:p>
            <w:pPr/>
          </w:p>
        </w:tc>
        <w:tc>
          <w:tcPr>
            <w:tcW w:w="512" w:type="dxa"/>
          </w:tcPr>
          <w:p>
            <w:pPr/>
          </w:p>
        </w:tc>
        <w:tc>
          <w:tcPr>
            <w:tcW w:w="512" w:type="dxa"/>
          </w:tcPr>
          <w:p>
            <w:pPr/>
          </w:p>
        </w:tc>
        <w:tc>
          <w:tcPr>
            <w:tcW w:w="512" w:type="dxa"/>
          </w:tcPr>
          <w:p>
            <w:pPr/>
          </w:p>
        </w:tc>
        <w:tc>
          <w:tcPr>
            <w:tcW w:w="460" w:type="dxa"/>
          </w:tcPr>
          <w:p>
            <w:pPr>
              <w:pStyle w:val="TableParagraph"/>
              <w:spacing w:before="87"/>
              <w:ind w:right="179"/>
              <w:jc w:val="right"/>
              <w:rPr>
                <w:sz w:val="24"/>
              </w:rPr>
            </w:pPr>
            <w:r>
              <w:rPr>
                <w:w w:val="99"/>
                <w:sz w:val="24"/>
              </w:rPr>
              <w:t>•</w:t>
            </w:r>
          </w:p>
        </w:tc>
        <w:tc>
          <w:tcPr>
            <w:tcW w:w="461" w:type="dxa"/>
          </w:tcPr>
          <w:p>
            <w:pPr/>
          </w:p>
        </w:tc>
        <w:tc>
          <w:tcPr>
            <w:tcW w:w="460" w:type="dxa"/>
          </w:tcPr>
          <w:p>
            <w:pPr/>
          </w:p>
        </w:tc>
        <w:tc>
          <w:tcPr>
            <w:tcW w:w="408" w:type="dxa"/>
          </w:tcPr>
          <w:p>
            <w:pPr>
              <w:pStyle w:val="TableParagraph"/>
              <w:spacing w:before="87"/>
              <w:ind w:right="155"/>
              <w:jc w:val="right"/>
              <w:rPr>
                <w:sz w:val="24"/>
              </w:rPr>
            </w:pPr>
            <w:r>
              <w:rPr>
                <w:w w:val="99"/>
                <w:sz w:val="24"/>
              </w:rPr>
              <w:t>•</w:t>
            </w:r>
          </w:p>
        </w:tc>
        <w:tc>
          <w:tcPr>
            <w:tcW w:w="412" w:type="dxa"/>
          </w:tcPr>
          <w:p>
            <w:pPr/>
          </w:p>
        </w:tc>
        <w:tc>
          <w:tcPr>
            <w:tcW w:w="460" w:type="dxa"/>
          </w:tcPr>
          <w:p>
            <w:pPr/>
          </w:p>
        </w:tc>
        <w:tc>
          <w:tcPr>
            <w:tcW w:w="460" w:type="dxa"/>
          </w:tcPr>
          <w:p>
            <w:pPr/>
          </w:p>
        </w:tc>
        <w:tc>
          <w:tcPr>
            <w:tcW w:w="456" w:type="dxa"/>
          </w:tcPr>
          <w:p>
            <w:pPr>
              <w:pStyle w:val="TableParagraph"/>
              <w:spacing w:line="271" w:lineRule="exact"/>
              <w:ind w:right="179"/>
              <w:jc w:val="right"/>
              <w:rPr>
                <w:sz w:val="24"/>
              </w:rPr>
            </w:pPr>
            <w:r>
              <w:rPr>
                <w:w w:val="99"/>
                <w:sz w:val="24"/>
              </w:rPr>
              <w:t>•</w:t>
            </w:r>
          </w:p>
        </w:tc>
        <w:tc>
          <w:tcPr>
            <w:tcW w:w="461" w:type="dxa"/>
          </w:tcPr>
          <w:p>
            <w:pPr>
              <w:pStyle w:val="TableParagraph"/>
              <w:spacing w:line="271" w:lineRule="exact"/>
              <w:ind w:left="184"/>
              <w:rPr>
                <w:sz w:val="24"/>
              </w:rPr>
            </w:pPr>
            <w:r>
              <w:rPr>
                <w:w w:val="99"/>
                <w:sz w:val="24"/>
              </w:rPr>
              <w:t>•</w:t>
            </w:r>
          </w:p>
        </w:tc>
        <w:tc>
          <w:tcPr>
            <w:tcW w:w="460" w:type="dxa"/>
          </w:tcPr>
          <w:p>
            <w:pPr>
              <w:pStyle w:val="TableParagraph"/>
              <w:spacing w:line="271" w:lineRule="exact"/>
              <w:jc w:val="center"/>
              <w:rPr>
                <w:sz w:val="24"/>
              </w:rPr>
            </w:pPr>
            <w:r>
              <w:rPr>
                <w:w w:val="99"/>
                <w:sz w:val="24"/>
              </w:rPr>
              <w:t>•</w:t>
            </w:r>
          </w:p>
        </w:tc>
      </w:tr>
      <w:tr>
        <w:trPr>
          <w:trHeight w:val="472" w:hRule="exact"/>
        </w:trPr>
        <w:tc>
          <w:tcPr>
            <w:tcW w:w="660" w:type="dxa"/>
            <w:vMerge/>
            <w:textDirection w:val="btLr"/>
          </w:tcPr>
          <w:p>
            <w:pPr/>
          </w:p>
        </w:tc>
        <w:tc>
          <w:tcPr>
            <w:tcW w:w="1436" w:type="dxa"/>
          </w:tcPr>
          <w:p>
            <w:pPr>
              <w:pStyle w:val="TableParagraph"/>
              <w:ind w:left="144" w:right="142"/>
              <w:jc w:val="center"/>
              <w:rPr>
                <w:sz w:val="20"/>
              </w:rPr>
            </w:pPr>
            <w:r>
              <w:rPr>
                <w:sz w:val="20"/>
              </w:rPr>
              <w:t>Sonoro</w:t>
            </w:r>
          </w:p>
        </w:tc>
        <w:tc>
          <w:tcPr>
            <w:tcW w:w="432" w:type="dxa"/>
          </w:tcPr>
          <w:p>
            <w:pPr/>
          </w:p>
        </w:tc>
        <w:tc>
          <w:tcPr>
            <w:tcW w:w="517" w:type="dxa"/>
          </w:tcPr>
          <w:p>
            <w:pPr>
              <w:pStyle w:val="TableParagraph"/>
              <w:spacing w:before="91"/>
              <w:ind w:right="5"/>
              <w:jc w:val="center"/>
              <w:rPr>
                <w:sz w:val="24"/>
              </w:rPr>
            </w:pPr>
            <w:r>
              <w:rPr>
                <w:w w:val="99"/>
                <w:sz w:val="24"/>
              </w:rPr>
              <w:t>•</w:t>
            </w:r>
          </w:p>
        </w:tc>
        <w:tc>
          <w:tcPr>
            <w:tcW w:w="512" w:type="dxa"/>
          </w:tcPr>
          <w:p>
            <w:pPr/>
          </w:p>
        </w:tc>
        <w:tc>
          <w:tcPr>
            <w:tcW w:w="512" w:type="dxa"/>
          </w:tcPr>
          <w:p>
            <w:pPr/>
          </w:p>
        </w:tc>
        <w:tc>
          <w:tcPr>
            <w:tcW w:w="512" w:type="dxa"/>
          </w:tcPr>
          <w:p>
            <w:pPr>
              <w:pStyle w:val="TableParagraph"/>
              <w:spacing w:before="91"/>
              <w:ind w:right="1"/>
              <w:jc w:val="center"/>
              <w:rPr>
                <w:sz w:val="24"/>
              </w:rPr>
            </w:pPr>
            <w:r>
              <w:rPr>
                <w:w w:val="99"/>
                <w:sz w:val="24"/>
              </w:rPr>
              <w:t>•</w:t>
            </w:r>
          </w:p>
        </w:tc>
        <w:tc>
          <w:tcPr>
            <w:tcW w:w="512" w:type="dxa"/>
          </w:tcPr>
          <w:p>
            <w:pPr/>
          </w:p>
        </w:tc>
        <w:tc>
          <w:tcPr>
            <w:tcW w:w="460" w:type="dxa"/>
          </w:tcPr>
          <w:p>
            <w:pPr/>
          </w:p>
        </w:tc>
        <w:tc>
          <w:tcPr>
            <w:tcW w:w="461" w:type="dxa"/>
          </w:tcPr>
          <w:p>
            <w:pPr/>
          </w:p>
        </w:tc>
        <w:tc>
          <w:tcPr>
            <w:tcW w:w="460" w:type="dxa"/>
          </w:tcPr>
          <w:p>
            <w:pPr/>
          </w:p>
        </w:tc>
        <w:tc>
          <w:tcPr>
            <w:tcW w:w="408" w:type="dxa"/>
          </w:tcPr>
          <w:p>
            <w:pPr>
              <w:pStyle w:val="TableParagraph"/>
              <w:spacing w:before="91"/>
              <w:ind w:right="155"/>
              <w:jc w:val="right"/>
              <w:rPr>
                <w:sz w:val="24"/>
              </w:rPr>
            </w:pPr>
            <w:r>
              <w:rPr>
                <w:w w:val="99"/>
                <w:sz w:val="24"/>
              </w:rPr>
              <w:t>•</w:t>
            </w:r>
          </w:p>
        </w:tc>
        <w:tc>
          <w:tcPr>
            <w:tcW w:w="412" w:type="dxa"/>
          </w:tcPr>
          <w:p>
            <w:pPr/>
          </w:p>
        </w:tc>
        <w:tc>
          <w:tcPr>
            <w:tcW w:w="460" w:type="dxa"/>
          </w:tcPr>
          <w:p>
            <w:pPr/>
          </w:p>
        </w:tc>
        <w:tc>
          <w:tcPr>
            <w:tcW w:w="460" w:type="dxa"/>
          </w:tcPr>
          <w:p>
            <w:pPr/>
          </w:p>
        </w:tc>
        <w:tc>
          <w:tcPr>
            <w:tcW w:w="456" w:type="dxa"/>
          </w:tcPr>
          <w:p>
            <w:pPr>
              <w:pStyle w:val="TableParagraph"/>
              <w:spacing w:line="275" w:lineRule="exact"/>
              <w:ind w:right="179"/>
              <w:jc w:val="right"/>
              <w:rPr>
                <w:sz w:val="24"/>
              </w:rPr>
            </w:pPr>
            <w:r>
              <w:rPr>
                <w:w w:val="99"/>
                <w:sz w:val="24"/>
              </w:rPr>
              <w:t>•</w:t>
            </w:r>
          </w:p>
        </w:tc>
        <w:tc>
          <w:tcPr>
            <w:tcW w:w="461" w:type="dxa"/>
          </w:tcPr>
          <w:p>
            <w:pPr>
              <w:pStyle w:val="TableParagraph"/>
              <w:spacing w:line="275" w:lineRule="exact"/>
              <w:ind w:left="184"/>
              <w:rPr>
                <w:sz w:val="24"/>
              </w:rPr>
            </w:pPr>
            <w:r>
              <w:rPr>
                <w:w w:val="99"/>
                <w:sz w:val="24"/>
              </w:rPr>
              <w:t>•</w:t>
            </w:r>
          </w:p>
        </w:tc>
        <w:tc>
          <w:tcPr>
            <w:tcW w:w="460" w:type="dxa"/>
          </w:tcPr>
          <w:p>
            <w:pPr>
              <w:pStyle w:val="TableParagraph"/>
              <w:spacing w:line="275" w:lineRule="exact"/>
              <w:jc w:val="center"/>
              <w:rPr>
                <w:sz w:val="24"/>
              </w:rPr>
            </w:pPr>
            <w:r>
              <w:rPr>
                <w:w w:val="99"/>
                <w:sz w:val="24"/>
              </w:rPr>
              <w:t>•</w:t>
            </w:r>
          </w:p>
        </w:tc>
      </w:tr>
      <w:tr>
        <w:trPr>
          <w:trHeight w:val="577" w:hRule="exact"/>
        </w:trPr>
        <w:tc>
          <w:tcPr>
            <w:tcW w:w="660" w:type="dxa"/>
            <w:vMerge w:val="restart"/>
            <w:textDirection w:val="btLr"/>
          </w:tcPr>
          <w:p>
            <w:pPr>
              <w:pStyle w:val="TableParagraph"/>
              <w:spacing w:before="107"/>
              <w:ind w:left="112"/>
              <w:rPr>
                <w:sz w:val="24"/>
              </w:rPr>
            </w:pPr>
            <w:r>
              <w:rPr>
                <w:w w:val="99"/>
                <w:sz w:val="24"/>
              </w:rPr>
              <w:t>S</w:t>
            </w:r>
            <w:r>
              <w:rPr>
                <w:spacing w:val="-2"/>
                <w:w w:val="99"/>
                <w:sz w:val="24"/>
              </w:rPr>
              <w:t>u</w:t>
            </w:r>
            <w:r>
              <w:rPr>
                <w:spacing w:val="-2"/>
                <w:w w:val="99"/>
                <w:sz w:val="24"/>
              </w:rPr>
              <w:t>e</w:t>
            </w:r>
            <w:r>
              <w:rPr>
                <w:spacing w:val="-2"/>
                <w:w w:val="99"/>
                <w:sz w:val="24"/>
              </w:rPr>
              <w:t>l</w:t>
            </w:r>
            <w:r>
              <w:rPr>
                <w:w w:val="99"/>
                <w:sz w:val="24"/>
              </w:rPr>
              <w:t>o</w:t>
            </w:r>
          </w:p>
        </w:tc>
        <w:tc>
          <w:tcPr>
            <w:tcW w:w="1436" w:type="dxa"/>
          </w:tcPr>
          <w:p>
            <w:pPr>
              <w:pStyle w:val="TableParagraph"/>
              <w:spacing w:before="53"/>
              <w:ind w:left="396" w:right="138" w:hanging="249"/>
              <w:rPr>
                <w:sz w:val="20"/>
              </w:rPr>
            </w:pPr>
            <w:r>
              <w:rPr>
                <w:sz w:val="20"/>
              </w:rPr>
              <w:t>Propiedades Físicas</w:t>
            </w:r>
          </w:p>
        </w:tc>
        <w:tc>
          <w:tcPr>
            <w:tcW w:w="432" w:type="dxa"/>
          </w:tcPr>
          <w:p>
            <w:pPr>
              <w:pStyle w:val="TableParagraph"/>
              <w:spacing w:before="143"/>
              <w:ind w:right="3"/>
              <w:jc w:val="center"/>
              <w:rPr>
                <w:sz w:val="24"/>
              </w:rPr>
            </w:pPr>
            <w:r>
              <w:rPr>
                <w:w w:val="99"/>
                <w:sz w:val="24"/>
              </w:rPr>
              <w:t>•</w:t>
            </w:r>
          </w:p>
        </w:tc>
        <w:tc>
          <w:tcPr>
            <w:tcW w:w="517" w:type="dxa"/>
          </w:tcPr>
          <w:p>
            <w:pPr>
              <w:pStyle w:val="TableParagraph"/>
              <w:spacing w:before="143"/>
              <w:ind w:right="5"/>
              <w:jc w:val="center"/>
              <w:rPr>
                <w:sz w:val="24"/>
              </w:rPr>
            </w:pPr>
            <w:r>
              <w:rPr>
                <w:w w:val="99"/>
                <w:sz w:val="24"/>
              </w:rPr>
              <w:t>•</w:t>
            </w:r>
          </w:p>
        </w:tc>
        <w:tc>
          <w:tcPr>
            <w:tcW w:w="512" w:type="dxa"/>
          </w:tcPr>
          <w:p>
            <w:pPr>
              <w:pStyle w:val="TableParagraph"/>
              <w:spacing w:before="143"/>
              <w:ind w:left="208"/>
              <w:rPr>
                <w:sz w:val="24"/>
              </w:rPr>
            </w:pPr>
            <w:r>
              <w:rPr>
                <w:w w:val="99"/>
                <w:sz w:val="24"/>
              </w:rPr>
              <w:t>•</w:t>
            </w:r>
          </w:p>
        </w:tc>
        <w:tc>
          <w:tcPr>
            <w:tcW w:w="512" w:type="dxa"/>
          </w:tcPr>
          <w:p>
            <w:pPr>
              <w:pStyle w:val="TableParagraph"/>
              <w:spacing w:before="143"/>
              <w:ind w:right="211"/>
              <w:jc w:val="right"/>
              <w:rPr>
                <w:sz w:val="24"/>
              </w:rPr>
            </w:pPr>
            <w:r>
              <w:rPr>
                <w:w w:val="99"/>
                <w:sz w:val="24"/>
              </w:rPr>
              <w:t>•</w:t>
            </w:r>
          </w:p>
        </w:tc>
        <w:tc>
          <w:tcPr>
            <w:tcW w:w="512" w:type="dxa"/>
          </w:tcPr>
          <w:p>
            <w:pPr>
              <w:pStyle w:val="TableParagraph"/>
              <w:spacing w:before="143"/>
              <w:ind w:right="1"/>
              <w:jc w:val="center"/>
              <w:rPr>
                <w:sz w:val="24"/>
              </w:rPr>
            </w:pPr>
            <w:r>
              <w:rPr>
                <w:w w:val="99"/>
                <w:sz w:val="24"/>
              </w:rPr>
              <w:t>•</w:t>
            </w:r>
          </w:p>
        </w:tc>
        <w:tc>
          <w:tcPr>
            <w:tcW w:w="512" w:type="dxa"/>
          </w:tcPr>
          <w:p>
            <w:pPr>
              <w:pStyle w:val="TableParagraph"/>
              <w:spacing w:before="143"/>
              <w:ind w:right="3"/>
              <w:jc w:val="center"/>
              <w:rPr>
                <w:sz w:val="24"/>
              </w:rPr>
            </w:pPr>
            <w:r>
              <w:rPr>
                <w:w w:val="99"/>
                <w:sz w:val="24"/>
              </w:rPr>
              <w:t>•</w:t>
            </w:r>
          </w:p>
        </w:tc>
        <w:tc>
          <w:tcPr>
            <w:tcW w:w="460" w:type="dxa"/>
          </w:tcPr>
          <w:p>
            <w:pPr>
              <w:pStyle w:val="TableParagraph"/>
              <w:spacing w:before="143"/>
              <w:ind w:right="179"/>
              <w:jc w:val="right"/>
              <w:rPr>
                <w:sz w:val="24"/>
              </w:rPr>
            </w:pPr>
            <w:r>
              <w:rPr>
                <w:w w:val="99"/>
                <w:sz w:val="24"/>
              </w:rPr>
              <w:t>•</w:t>
            </w:r>
          </w:p>
        </w:tc>
        <w:tc>
          <w:tcPr>
            <w:tcW w:w="461" w:type="dxa"/>
          </w:tcPr>
          <w:p>
            <w:pPr>
              <w:pStyle w:val="TableParagraph"/>
              <w:spacing w:before="143"/>
              <w:ind w:left="184"/>
              <w:rPr>
                <w:sz w:val="24"/>
              </w:rPr>
            </w:pPr>
            <w:r>
              <w:rPr>
                <w:w w:val="99"/>
                <w:sz w:val="24"/>
              </w:rPr>
              <w:t>•</w:t>
            </w:r>
          </w:p>
        </w:tc>
        <w:tc>
          <w:tcPr>
            <w:tcW w:w="460" w:type="dxa"/>
          </w:tcPr>
          <w:p>
            <w:pPr/>
          </w:p>
        </w:tc>
        <w:tc>
          <w:tcPr>
            <w:tcW w:w="408" w:type="dxa"/>
          </w:tcPr>
          <w:p>
            <w:pPr/>
          </w:p>
        </w:tc>
        <w:tc>
          <w:tcPr>
            <w:tcW w:w="412" w:type="dxa"/>
          </w:tcPr>
          <w:p>
            <w:pPr>
              <w:pStyle w:val="TableParagraph"/>
              <w:spacing w:before="143"/>
              <w:jc w:val="center"/>
              <w:rPr>
                <w:sz w:val="24"/>
              </w:rPr>
            </w:pPr>
            <w:r>
              <w:rPr>
                <w:w w:val="99"/>
                <w:sz w:val="24"/>
              </w:rPr>
              <w:t>•</w:t>
            </w:r>
          </w:p>
        </w:tc>
        <w:tc>
          <w:tcPr>
            <w:tcW w:w="460" w:type="dxa"/>
          </w:tcPr>
          <w:p>
            <w:pPr>
              <w:pStyle w:val="TableParagraph"/>
              <w:spacing w:before="143"/>
              <w:jc w:val="center"/>
              <w:rPr>
                <w:sz w:val="24"/>
              </w:rPr>
            </w:pPr>
            <w:r>
              <w:rPr>
                <w:w w:val="99"/>
                <w:sz w:val="24"/>
              </w:rPr>
              <w:t>•</w:t>
            </w:r>
          </w:p>
        </w:tc>
        <w:tc>
          <w:tcPr>
            <w:tcW w:w="460" w:type="dxa"/>
          </w:tcPr>
          <w:p>
            <w:pPr>
              <w:pStyle w:val="TableParagraph"/>
              <w:spacing w:before="143"/>
              <w:jc w:val="center"/>
              <w:rPr>
                <w:sz w:val="24"/>
              </w:rPr>
            </w:pPr>
            <w:r>
              <w:rPr>
                <w:w w:val="99"/>
                <w:sz w:val="24"/>
              </w:rPr>
              <w:t>•</w:t>
            </w:r>
          </w:p>
        </w:tc>
        <w:tc>
          <w:tcPr>
            <w:tcW w:w="456" w:type="dxa"/>
          </w:tcPr>
          <w:p>
            <w:pPr>
              <w:pStyle w:val="TableParagraph"/>
              <w:spacing w:line="271" w:lineRule="exact"/>
              <w:ind w:right="179"/>
              <w:jc w:val="right"/>
              <w:rPr>
                <w:sz w:val="24"/>
              </w:rPr>
            </w:pPr>
            <w:r>
              <w:rPr>
                <w:w w:val="99"/>
                <w:sz w:val="24"/>
              </w:rPr>
              <w:t>•</w:t>
            </w:r>
          </w:p>
        </w:tc>
        <w:tc>
          <w:tcPr>
            <w:tcW w:w="461" w:type="dxa"/>
          </w:tcPr>
          <w:p>
            <w:pPr>
              <w:pStyle w:val="TableParagraph"/>
              <w:spacing w:line="271" w:lineRule="exact"/>
              <w:ind w:left="184"/>
              <w:rPr>
                <w:sz w:val="24"/>
              </w:rPr>
            </w:pPr>
            <w:r>
              <w:rPr>
                <w:w w:val="99"/>
                <w:sz w:val="24"/>
              </w:rPr>
              <w:t>•</w:t>
            </w:r>
          </w:p>
        </w:tc>
        <w:tc>
          <w:tcPr>
            <w:tcW w:w="460" w:type="dxa"/>
          </w:tcPr>
          <w:p>
            <w:pPr>
              <w:pStyle w:val="TableParagraph"/>
              <w:spacing w:line="271" w:lineRule="exact"/>
              <w:jc w:val="center"/>
              <w:rPr>
                <w:sz w:val="24"/>
              </w:rPr>
            </w:pPr>
            <w:r>
              <w:rPr>
                <w:w w:val="99"/>
                <w:sz w:val="24"/>
              </w:rPr>
              <w:t>•</w:t>
            </w:r>
          </w:p>
        </w:tc>
      </w:tr>
      <w:tr>
        <w:trPr>
          <w:trHeight w:val="796" w:hRule="exact"/>
        </w:trPr>
        <w:tc>
          <w:tcPr>
            <w:tcW w:w="660" w:type="dxa"/>
            <w:vMerge/>
            <w:textDirection w:val="btLr"/>
          </w:tcPr>
          <w:p>
            <w:pPr/>
          </w:p>
        </w:tc>
        <w:tc>
          <w:tcPr>
            <w:tcW w:w="1436" w:type="dxa"/>
          </w:tcPr>
          <w:p>
            <w:pPr>
              <w:pStyle w:val="TableParagraph"/>
              <w:spacing w:line="242" w:lineRule="auto" w:before="160"/>
              <w:ind w:left="291" w:right="138" w:hanging="144"/>
              <w:rPr>
                <w:sz w:val="20"/>
              </w:rPr>
            </w:pPr>
            <w:r>
              <w:rPr>
                <w:sz w:val="20"/>
              </w:rPr>
              <w:t>Propiedades Químicas</w:t>
            </w:r>
          </w:p>
        </w:tc>
        <w:tc>
          <w:tcPr>
            <w:tcW w:w="432" w:type="dxa"/>
          </w:tcPr>
          <w:p>
            <w:pPr>
              <w:pStyle w:val="TableParagraph"/>
              <w:spacing w:before="9"/>
              <w:rPr>
                <w:sz w:val="21"/>
              </w:rPr>
            </w:pPr>
          </w:p>
          <w:p>
            <w:pPr>
              <w:pStyle w:val="TableParagraph"/>
              <w:ind w:right="3"/>
              <w:jc w:val="center"/>
              <w:rPr>
                <w:sz w:val="24"/>
              </w:rPr>
            </w:pPr>
            <w:r>
              <w:rPr>
                <w:w w:val="99"/>
                <w:sz w:val="24"/>
              </w:rPr>
              <w:t>•</w:t>
            </w:r>
          </w:p>
        </w:tc>
        <w:tc>
          <w:tcPr>
            <w:tcW w:w="517" w:type="dxa"/>
          </w:tcPr>
          <w:p>
            <w:pPr>
              <w:pStyle w:val="TableParagraph"/>
              <w:spacing w:before="9"/>
              <w:rPr>
                <w:sz w:val="21"/>
              </w:rPr>
            </w:pPr>
          </w:p>
          <w:p>
            <w:pPr>
              <w:pStyle w:val="TableParagraph"/>
              <w:ind w:right="5"/>
              <w:jc w:val="center"/>
              <w:rPr>
                <w:sz w:val="24"/>
              </w:rPr>
            </w:pPr>
            <w:r>
              <w:rPr>
                <w:w w:val="99"/>
                <w:sz w:val="24"/>
              </w:rPr>
              <w:t>•</w:t>
            </w:r>
          </w:p>
        </w:tc>
        <w:tc>
          <w:tcPr>
            <w:tcW w:w="512" w:type="dxa"/>
          </w:tcPr>
          <w:p>
            <w:pPr>
              <w:pStyle w:val="TableParagraph"/>
              <w:spacing w:before="9"/>
              <w:rPr>
                <w:sz w:val="21"/>
              </w:rPr>
            </w:pPr>
          </w:p>
          <w:p>
            <w:pPr>
              <w:pStyle w:val="TableParagraph"/>
              <w:ind w:left="208"/>
              <w:rPr>
                <w:sz w:val="24"/>
              </w:rPr>
            </w:pPr>
            <w:r>
              <w:rPr>
                <w:w w:val="99"/>
                <w:sz w:val="24"/>
              </w:rPr>
              <w:t>•</w:t>
            </w:r>
          </w:p>
        </w:tc>
        <w:tc>
          <w:tcPr>
            <w:tcW w:w="512" w:type="dxa"/>
          </w:tcPr>
          <w:p>
            <w:pPr>
              <w:pStyle w:val="TableParagraph"/>
              <w:spacing w:before="9"/>
              <w:rPr>
                <w:sz w:val="21"/>
              </w:rPr>
            </w:pPr>
          </w:p>
          <w:p>
            <w:pPr>
              <w:pStyle w:val="TableParagraph"/>
              <w:ind w:right="211"/>
              <w:jc w:val="right"/>
              <w:rPr>
                <w:sz w:val="24"/>
              </w:rPr>
            </w:pPr>
            <w:r>
              <w:rPr>
                <w:w w:val="99"/>
                <w:sz w:val="24"/>
              </w:rPr>
              <w:t>•</w:t>
            </w:r>
          </w:p>
        </w:tc>
        <w:tc>
          <w:tcPr>
            <w:tcW w:w="512" w:type="dxa"/>
          </w:tcPr>
          <w:p>
            <w:pPr>
              <w:pStyle w:val="TableParagraph"/>
              <w:spacing w:before="9"/>
              <w:rPr>
                <w:sz w:val="21"/>
              </w:rPr>
            </w:pPr>
          </w:p>
          <w:p>
            <w:pPr>
              <w:pStyle w:val="TableParagraph"/>
              <w:ind w:right="1"/>
              <w:jc w:val="center"/>
              <w:rPr>
                <w:sz w:val="24"/>
              </w:rPr>
            </w:pPr>
            <w:r>
              <w:rPr>
                <w:w w:val="99"/>
                <w:sz w:val="24"/>
              </w:rPr>
              <w:t>•</w:t>
            </w:r>
          </w:p>
        </w:tc>
        <w:tc>
          <w:tcPr>
            <w:tcW w:w="512" w:type="dxa"/>
          </w:tcPr>
          <w:p>
            <w:pPr>
              <w:pStyle w:val="TableParagraph"/>
              <w:spacing w:before="9"/>
              <w:rPr>
                <w:sz w:val="21"/>
              </w:rPr>
            </w:pPr>
          </w:p>
          <w:p>
            <w:pPr>
              <w:pStyle w:val="TableParagraph"/>
              <w:ind w:right="3"/>
              <w:jc w:val="center"/>
              <w:rPr>
                <w:sz w:val="24"/>
              </w:rPr>
            </w:pPr>
            <w:r>
              <w:rPr>
                <w:w w:val="99"/>
                <w:sz w:val="24"/>
              </w:rPr>
              <w:t>•</w:t>
            </w:r>
          </w:p>
        </w:tc>
        <w:tc>
          <w:tcPr>
            <w:tcW w:w="460" w:type="dxa"/>
          </w:tcPr>
          <w:p>
            <w:pPr>
              <w:pStyle w:val="TableParagraph"/>
              <w:spacing w:before="9"/>
              <w:rPr>
                <w:sz w:val="21"/>
              </w:rPr>
            </w:pPr>
          </w:p>
          <w:p>
            <w:pPr>
              <w:pStyle w:val="TableParagraph"/>
              <w:ind w:right="179"/>
              <w:jc w:val="right"/>
              <w:rPr>
                <w:sz w:val="24"/>
              </w:rPr>
            </w:pPr>
            <w:r>
              <w:rPr>
                <w:w w:val="99"/>
                <w:sz w:val="24"/>
              </w:rPr>
              <w:t>•</w:t>
            </w:r>
          </w:p>
        </w:tc>
        <w:tc>
          <w:tcPr>
            <w:tcW w:w="461" w:type="dxa"/>
          </w:tcPr>
          <w:p>
            <w:pPr/>
          </w:p>
        </w:tc>
        <w:tc>
          <w:tcPr>
            <w:tcW w:w="460" w:type="dxa"/>
          </w:tcPr>
          <w:p>
            <w:pPr/>
          </w:p>
        </w:tc>
        <w:tc>
          <w:tcPr>
            <w:tcW w:w="408" w:type="dxa"/>
          </w:tcPr>
          <w:p>
            <w:pPr/>
          </w:p>
        </w:tc>
        <w:tc>
          <w:tcPr>
            <w:tcW w:w="412" w:type="dxa"/>
          </w:tcPr>
          <w:p>
            <w:pPr/>
          </w:p>
        </w:tc>
        <w:tc>
          <w:tcPr>
            <w:tcW w:w="460" w:type="dxa"/>
          </w:tcPr>
          <w:p>
            <w:pPr>
              <w:pStyle w:val="TableParagraph"/>
              <w:spacing w:before="9"/>
              <w:rPr>
                <w:sz w:val="21"/>
              </w:rPr>
            </w:pPr>
          </w:p>
          <w:p>
            <w:pPr>
              <w:pStyle w:val="TableParagraph"/>
              <w:jc w:val="center"/>
              <w:rPr>
                <w:sz w:val="24"/>
              </w:rPr>
            </w:pPr>
            <w:r>
              <w:rPr>
                <w:w w:val="99"/>
                <w:sz w:val="24"/>
              </w:rPr>
              <w:t>•</w:t>
            </w:r>
          </w:p>
        </w:tc>
        <w:tc>
          <w:tcPr>
            <w:tcW w:w="460" w:type="dxa"/>
          </w:tcPr>
          <w:p>
            <w:pPr/>
          </w:p>
        </w:tc>
        <w:tc>
          <w:tcPr>
            <w:tcW w:w="456" w:type="dxa"/>
          </w:tcPr>
          <w:p>
            <w:pPr>
              <w:pStyle w:val="TableParagraph"/>
              <w:spacing w:line="271" w:lineRule="exact"/>
              <w:ind w:right="179"/>
              <w:jc w:val="right"/>
              <w:rPr>
                <w:sz w:val="24"/>
              </w:rPr>
            </w:pPr>
            <w:r>
              <w:rPr>
                <w:w w:val="99"/>
                <w:sz w:val="24"/>
              </w:rPr>
              <w:t>•</w:t>
            </w:r>
          </w:p>
        </w:tc>
        <w:tc>
          <w:tcPr>
            <w:tcW w:w="461" w:type="dxa"/>
          </w:tcPr>
          <w:p>
            <w:pPr>
              <w:pStyle w:val="TableParagraph"/>
              <w:spacing w:line="271" w:lineRule="exact"/>
              <w:ind w:left="184"/>
              <w:rPr>
                <w:sz w:val="24"/>
              </w:rPr>
            </w:pPr>
            <w:r>
              <w:rPr>
                <w:w w:val="99"/>
                <w:sz w:val="24"/>
              </w:rPr>
              <w:t>•</w:t>
            </w:r>
          </w:p>
        </w:tc>
        <w:tc>
          <w:tcPr>
            <w:tcW w:w="460" w:type="dxa"/>
          </w:tcPr>
          <w:p>
            <w:pPr>
              <w:pStyle w:val="TableParagraph"/>
              <w:spacing w:line="271" w:lineRule="exact"/>
              <w:jc w:val="center"/>
              <w:rPr>
                <w:sz w:val="24"/>
              </w:rPr>
            </w:pPr>
            <w:r>
              <w:rPr>
                <w:w w:val="99"/>
                <w:sz w:val="24"/>
              </w:rPr>
              <w:t>•</w:t>
            </w:r>
          </w:p>
        </w:tc>
      </w:tr>
      <w:tr>
        <w:trPr>
          <w:trHeight w:val="584" w:hRule="exact"/>
        </w:trPr>
        <w:tc>
          <w:tcPr>
            <w:tcW w:w="660" w:type="dxa"/>
            <w:vMerge w:val="restart"/>
            <w:textDirection w:val="btLr"/>
          </w:tcPr>
          <w:p>
            <w:pPr>
              <w:pStyle w:val="TableParagraph"/>
              <w:spacing w:before="107"/>
              <w:ind w:left="112"/>
              <w:rPr>
                <w:sz w:val="24"/>
              </w:rPr>
            </w:pPr>
            <w:r>
              <w:rPr>
                <w:w w:val="99"/>
                <w:sz w:val="24"/>
              </w:rPr>
              <w:t>A</w:t>
            </w:r>
            <w:r>
              <w:rPr>
                <w:spacing w:val="-2"/>
                <w:w w:val="99"/>
                <w:sz w:val="24"/>
              </w:rPr>
              <w:t>g</w:t>
            </w:r>
            <w:r>
              <w:rPr>
                <w:spacing w:val="-2"/>
                <w:w w:val="99"/>
                <w:sz w:val="24"/>
              </w:rPr>
              <w:t>u</w:t>
            </w:r>
            <w:r>
              <w:rPr>
                <w:w w:val="99"/>
                <w:sz w:val="24"/>
              </w:rPr>
              <w:t>a</w:t>
            </w:r>
          </w:p>
        </w:tc>
        <w:tc>
          <w:tcPr>
            <w:tcW w:w="1436" w:type="dxa"/>
          </w:tcPr>
          <w:p>
            <w:pPr>
              <w:pStyle w:val="TableParagraph"/>
              <w:spacing w:before="56"/>
              <w:ind w:left="143" w:right="143"/>
              <w:jc w:val="center"/>
              <w:rPr>
                <w:sz w:val="20"/>
              </w:rPr>
            </w:pPr>
            <w:r>
              <w:rPr>
                <w:sz w:val="20"/>
              </w:rPr>
              <w:t>Superficial</w:t>
            </w:r>
          </w:p>
        </w:tc>
        <w:tc>
          <w:tcPr>
            <w:tcW w:w="432" w:type="dxa"/>
          </w:tcPr>
          <w:p>
            <w:pPr/>
          </w:p>
        </w:tc>
        <w:tc>
          <w:tcPr>
            <w:tcW w:w="517" w:type="dxa"/>
          </w:tcPr>
          <w:p>
            <w:pPr/>
          </w:p>
        </w:tc>
        <w:tc>
          <w:tcPr>
            <w:tcW w:w="512" w:type="dxa"/>
          </w:tcPr>
          <w:p>
            <w:pPr/>
          </w:p>
        </w:tc>
        <w:tc>
          <w:tcPr>
            <w:tcW w:w="512" w:type="dxa"/>
          </w:tcPr>
          <w:p>
            <w:pPr/>
          </w:p>
        </w:tc>
        <w:tc>
          <w:tcPr>
            <w:tcW w:w="512" w:type="dxa"/>
          </w:tcPr>
          <w:p>
            <w:pPr/>
          </w:p>
        </w:tc>
        <w:tc>
          <w:tcPr>
            <w:tcW w:w="512" w:type="dxa"/>
          </w:tcPr>
          <w:p>
            <w:pPr/>
          </w:p>
        </w:tc>
        <w:tc>
          <w:tcPr>
            <w:tcW w:w="460" w:type="dxa"/>
          </w:tcPr>
          <w:p>
            <w:pPr>
              <w:pStyle w:val="TableParagraph"/>
              <w:spacing w:before="147"/>
              <w:ind w:right="179"/>
              <w:jc w:val="right"/>
              <w:rPr>
                <w:sz w:val="24"/>
              </w:rPr>
            </w:pPr>
            <w:r>
              <w:rPr>
                <w:w w:val="99"/>
                <w:sz w:val="24"/>
              </w:rPr>
              <w:t>•</w:t>
            </w:r>
          </w:p>
        </w:tc>
        <w:tc>
          <w:tcPr>
            <w:tcW w:w="461" w:type="dxa"/>
          </w:tcPr>
          <w:p>
            <w:pPr/>
          </w:p>
        </w:tc>
        <w:tc>
          <w:tcPr>
            <w:tcW w:w="460" w:type="dxa"/>
          </w:tcPr>
          <w:p>
            <w:pPr/>
          </w:p>
        </w:tc>
        <w:tc>
          <w:tcPr>
            <w:tcW w:w="408" w:type="dxa"/>
          </w:tcPr>
          <w:p>
            <w:pPr/>
          </w:p>
        </w:tc>
        <w:tc>
          <w:tcPr>
            <w:tcW w:w="412" w:type="dxa"/>
          </w:tcPr>
          <w:p>
            <w:pPr/>
          </w:p>
        </w:tc>
        <w:tc>
          <w:tcPr>
            <w:tcW w:w="460" w:type="dxa"/>
          </w:tcPr>
          <w:p>
            <w:pPr/>
          </w:p>
        </w:tc>
        <w:tc>
          <w:tcPr>
            <w:tcW w:w="460" w:type="dxa"/>
          </w:tcPr>
          <w:p>
            <w:pPr/>
          </w:p>
        </w:tc>
        <w:tc>
          <w:tcPr>
            <w:tcW w:w="456" w:type="dxa"/>
          </w:tcPr>
          <w:p>
            <w:pPr/>
          </w:p>
        </w:tc>
        <w:tc>
          <w:tcPr>
            <w:tcW w:w="461" w:type="dxa"/>
          </w:tcPr>
          <w:p>
            <w:pPr/>
          </w:p>
        </w:tc>
        <w:tc>
          <w:tcPr>
            <w:tcW w:w="460" w:type="dxa"/>
          </w:tcPr>
          <w:p>
            <w:pPr/>
          </w:p>
        </w:tc>
      </w:tr>
      <w:tr>
        <w:trPr>
          <w:trHeight w:val="468" w:hRule="exact"/>
        </w:trPr>
        <w:tc>
          <w:tcPr>
            <w:tcW w:w="660" w:type="dxa"/>
            <w:vMerge/>
            <w:textDirection w:val="btLr"/>
          </w:tcPr>
          <w:p>
            <w:pPr/>
          </w:p>
        </w:tc>
        <w:tc>
          <w:tcPr>
            <w:tcW w:w="1436" w:type="dxa"/>
          </w:tcPr>
          <w:p>
            <w:pPr>
              <w:pStyle w:val="TableParagraph"/>
              <w:spacing w:line="226" w:lineRule="exact"/>
              <w:ind w:left="144" w:right="143"/>
              <w:jc w:val="center"/>
              <w:rPr>
                <w:sz w:val="20"/>
              </w:rPr>
            </w:pPr>
            <w:r>
              <w:rPr>
                <w:sz w:val="20"/>
              </w:rPr>
              <w:t>Subterránea</w:t>
            </w:r>
          </w:p>
        </w:tc>
        <w:tc>
          <w:tcPr>
            <w:tcW w:w="432" w:type="dxa"/>
          </w:tcPr>
          <w:p>
            <w:pPr/>
          </w:p>
        </w:tc>
        <w:tc>
          <w:tcPr>
            <w:tcW w:w="517" w:type="dxa"/>
          </w:tcPr>
          <w:p>
            <w:pPr/>
          </w:p>
        </w:tc>
        <w:tc>
          <w:tcPr>
            <w:tcW w:w="512" w:type="dxa"/>
          </w:tcPr>
          <w:p>
            <w:pPr/>
          </w:p>
        </w:tc>
        <w:tc>
          <w:tcPr>
            <w:tcW w:w="512" w:type="dxa"/>
          </w:tcPr>
          <w:p>
            <w:pPr/>
          </w:p>
        </w:tc>
        <w:tc>
          <w:tcPr>
            <w:tcW w:w="512" w:type="dxa"/>
          </w:tcPr>
          <w:p>
            <w:pPr/>
          </w:p>
        </w:tc>
        <w:tc>
          <w:tcPr>
            <w:tcW w:w="512" w:type="dxa"/>
          </w:tcPr>
          <w:p>
            <w:pPr/>
          </w:p>
        </w:tc>
        <w:tc>
          <w:tcPr>
            <w:tcW w:w="460" w:type="dxa"/>
          </w:tcPr>
          <w:p>
            <w:pPr/>
          </w:p>
        </w:tc>
        <w:tc>
          <w:tcPr>
            <w:tcW w:w="461" w:type="dxa"/>
          </w:tcPr>
          <w:p>
            <w:pPr/>
          </w:p>
        </w:tc>
        <w:tc>
          <w:tcPr>
            <w:tcW w:w="460" w:type="dxa"/>
          </w:tcPr>
          <w:p>
            <w:pPr/>
          </w:p>
        </w:tc>
        <w:tc>
          <w:tcPr>
            <w:tcW w:w="408" w:type="dxa"/>
          </w:tcPr>
          <w:p>
            <w:pPr/>
          </w:p>
        </w:tc>
        <w:tc>
          <w:tcPr>
            <w:tcW w:w="412" w:type="dxa"/>
          </w:tcPr>
          <w:p>
            <w:pPr/>
          </w:p>
        </w:tc>
        <w:tc>
          <w:tcPr>
            <w:tcW w:w="460" w:type="dxa"/>
          </w:tcPr>
          <w:p>
            <w:pPr/>
          </w:p>
        </w:tc>
        <w:tc>
          <w:tcPr>
            <w:tcW w:w="460" w:type="dxa"/>
          </w:tcPr>
          <w:p>
            <w:pPr/>
          </w:p>
        </w:tc>
        <w:tc>
          <w:tcPr>
            <w:tcW w:w="456" w:type="dxa"/>
          </w:tcPr>
          <w:p>
            <w:pPr/>
          </w:p>
        </w:tc>
        <w:tc>
          <w:tcPr>
            <w:tcW w:w="461" w:type="dxa"/>
          </w:tcPr>
          <w:p>
            <w:pPr/>
          </w:p>
        </w:tc>
        <w:tc>
          <w:tcPr>
            <w:tcW w:w="460" w:type="dxa"/>
          </w:tcPr>
          <w:p>
            <w:pPr/>
          </w:p>
        </w:tc>
      </w:tr>
      <w:tr>
        <w:trPr>
          <w:trHeight w:val="676" w:hRule="exact"/>
        </w:trPr>
        <w:tc>
          <w:tcPr>
            <w:tcW w:w="660" w:type="dxa"/>
            <w:vMerge w:val="restart"/>
            <w:textDirection w:val="btLr"/>
          </w:tcPr>
          <w:p>
            <w:pPr>
              <w:pStyle w:val="TableParagraph"/>
              <w:spacing w:line="247" w:lineRule="auto" w:before="107"/>
              <w:ind w:left="111" w:right="590"/>
              <w:rPr>
                <w:sz w:val="24"/>
              </w:rPr>
            </w:pPr>
            <w:r>
              <w:rPr>
                <w:w w:val="99"/>
                <w:sz w:val="24"/>
              </w:rPr>
              <w:t>M</w:t>
            </w:r>
            <w:r>
              <w:rPr>
                <w:spacing w:val="-2"/>
                <w:w w:val="99"/>
                <w:sz w:val="24"/>
              </w:rPr>
              <w:t>e</w:t>
            </w:r>
            <w:r>
              <w:rPr>
                <w:spacing w:val="-2"/>
                <w:w w:val="99"/>
                <w:sz w:val="24"/>
              </w:rPr>
              <w:t>d</w:t>
            </w:r>
            <w:r>
              <w:rPr>
                <w:spacing w:val="-2"/>
                <w:w w:val="99"/>
                <w:sz w:val="24"/>
              </w:rPr>
              <w:t>i</w:t>
            </w:r>
            <w:r>
              <w:rPr>
                <w:w w:val="99"/>
                <w:sz w:val="24"/>
              </w:rPr>
              <w:t>o </w:t>
            </w:r>
            <w:r>
              <w:rPr>
                <w:w w:val="99"/>
                <w:sz w:val="24"/>
              </w:rPr>
              <w:t>B</w:t>
            </w:r>
            <w:r>
              <w:rPr>
                <w:spacing w:val="-2"/>
                <w:w w:val="99"/>
                <w:sz w:val="24"/>
              </w:rPr>
              <w:t>ió</w:t>
            </w:r>
            <w:r>
              <w:rPr>
                <w:w w:val="100"/>
                <w:sz w:val="24"/>
              </w:rPr>
              <w:t>t</w:t>
            </w:r>
            <w:r>
              <w:rPr>
                <w:spacing w:val="-2"/>
                <w:w w:val="99"/>
                <w:sz w:val="24"/>
              </w:rPr>
              <w:t>i</w:t>
            </w:r>
            <w:r>
              <w:rPr>
                <w:w w:val="99"/>
                <w:sz w:val="24"/>
              </w:rPr>
              <w:t>co</w:t>
            </w:r>
          </w:p>
        </w:tc>
        <w:tc>
          <w:tcPr>
            <w:tcW w:w="1436" w:type="dxa"/>
          </w:tcPr>
          <w:p>
            <w:pPr>
              <w:pStyle w:val="TableParagraph"/>
              <w:spacing w:before="100"/>
              <w:ind w:left="143" w:right="143"/>
              <w:jc w:val="center"/>
              <w:rPr>
                <w:sz w:val="20"/>
              </w:rPr>
            </w:pPr>
            <w:r>
              <w:rPr>
                <w:sz w:val="20"/>
              </w:rPr>
              <w:t>Flora</w:t>
            </w:r>
          </w:p>
        </w:tc>
        <w:tc>
          <w:tcPr>
            <w:tcW w:w="432" w:type="dxa"/>
          </w:tcPr>
          <w:p>
            <w:pPr/>
          </w:p>
        </w:tc>
        <w:tc>
          <w:tcPr>
            <w:tcW w:w="517" w:type="dxa"/>
          </w:tcPr>
          <w:p>
            <w:pPr>
              <w:pStyle w:val="TableParagraph"/>
              <w:spacing w:before="191"/>
              <w:ind w:right="5"/>
              <w:jc w:val="center"/>
              <w:rPr>
                <w:sz w:val="24"/>
              </w:rPr>
            </w:pPr>
            <w:r>
              <w:rPr>
                <w:w w:val="99"/>
                <w:sz w:val="24"/>
              </w:rPr>
              <w:t>•</w:t>
            </w:r>
          </w:p>
        </w:tc>
        <w:tc>
          <w:tcPr>
            <w:tcW w:w="512" w:type="dxa"/>
          </w:tcPr>
          <w:p>
            <w:pPr>
              <w:pStyle w:val="TableParagraph"/>
              <w:spacing w:before="191"/>
              <w:ind w:left="208"/>
              <w:rPr>
                <w:sz w:val="24"/>
              </w:rPr>
            </w:pPr>
            <w:r>
              <w:rPr>
                <w:w w:val="99"/>
                <w:sz w:val="24"/>
              </w:rPr>
              <w:t>•</w:t>
            </w:r>
          </w:p>
        </w:tc>
        <w:tc>
          <w:tcPr>
            <w:tcW w:w="512" w:type="dxa"/>
          </w:tcPr>
          <w:p>
            <w:pPr>
              <w:pStyle w:val="TableParagraph"/>
              <w:spacing w:before="191"/>
              <w:ind w:right="211"/>
              <w:jc w:val="right"/>
              <w:rPr>
                <w:sz w:val="24"/>
              </w:rPr>
            </w:pPr>
            <w:r>
              <w:rPr>
                <w:w w:val="99"/>
                <w:sz w:val="24"/>
              </w:rPr>
              <w:t>•</w:t>
            </w:r>
          </w:p>
        </w:tc>
        <w:tc>
          <w:tcPr>
            <w:tcW w:w="512" w:type="dxa"/>
          </w:tcPr>
          <w:p>
            <w:pPr>
              <w:pStyle w:val="TableParagraph"/>
              <w:spacing w:before="191"/>
              <w:ind w:right="1"/>
              <w:jc w:val="center"/>
              <w:rPr>
                <w:sz w:val="24"/>
              </w:rPr>
            </w:pPr>
            <w:r>
              <w:rPr>
                <w:w w:val="99"/>
                <w:sz w:val="24"/>
              </w:rPr>
              <w:t>•</w:t>
            </w:r>
          </w:p>
        </w:tc>
        <w:tc>
          <w:tcPr>
            <w:tcW w:w="512" w:type="dxa"/>
          </w:tcPr>
          <w:p>
            <w:pPr>
              <w:pStyle w:val="TableParagraph"/>
              <w:spacing w:before="191"/>
              <w:ind w:right="3"/>
              <w:jc w:val="center"/>
              <w:rPr>
                <w:sz w:val="24"/>
              </w:rPr>
            </w:pPr>
            <w:r>
              <w:rPr>
                <w:w w:val="99"/>
                <w:sz w:val="24"/>
              </w:rPr>
              <w:t>•</w:t>
            </w:r>
          </w:p>
        </w:tc>
        <w:tc>
          <w:tcPr>
            <w:tcW w:w="460" w:type="dxa"/>
          </w:tcPr>
          <w:p>
            <w:pPr>
              <w:pStyle w:val="TableParagraph"/>
              <w:spacing w:before="191"/>
              <w:ind w:right="179"/>
              <w:jc w:val="right"/>
              <w:rPr>
                <w:sz w:val="24"/>
              </w:rPr>
            </w:pPr>
            <w:r>
              <w:rPr>
                <w:w w:val="99"/>
                <w:sz w:val="24"/>
              </w:rPr>
              <w:t>•</w:t>
            </w:r>
          </w:p>
        </w:tc>
        <w:tc>
          <w:tcPr>
            <w:tcW w:w="461" w:type="dxa"/>
          </w:tcPr>
          <w:p>
            <w:pPr/>
          </w:p>
        </w:tc>
        <w:tc>
          <w:tcPr>
            <w:tcW w:w="460" w:type="dxa"/>
          </w:tcPr>
          <w:p>
            <w:pPr/>
          </w:p>
        </w:tc>
        <w:tc>
          <w:tcPr>
            <w:tcW w:w="408" w:type="dxa"/>
          </w:tcPr>
          <w:p>
            <w:pPr/>
          </w:p>
        </w:tc>
        <w:tc>
          <w:tcPr>
            <w:tcW w:w="412" w:type="dxa"/>
          </w:tcPr>
          <w:p>
            <w:pPr/>
          </w:p>
        </w:tc>
        <w:tc>
          <w:tcPr>
            <w:tcW w:w="460" w:type="dxa"/>
          </w:tcPr>
          <w:p>
            <w:pPr/>
          </w:p>
        </w:tc>
        <w:tc>
          <w:tcPr>
            <w:tcW w:w="460" w:type="dxa"/>
          </w:tcPr>
          <w:p>
            <w:pPr/>
          </w:p>
        </w:tc>
        <w:tc>
          <w:tcPr>
            <w:tcW w:w="456" w:type="dxa"/>
          </w:tcPr>
          <w:p>
            <w:pPr>
              <w:pStyle w:val="TableParagraph"/>
              <w:spacing w:line="275" w:lineRule="exact"/>
              <w:ind w:right="179"/>
              <w:jc w:val="right"/>
              <w:rPr>
                <w:sz w:val="24"/>
              </w:rPr>
            </w:pPr>
            <w:r>
              <w:rPr>
                <w:w w:val="99"/>
                <w:sz w:val="24"/>
              </w:rPr>
              <w:t>•</w:t>
            </w:r>
          </w:p>
        </w:tc>
        <w:tc>
          <w:tcPr>
            <w:tcW w:w="461" w:type="dxa"/>
          </w:tcPr>
          <w:p>
            <w:pPr>
              <w:pStyle w:val="TableParagraph"/>
              <w:spacing w:line="275" w:lineRule="exact"/>
              <w:ind w:left="184"/>
              <w:rPr>
                <w:sz w:val="24"/>
              </w:rPr>
            </w:pPr>
            <w:r>
              <w:rPr>
                <w:w w:val="99"/>
                <w:sz w:val="24"/>
              </w:rPr>
              <w:t>•</w:t>
            </w:r>
          </w:p>
        </w:tc>
        <w:tc>
          <w:tcPr>
            <w:tcW w:w="460" w:type="dxa"/>
          </w:tcPr>
          <w:p>
            <w:pPr>
              <w:pStyle w:val="TableParagraph"/>
              <w:spacing w:line="275" w:lineRule="exact"/>
              <w:jc w:val="center"/>
              <w:rPr>
                <w:sz w:val="24"/>
              </w:rPr>
            </w:pPr>
            <w:r>
              <w:rPr>
                <w:w w:val="99"/>
                <w:sz w:val="24"/>
              </w:rPr>
              <w:t>•</w:t>
            </w:r>
          </w:p>
        </w:tc>
      </w:tr>
      <w:tr>
        <w:trPr>
          <w:trHeight w:val="768" w:hRule="exact"/>
        </w:trPr>
        <w:tc>
          <w:tcPr>
            <w:tcW w:w="660" w:type="dxa"/>
            <w:vMerge/>
            <w:textDirection w:val="btLr"/>
          </w:tcPr>
          <w:p>
            <w:pPr/>
          </w:p>
        </w:tc>
        <w:tc>
          <w:tcPr>
            <w:tcW w:w="1436" w:type="dxa"/>
          </w:tcPr>
          <w:p>
            <w:pPr>
              <w:pStyle w:val="TableParagraph"/>
              <w:spacing w:before="148"/>
              <w:ind w:left="142" w:right="143"/>
              <w:jc w:val="center"/>
              <w:rPr>
                <w:sz w:val="20"/>
              </w:rPr>
            </w:pPr>
            <w:r>
              <w:rPr>
                <w:sz w:val="20"/>
              </w:rPr>
              <w:t>Fauna</w:t>
            </w:r>
          </w:p>
        </w:tc>
        <w:tc>
          <w:tcPr>
            <w:tcW w:w="432" w:type="dxa"/>
          </w:tcPr>
          <w:p>
            <w:pPr/>
          </w:p>
        </w:tc>
        <w:tc>
          <w:tcPr>
            <w:tcW w:w="517" w:type="dxa"/>
          </w:tcPr>
          <w:p>
            <w:pPr>
              <w:pStyle w:val="TableParagraph"/>
              <w:spacing w:before="8"/>
              <w:rPr>
                <w:sz w:val="20"/>
              </w:rPr>
            </w:pPr>
          </w:p>
          <w:p>
            <w:pPr>
              <w:pStyle w:val="TableParagraph"/>
              <w:spacing w:before="1"/>
              <w:ind w:right="5"/>
              <w:jc w:val="center"/>
              <w:rPr>
                <w:sz w:val="24"/>
              </w:rPr>
            </w:pPr>
            <w:r>
              <w:rPr>
                <w:w w:val="99"/>
                <w:sz w:val="24"/>
              </w:rPr>
              <w:t>•</w:t>
            </w:r>
          </w:p>
        </w:tc>
        <w:tc>
          <w:tcPr>
            <w:tcW w:w="512" w:type="dxa"/>
          </w:tcPr>
          <w:p>
            <w:pPr>
              <w:pStyle w:val="TableParagraph"/>
              <w:spacing w:before="8"/>
              <w:rPr>
                <w:sz w:val="20"/>
              </w:rPr>
            </w:pPr>
          </w:p>
          <w:p>
            <w:pPr>
              <w:pStyle w:val="TableParagraph"/>
              <w:spacing w:before="1"/>
              <w:ind w:left="208"/>
              <w:rPr>
                <w:sz w:val="24"/>
              </w:rPr>
            </w:pPr>
            <w:r>
              <w:rPr>
                <w:w w:val="99"/>
                <w:sz w:val="24"/>
              </w:rPr>
              <w:t>•</w:t>
            </w:r>
          </w:p>
        </w:tc>
        <w:tc>
          <w:tcPr>
            <w:tcW w:w="512" w:type="dxa"/>
          </w:tcPr>
          <w:p>
            <w:pPr>
              <w:pStyle w:val="TableParagraph"/>
              <w:spacing w:before="8"/>
              <w:rPr>
                <w:sz w:val="20"/>
              </w:rPr>
            </w:pPr>
          </w:p>
          <w:p>
            <w:pPr>
              <w:pStyle w:val="TableParagraph"/>
              <w:spacing w:before="1"/>
              <w:ind w:right="211"/>
              <w:jc w:val="right"/>
              <w:rPr>
                <w:sz w:val="24"/>
              </w:rPr>
            </w:pPr>
            <w:r>
              <w:rPr>
                <w:w w:val="99"/>
                <w:sz w:val="24"/>
              </w:rPr>
              <w:t>•</w:t>
            </w:r>
          </w:p>
        </w:tc>
        <w:tc>
          <w:tcPr>
            <w:tcW w:w="512" w:type="dxa"/>
          </w:tcPr>
          <w:p>
            <w:pPr>
              <w:pStyle w:val="TableParagraph"/>
              <w:spacing w:before="8"/>
              <w:rPr>
                <w:sz w:val="20"/>
              </w:rPr>
            </w:pPr>
          </w:p>
          <w:p>
            <w:pPr>
              <w:pStyle w:val="TableParagraph"/>
              <w:spacing w:before="1"/>
              <w:ind w:right="1"/>
              <w:jc w:val="center"/>
              <w:rPr>
                <w:sz w:val="24"/>
              </w:rPr>
            </w:pPr>
            <w:r>
              <w:rPr>
                <w:w w:val="99"/>
                <w:sz w:val="24"/>
              </w:rPr>
              <w:t>•</w:t>
            </w:r>
          </w:p>
        </w:tc>
        <w:tc>
          <w:tcPr>
            <w:tcW w:w="512" w:type="dxa"/>
          </w:tcPr>
          <w:p>
            <w:pPr>
              <w:pStyle w:val="TableParagraph"/>
              <w:spacing w:before="8"/>
              <w:rPr>
                <w:sz w:val="20"/>
              </w:rPr>
            </w:pPr>
          </w:p>
          <w:p>
            <w:pPr>
              <w:pStyle w:val="TableParagraph"/>
              <w:spacing w:before="1"/>
              <w:ind w:right="3"/>
              <w:jc w:val="center"/>
              <w:rPr>
                <w:sz w:val="24"/>
              </w:rPr>
            </w:pPr>
            <w:r>
              <w:rPr>
                <w:w w:val="99"/>
                <w:sz w:val="24"/>
              </w:rPr>
              <w:t>•</w:t>
            </w:r>
          </w:p>
        </w:tc>
        <w:tc>
          <w:tcPr>
            <w:tcW w:w="460" w:type="dxa"/>
          </w:tcPr>
          <w:p>
            <w:pPr>
              <w:pStyle w:val="TableParagraph"/>
              <w:spacing w:before="8"/>
              <w:rPr>
                <w:sz w:val="20"/>
              </w:rPr>
            </w:pPr>
          </w:p>
          <w:p>
            <w:pPr>
              <w:pStyle w:val="TableParagraph"/>
              <w:spacing w:before="1"/>
              <w:ind w:right="179"/>
              <w:jc w:val="right"/>
              <w:rPr>
                <w:sz w:val="24"/>
              </w:rPr>
            </w:pPr>
            <w:r>
              <w:rPr>
                <w:w w:val="99"/>
                <w:sz w:val="24"/>
              </w:rPr>
              <w:t>•</w:t>
            </w:r>
          </w:p>
        </w:tc>
        <w:tc>
          <w:tcPr>
            <w:tcW w:w="461" w:type="dxa"/>
          </w:tcPr>
          <w:p>
            <w:pPr/>
          </w:p>
        </w:tc>
        <w:tc>
          <w:tcPr>
            <w:tcW w:w="460" w:type="dxa"/>
          </w:tcPr>
          <w:p>
            <w:pPr/>
          </w:p>
        </w:tc>
        <w:tc>
          <w:tcPr>
            <w:tcW w:w="408" w:type="dxa"/>
          </w:tcPr>
          <w:p>
            <w:pPr/>
          </w:p>
        </w:tc>
        <w:tc>
          <w:tcPr>
            <w:tcW w:w="412" w:type="dxa"/>
          </w:tcPr>
          <w:p>
            <w:pPr/>
          </w:p>
        </w:tc>
        <w:tc>
          <w:tcPr>
            <w:tcW w:w="460" w:type="dxa"/>
          </w:tcPr>
          <w:p>
            <w:pPr/>
          </w:p>
        </w:tc>
        <w:tc>
          <w:tcPr>
            <w:tcW w:w="460" w:type="dxa"/>
          </w:tcPr>
          <w:p>
            <w:pPr/>
          </w:p>
        </w:tc>
        <w:tc>
          <w:tcPr>
            <w:tcW w:w="456" w:type="dxa"/>
          </w:tcPr>
          <w:p>
            <w:pPr>
              <w:pStyle w:val="TableParagraph"/>
              <w:spacing w:line="271" w:lineRule="exact"/>
              <w:ind w:right="179"/>
              <w:jc w:val="right"/>
              <w:rPr>
                <w:sz w:val="24"/>
              </w:rPr>
            </w:pPr>
            <w:r>
              <w:rPr>
                <w:w w:val="99"/>
                <w:sz w:val="24"/>
              </w:rPr>
              <w:t>•</w:t>
            </w:r>
          </w:p>
        </w:tc>
        <w:tc>
          <w:tcPr>
            <w:tcW w:w="461" w:type="dxa"/>
          </w:tcPr>
          <w:p>
            <w:pPr>
              <w:pStyle w:val="TableParagraph"/>
              <w:spacing w:line="271" w:lineRule="exact"/>
              <w:ind w:left="184"/>
              <w:rPr>
                <w:sz w:val="24"/>
              </w:rPr>
            </w:pPr>
            <w:r>
              <w:rPr>
                <w:w w:val="99"/>
                <w:sz w:val="24"/>
              </w:rPr>
              <w:t>•</w:t>
            </w:r>
          </w:p>
        </w:tc>
        <w:tc>
          <w:tcPr>
            <w:tcW w:w="460" w:type="dxa"/>
          </w:tcPr>
          <w:p>
            <w:pPr>
              <w:pStyle w:val="TableParagraph"/>
              <w:spacing w:line="271" w:lineRule="exact"/>
              <w:jc w:val="center"/>
              <w:rPr>
                <w:sz w:val="24"/>
              </w:rPr>
            </w:pPr>
            <w:r>
              <w:rPr>
                <w:w w:val="99"/>
                <w:sz w:val="24"/>
              </w:rPr>
              <w:t>•</w:t>
            </w:r>
          </w:p>
        </w:tc>
      </w:tr>
      <w:tr>
        <w:trPr>
          <w:trHeight w:val="796" w:hRule="exact"/>
        </w:trPr>
        <w:tc>
          <w:tcPr>
            <w:tcW w:w="660" w:type="dxa"/>
            <w:vMerge w:val="restart"/>
            <w:textDirection w:val="btLr"/>
          </w:tcPr>
          <w:p>
            <w:pPr>
              <w:pStyle w:val="TableParagraph"/>
              <w:spacing w:line="247" w:lineRule="auto" w:before="107"/>
              <w:ind w:left="112" w:right="335"/>
              <w:rPr>
                <w:sz w:val="24"/>
              </w:rPr>
            </w:pPr>
            <w:r>
              <w:rPr>
                <w:w w:val="99"/>
                <w:sz w:val="24"/>
              </w:rPr>
              <w:t>M</w:t>
            </w:r>
            <w:r>
              <w:rPr>
                <w:spacing w:val="-2"/>
                <w:w w:val="99"/>
                <w:sz w:val="24"/>
              </w:rPr>
              <w:t>e</w:t>
            </w:r>
            <w:r>
              <w:rPr>
                <w:spacing w:val="-2"/>
                <w:w w:val="99"/>
                <w:sz w:val="24"/>
              </w:rPr>
              <w:t>d</w:t>
            </w:r>
            <w:r>
              <w:rPr>
                <w:spacing w:val="-2"/>
                <w:w w:val="99"/>
                <w:sz w:val="24"/>
              </w:rPr>
              <w:t>i</w:t>
            </w:r>
            <w:r>
              <w:rPr>
                <w:w w:val="99"/>
                <w:sz w:val="24"/>
              </w:rPr>
              <w:t>o </w:t>
            </w:r>
            <w:r>
              <w:rPr>
                <w:w w:val="99"/>
                <w:sz w:val="24"/>
              </w:rPr>
              <w:t>P</w:t>
            </w:r>
            <w:r>
              <w:rPr>
                <w:spacing w:val="-2"/>
                <w:w w:val="99"/>
                <w:sz w:val="24"/>
              </w:rPr>
              <w:t>e</w:t>
            </w:r>
            <w:r>
              <w:rPr>
                <w:w w:val="99"/>
                <w:sz w:val="24"/>
              </w:rPr>
              <w:t>rc</w:t>
            </w:r>
            <w:r>
              <w:rPr>
                <w:spacing w:val="-2"/>
                <w:w w:val="99"/>
                <w:sz w:val="24"/>
              </w:rPr>
              <w:t>e</w:t>
            </w:r>
            <w:r>
              <w:rPr>
                <w:spacing w:val="-2"/>
                <w:w w:val="99"/>
                <w:sz w:val="24"/>
              </w:rPr>
              <w:t>p</w:t>
            </w:r>
            <w:r>
              <w:rPr>
                <w:w w:val="100"/>
                <w:sz w:val="24"/>
              </w:rPr>
              <w:t>t</w:t>
            </w:r>
            <w:r>
              <w:rPr>
                <w:spacing w:val="2"/>
                <w:w w:val="99"/>
                <w:sz w:val="24"/>
              </w:rPr>
              <w:t>u</w:t>
            </w:r>
            <w:r>
              <w:rPr>
                <w:spacing w:val="-2"/>
                <w:w w:val="99"/>
                <w:sz w:val="24"/>
              </w:rPr>
              <w:t>a</w:t>
            </w:r>
            <w:r>
              <w:rPr>
                <w:w w:val="99"/>
                <w:sz w:val="24"/>
              </w:rPr>
              <w:t>l</w:t>
            </w:r>
          </w:p>
        </w:tc>
        <w:tc>
          <w:tcPr>
            <w:tcW w:w="1436" w:type="dxa"/>
          </w:tcPr>
          <w:p>
            <w:pPr>
              <w:pStyle w:val="TableParagraph"/>
              <w:spacing w:before="160"/>
              <w:ind w:left="142" w:right="143"/>
              <w:jc w:val="center"/>
              <w:rPr>
                <w:sz w:val="20"/>
              </w:rPr>
            </w:pPr>
            <w:r>
              <w:rPr>
                <w:sz w:val="20"/>
              </w:rPr>
              <w:t>Visual</w:t>
            </w:r>
          </w:p>
        </w:tc>
        <w:tc>
          <w:tcPr>
            <w:tcW w:w="432" w:type="dxa"/>
          </w:tcPr>
          <w:p>
            <w:pPr/>
          </w:p>
        </w:tc>
        <w:tc>
          <w:tcPr>
            <w:tcW w:w="517" w:type="dxa"/>
          </w:tcPr>
          <w:p>
            <w:pPr>
              <w:pStyle w:val="TableParagraph"/>
              <w:spacing w:before="9"/>
              <w:rPr>
                <w:sz w:val="21"/>
              </w:rPr>
            </w:pPr>
          </w:p>
          <w:p>
            <w:pPr>
              <w:pStyle w:val="TableParagraph"/>
              <w:ind w:right="5"/>
              <w:jc w:val="center"/>
              <w:rPr>
                <w:sz w:val="24"/>
              </w:rPr>
            </w:pPr>
            <w:r>
              <w:rPr>
                <w:w w:val="99"/>
                <w:sz w:val="24"/>
              </w:rPr>
              <w:t>•</w:t>
            </w:r>
          </w:p>
        </w:tc>
        <w:tc>
          <w:tcPr>
            <w:tcW w:w="512" w:type="dxa"/>
          </w:tcPr>
          <w:p>
            <w:pPr/>
          </w:p>
        </w:tc>
        <w:tc>
          <w:tcPr>
            <w:tcW w:w="512" w:type="dxa"/>
          </w:tcPr>
          <w:p>
            <w:pPr/>
          </w:p>
        </w:tc>
        <w:tc>
          <w:tcPr>
            <w:tcW w:w="512" w:type="dxa"/>
          </w:tcPr>
          <w:p>
            <w:pPr/>
          </w:p>
        </w:tc>
        <w:tc>
          <w:tcPr>
            <w:tcW w:w="512" w:type="dxa"/>
          </w:tcPr>
          <w:p>
            <w:pPr/>
          </w:p>
        </w:tc>
        <w:tc>
          <w:tcPr>
            <w:tcW w:w="460" w:type="dxa"/>
          </w:tcPr>
          <w:p>
            <w:pPr>
              <w:pStyle w:val="TableParagraph"/>
              <w:spacing w:before="9"/>
              <w:rPr>
                <w:sz w:val="21"/>
              </w:rPr>
            </w:pPr>
          </w:p>
          <w:p>
            <w:pPr>
              <w:pStyle w:val="TableParagraph"/>
              <w:ind w:right="179"/>
              <w:jc w:val="right"/>
              <w:rPr>
                <w:sz w:val="24"/>
              </w:rPr>
            </w:pPr>
            <w:r>
              <w:rPr>
                <w:w w:val="99"/>
                <w:sz w:val="24"/>
              </w:rPr>
              <w:t>•</w:t>
            </w:r>
          </w:p>
        </w:tc>
        <w:tc>
          <w:tcPr>
            <w:tcW w:w="461" w:type="dxa"/>
          </w:tcPr>
          <w:p>
            <w:pPr>
              <w:pStyle w:val="TableParagraph"/>
              <w:spacing w:before="9"/>
              <w:rPr>
                <w:sz w:val="21"/>
              </w:rPr>
            </w:pPr>
          </w:p>
          <w:p>
            <w:pPr>
              <w:pStyle w:val="TableParagraph"/>
              <w:ind w:left="184"/>
              <w:rPr>
                <w:sz w:val="24"/>
              </w:rPr>
            </w:pPr>
            <w:r>
              <w:rPr>
                <w:w w:val="99"/>
                <w:sz w:val="24"/>
              </w:rPr>
              <w:t>•</w:t>
            </w:r>
          </w:p>
        </w:tc>
        <w:tc>
          <w:tcPr>
            <w:tcW w:w="460" w:type="dxa"/>
          </w:tcPr>
          <w:p>
            <w:pPr>
              <w:pStyle w:val="TableParagraph"/>
              <w:spacing w:before="9"/>
              <w:rPr>
                <w:sz w:val="21"/>
              </w:rPr>
            </w:pPr>
          </w:p>
          <w:p>
            <w:pPr>
              <w:pStyle w:val="TableParagraph"/>
              <w:jc w:val="center"/>
              <w:rPr>
                <w:sz w:val="24"/>
              </w:rPr>
            </w:pPr>
            <w:r>
              <w:rPr>
                <w:w w:val="99"/>
                <w:sz w:val="24"/>
              </w:rPr>
              <w:t>•</w:t>
            </w:r>
          </w:p>
        </w:tc>
        <w:tc>
          <w:tcPr>
            <w:tcW w:w="408" w:type="dxa"/>
          </w:tcPr>
          <w:p>
            <w:pPr/>
          </w:p>
        </w:tc>
        <w:tc>
          <w:tcPr>
            <w:tcW w:w="412" w:type="dxa"/>
          </w:tcPr>
          <w:p>
            <w:pPr>
              <w:pStyle w:val="TableParagraph"/>
              <w:spacing w:before="9"/>
              <w:rPr>
                <w:sz w:val="21"/>
              </w:rPr>
            </w:pPr>
          </w:p>
          <w:p>
            <w:pPr>
              <w:pStyle w:val="TableParagraph"/>
              <w:jc w:val="center"/>
              <w:rPr>
                <w:sz w:val="24"/>
              </w:rPr>
            </w:pPr>
            <w:r>
              <w:rPr>
                <w:w w:val="99"/>
                <w:sz w:val="24"/>
              </w:rPr>
              <w:t>•</w:t>
            </w:r>
          </w:p>
        </w:tc>
        <w:tc>
          <w:tcPr>
            <w:tcW w:w="460" w:type="dxa"/>
          </w:tcPr>
          <w:p>
            <w:pPr>
              <w:pStyle w:val="TableParagraph"/>
              <w:spacing w:before="9"/>
              <w:rPr>
                <w:sz w:val="21"/>
              </w:rPr>
            </w:pPr>
          </w:p>
          <w:p>
            <w:pPr>
              <w:pStyle w:val="TableParagraph"/>
              <w:jc w:val="center"/>
              <w:rPr>
                <w:sz w:val="24"/>
              </w:rPr>
            </w:pPr>
            <w:r>
              <w:rPr>
                <w:w w:val="99"/>
                <w:sz w:val="24"/>
              </w:rPr>
              <w:t>•</w:t>
            </w:r>
          </w:p>
        </w:tc>
        <w:tc>
          <w:tcPr>
            <w:tcW w:w="460" w:type="dxa"/>
          </w:tcPr>
          <w:p>
            <w:pPr/>
          </w:p>
        </w:tc>
        <w:tc>
          <w:tcPr>
            <w:tcW w:w="456" w:type="dxa"/>
          </w:tcPr>
          <w:p>
            <w:pPr>
              <w:pStyle w:val="TableParagraph"/>
              <w:spacing w:before="9"/>
              <w:rPr>
                <w:sz w:val="21"/>
              </w:rPr>
            </w:pPr>
          </w:p>
          <w:p>
            <w:pPr>
              <w:pStyle w:val="TableParagraph"/>
              <w:ind w:right="179"/>
              <w:jc w:val="right"/>
              <w:rPr>
                <w:sz w:val="24"/>
              </w:rPr>
            </w:pPr>
            <w:r>
              <w:rPr>
                <w:w w:val="99"/>
                <w:sz w:val="24"/>
              </w:rPr>
              <w:t>•</w:t>
            </w:r>
          </w:p>
        </w:tc>
        <w:tc>
          <w:tcPr>
            <w:tcW w:w="461" w:type="dxa"/>
          </w:tcPr>
          <w:p>
            <w:pPr>
              <w:pStyle w:val="TableParagraph"/>
              <w:spacing w:before="9"/>
              <w:rPr>
                <w:sz w:val="21"/>
              </w:rPr>
            </w:pPr>
          </w:p>
          <w:p>
            <w:pPr>
              <w:pStyle w:val="TableParagraph"/>
              <w:ind w:left="184"/>
              <w:rPr>
                <w:sz w:val="24"/>
              </w:rPr>
            </w:pPr>
            <w:r>
              <w:rPr>
                <w:w w:val="99"/>
                <w:sz w:val="24"/>
              </w:rPr>
              <w:t>•</w:t>
            </w:r>
          </w:p>
        </w:tc>
        <w:tc>
          <w:tcPr>
            <w:tcW w:w="460" w:type="dxa"/>
          </w:tcPr>
          <w:p>
            <w:pPr>
              <w:pStyle w:val="TableParagraph"/>
              <w:spacing w:before="9"/>
              <w:rPr>
                <w:sz w:val="21"/>
              </w:rPr>
            </w:pPr>
          </w:p>
          <w:p>
            <w:pPr>
              <w:pStyle w:val="TableParagraph"/>
              <w:jc w:val="center"/>
              <w:rPr>
                <w:sz w:val="24"/>
              </w:rPr>
            </w:pPr>
            <w:r>
              <w:rPr>
                <w:w w:val="99"/>
                <w:sz w:val="24"/>
              </w:rPr>
              <w:t>•</w:t>
            </w:r>
          </w:p>
        </w:tc>
      </w:tr>
      <w:tr>
        <w:trPr>
          <w:trHeight w:val="820" w:hRule="exact"/>
        </w:trPr>
        <w:tc>
          <w:tcPr>
            <w:tcW w:w="660" w:type="dxa"/>
            <w:vMerge/>
            <w:textDirection w:val="btLr"/>
          </w:tcPr>
          <w:p>
            <w:pPr/>
          </w:p>
        </w:tc>
        <w:tc>
          <w:tcPr>
            <w:tcW w:w="1436" w:type="dxa"/>
          </w:tcPr>
          <w:p>
            <w:pPr>
              <w:pStyle w:val="TableParagraph"/>
              <w:spacing w:line="242" w:lineRule="auto" w:before="172"/>
              <w:ind w:left="255" w:right="224" w:hanging="16"/>
              <w:rPr>
                <w:sz w:val="20"/>
              </w:rPr>
            </w:pPr>
            <w:r>
              <w:rPr>
                <w:sz w:val="20"/>
              </w:rPr>
              <w:t>Elementos singulares</w:t>
            </w:r>
          </w:p>
        </w:tc>
        <w:tc>
          <w:tcPr>
            <w:tcW w:w="432" w:type="dxa"/>
          </w:tcPr>
          <w:p>
            <w:pPr/>
          </w:p>
        </w:tc>
        <w:tc>
          <w:tcPr>
            <w:tcW w:w="517" w:type="dxa"/>
          </w:tcPr>
          <w:p>
            <w:pPr/>
          </w:p>
        </w:tc>
        <w:tc>
          <w:tcPr>
            <w:tcW w:w="512" w:type="dxa"/>
          </w:tcPr>
          <w:p>
            <w:pPr/>
          </w:p>
        </w:tc>
        <w:tc>
          <w:tcPr>
            <w:tcW w:w="512" w:type="dxa"/>
          </w:tcPr>
          <w:p>
            <w:pPr/>
          </w:p>
        </w:tc>
        <w:tc>
          <w:tcPr>
            <w:tcW w:w="512" w:type="dxa"/>
          </w:tcPr>
          <w:p>
            <w:pPr/>
          </w:p>
        </w:tc>
        <w:tc>
          <w:tcPr>
            <w:tcW w:w="512" w:type="dxa"/>
          </w:tcPr>
          <w:p>
            <w:pPr/>
          </w:p>
        </w:tc>
        <w:tc>
          <w:tcPr>
            <w:tcW w:w="460" w:type="dxa"/>
          </w:tcPr>
          <w:p>
            <w:pPr/>
          </w:p>
        </w:tc>
        <w:tc>
          <w:tcPr>
            <w:tcW w:w="461" w:type="dxa"/>
          </w:tcPr>
          <w:p>
            <w:pPr>
              <w:pStyle w:val="TableParagraph"/>
              <w:spacing w:before="9"/>
              <w:rPr>
                <w:sz w:val="22"/>
              </w:rPr>
            </w:pPr>
          </w:p>
          <w:p>
            <w:pPr>
              <w:pStyle w:val="TableParagraph"/>
              <w:spacing w:before="1"/>
              <w:ind w:left="184"/>
              <w:rPr>
                <w:sz w:val="24"/>
              </w:rPr>
            </w:pPr>
            <w:r>
              <w:rPr>
                <w:w w:val="99"/>
                <w:sz w:val="24"/>
              </w:rPr>
              <w:t>•</w:t>
            </w:r>
          </w:p>
        </w:tc>
        <w:tc>
          <w:tcPr>
            <w:tcW w:w="460" w:type="dxa"/>
          </w:tcPr>
          <w:p>
            <w:pPr/>
          </w:p>
        </w:tc>
        <w:tc>
          <w:tcPr>
            <w:tcW w:w="408" w:type="dxa"/>
          </w:tcPr>
          <w:p>
            <w:pPr/>
          </w:p>
        </w:tc>
        <w:tc>
          <w:tcPr>
            <w:tcW w:w="412" w:type="dxa"/>
          </w:tcPr>
          <w:p>
            <w:pPr/>
          </w:p>
        </w:tc>
        <w:tc>
          <w:tcPr>
            <w:tcW w:w="460" w:type="dxa"/>
          </w:tcPr>
          <w:p>
            <w:pPr/>
          </w:p>
        </w:tc>
        <w:tc>
          <w:tcPr>
            <w:tcW w:w="460" w:type="dxa"/>
          </w:tcPr>
          <w:p>
            <w:pPr/>
          </w:p>
        </w:tc>
        <w:tc>
          <w:tcPr>
            <w:tcW w:w="456" w:type="dxa"/>
          </w:tcPr>
          <w:p>
            <w:pPr>
              <w:pStyle w:val="TableParagraph"/>
              <w:spacing w:before="9"/>
              <w:rPr>
                <w:sz w:val="22"/>
              </w:rPr>
            </w:pPr>
          </w:p>
          <w:p>
            <w:pPr>
              <w:pStyle w:val="TableParagraph"/>
              <w:spacing w:before="1"/>
              <w:ind w:right="179"/>
              <w:jc w:val="right"/>
              <w:rPr>
                <w:sz w:val="24"/>
              </w:rPr>
            </w:pPr>
            <w:r>
              <w:rPr>
                <w:w w:val="99"/>
                <w:sz w:val="24"/>
              </w:rPr>
              <w:t>•</w:t>
            </w:r>
          </w:p>
        </w:tc>
        <w:tc>
          <w:tcPr>
            <w:tcW w:w="461" w:type="dxa"/>
          </w:tcPr>
          <w:p>
            <w:pPr/>
          </w:p>
        </w:tc>
        <w:tc>
          <w:tcPr>
            <w:tcW w:w="460" w:type="dxa"/>
          </w:tcPr>
          <w:p>
            <w:pPr/>
          </w:p>
        </w:tc>
      </w:tr>
      <w:tr>
        <w:trPr>
          <w:trHeight w:val="720" w:hRule="exact"/>
        </w:trPr>
        <w:tc>
          <w:tcPr>
            <w:tcW w:w="660" w:type="dxa"/>
            <w:vMerge w:val="restart"/>
            <w:textDirection w:val="btLr"/>
          </w:tcPr>
          <w:p>
            <w:pPr>
              <w:pStyle w:val="TableParagraph"/>
              <w:spacing w:line="247" w:lineRule="auto" w:before="107"/>
              <w:ind w:left="116" w:right="291"/>
              <w:rPr>
                <w:sz w:val="24"/>
              </w:rPr>
            </w:pPr>
            <w:r>
              <w:rPr>
                <w:w w:val="99"/>
                <w:sz w:val="24"/>
              </w:rPr>
              <w:t>S</w:t>
            </w:r>
            <w:r>
              <w:rPr>
                <w:spacing w:val="-2"/>
                <w:w w:val="99"/>
                <w:sz w:val="24"/>
              </w:rPr>
              <w:t>o</w:t>
            </w:r>
            <w:r>
              <w:rPr>
                <w:w w:val="99"/>
                <w:sz w:val="24"/>
              </w:rPr>
              <w:t>c</w:t>
            </w:r>
            <w:r>
              <w:rPr>
                <w:spacing w:val="-2"/>
                <w:w w:val="99"/>
                <w:sz w:val="24"/>
              </w:rPr>
              <w:t>io</w:t>
            </w:r>
            <w:r>
              <w:rPr>
                <w:w w:val="99"/>
                <w:sz w:val="24"/>
              </w:rPr>
              <w:t>- </w:t>
            </w:r>
            <w:r>
              <w:rPr>
                <w:spacing w:val="-2"/>
                <w:w w:val="99"/>
                <w:sz w:val="24"/>
              </w:rPr>
              <w:t>e</w:t>
            </w:r>
            <w:r>
              <w:rPr>
                <w:w w:val="99"/>
                <w:sz w:val="24"/>
              </w:rPr>
              <w:t>c</w:t>
            </w:r>
            <w:r>
              <w:rPr>
                <w:spacing w:val="-2"/>
                <w:w w:val="99"/>
                <w:sz w:val="24"/>
              </w:rPr>
              <w:t>o</w:t>
            </w:r>
            <w:r>
              <w:rPr>
                <w:spacing w:val="-2"/>
                <w:w w:val="99"/>
                <w:sz w:val="24"/>
              </w:rPr>
              <w:t>nó</w:t>
            </w:r>
            <w:r>
              <w:rPr>
                <w:spacing w:val="3"/>
                <w:w w:val="99"/>
                <w:sz w:val="24"/>
              </w:rPr>
              <w:t>m</w:t>
            </w:r>
            <w:r>
              <w:rPr>
                <w:spacing w:val="-2"/>
                <w:w w:val="99"/>
                <w:sz w:val="24"/>
              </w:rPr>
              <w:t>i</w:t>
            </w:r>
            <w:r>
              <w:rPr>
                <w:w w:val="99"/>
                <w:sz w:val="24"/>
              </w:rPr>
              <w:t>co</w:t>
            </w:r>
          </w:p>
        </w:tc>
        <w:tc>
          <w:tcPr>
            <w:tcW w:w="1436" w:type="dxa"/>
          </w:tcPr>
          <w:p>
            <w:pPr>
              <w:pStyle w:val="TableParagraph"/>
              <w:spacing w:line="242" w:lineRule="auto" w:before="124"/>
              <w:ind w:left="335" w:right="317" w:firstLine="12"/>
              <w:rPr>
                <w:sz w:val="20"/>
              </w:rPr>
            </w:pPr>
            <w:r>
              <w:rPr>
                <w:sz w:val="20"/>
              </w:rPr>
              <w:t>Riesgos Sociales</w:t>
            </w:r>
          </w:p>
        </w:tc>
        <w:tc>
          <w:tcPr>
            <w:tcW w:w="432" w:type="dxa"/>
          </w:tcPr>
          <w:p>
            <w:pPr/>
          </w:p>
        </w:tc>
        <w:tc>
          <w:tcPr>
            <w:tcW w:w="517" w:type="dxa"/>
          </w:tcPr>
          <w:p>
            <w:pPr/>
          </w:p>
        </w:tc>
        <w:tc>
          <w:tcPr>
            <w:tcW w:w="512" w:type="dxa"/>
          </w:tcPr>
          <w:p>
            <w:pPr/>
          </w:p>
        </w:tc>
        <w:tc>
          <w:tcPr>
            <w:tcW w:w="512" w:type="dxa"/>
          </w:tcPr>
          <w:p>
            <w:pPr/>
          </w:p>
        </w:tc>
        <w:tc>
          <w:tcPr>
            <w:tcW w:w="512" w:type="dxa"/>
          </w:tcPr>
          <w:p>
            <w:pPr/>
          </w:p>
        </w:tc>
        <w:tc>
          <w:tcPr>
            <w:tcW w:w="512" w:type="dxa"/>
          </w:tcPr>
          <w:p>
            <w:pPr/>
          </w:p>
        </w:tc>
        <w:tc>
          <w:tcPr>
            <w:tcW w:w="460" w:type="dxa"/>
          </w:tcPr>
          <w:p>
            <w:pPr/>
          </w:p>
        </w:tc>
        <w:tc>
          <w:tcPr>
            <w:tcW w:w="461" w:type="dxa"/>
          </w:tcPr>
          <w:p>
            <w:pPr/>
          </w:p>
        </w:tc>
        <w:tc>
          <w:tcPr>
            <w:tcW w:w="460" w:type="dxa"/>
          </w:tcPr>
          <w:p>
            <w:pPr/>
          </w:p>
        </w:tc>
        <w:tc>
          <w:tcPr>
            <w:tcW w:w="408" w:type="dxa"/>
          </w:tcPr>
          <w:p>
            <w:pPr/>
          </w:p>
        </w:tc>
        <w:tc>
          <w:tcPr>
            <w:tcW w:w="412" w:type="dxa"/>
          </w:tcPr>
          <w:p>
            <w:pPr/>
          </w:p>
        </w:tc>
        <w:tc>
          <w:tcPr>
            <w:tcW w:w="460" w:type="dxa"/>
          </w:tcPr>
          <w:p>
            <w:pPr/>
          </w:p>
        </w:tc>
        <w:tc>
          <w:tcPr>
            <w:tcW w:w="460" w:type="dxa"/>
          </w:tcPr>
          <w:p>
            <w:pPr/>
          </w:p>
        </w:tc>
        <w:tc>
          <w:tcPr>
            <w:tcW w:w="456" w:type="dxa"/>
          </w:tcPr>
          <w:p>
            <w:pPr>
              <w:pStyle w:val="TableParagraph"/>
              <w:spacing w:before="215"/>
              <w:ind w:right="179"/>
              <w:jc w:val="right"/>
              <w:rPr>
                <w:sz w:val="24"/>
              </w:rPr>
            </w:pPr>
            <w:r>
              <w:rPr>
                <w:w w:val="99"/>
                <w:sz w:val="24"/>
              </w:rPr>
              <w:t>•</w:t>
            </w:r>
          </w:p>
        </w:tc>
        <w:tc>
          <w:tcPr>
            <w:tcW w:w="461" w:type="dxa"/>
          </w:tcPr>
          <w:p>
            <w:pPr>
              <w:pStyle w:val="TableParagraph"/>
              <w:spacing w:before="215"/>
              <w:ind w:left="184"/>
              <w:rPr>
                <w:sz w:val="24"/>
              </w:rPr>
            </w:pPr>
            <w:r>
              <w:rPr>
                <w:w w:val="99"/>
                <w:sz w:val="24"/>
              </w:rPr>
              <w:t>•</w:t>
            </w:r>
          </w:p>
        </w:tc>
        <w:tc>
          <w:tcPr>
            <w:tcW w:w="460" w:type="dxa"/>
          </w:tcPr>
          <w:p>
            <w:pPr>
              <w:pStyle w:val="TableParagraph"/>
              <w:spacing w:before="215"/>
              <w:jc w:val="center"/>
              <w:rPr>
                <w:sz w:val="24"/>
              </w:rPr>
            </w:pPr>
            <w:r>
              <w:rPr>
                <w:w w:val="99"/>
                <w:sz w:val="24"/>
              </w:rPr>
              <w:t>•</w:t>
            </w:r>
          </w:p>
        </w:tc>
      </w:tr>
      <w:tr>
        <w:trPr>
          <w:trHeight w:val="869" w:hRule="exact"/>
        </w:trPr>
        <w:tc>
          <w:tcPr>
            <w:tcW w:w="660" w:type="dxa"/>
            <w:vMerge/>
            <w:textDirection w:val="btLr"/>
          </w:tcPr>
          <w:p>
            <w:pPr/>
          </w:p>
        </w:tc>
        <w:tc>
          <w:tcPr>
            <w:tcW w:w="1436" w:type="dxa"/>
          </w:tcPr>
          <w:p>
            <w:pPr>
              <w:pStyle w:val="TableParagraph"/>
              <w:spacing w:before="1"/>
              <w:rPr>
                <w:sz w:val="17"/>
              </w:rPr>
            </w:pPr>
          </w:p>
          <w:p>
            <w:pPr>
              <w:pStyle w:val="TableParagraph"/>
              <w:spacing w:line="242" w:lineRule="auto"/>
              <w:ind w:left="456" w:right="138" w:hanging="325"/>
              <w:rPr>
                <w:sz w:val="20"/>
              </w:rPr>
            </w:pPr>
            <w:r>
              <w:rPr>
                <w:sz w:val="20"/>
              </w:rPr>
              <w:t>Riesgos a la Salud</w:t>
            </w:r>
          </w:p>
        </w:tc>
        <w:tc>
          <w:tcPr>
            <w:tcW w:w="432" w:type="dxa"/>
          </w:tcPr>
          <w:p>
            <w:pPr>
              <w:pStyle w:val="TableParagraph"/>
              <w:rPr>
                <w:sz w:val="25"/>
              </w:rPr>
            </w:pPr>
          </w:p>
          <w:p>
            <w:pPr>
              <w:pStyle w:val="TableParagraph"/>
              <w:ind w:right="3"/>
              <w:jc w:val="center"/>
              <w:rPr>
                <w:sz w:val="24"/>
              </w:rPr>
            </w:pPr>
            <w:r>
              <w:rPr>
                <w:w w:val="99"/>
                <w:sz w:val="24"/>
              </w:rPr>
              <w:t>•</w:t>
            </w:r>
          </w:p>
        </w:tc>
        <w:tc>
          <w:tcPr>
            <w:tcW w:w="517" w:type="dxa"/>
          </w:tcPr>
          <w:p>
            <w:pPr>
              <w:pStyle w:val="TableParagraph"/>
              <w:rPr>
                <w:sz w:val="25"/>
              </w:rPr>
            </w:pPr>
          </w:p>
          <w:p>
            <w:pPr>
              <w:pStyle w:val="TableParagraph"/>
              <w:ind w:right="5"/>
              <w:jc w:val="center"/>
              <w:rPr>
                <w:sz w:val="24"/>
              </w:rPr>
            </w:pPr>
            <w:r>
              <w:rPr>
                <w:w w:val="99"/>
                <w:sz w:val="24"/>
              </w:rPr>
              <w:t>•</w:t>
            </w:r>
          </w:p>
        </w:tc>
        <w:tc>
          <w:tcPr>
            <w:tcW w:w="512" w:type="dxa"/>
          </w:tcPr>
          <w:p>
            <w:pPr>
              <w:pStyle w:val="TableParagraph"/>
              <w:rPr>
                <w:sz w:val="25"/>
              </w:rPr>
            </w:pPr>
          </w:p>
          <w:p>
            <w:pPr>
              <w:pStyle w:val="TableParagraph"/>
              <w:ind w:left="208"/>
              <w:rPr>
                <w:sz w:val="24"/>
              </w:rPr>
            </w:pPr>
            <w:r>
              <w:rPr>
                <w:w w:val="99"/>
                <w:sz w:val="24"/>
              </w:rPr>
              <w:t>•</w:t>
            </w:r>
          </w:p>
        </w:tc>
        <w:tc>
          <w:tcPr>
            <w:tcW w:w="512" w:type="dxa"/>
          </w:tcPr>
          <w:p>
            <w:pPr>
              <w:pStyle w:val="TableParagraph"/>
              <w:rPr>
                <w:sz w:val="25"/>
              </w:rPr>
            </w:pPr>
          </w:p>
          <w:p>
            <w:pPr>
              <w:pStyle w:val="TableParagraph"/>
              <w:ind w:right="211"/>
              <w:jc w:val="right"/>
              <w:rPr>
                <w:sz w:val="24"/>
              </w:rPr>
            </w:pPr>
            <w:r>
              <w:rPr>
                <w:w w:val="99"/>
                <w:sz w:val="24"/>
              </w:rPr>
              <w:t>•</w:t>
            </w:r>
          </w:p>
        </w:tc>
        <w:tc>
          <w:tcPr>
            <w:tcW w:w="512" w:type="dxa"/>
          </w:tcPr>
          <w:p>
            <w:pPr>
              <w:pStyle w:val="TableParagraph"/>
              <w:rPr>
                <w:sz w:val="25"/>
              </w:rPr>
            </w:pPr>
          </w:p>
          <w:p>
            <w:pPr>
              <w:pStyle w:val="TableParagraph"/>
              <w:ind w:right="1"/>
              <w:jc w:val="center"/>
              <w:rPr>
                <w:sz w:val="24"/>
              </w:rPr>
            </w:pPr>
            <w:r>
              <w:rPr>
                <w:w w:val="99"/>
                <w:sz w:val="24"/>
              </w:rPr>
              <w:t>•</w:t>
            </w:r>
          </w:p>
        </w:tc>
        <w:tc>
          <w:tcPr>
            <w:tcW w:w="512" w:type="dxa"/>
          </w:tcPr>
          <w:p>
            <w:pPr>
              <w:pStyle w:val="TableParagraph"/>
              <w:rPr>
                <w:sz w:val="25"/>
              </w:rPr>
            </w:pPr>
          </w:p>
          <w:p>
            <w:pPr>
              <w:pStyle w:val="TableParagraph"/>
              <w:ind w:right="3"/>
              <w:jc w:val="center"/>
              <w:rPr>
                <w:sz w:val="24"/>
              </w:rPr>
            </w:pPr>
            <w:r>
              <w:rPr>
                <w:w w:val="99"/>
                <w:sz w:val="24"/>
              </w:rPr>
              <w:t>•</w:t>
            </w:r>
          </w:p>
        </w:tc>
        <w:tc>
          <w:tcPr>
            <w:tcW w:w="460" w:type="dxa"/>
          </w:tcPr>
          <w:p>
            <w:pPr/>
          </w:p>
        </w:tc>
        <w:tc>
          <w:tcPr>
            <w:tcW w:w="461" w:type="dxa"/>
          </w:tcPr>
          <w:p>
            <w:pPr>
              <w:pStyle w:val="TableParagraph"/>
              <w:rPr>
                <w:sz w:val="25"/>
              </w:rPr>
            </w:pPr>
          </w:p>
          <w:p>
            <w:pPr>
              <w:pStyle w:val="TableParagraph"/>
              <w:ind w:left="184"/>
              <w:rPr>
                <w:sz w:val="24"/>
              </w:rPr>
            </w:pPr>
            <w:r>
              <w:rPr>
                <w:w w:val="99"/>
                <w:sz w:val="24"/>
              </w:rPr>
              <w:t>•</w:t>
            </w:r>
          </w:p>
        </w:tc>
        <w:tc>
          <w:tcPr>
            <w:tcW w:w="460" w:type="dxa"/>
          </w:tcPr>
          <w:p>
            <w:pPr>
              <w:pStyle w:val="TableParagraph"/>
              <w:rPr>
                <w:sz w:val="25"/>
              </w:rPr>
            </w:pPr>
          </w:p>
          <w:p>
            <w:pPr>
              <w:pStyle w:val="TableParagraph"/>
              <w:jc w:val="center"/>
              <w:rPr>
                <w:sz w:val="24"/>
              </w:rPr>
            </w:pPr>
            <w:r>
              <w:rPr>
                <w:w w:val="99"/>
                <w:sz w:val="24"/>
              </w:rPr>
              <w:t>•</w:t>
            </w:r>
          </w:p>
        </w:tc>
        <w:tc>
          <w:tcPr>
            <w:tcW w:w="408" w:type="dxa"/>
          </w:tcPr>
          <w:p>
            <w:pPr>
              <w:pStyle w:val="TableParagraph"/>
              <w:spacing w:line="275" w:lineRule="exact"/>
              <w:ind w:right="155"/>
              <w:jc w:val="right"/>
              <w:rPr>
                <w:sz w:val="24"/>
              </w:rPr>
            </w:pPr>
            <w:r>
              <w:rPr>
                <w:w w:val="99"/>
                <w:sz w:val="24"/>
              </w:rPr>
              <w:t>•</w:t>
            </w:r>
          </w:p>
        </w:tc>
        <w:tc>
          <w:tcPr>
            <w:tcW w:w="412" w:type="dxa"/>
          </w:tcPr>
          <w:p>
            <w:pPr>
              <w:pStyle w:val="TableParagraph"/>
              <w:spacing w:line="275" w:lineRule="exact"/>
              <w:jc w:val="center"/>
              <w:rPr>
                <w:sz w:val="24"/>
              </w:rPr>
            </w:pPr>
            <w:r>
              <w:rPr>
                <w:w w:val="99"/>
                <w:sz w:val="24"/>
              </w:rPr>
              <w:t>•</w:t>
            </w:r>
          </w:p>
        </w:tc>
        <w:tc>
          <w:tcPr>
            <w:tcW w:w="460" w:type="dxa"/>
          </w:tcPr>
          <w:p>
            <w:pPr/>
          </w:p>
        </w:tc>
        <w:tc>
          <w:tcPr>
            <w:tcW w:w="460" w:type="dxa"/>
          </w:tcPr>
          <w:p>
            <w:pPr/>
          </w:p>
        </w:tc>
        <w:tc>
          <w:tcPr>
            <w:tcW w:w="456" w:type="dxa"/>
          </w:tcPr>
          <w:p>
            <w:pPr>
              <w:pStyle w:val="TableParagraph"/>
              <w:rPr>
                <w:sz w:val="25"/>
              </w:rPr>
            </w:pPr>
          </w:p>
          <w:p>
            <w:pPr>
              <w:pStyle w:val="TableParagraph"/>
              <w:ind w:right="179"/>
              <w:jc w:val="right"/>
              <w:rPr>
                <w:sz w:val="24"/>
              </w:rPr>
            </w:pPr>
            <w:r>
              <w:rPr>
                <w:w w:val="99"/>
                <w:sz w:val="24"/>
              </w:rPr>
              <w:t>•</w:t>
            </w:r>
          </w:p>
        </w:tc>
        <w:tc>
          <w:tcPr>
            <w:tcW w:w="461" w:type="dxa"/>
          </w:tcPr>
          <w:p>
            <w:pPr>
              <w:pStyle w:val="TableParagraph"/>
              <w:rPr>
                <w:sz w:val="25"/>
              </w:rPr>
            </w:pPr>
          </w:p>
          <w:p>
            <w:pPr>
              <w:pStyle w:val="TableParagraph"/>
              <w:ind w:left="184"/>
              <w:rPr>
                <w:sz w:val="24"/>
              </w:rPr>
            </w:pPr>
            <w:r>
              <w:rPr>
                <w:w w:val="99"/>
                <w:sz w:val="24"/>
              </w:rPr>
              <w:t>•</w:t>
            </w:r>
          </w:p>
        </w:tc>
        <w:tc>
          <w:tcPr>
            <w:tcW w:w="460" w:type="dxa"/>
          </w:tcPr>
          <w:p>
            <w:pPr>
              <w:pStyle w:val="TableParagraph"/>
              <w:rPr>
                <w:sz w:val="25"/>
              </w:rPr>
            </w:pPr>
          </w:p>
          <w:p>
            <w:pPr>
              <w:pStyle w:val="TableParagraph"/>
              <w:jc w:val="center"/>
              <w:rPr>
                <w:sz w:val="24"/>
              </w:rPr>
            </w:pPr>
            <w:r>
              <w:rPr>
                <w:w w:val="99"/>
                <w:sz w:val="24"/>
              </w:rPr>
              <w:t>•</w:t>
            </w:r>
          </w:p>
        </w:tc>
      </w:tr>
    </w:tbl>
    <w:p>
      <w:pPr>
        <w:spacing w:line="226" w:lineRule="exact" w:before="0"/>
        <w:ind w:left="1793" w:right="0" w:firstLine="0"/>
        <w:jc w:val="left"/>
        <w:rPr>
          <w:sz w:val="20"/>
        </w:rPr>
      </w:pPr>
      <w:r>
        <w:rPr>
          <w:sz w:val="20"/>
        </w:rPr>
        <w:t>Tabla 4.1. Matriz de identificación de riesgos, basada en la matriz de Leopold.</w:t>
      </w: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line="360" w:lineRule="auto"/>
        <w:ind w:left="480" w:right="504"/>
        <w:jc w:val="both"/>
      </w:pPr>
      <w:r>
        <w:rPr/>
        <w:t>Debido a que el área se encuentra modificada considerablemente por actividades humanas que ha ocasionado la degradación de la mayoría de los elementos ambientales, se considera que en general, el impacto ocasionado a la flora y fauna</w:t>
      </w:r>
    </w:p>
    <w:p>
      <w:pPr>
        <w:spacing w:after="0" w:line="360" w:lineRule="auto"/>
        <w:jc w:val="both"/>
        <w:sectPr>
          <w:pgSz w:w="12240" w:h="15840"/>
          <w:pgMar w:header="0" w:footer="1071" w:top="1500" w:bottom="1260" w:left="1220" w:right="1200"/>
        </w:sectPr>
      </w:pPr>
    </w:p>
    <w:p>
      <w:pPr>
        <w:pStyle w:val="BodyText"/>
        <w:spacing w:line="360" w:lineRule="auto" w:before="55"/>
        <w:ind w:left="100" w:right="101"/>
        <w:jc w:val="both"/>
      </w:pPr>
      <w:r>
        <w:rPr/>
        <w:t>no es significativo, ya que han modificado las condiciones naturales lo que ocasionó el desplazamiento de los elementos bióticos a sitios que cuenten con las condiciones para su sobrevivencia.</w:t>
      </w:r>
    </w:p>
    <w:p>
      <w:pPr>
        <w:pStyle w:val="BodyText"/>
      </w:pPr>
    </w:p>
    <w:p>
      <w:pPr>
        <w:pStyle w:val="BodyText"/>
        <w:spacing w:line="360" w:lineRule="auto" w:before="142"/>
        <w:ind w:left="100" w:right="105"/>
        <w:jc w:val="both"/>
      </w:pPr>
      <w:r>
        <w:rPr/>
        <w:t>Por otro lado vale la pena resaltar que los efectos en el suelo por el manejo de la materia prima representa un impacto medio para la población, los animales y cultivos, ya que aunque algunos favorezcan al crecimiento de la vegetación, otros resultan perjudiciales, situación que puede darse también en los escurrimientos presentes en la zona.</w:t>
      </w:r>
    </w:p>
    <w:p>
      <w:pPr>
        <w:pStyle w:val="BodyText"/>
      </w:pPr>
    </w:p>
    <w:p>
      <w:pPr>
        <w:pStyle w:val="BodyText"/>
        <w:spacing w:line="360" w:lineRule="auto" w:before="142"/>
        <w:ind w:left="100" w:right="105"/>
        <w:jc w:val="both"/>
      </w:pPr>
      <w:r>
        <w:rPr/>
        <w:t>En lo que se refiere a las condiciones atmosféricas locales es probable que se presente la dispersión de polvos por el estado en el que se encuentra la materia prima, sin embargo no es representativa como para modificar las condiciones microclimáticas.</w:t>
      </w:r>
    </w:p>
    <w:p>
      <w:pPr>
        <w:pStyle w:val="BodyText"/>
      </w:pPr>
    </w:p>
    <w:p>
      <w:pPr>
        <w:pStyle w:val="BodyText"/>
        <w:spacing w:line="360" w:lineRule="auto" w:before="142"/>
        <w:ind w:left="100" w:right="102"/>
        <w:jc w:val="both"/>
      </w:pPr>
      <w:r>
        <w:rPr/>
        <w:t>Finalmente dentro de los impactos ambientales positivos identificados se encuentran los relativos a los beneficios económicos que la actividad aporta a la comunidad, favoreciendo sus condiciones de vida.</w:t>
      </w:r>
    </w:p>
    <w:p>
      <w:pPr>
        <w:pStyle w:val="BodyText"/>
      </w:pPr>
    </w:p>
    <w:p>
      <w:pPr>
        <w:pStyle w:val="BodyText"/>
      </w:pPr>
    </w:p>
    <w:p>
      <w:pPr>
        <w:pStyle w:val="BodyText"/>
        <w:spacing w:before="10"/>
        <w:rPr>
          <w:sz w:val="23"/>
        </w:rPr>
      </w:pPr>
    </w:p>
    <w:p>
      <w:pPr>
        <w:pStyle w:val="Heading2"/>
        <w:numPr>
          <w:ilvl w:val="2"/>
          <w:numId w:val="8"/>
        </w:numPr>
        <w:tabs>
          <w:tab w:pos="1409" w:val="left" w:leader="none"/>
        </w:tabs>
        <w:spacing w:line="240" w:lineRule="auto" w:before="0" w:after="0"/>
        <w:ind w:left="1409" w:right="0" w:hanging="600"/>
        <w:jc w:val="left"/>
      </w:pPr>
      <w:r>
        <w:rPr/>
        <w:t>DESCRIPCIÓN DEL PROCESO</w:t>
      </w:r>
      <w:r>
        <w:rPr>
          <w:spacing w:val="-12"/>
        </w:rPr>
        <w:t> </w:t>
      </w:r>
      <w:r>
        <w:rPr/>
        <w:t>PRODUCTIVO.</w:t>
      </w:r>
    </w:p>
    <w:p>
      <w:pPr>
        <w:pStyle w:val="BodyText"/>
        <w:rPr>
          <w:b/>
        </w:rPr>
      </w:pPr>
    </w:p>
    <w:p>
      <w:pPr>
        <w:pStyle w:val="BodyText"/>
        <w:spacing w:before="3"/>
        <w:rPr>
          <w:b/>
        </w:rPr>
      </w:pPr>
    </w:p>
    <w:p>
      <w:pPr>
        <w:pStyle w:val="BodyText"/>
        <w:spacing w:line="360" w:lineRule="auto" w:before="1"/>
        <w:ind w:left="100" w:right="102"/>
        <w:jc w:val="both"/>
      </w:pPr>
      <w:r>
        <w:rPr/>
        <w:t>La producción de material pirotécnico es considerada una actividad artesanal ya que no cuenta con sistemas de control de procesos establecidos, carece de normalización en sus actividades y la producción no es en serie. Los artificios son elaborados de forma manual en base a técnicas y conocimientos ancestrales, aprendidos de generación en generación mediante la inserción al rol de trabajo de los familiares de menor edad.</w:t>
      </w:r>
    </w:p>
    <w:p>
      <w:pPr>
        <w:spacing w:after="0" w:line="360" w:lineRule="auto"/>
        <w:jc w:val="both"/>
        <w:sectPr>
          <w:pgSz w:w="12240" w:h="15840"/>
          <w:pgMar w:header="0" w:footer="1071" w:top="1360" w:bottom="1260" w:left="1600" w:right="1600"/>
        </w:sectPr>
      </w:pPr>
    </w:p>
    <w:p>
      <w:pPr>
        <w:pStyle w:val="BodyText"/>
        <w:ind w:left="185"/>
        <w:rPr>
          <w:sz w:val="20"/>
        </w:rPr>
      </w:pPr>
      <w:r>
        <w:rPr>
          <w:sz w:val="20"/>
        </w:rPr>
        <w:drawing>
          <wp:inline distT="0" distB="0" distL="0" distR="0">
            <wp:extent cx="5564045" cy="3700653"/>
            <wp:effectExtent l="0" t="0" r="0" b="0"/>
            <wp:docPr id="63" name="image22.jpeg" descr=""/>
            <wp:cNvGraphicFramePr>
              <a:graphicFrameLocks noChangeAspect="1"/>
            </wp:cNvGraphicFramePr>
            <a:graphic>
              <a:graphicData uri="http://schemas.openxmlformats.org/drawingml/2006/picture">
                <pic:pic>
                  <pic:nvPicPr>
                    <pic:cNvPr id="64" name="image22.jpeg"/>
                    <pic:cNvPicPr/>
                  </pic:nvPicPr>
                  <pic:blipFill>
                    <a:blip r:embed="rId37" cstate="print"/>
                    <a:stretch>
                      <a:fillRect/>
                    </a:stretch>
                  </pic:blipFill>
                  <pic:spPr>
                    <a:xfrm>
                      <a:off x="0" y="0"/>
                      <a:ext cx="5564045" cy="3700653"/>
                    </a:xfrm>
                    <a:prstGeom prst="rect">
                      <a:avLst/>
                    </a:prstGeom>
                  </pic:spPr>
                </pic:pic>
              </a:graphicData>
            </a:graphic>
          </wp:inline>
        </w:drawing>
      </w:r>
      <w:r>
        <w:rPr>
          <w:sz w:val="20"/>
        </w:rPr>
      </w:r>
    </w:p>
    <w:p>
      <w:pPr>
        <w:spacing w:before="82"/>
        <w:ind w:left="2561" w:right="9" w:firstLine="0"/>
        <w:jc w:val="left"/>
        <w:rPr>
          <w:sz w:val="20"/>
        </w:rPr>
      </w:pPr>
      <w:r>
        <w:rPr>
          <w:sz w:val="20"/>
        </w:rPr>
        <w:t>Figura 4.6. Pirotécnico de San Mateo Tlalchichilpan.</w:t>
      </w:r>
    </w:p>
    <w:p>
      <w:pPr>
        <w:pStyle w:val="BodyText"/>
        <w:rPr>
          <w:sz w:val="20"/>
        </w:rPr>
      </w:pPr>
    </w:p>
    <w:p>
      <w:pPr>
        <w:pStyle w:val="BodyText"/>
        <w:spacing w:before="3"/>
        <w:rPr>
          <w:sz w:val="26"/>
        </w:rPr>
      </w:pPr>
    </w:p>
    <w:p>
      <w:pPr>
        <w:pStyle w:val="BodyText"/>
        <w:spacing w:line="360" w:lineRule="auto"/>
        <w:ind w:left="100" w:right="99"/>
        <w:jc w:val="both"/>
      </w:pPr>
      <w:r>
        <w:rPr/>
        <w:t>La tecnología ha evolucionado, sin embargo pocos maestros pirotécnicos invierten en tecnología y consideran adecuados los equipos con los que cuentan para las necesidades de su labor.</w:t>
      </w:r>
    </w:p>
    <w:p>
      <w:pPr>
        <w:pStyle w:val="BodyText"/>
      </w:pPr>
    </w:p>
    <w:p>
      <w:pPr>
        <w:pStyle w:val="BodyText"/>
        <w:spacing w:line="360" w:lineRule="auto" w:before="142"/>
        <w:ind w:left="100" w:right="98"/>
        <w:jc w:val="both"/>
      </w:pPr>
      <w:r>
        <w:rPr/>
        <w:t>Existen fundamentalmente cuatro etapas del proceso, la fabricación, el transporte, armado del espectáculo y la quema del material pirotécnico, la primera se lleva a cabo en las instalaciones del taller pirotécnico, sin embargo las otras etapas varían de región, por lo que evaluarlas se torna complejo por el lugar donde se han de desarrollar. Es por ello que en el presente trabajo y con los fines planteados se estudió únicamente la fabricación.</w:t>
      </w:r>
    </w:p>
    <w:p>
      <w:pPr>
        <w:spacing w:after="0" w:line="360" w:lineRule="auto"/>
        <w:jc w:val="both"/>
        <w:sectPr>
          <w:pgSz w:w="12240" w:h="15840"/>
          <w:pgMar w:header="0" w:footer="1071" w:top="1420" w:bottom="1260" w:left="1600" w:right="1600"/>
        </w:sectPr>
      </w:pPr>
    </w:p>
    <w:p>
      <w:pPr>
        <w:pStyle w:val="BodyText"/>
        <w:ind w:left="111"/>
        <w:rPr>
          <w:sz w:val="20"/>
        </w:rPr>
      </w:pPr>
      <w:r>
        <w:rPr>
          <w:sz w:val="20"/>
        </w:rPr>
        <w:drawing>
          <wp:inline distT="0" distB="0" distL="0" distR="0">
            <wp:extent cx="6222652" cy="4612195"/>
            <wp:effectExtent l="0" t="0" r="0" b="0"/>
            <wp:docPr id="65" name="image23.jpeg" descr=""/>
            <wp:cNvGraphicFramePr>
              <a:graphicFrameLocks noChangeAspect="1"/>
            </wp:cNvGraphicFramePr>
            <a:graphic>
              <a:graphicData uri="http://schemas.openxmlformats.org/drawingml/2006/picture">
                <pic:pic>
                  <pic:nvPicPr>
                    <pic:cNvPr id="66" name="image23.jpeg"/>
                    <pic:cNvPicPr/>
                  </pic:nvPicPr>
                  <pic:blipFill>
                    <a:blip r:embed="rId38" cstate="print"/>
                    <a:stretch>
                      <a:fillRect/>
                    </a:stretch>
                  </pic:blipFill>
                  <pic:spPr>
                    <a:xfrm>
                      <a:off x="0" y="0"/>
                      <a:ext cx="6222652" cy="4612195"/>
                    </a:xfrm>
                    <a:prstGeom prst="rect">
                      <a:avLst/>
                    </a:prstGeom>
                  </pic:spPr>
                </pic:pic>
              </a:graphicData>
            </a:graphic>
          </wp:inline>
        </w:drawing>
      </w:r>
      <w:r>
        <w:rPr>
          <w:sz w:val="20"/>
        </w:rPr>
      </w:r>
    </w:p>
    <w:p>
      <w:pPr>
        <w:spacing w:before="130"/>
        <w:ind w:left="2353" w:right="0" w:firstLine="0"/>
        <w:jc w:val="left"/>
        <w:rPr>
          <w:sz w:val="20"/>
        </w:rPr>
      </w:pPr>
      <w:r>
        <w:rPr>
          <w:sz w:val="20"/>
        </w:rPr>
        <w:t>Figura 4.7. Diagrama de la actividad pirotecnica.</w:t>
      </w:r>
    </w:p>
    <w:p>
      <w:pPr>
        <w:spacing w:after="0"/>
        <w:jc w:val="left"/>
        <w:rPr>
          <w:sz w:val="20"/>
        </w:rPr>
        <w:sectPr>
          <w:pgSz w:w="12240" w:h="15840"/>
          <w:pgMar w:header="0" w:footer="1071" w:top="1420" w:bottom="1260" w:left="1620" w:right="600"/>
        </w:sectPr>
      </w:pPr>
    </w:p>
    <w:p>
      <w:pPr>
        <w:pStyle w:val="Heading2"/>
      </w:pPr>
      <w:r>
        <w:rPr/>
        <w:t>ETAPAS DEL PROCESO PRODUCTIVO.</w:t>
      </w:r>
    </w:p>
    <w:p>
      <w:pPr>
        <w:pStyle w:val="BodyText"/>
        <w:rPr>
          <w:b/>
        </w:rPr>
      </w:pPr>
    </w:p>
    <w:p>
      <w:pPr>
        <w:pStyle w:val="BodyText"/>
        <w:spacing w:before="3"/>
        <w:rPr>
          <w:b/>
        </w:rPr>
      </w:pPr>
    </w:p>
    <w:p>
      <w:pPr>
        <w:pStyle w:val="BodyText"/>
        <w:spacing w:before="1"/>
        <w:ind w:left="100"/>
      </w:pPr>
      <w:r>
        <w:rPr/>
        <w:t>FABRICACIÓN.</w:t>
      </w:r>
    </w:p>
    <w:p>
      <w:pPr>
        <w:pStyle w:val="BodyText"/>
        <w:rPr>
          <w:sz w:val="20"/>
        </w:rPr>
      </w:pPr>
    </w:p>
    <w:p>
      <w:pPr>
        <w:pStyle w:val="BodyText"/>
        <w:spacing w:before="1"/>
        <w:rPr>
          <w:sz w:val="28"/>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61"/>
        <w:gridCol w:w="6718"/>
      </w:tblGrid>
      <w:tr>
        <w:trPr>
          <w:trHeight w:val="496" w:hRule="exact"/>
        </w:trPr>
        <w:tc>
          <w:tcPr>
            <w:tcW w:w="3261" w:type="dxa"/>
            <w:tcBorders>
              <w:bottom w:val="single" w:sz="3" w:space="0" w:color="000000"/>
              <w:right w:val="single" w:sz="3" w:space="0" w:color="000000"/>
            </w:tcBorders>
          </w:tcPr>
          <w:p>
            <w:pPr>
              <w:pStyle w:val="TableParagraph"/>
              <w:spacing w:before="46"/>
              <w:ind w:left="55" w:right="51"/>
              <w:rPr>
                <w:b/>
                <w:sz w:val="22"/>
              </w:rPr>
            </w:pPr>
            <w:r>
              <w:rPr>
                <w:b/>
                <w:sz w:val="22"/>
              </w:rPr>
              <w:t>ACCIONES</w:t>
            </w:r>
          </w:p>
        </w:tc>
        <w:tc>
          <w:tcPr>
            <w:tcW w:w="6718" w:type="dxa"/>
            <w:tcBorders>
              <w:left w:val="single" w:sz="3" w:space="0" w:color="000000"/>
              <w:bottom w:val="single" w:sz="3" w:space="0" w:color="000000"/>
            </w:tcBorders>
          </w:tcPr>
          <w:p>
            <w:pPr>
              <w:pStyle w:val="TableParagraph"/>
              <w:spacing w:before="46"/>
              <w:ind w:left="51" w:right="63"/>
              <w:rPr>
                <w:b/>
                <w:sz w:val="22"/>
              </w:rPr>
            </w:pPr>
            <w:r>
              <w:rPr>
                <w:b/>
                <w:sz w:val="22"/>
              </w:rPr>
              <w:t>CARACTERISTICAS</w:t>
            </w:r>
          </w:p>
        </w:tc>
      </w:tr>
      <w:tr>
        <w:trPr>
          <w:trHeight w:val="876" w:hRule="exact"/>
        </w:trPr>
        <w:tc>
          <w:tcPr>
            <w:tcW w:w="3261" w:type="dxa"/>
            <w:tcBorders>
              <w:top w:val="single" w:sz="3" w:space="0" w:color="000000"/>
              <w:bottom w:val="single" w:sz="3" w:space="0" w:color="000000"/>
              <w:right w:val="single" w:sz="3" w:space="0" w:color="000000"/>
            </w:tcBorders>
          </w:tcPr>
          <w:p>
            <w:pPr>
              <w:pStyle w:val="TableParagraph"/>
              <w:spacing w:line="360" w:lineRule="auto" w:before="49"/>
              <w:ind w:left="55" w:right="51"/>
              <w:rPr>
                <w:sz w:val="22"/>
              </w:rPr>
            </w:pPr>
            <w:r>
              <w:rPr>
                <w:sz w:val="22"/>
              </w:rPr>
              <w:t>Selección y compra de materias primas</w:t>
            </w:r>
          </w:p>
        </w:tc>
        <w:tc>
          <w:tcPr>
            <w:tcW w:w="6718" w:type="dxa"/>
            <w:tcBorders>
              <w:top w:val="single" w:sz="3" w:space="0" w:color="000000"/>
              <w:left w:val="single" w:sz="3" w:space="0" w:color="000000"/>
              <w:bottom w:val="single" w:sz="3" w:space="0" w:color="000000"/>
            </w:tcBorders>
          </w:tcPr>
          <w:p>
            <w:pPr>
              <w:pStyle w:val="TableParagraph"/>
              <w:spacing w:line="360" w:lineRule="auto" w:before="49"/>
              <w:ind w:left="51" w:right="63"/>
              <w:rPr>
                <w:sz w:val="22"/>
              </w:rPr>
            </w:pPr>
            <w:r>
              <w:rPr>
                <w:sz w:val="22"/>
              </w:rPr>
              <w:t>Existen casas proveedoras por lo que en muchos casos el material se obtiene cerca, normalmente son polvos químicos.</w:t>
            </w:r>
          </w:p>
        </w:tc>
      </w:tr>
      <w:tr>
        <w:trPr>
          <w:trHeight w:val="880" w:hRule="exact"/>
        </w:trPr>
        <w:tc>
          <w:tcPr>
            <w:tcW w:w="3261" w:type="dxa"/>
            <w:tcBorders>
              <w:top w:val="single" w:sz="3" w:space="0" w:color="000000"/>
              <w:bottom w:val="single" w:sz="3" w:space="0" w:color="000000"/>
              <w:right w:val="single" w:sz="3" w:space="0" w:color="000000"/>
            </w:tcBorders>
          </w:tcPr>
          <w:p>
            <w:pPr>
              <w:pStyle w:val="TableParagraph"/>
              <w:spacing w:before="53"/>
              <w:ind w:left="55" w:right="51"/>
              <w:rPr>
                <w:sz w:val="22"/>
              </w:rPr>
            </w:pPr>
            <w:r>
              <w:rPr>
                <w:sz w:val="22"/>
              </w:rPr>
              <w:t>Preparación de mezclas</w:t>
            </w:r>
          </w:p>
        </w:tc>
        <w:tc>
          <w:tcPr>
            <w:tcW w:w="6718" w:type="dxa"/>
            <w:tcBorders>
              <w:top w:val="single" w:sz="3" w:space="0" w:color="000000"/>
              <w:left w:val="single" w:sz="3" w:space="0" w:color="000000"/>
              <w:bottom w:val="single" w:sz="3" w:space="0" w:color="000000"/>
            </w:tcBorders>
          </w:tcPr>
          <w:p>
            <w:pPr>
              <w:pStyle w:val="TableParagraph"/>
              <w:spacing w:line="357" w:lineRule="auto" w:before="53"/>
              <w:ind w:left="51" w:right="63"/>
              <w:rPr>
                <w:sz w:val="22"/>
              </w:rPr>
            </w:pPr>
            <w:r>
              <w:rPr>
                <w:sz w:val="22"/>
              </w:rPr>
              <w:t>Únicamente el maestro pirotécnico conoce las cantidades a pesar, se pesan los productos y se dejan preparados.</w:t>
            </w:r>
          </w:p>
        </w:tc>
      </w:tr>
      <w:tr>
        <w:trPr>
          <w:trHeight w:val="880" w:hRule="exact"/>
        </w:trPr>
        <w:tc>
          <w:tcPr>
            <w:tcW w:w="3261" w:type="dxa"/>
            <w:tcBorders>
              <w:top w:val="single" w:sz="3" w:space="0" w:color="000000"/>
              <w:bottom w:val="single" w:sz="3" w:space="0" w:color="000000"/>
              <w:right w:val="single" w:sz="3" w:space="0" w:color="000000"/>
            </w:tcBorders>
          </w:tcPr>
          <w:p>
            <w:pPr>
              <w:pStyle w:val="TableParagraph"/>
              <w:spacing w:line="360" w:lineRule="auto" w:before="50"/>
              <w:ind w:left="55"/>
              <w:rPr>
                <w:sz w:val="22"/>
              </w:rPr>
            </w:pPr>
            <w:r>
              <w:rPr>
                <w:sz w:val="22"/>
              </w:rPr>
              <w:t>Molienda de nitrato de potasio y carbón</w:t>
            </w:r>
          </w:p>
        </w:tc>
        <w:tc>
          <w:tcPr>
            <w:tcW w:w="6718" w:type="dxa"/>
            <w:tcBorders>
              <w:top w:val="single" w:sz="3" w:space="0" w:color="000000"/>
              <w:left w:val="single" w:sz="3" w:space="0" w:color="000000"/>
              <w:bottom w:val="single" w:sz="3" w:space="0" w:color="000000"/>
            </w:tcBorders>
          </w:tcPr>
          <w:p>
            <w:pPr>
              <w:pStyle w:val="TableParagraph"/>
              <w:spacing w:line="360" w:lineRule="auto" w:before="50"/>
              <w:ind w:left="51" w:right="63"/>
              <w:rPr>
                <w:sz w:val="22"/>
              </w:rPr>
            </w:pPr>
            <w:r>
              <w:rPr>
                <w:sz w:val="22"/>
              </w:rPr>
              <w:t>Se colocan estos materiales en un barril con piedras de rio, las cuales al girar realizan la función de un molino de bolas.</w:t>
            </w:r>
          </w:p>
        </w:tc>
      </w:tr>
      <w:tr>
        <w:trPr>
          <w:trHeight w:val="1256" w:hRule="exact"/>
        </w:trPr>
        <w:tc>
          <w:tcPr>
            <w:tcW w:w="3261" w:type="dxa"/>
            <w:tcBorders>
              <w:top w:val="single" w:sz="3" w:space="0" w:color="000000"/>
              <w:bottom w:val="single" w:sz="3" w:space="0" w:color="000000"/>
              <w:right w:val="single" w:sz="3" w:space="0" w:color="000000"/>
            </w:tcBorders>
          </w:tcPr>
          <w:p>
            <w:pPr>
              <w:pStyle w:val="TableParagraph"/>
              <w:spacing w:line="360" w:lineRule="auto" w:before="49"/>
              <w:ind w:left="55"/>
              <w:rPr>
                <w:sz w:val="22"/>
              </w:rPr>
            </w:pPr>
            <w:r>
              <w:rPr>
                <w:sz w:val="22"/>
              </w:rPr>
              <w:t>Mezclado de componentes para formación de efectos</w:t>
            </w:r>
          </w:p>
        </w:tc>
        <w:tc>
          <w:tcPr>
            <w:tcW w:w="6718" w:type="dxa"/>
            <w:tcBorders>
              <w:top w:val="single" w:sz="3" w:space="0" w:color="000000"/>
              <w:left w:val="single" w:sz="3" w:space="0" w:color="000000"/>
              <w:bottom w:val="single" w:sz="3" w:space="0" w:color="000000"/>
            </w:tcBorders>
          </w:tcPr>
          <w:p>
            <w:pPr>
              <w:pStyle w:val="TableParagraph"/>
              <w:spacing w:line="360" w:lineRule="auto" w:before="49"/>
              <w:ind w:left="51" w:right="53"/>
              <w:jc w:val="both"/>
              <w:rPr>
                <w:sz w:val="22"/>
              </w:rPr>
            </w:pPr>
            <w:r>
              <w:rPr>
                <w:sz w:val="22"/>
              </w:rPr>
              <w:t>Se mezclan diversos químicos en polvo y dependiendo el material  a elaborar será el número de componentes y </w:t>
            </w:r>
            <w:r>
              <w:rPr>
                <w:spacing w:val="2"/>
                <w:sz w:val="22"/>
              </w:rPr>
              <w:t>el </w:t>
            </w:r>
            <w:r>
              <w:rPr>
                <w:sz w:val="22"/>
              </w:rPr>
              <w:t>peso de los  mismos</w:t>
            </w:r>
          </w:p>
        </w:tc>
      </w:tr>
      <w:tr>
        <w:trPr>
          <w:trHeight w:val="880" w:hRule="exact"/>
        </w:trPr>
        <w:tc>
          <w:tcPr>
            <w:tcW w:w="3261" w:type="dxa"/>
            <w:tcBorders>
              <w:top w:val="single" w:sz="3" w:space="0" w:color="000000"/>
              <w:bottom w:val="single" w:sz="3" w:space="0" w:color="000000"/>
              <w:right w:val="single" w:sz="3" w:space="0" w:color="000000"/>
            </w:tcBorders>
          </w:tcPr>
          <w:p>
            <w:pPr>
              <w:pStyle w:val="TableParagraph"/>
              <w:spacing w:line="360" w:lineRule="auto" w:before="53"/>
              <w:ind w:left="55" w:right="51"/>
              <w:rPr>
                <w:sz w:val="22"/>
              </w:rPr>
            </w:pPr>
            <w:r>
              <w:rPr>
                <w:sz w:val="22"/>
              </w:rPr>
              <w:t>Tamizado para homogeneizar partículas</w:t>
            </w:r>
          </w:p>
        </w:tc>
        <w:tc>
          <w:tcPr>
            <w:tcW w:w="6718" w:type="dxa"/>
            <w:tcBorders>
              <w:top w:val="single" w:sz="3" w:space="0" w:color="000000"/>
              <w:left w:val="single" w:sz="3" w:space="0" w:color="000000"/>
              <w:bottom w:val="single" w:sz="3" w:space="0" w:color="000000"/>
            </w:tcBorders>
          </w:tcPr>
          <w:p>
            <w:pPr>
              <w:pStyle w:val="TableParagraph"/>
              <w:tabs>
                <w:tab w:pos="523" w:val="left" w:leader="none"/>
                <w:tab w:pos="1366" w:val="left" w:leader="none"/>
                <w:tab w:pos="3364" w:val="left" w:leader="none"/>
                <w:tab w:pos="5358" w:val="left" w:leader="none"/>
                <w:tab w:pos="5806" w:val="left" w:leader="none"/>
              </w:tabs>
              <w:spacing w:line="360" w:lineRule="auto" w:before="53"/>
              <w:ind w:left="51" w:right="63"/>
              <w:rPr>
                <w:sz w:val="22"/>
              </w:rPr>
            </w:pPr>
            <w:r>
              <w:rPr>
                <w:sz w:val="22"/>
              </w:rPr>
              <w:t>Se</w:t>
              <w:tab/>
              <w:t>tamiza</w:t>
              <w:tab/>
            </w:r>
            <w:r>
              <w:rPr>
                <w:spacing w:val="2"/>
                <w:sz w:val="22"/>
              </w:rPr>
              <w:t>el  </w:t>
            </w:r>
            <w:r>
              <w:rPr>
                <w:spacing w:val="8"/>
                <w:sz w:val="22"/>
              </w:rPr>
              <w:t> </w:t>
            </w:r>
            <w:r>
              <w:rPr>
                <w:sz w:val="22"/>
              </w:rPr>
              <w:t>material  </w:t>
            </w:r>
            <w:r>
              <w:rPr>
                <w:spacing w:val="12"/>
                <w:sz w:val="22"/>
              </w:rPr>
              <w:t> </w:t>
            </w:r>
            <w:r>
              <w:rPr>
                <w:sz w:val="22"/>
              </w:rPr>
              <w:t>para</w:t>
              <w:tab/>
              <w:t>obtener  </w:t>
            </w:r>
            <w:r>
              <w:rPr>
                <w:spacing w:val="11"/>
                <w:sz w:val="22"/>
              </w:rPr>
              <w:t> </w:t>
            </w:r>
            <w:r>
              <w:rPr>
                <w:sz w:val="22"/>
              </w:rPr>
              <w:t>tamaños</w:t>
              <w:tab/>
              <w:t>de</w:t>
              <w:tab/>
            </w:r>
            <w:r>
              <w:rPr>
                <w:spacing w:val="-1"/>
                <w:sz w:val="22"/>
              </w:rPr>
              <w:t>partícula </w:t>
            </w:r>
            <w:r>
              <w:rPr>
                <w:sz w:val="22"/>
              </w:rPr>
              <w:t>homogéneos.</w:t>
            </w:r>
          </w:p>
        </w:tc>
      </w:tr>
      <w:tr>
        <w:trPr>
          <w:trHeight w:val="880" w:hRule="exact"/>
        </w:trPr>
        <w:tc>
          <w:tcPr>
            <w:tcW w:w="3261" w:type="dxa"/>
            <w:tcBorders>
              <w:top w:val="single" w:sz="3" w:space="0" w:color="000000"/>
              <w:bottom w:val="single" w:sz="3" w:space="0" w:color="000000"/>
              <w:right w:val="single" w:sz="3" w:space="0" w:color="000000"/>
            </w:tcBorders>
          </w:tcPr>
          <w:p>
            <w:pPr>
              <w:pStyle w:val="TableParagraph"/>
              <w:spacing w:before="49"/>
              <w:ind w:left="55" w:right="51"/>
              <w:rPr>
                <w:sz w:val="22"/>
              </w:rPr>
            </w:pPr>
            <w:r>
              <w:rPr>
                <w:sz w:val="22"/>
              </w:rPr>
              <w:t>Llenado de cartuchos</w:t>
            </w:r>
          </w:p>
        </w:tc>
        <w:tc>
          <w:tcPr>
            <w:tcW w:w="6718" w:type="dxa"/>
            <w:tcBorders>
              <w:top w:val="single" w:sz="3" w:space="0" w:color="000000"/>
              <w:left w:val="single" w:sz="3" w:space="0" w:color="000000"/>
              <w:bottom w:val="single" w:sz="3" w:space="0" w:color="000000"/>
            </w:tcBorders>
          </w:tcPr>
          <w:p>
            <w:pPr>
              <w:pStyle w:val="TableParagraph"/>
              <w:spacing w:line="360" w:lineRule="auto" w:before="49"/>
              <w:ind w:left="51" w:right="63"/>
              <w:rPr>
                <w:sz w:val="22"/>
              </w:rPr>
            </w:pPr>
            <w:r>
              <w:rPr>
                <w:sz w:val="22"/>
              </w:rPr>
              <w:t>Las cantidades no son medidas con exactitud y se llenan los tubos manualmente compactando los polvos en base a martilleo directo.</w:t>
            </w:r>
          </w:p>
        </w:tc>
      </w:tr>
      <w:tr>
        <w:trPr>
          <w:trHeight w:val="1256" w:hRule="exact"/>
        </w:trPr>
        <w:tc>
          <w:tcPr>
            <w:tcW w:w="3261" w:type="dxa"/>
            <w:tcBorders>
              <w:top w:val="single" w:sz="3" w:space="0" w:color="000000"/>
              <w:bottom w:val="single" w:sz="3" w:space="0" w:color="000000"/>
              <w:right w:val="single" w:sz="3" w:space="0" w:color="000000"/>
            </w:tcBorders>
          </w:tcPr>
          <w:p>
            <w:pPr>
              <w:pStyle w:val="TableParagraph"/>
              <w:tabs>
                <w:tab w:pos="1474" w:val="left" w:leader="none"/>
                <w:tab w:pos="1997" w:val="left" w:leader="none"/>
                <w:tab w:pos="3092" w:val="left" w:leader="none"/>
              </w:tabs>
              <w:spacing w:line="360" w:lineRule="auto" w:before="50"/>
              <w:ind w:left="55" w:right="52"/>
              <w:rPr>
                <w:sz w:val="22"/>
              </w:rPr>
            </w:pPr>
            <w:r>
              <w:rPr>
                <w:sz w:val="22"/>
              </w:rPr>
              <w:t>Fabricación</w:t>
              <w:tab/>
              <w:t>de</w:t>
              <w:tab/>
              <w:t>estrellas</w:t>
              <w:tab/>
              <w:t>y cometas</w:t>
            </w:r>
          </w:p>
        </w:tc>
        <w:tc>
          <w:tcPr>
            <w:tcW w:w="6718" w:type="dxa"/>
            <w:tcBorders>
              <w:top w:val="single" w:sz="3" w:space="0" w:color="000000"/>
              <w:left w:val="single" w:sz="3" w:space="0" w:color="000000"/>
              <w:bottom w:val="single" w:sz="3" w:space="0" w:color="000000"/>
            </w:tcBorders>
          </w:tcPr>
          <w:p>
            <w:pPr>
              <w:pStyle w:val="TableParagraph"/>
              <w:spacing w:line="360" w:lineRule="auto" w:before="50"/>
              <w:ind w:left="51" w:right="65"/>
              <w:jc w:val="both"/>
              <w:rPr>
                <w:sz w:val="22"/>
              </w:rPr>
            </w:pPr>
            <w:r>
              <w:rPr>
                <w:sz w:val="22"/>
              </w:rPr>
              <w:t>Se realiza en una hoya girando en la cual colocan semilla de algodón, pólvora y sales metálicas humedeciéndolas con alcohol u otro solvente.</w:t>
            </w:r>
          </w:p>
        </w:tc>
      </w:tr>
      <w:tr>
        <w:trPr>
          <w:trHeight w:val="500" w:hRule="exact"/>
        </w:trPr>
        <w:tc>
          <w:tcPr>
            <w:tcW w:w="3261" w:type="dxa"/>
            <w:tcBorders>
              <w:top w:val="single" w:sz="3" w:space="0" w:color="000000"/>
              <w:bottom w:val="single" w:sz="3" w:space="0" w:color="000000"/>
              <w:right w:val="single" w:sz="3" w:space="0" w:color="000000"/>
            </w:tcBorders>
          </w:tcPr>
          <w:p>
            <w:pPr>
              <w:pStyle w:val="TableParagraph"/>
              <w:spacing w:before="53"/>
              <w:ind w:left="55" w:right="51"/>
              <w:rPr>
                <w:sz w:val="22"/>
              </w:rPr>
            </w:pPr>
            <w:r>
              <w:rPr>
                <w:sz w:val="22"/>
              </w:rPr>
              <w:t>Secado de componentes</w:t>
            </w:r>
          </w:p>
        </w:tc>
        <w:tc>
          <w:tcPr>
            <w:tcW w:w="6718" w:type="dxa"/>
            <w:tcBorders>
              <w:top w:val="single" w:sz="3" w:space="0" w:color="000000"/>
              <w:left w:val="single" w:sz="3" w:space="0" w:color="000000"/>
              <w:bottom w:val="single" w:sz="3" w:space="0" w:color="000000"/>
            </w:tcBorders>
          </w:tcPr>
          <w:p>
            <w:pPr>
              <w:pStyle w:val="TableParagraph"/>
              <w:spacing w:before="53"/>
              <w:ind w:left="51"/>
              <w:rPr>
                <w:sz w:val="22"/>
              </w:rPr>
            </w:pPr>
            <w:r>
              <w:rPr>
                <w:sz w:val="22"/>
              </w:rPr>
              <w:t>Se colocan los materiales en rejillas al sol para secar los solventes.</w:t>
            </w:r>
          </w:p>
        </w:tc>
      </w:tr>
      <w:tr>
        <w:trPr>
          <w:trHeight w:val="1257" w:hRule="exact"/>
        </w:trPr>
        <w:tc>
          <w:tcPr>
            <w:tcW w:w="3261" w:type="dxa"/>
            <w:tcBorders>
              <w:top w:val="single" w:sz="3" w:space="0" w:color="000000"/>
              <w:right w:val="single" w:sz="3" w:space="0" w:color="000000"/>
            </w:tcBorders>
          </w:tcPr>
          <w:p>
            <w:pPr>
              <w:pStyle w:val="TableParagraph"/>
              <w:spacing w:line="357" w:lineRule="auto" w:before="53"/>
              <w:ind w:left="55" w:right="51"/>
              <w:rPr>
                <w:sz w:val="22"/>
              </w:rPr>
            </w:pPr>
            <w:r>
              <w:rPr>
                <w:sz w:val="22"/>
              </w:rPr>
              <w:t>Fabricación de armazones y colocado de luces</w:t>
            </w:r>
          </w:p>
        </w:tc>
        <w:tc>
          <w:tcPr>
            <w:tcW w:w="6718" w:type="dxa"/>
            <w:tcBorders>
              <w:top w:val="single" w:sz="3" w:space="0" w:color="000000"/>
              <w:left w:val="single" w:sz="3" w:space="0" w:color="000000"/>
            </w:tcBorders>
          </w:tcPr>
          <w:p>
            <w:pPr>
              <w:pStyle w:val="TableParagraph"/>
              <w:spacing w:line="360" w:lineRule="auto" w:before="53"/>
              <w:ind w:left="51" w:right="58"/>
              <w:jc w:val="both"/>
              <w:rPr>
                <w:sz w:val="22"/>
              </w:rPr>
            </w:pPr>
            <w:r>
              <w:rPr>
                <w:sz w:val="22"/>
              </w:rPr>
              <w:t>Se dibujan las figuras que se armaran, elaborando en carrizo o aluminio las figuras y en ellas se colocan las luces pirotécnicas sin mecha.</w:t>
            </w:r>
          </w:p>
        </w:tc>
      </w:tr>
    </w:tbl>
    <w:p>
      <w:pPr>
        <w:pStyle w:val="BodyText"/>
        <w:spacing w:before="1"/>
        <w:rPr>
          <w:sz w:val="23"/>
        </w:rPr>
      </w:pPr>
    </w:p>
    <w:p>
      <w:pPr>
        <w:spacing w:before="75"/>
        <w:ind w:left="2081" w:right="0" w:firstLine="0"/>
        <w:jc w:val="left"/>
        <w:rPr>
          <w:sz w:val="20"/>
        </w:rPr>
      </w:pPr>
      <w:r>
        <w:rPr>
          <w:sz w:val="20"/>
        </w:rPr>
        <w:t>Tabla 4.2 Acciones durante la fabricación de pirotecnia</w:t>
      </w:r>
    </w:p>
    <w:p>
      <w:pPr>
        <w:spacing w:after="0"/>
        <w:jc w:val="left"/>
        <w:rPr>
          <w:sz w:val="20"/>
        </w:rPr>
        <w:sectPr>
          <w:pgSz w:w="12240" w:h="15840"/>
          <w:pgMar w:header="0" w:footer="1071" w:top="1360" w:bottom="1260" w:left="1600" w:right="460"/>
        </w:sectPr>
      </w:pPr>
    </w:p>
    <w:p>
      <w:pPr>
        <w:pStyle w:val="Heading2"/>
        <w:numPr>
          <w:ilvl w:val="2"/>
          <w:numId w:val="8"/>
        </w:numPr>
        <w:tabs>
          <w:tab w:pos="1541" w:val="left" w:leader="none"/>
        </w:tabs>
        <w:spacing w:line="240" w:lineRule="auto" w:before="51" w:after="0"/>
        <w:ind w:left="1541" w:right="0" w:hanging="720"/>
        <w:jc w:val="left"/>
      </w:pPr>
      <w:r>
        <w:rPr/>
        <w:t>ANALISIS DE</w:t>
      </w:r>
      <w:r>
        <w:rPr>
          <w:spacing w:val="-3"/>
        </w:rPr>
        <w:t> </w:t>
      </w:r>
      <w:r>
        <w:rPr/>
        <w:t>RIESGOS</w:t>
      </w:r>
    </w:p>
    <w:p>
      <w:pPr>
        <w:pStyle w:val="BodyText"/>
        <w:spacing w:before="6"/>
        <w:rPr>
          <w:b/>
          <w:sz w:val="29"/>
        </w:rPr>
      </w:pPr>
    </w:p>
    <w:p>
      <w:pPr>
        <w:pStyle w:val="ListParagraph"/>
        <w:numPr>
          <w:ilvl w:val="3"/>
          <w:numId w:val="8"/>
        </w:numPr>
        <w:tabs>
          <w:tab w:pos="2341" w:val="left" w:leader="none"/>
        </w:tabs>
        <w:spacing w:line="240" w:lineRule="auto" w:before="0" w:after="0"/>
        <w:ind w:left="2341" w:right="0" w:hanging="800"/>
        <w:jc w:val="left"/>
        <w:rPr>
          <w:b/>
          <w:sz w:val="24"/>
        </w:rPr>
      </w:pPr>
      <w:r>
        <w:rPr>
          <w:b/>
          <w:sz w:val="24"/>
        </w:rPr>
        <w:t>MODELO</w:t>
      </w:r>
      <w:r>
        <w:rPr>
          <w:b/>
          <w:spacing w:val="-11"/>
          <w:sz w:val="24"/>
        </w:rPr>
        <w:t> </w:t>
      </w:r>
      <w:r>
        <w:rPr>
          <w:b/>
          <w:sz w:val="24"/>
        </w:rPr>
        <w:t>CONCEPTUAL.</w:t>
      </w:r>
    </w:p>
    <w:p>
      <w:pPr>
        <w:pStyle w:val="BodyText"/>
        <w:rPr>
          <w:b/>
        </w:rPr>
      </w:pPr>
    </w:p>
    <w:p>
      <w:pPr>
        <w:pStyle w:val="BodyText"/>
        <w:spacing w:before="4"/>
        <w:rPr>
          <w:b/>
        </w:rPr>
      </w:pPr>
    </w:p>
    <w:p>
      <w:pPr>
        <w:pStyle w:val="BodyText"/>
        <w:spacing w:line="360" w:lineRule="auto"/>
        <w:ind w:left="100" w:right="114"/>
        <w:jc w:val="both"/>
      </w:pPr>
      <w:r>
        <w:rPr/>
        <w:t>Sitio de elaboración pirotécnica en las laderas del cerro del Molcajete, cada taller se encuentra rodeado de zonas de cultivo principalmente de maíz, de igual forma existe pastoreo de trashumancia en las inmediaciones de los talleres (Fig. 4.8). Un muestreo de suelos inicial presenta bioindicadores de acidez en el suelo. En tiempos de lluvias los escurrimientos van de la zona pirotécnica a la comunidad de San Mateo Tlalchichilpan.</w:t>
      </w:r>
    </w:p>
    <w:p>
      <w:pPr>
        <w:pStyle w:val="BodyText"/>
        <w:rPr>
          <w:sz w:val="20"/>
        </w:rPr>
      </w:pPr>
    </w:p>
    <w:p>
      <w:pPr>
        <w:pStyle w:val="BodyText"/>
        <w:rPr>
          <w:sz w:val="13"/>
        </w:rPr>
      </w:pPr>
      <w:r>
        <w:rPr/>
        <w:drawing>
          <wp:anchor distT="0" distB="0" distL="0" distR="0" allowOverlap="1" layoutInCell="1" locked="0" behindDoc="0" simplePos="0" relativeHeight="1552">
            <wp:simplePos x="0" y="0"/>
            <wp:positionH relativeFrom="page">
              <wp:posOffset>2028825</wp:posOffset>
            </wp:positionH>
            <wp:positionV relativeFrom="paragraph">
              <wp:posOffset>119822</wp:posOffset>
            </wp:positionV>
            <wp:extent cx="3763551" cy="2409825"/>
            <wp:effectExtent l="0" t="0" r="0" b="0"/>
            <wp:wrapTopAndBottom/>
            <wp:docPr id="67" name="image24.jpeg" descr=""/>
            <wp:cNvGraphicFramePr>
              <a:graphicFrameLocks noChangeAspect="1"/>
            </wp:cNvGraphicFramePr>
            <a:graphic>
              <a:graphicData uri="http://schemas.openxmlformats.org/drawingml/2006/picture">
                <pic:pic>
                  <pic:nvPicPr>
                    <pic:cNvPr id="68" name="image24.jpeg"/>
                    <pic:cNvPicPr/>
                  </pic:nvPicPr>
                  <pic:blipFill>
                    <a:blip r:embed="rId39" cstate="print"/>
                    <a:stretch>
                      <a:fillRect/>
                    </a:stretch>
                  </pic:blipFill>
                  <pic:spPr>
                    <a:xfrm>
                      <a:off x="0" y="0"/>
                      <a:ext cx="3763551" cy="2409825"/>
                    </a:xfrm>
                    <a:prstGeom prst="rect">
                      <a:avLst/>
                    </a:prstGeom>
                  </pic:spPr>
                </pic:pic>
              </a:graphicData>
            </a:graphic>
          </wp:anchor>
        </w:drawing>
      </w:r>
    </w:p>
    <w:p>
      <w:pPr>
        <w:spacing w:before="78"/>
        <w:ind w:left="2297" w:right="0" w:firstLine="0"/>
        <w:jc w:val="left"/>
        <w:rPr>
          <w:sz w:val="20"/>
        </w:rPr>
      </w:pPr>
      <w:r>
        <w:rPr>
          <w:sz w:val="20"/>
        </w:rPr>
        <w:t>Figura 4.8. Talleres pirotecnicos en Tlalchichilpan.</w:t>
      </w:r>
    </w:p>
    <w:p>
      <w:pPr>
        <w:pStyle w:val="BodyText"/>
        <w:rPr>
          <w:sz w:val="20"/>
        </w:rPr>
      </w:pPr>
    </w:p>
    <w:p>
      <w:pPr>
        <w:pStyle w:val="BodyText"/>
        <w:spacing w:before="3"/>
        <w:rPr>
          <w:sz w:val="26"/>
        </w:rPr>
      </w:pPr>
    </w:p>
    <w:p>
      <w:pPr>
        <w:pStyle w:val="BodyText"/>
        <w:spacing w:line="360" w:lineRule="auto"/>
        <w:ind w:left="100" w:right="118"/>
        <w:jc w:val="both"/>
      </w:pPr>
      <w:r>
        <w:rPr/>
        <w:t>La materia prima para la elaboración de la pirotecnia es en polvo, y los trabajadores no utilizan medidas de higiene propicias para la labor, </w:t>
      </w:r>
      <w:r>
        <w:rPr>
          <w:spacing w:val="5"/>
        </w:rPr>
        <w:t>no </w:t>
      </w:r>
      <w:r>
        <w:rPr/>
        <w:t>existen equipos de recuperación de polvos y en el caso de los residuos se incineran debido a la falta de un sistema de recolección y tratamiento de los</w:t>
      </w:r>
      <w:r>
        <w:rPr>
          <w:spacing w:val="-43"/>
        </w:rPr>
        <w:t> </w:t>
      </w:r>
      <w:r>
        <w:rPr/>
        <w:t>mismos.</w:t>
      </w:r>
    </w:p>
    <w:p>
      <w:pPr>
        <w:spacing w:after="0" w:line="360" w:lineRule="auto"/>
        <w:jc w:val="both"/>
        <w:sectPr>
          <w:pgSz w:w="12240" w:h="15840"/>
          <w:pgMar w:header="0" w:footer="1071" w:top="1360" w:bottom="1260" w:left="1600" w:right="1580"/>
        </w:sectPr>
      </w:pPr>
    </w:p>
    <w:p>
      <w:pPr>
        <w:pStyle w:val="BodyText"/>
        <w:ind w:left="131"/>
        <w:rPr>
          <w:sz w:val="20"/>
        </w:rPr>
      </w:pPr>
      <w:r>
        <w:rPr>
          <w:sz w:val="20"/>
        </w:rPr>
        <w:drawing>
          <wp:inline distT="0" distB="0" distL="0" distR="0">
            <wp:extent cx="5656865" cy="3784473"/>
            <wp:effectExtent l="0" t="0" r="0" b="0"/>
            <wp:docPr id="69" name="image25.jpeg" descr=""/>
            <wp:cNvGraphicFramePr>
              <a:graphicFrameLocks noChangeAspect="1"/>
            </wp:cNvGraphicFramePr>
            <a:graphic>
              <a:graphicData uri="http://schemas.openxmlformats.org/drawingml/2006/picture">
                <pic:pic>
                  <pic:nvPicPr>
                    <pic:cNvPr id="70" name="image25.jpeg"/>
                    <pic:cNvPicPr/>
                  </pic:nvPicPr>
                  <pic:blipFill>
                    <a:blip r:embed="rId40" cstate="print"/>
                    <a:stretch>
                      <a:fillRect/>
                    </a:stretch>
                  </pic:blipFill>
                  <pic:spPr>
                    <a:xfrm>
                      <a:off x="0" y="0"/>
                      <a:ext cx="5656865" cy="3784473"/>
                    </a:xfrm>
                    <a:prstGeom prst="rect">
                      <a:avLst/>
                    </a:prstGeom>
                  </pic:spPr>
                </pic:pic>
              </a:graphicData>
            </a:graphic>
          </wp:inline>
        </w:drawing>
      </w:r>
      <w:r>
        <w:rPr>
          <w:sz w:val="20"/>
        </w:rPr>
      </w:r>
    </w:p>
    <w:p>
      <w:pPr>
        <w:spacing w:before="86"/>
        <w:ind w:left="2373" w:right="0" w:firstLine="0"/>
        <w:jc w:val="left"/>
        <w:rPr>
          <w:sz w:val="20"/>
        </w:rPr>
      </w:pPr>
      <w:r>
        <w:rPr>
          <w:sz w:val="20"/>
        </w:rPr>
        <w:t>Figura 4.9. Elaboración de bombas pirotécnicas.</w:t>
      </w:r>
    </w:p>
    <w:p>
      <w:pPr>
        <w:pStyle w:val="BodyText"/>
        <w:rPr>
          <w:sz w:val="20"/>
        </w:rPr>
      </w:pPr>
    </w:p>
    <w:p>
      <w:pPr>
        <w:pStyle w:val="BodyText"/>
        <w:spacing w:before="11"/>
        <w:rPr>
          <w:sz w:val="25"/>
        </w:rPr>
      </w:pPr>
    </w:p>
    <w:p>
      <w:pPr>
        <w:pStyle w:val="BodyText"/>
        <w:spacing w:line="360" w:lineRule="auto"/>
        <w:ind w:left="100" w:right="141"/>
        <w:jc w:val="both"/>
      </w:pPr>
      <w:r>
        <w:rPr/>
        <w:t>En el área poblada de San Mateo Tlalchichilpan se encuentra el cauce de un río rodeado de viviendas. Debido al carácter joven de dicho río y a que la cuenca superior es de un área relativamente pequeña, el riesgo de inundación repentina es</w:t>
      </w:r>
      <w:r>
        <w:rPr>
          <w:spacing w:val="-10"/>
        </w:rPr>
        <w:t> </w:t>
      </w:r>
      <w:r>
        <w:rPr/>
        <w:t>medio.</w:t>
      </w:r>
    </w:p>
    <w:p>
      <w:pPr>
        <w:pStyle w:val="BodyText"/>
      </w:pPr>
    </w:p>
    <w:p>
      <w:pPr>
        <w:pStyle w:val="BodyText"/>
      </w:pPr>
    </w:p>
    <w:p>
      <w:pPr>
        <w:pStyle w:val="BodyText"/>
        <w:spacing w:before="9"/>
        <w:rPr>
          <w:sz w:val="23"/>
        </w:rPr>
      </w:pPr>
    </w:p>
    <w:p>
      <w:pPr>
        <w:pStyle w:val="Heading2"/>
        <w:spacing w:before="0"/>
        <w:jc w:val="both"/>
      </w:pPr>
      <w:r>
        <w:rPr/>
        <w:t>Probable fuente de contaminación</w:t>
      </w:r>
    </w:p>
    <w:p>
      <w:pPr>
        <w:pStyle w:val="BodyText"/>
        <w:rPr>
          <w:b/>
        </w:rPr>
      </w:pPr>
    </w:p>
    <w:p>
      <w:pPr>
        <w:pStyle w:val="BodyText"/>
        <w:spacing w:before="4"/>
        <w:rPr>
          <w:b/>
        </w:rPr>
      </w:pPr>
    </w:p>
    <w:p>
      <w:pPr>
        <w:pStyle w:val="ListParagraph"/>
        <w:numPr>
          <w:ilvl w:val="2"/>
          <w:numId w:val="7"/>
        </w:numPr>
        <w:tabs>
          <w:tab w:pos="820" w:val="left" w:leader="none"/>
          <w:tab w:pos="821" w:val="left" w:leader="none"/>
        </w:tabs>
        <w:spacing w:line="240" w:lineRule="auto" w:before="0" w:after="0"/>
        <w:ind w:left="821" w:right="0" w:hanging="361"/>
        <w:jc w:val="left"/>
        <w:rPr>
          <w:sz w:val="24"/>
        </w:rPr>
      </w:pPr>
      <w:r>
        <w:rPr>
          <w:sz w:val="24"/>
        </w:rPr>
        <w:t>Taller de elaboración</w:t>
      </w:r>
      <w:r>
        <w:rPr>
          <w:spacing w:val="-21"/>
          <w:sz w:val="24"/>
        </w:rPr>
        <w:t> </w:t>
      </w:r>
      <w:r>
        <w:rPr>
          <w:sz w:val="24"/>
        </w:rPr>
        <w:t>pirotécnica.</w:t>
      </w:r>
    </w:p>
    <w:p>
      <w:pPr>
        <w:pStyle w:val="BodyText"/>
        <w:spacing w:before="6"/>
        <w:rPr>
          <w:sz w:val="29"/>
        </w:rPr>
      </w:pPr>
    </w:p>
    <w:p>
      <w:pPr>
        <w:pStyle w:val="ListParagraph"/>
        <w:numPr>
          <w:ilvl w:val="2"/>
          <w:numId w:val="7"/>
        </w:numPr>
        <w:tabs>
          <w:tab w:pos="820" w:val="left" w:leader="none"/>
          <w:tab w:pos="821" w:val="left" w:leader="none"/>
        </w:tabs>
        <w:spacing w:line="357" w:lineRule="auto" w:before="0" w:after="0"/>
        <w:ind w:left="821" w:right="142" w:hanging="361"/>
        <w:jc w:val="left"/>
        <w:rPr>
          <w:sz w:val="24"/>
        </w:rPr>
      </w:pPr>
      <w:r>
        <w:rPr>
          <w:sz w:val="24"/>
        </w:rPr>
        <w:t>Sin puerta, piso de tierra, mesas de trabajo y sillas improvisadas, manejo de sustancias sin medidas de</w:t>
      </w:r>
      <w:r>
        <w:rPr>
          <w:spacing w:val="-20"/>
          <w:sz w:val="24"/>
        </w:rPr>
        <w:t> </w:t>
      </w:r>
      <w:r>
        <w:rPr>
          <w:sz w:val="24"/>
        </w:rPr>
        <w:t>seguridad.</w:t>
      </w:r>
    </w:p>
    <w:p>
      <w:pPr>
        <w:pStyle w:val="ListParagraph"/>
        <w:numPr>
          <w:ilvl w:val="2"/>
          <w:numId w:val="7"/>
        </w:numPr>
        <w:tabs>
          <w:tab w:pos="820" w:val="left" w:leader="none"/>
          <w:tab w:pos="821" w:val="left" w:leader="none"/>
        </w:tabs>
        <w:spacing w:line="240" w:lineRule="auto" w:before="208" w:after="0"/>
        <w:ind w:left="821" w:right="0" w:hanging="361"/>
        <w:jc w:val="left"/>
        <w:rPr>
          <w:sz w:val="24"/>
        </w:rPr>
      </w:pPr>
      <w:r>
        <w:rPr>
          <w:sz w:val="24"/>
        </w:rPr>
        <w:t>Fabricación de los cuartos de elaboración de tabicón con techo de</w:t>
      </w:r>
      <w:r>
        <w:rPr>
          <w:spacing w:val="-38"/>
          <w:sz w:val="24"/>
        </w:rPr>
        <w:t> </w:t>
      </w:r>
      <w:r>
        <w:rPr>
          <w:sz w:val="24"/>
        </w:rPr>
        <w:t>lámina.</w:t>
      </w:r>
    </w:p>
    <w:p>
      <w:pPr>
        <w:pStyle w:val="BodyText"/>
        <w:spacing w:before="3"/>
        <w:rPr>
          <w:sz w:val="29"/>
        </w:rPr>
      </w:pPr>
    </w:p>
    <w:p>
      <w:pPr>
        <w:pStyle w:val="ListParagraph"/>
        <w:numPr>
          <w:ilvl w:val="2"/>
          <w:numId w:val="7"/>
        </w:numPr>
        <w:tabs>
          <w:tab w:pos="820" w:val="left" w:leader="none"/>
          <w:tab w:pos="821" w:val="left" w:leader="none"/>
        </w:tabs>
        <w:spacing w:line="240" w:lineRule="auto" w:before="0" w:after="0"/>
        <w:ind w:left="821" w:right="0" w:hanging="361"/>
        <w:jc w:val="left"/>
        <w:rPr>
          <w:sz w:val="24"/>
        </w:rPr>
      </w:pPr>
      <w:r>
        <w:rPr>
          <w:sz w:val="24"/>
        </w:rPr>
        <w:t>Ventanas amplias sin</w:t>
      </w:r>
      <w:r>
        <w:rPr>
          <w:spacing w:val="-19"/>
          <w:sz w:val="24"/>
        </w:rPr>
        <w:t> </w:t>
      </w:r>
      <w:r>
        <w:rPr>
          <w:sz w:val="24"/>
        </w:rPr>
        <w:t>vidrio.</w:t>
      </w:r>
    </w:p>
    <w:p>
      <w:pPr>
        <w:spacing w:after="0" w:line="240" w:lineRule="auto"/>
        <w:jc w:val="left"/>
        <w:rPr>
          <w:sz w:val="24"/>
        </w:rPr>
        <w:sectPr>
          <w:pgSz w:w="12240" w:h="15840"/>
          <w:pgMar w:header="0" w:footer="1071" w:top="1420" w:bottom="1260" w:left="1600" w:right="1560"/>
        </w:sectPr>
      </w:pPr>
    </w:p>
    <w:p>
      <w:pPr>
        <w:pStyle w:val="ListParagraph"/>
        <w:numPr>
          <w:ilvl w:val="0"/>
          <w:numId w:val="9"/>
        </w:numPr>
        <w:tabs>
          <w:tab w:pos="700" w:val="left" w:leader="none"/>
          <w:tab w:pos="701" w:val="left" w:leader="none"/>
        </w:tabs>
        <w:spacing w:line="240" w:lineRule="auto" w:before="55" w:after="0"/>
        <w:ind w:left="701" w:right="0" w:hanging="361"/>
        <w:jc w:val="left"/>
        <w:rPr>
          <w:sz w:val="24"/>
        </w:rPr>
      </w:pPr>
      <w:r>
        <w:rPr>
          <w:sz w:val="24"/>
        </w:rPr>
        <w:t>Rodeado de zonas de cultivo y</w:t>
      </w:r>
      <w:r>
        <w:rPr>
          <w:spacing w:val="-22"/>
          <w:sz w:val="24"/>
        </w:rPr>
        <w:t> </w:t>
      </w:r>
      <w:r>
        <w:rPr>
          <w:sz w:val="24"/>
        </w:rPr>
        <w:t>pastoreo</w:t>
      </w:r>
    </w:p>
    <w:p>
      <w:pPr>
        <w:pStyle w:val="BodyText"/>
        <w:spacing w:before="6"/>
        <w:rPr>
          <w:sz w:val="29"/>
        </w:rPr>
      </w:pPr>
    </w:p>
    <w:p>
      <w:pPr>
        <w:pStyle w:val="ListParagraph"/>
        <w:numPr>
          <w:ilvl w:val="0"/>
          <w:numId w:val="9"/>
        </w:numPr>
        <w:tabs>
          <w:tab w:pos="700" w:val="left" w:leader="none"/>
          <w:tab w:pos="701" w:val="left" w:leader="none"/>
        </w:tabs>
        <w:spacing w:line="240" w:lineRule="auto" w:before="0" w:after="0"/>
        <w:ind w:left="701" w:right="0" w:hanging="361"/>
        <w:jc w:val="left"/>
        <w:rPr>
          <w:sz w:val="24"/>
        </w:rPr>
      </w:pPr>
      <w:r>
        <w:rPr>
          <w:sz w:val="24"/>
        </w:rPr>
        <w:t>Dentro de estos cuartos se encuentran de 2 a 4 trabajadores por</w:t>
      </w:r>
      <w:r>
        <w:rPr>
          <w:spacing w:val="-38"/>
          <w:sz w:val="24"/>
        </w:rPr>
        <w:t> </w:t>
      </w:r>
      <w:r>
        <w:rPr>
          <w:sz w:val="24"/>
        </w:rPr>
        <w:t>jornada.</w:t>
      </w:r>
    </w:p>
    <w:p>
      <w:pPr>
        <w:pStyle w:val="BodyText"/>
        <w:spacing w:before="11"/>
        <w:rPr>
          <w:sz w:val="25"/>
        </w:rPr>
      </w:pPr>
      <w:r>
        <w:rPr/>
        <w:drawing>
          <wp:anchor distT="0" distB="0" distL="0" distR="0" allowOverlap="1" layoutInCell="1" locked="0" behindDoc="0" simplePos="0" relativeHeight="1576">
            <wp:simplePos x="0" y="0"/>
            <wp:positionH relativeFrom="page">
              <wp:posOffset>1556385</wp:posOffset>
            </wp:positionH>
            <wp:positionV relativeFrom="paragraph">
              <wp:posOffset>214338</wp:posOffset>
            </wp:positionV>
            <wp:extent cx="5266290" cy="3461766"/>
            <wp:effectExtent l="0" t="0" r="0" b="0"/>
            <wp:wrapTopAndBottom/>
            <wp:docPr id="73" name="image26.jpeg" descr=""/>
            <wp:cNvGraphicFramePr>
              <a:graphicFrameLocks noChangeAspect="1"/>
            </wp:cNvGraphicFramePr>
            <a:graphic>
              <a:graphicData uri="http://schemas.openxmlformats.org/drawingml/2006/picture">
                <pic:pic>
                  <pic:nvPicPr>
                    <pic:cNvPr id="74" name="image26.jpeg"/>
                    <pic:cNvPicPr/>
                  </pic:nvPicPr>
                  <pic:blipFill>
                    <a:blip r:embed="rId42" cstate="print"/>
                    <a:stretch>
                      <a:fillRect/>
                    </a:stretch>
                  </pic:blipFill>
                  <pic:spPr>
                    <a:xfrm>
                      <a:off x="0" y="0"/>
                      <a:ext cx="5266290" cy="3461766"/>
                    </a:xfrm>
                    <a:prstGeom prst="rect">
                      <a:avLst/>
                    </a:prstGeom>
                  </pic:spPr>
                </pic:pic>
              </a:graphicData>
            </a:graphic>
          </wp:anchor>
        </w:drawing>
      </w:r>
    </w:p>
    <w:p>
      <w:pPr>
        <w:spacing w:before="61"/>
        <w:ind w:left="2077" w:right="0" w:firstLine="0"/>
        <w:jc w:val="left"/>
        <w:rPr>
          <w:sz w:val="20"/>
        </w:rPr>
      </w:pPr>
      <w:r>
        <w:rPr>
          <w:sz w:val="20"/>
        </w:rPr>
        <w:t>Figura 4.10. Materia prima para la elaboración de pirotecnia.</w:t>
      </w:r>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2"/>
        <w:numPr>
          <w:ilvl w:val="3"/>
          <w:numId w:val="8"/>
        </w:numPr>
        <w:tabs>
          <w:tab w:pos="2501" w:val="left" w:leader="none"/>
          <w:tab w:pos="2502" w:val="left" w:leader="none"/>
        </w:tabs>
        <w:spacing w:line="240" w:lineRule="auto" w:before="0" w:after="0"/>
        <w:ind w:left="2501" w:right="0" w:hanging="1080"/>
        <w:jc w:val="left"/>
      </w:pPr>
      <w:r>
        <w:rPr/>
        <w:t>IDENTIFICACIÓN DE LOS</w:t>
      </w:r>
      <w:r>
        <w:rPr>
          <w:spacing w:val="-20"/>
        </w:rPr>
        <w:t> </w:t>
      </w:r>
      <w:r>
        <w:rPr/>
        <w:t>CONTAMINANTES</w:t>
      </w:r>
    </w:p>
    <w:p>
      <w:pPr>
        <w:pStyle w:val="BodyText"/>
        <w:spacing w:before="4"/>
        <w:rPr>
          <w:b/>
          <w:sz w:val="26"/>
        </w:rPr>
      </w:pPr>
      <w:r>
        <w:rPr/>
        <w:drawing>
          <wp:anchor distT="0" distB="0" distL="0" distR="0" allowOverlap="1" layoutInCell="1" locked="0" behindDoc="0" simplePos="0" relativeHeight="1600">
            <wp:simplePos x="0" y="0"/>
            <wp:positionH relativeFrom="page">
              <wp:posOffset>1562100</wp:posOffset>
            </wp:positionH>
            <wp:positionV relativeFrom="paragraph">
              <wp:posOffset>217640</wp:posOffset>
            </wp:positionV>
            <wp:extent cx="4683720" cy="2228850"/>
            <wp:effectExtent l="0" t="0" r="0" b="0"/>
            <wp:wrapTopAndBottom/>
            <wp:docPr id="75" name="image27.png" descr=""/>
            <wp:cNvGraphicFramePr>
              <a:graphicFrameLocks noChangeAspect="1"/>
            </wp:cNvGraphicFramePr>
            <a:graphic>
              <a:graphicData uri="http://schemas.openxmlformats.org/drawingml/2006/picture">
                <pic:pic>
                  <pic:nvPicPr>
                    <pic:cNvPr id="76" name="image27.png"/>
                    <pic:cNvPicPr/>
                  </pic:nvPicPr>
                  <pic:blipFill>
                    <a:blip r:embed="rId43" cstate="print"/>
                    <a:stretch>
                      <a:fillRect/>
                    </a:stretch>
                  </pic:blipFill>
                  <pic:spPr>
                    <a:xfrm>
                      <a:off x="0" y="0"/>
                      <a:ext cx="4683720" cy="2228850"/>
                    </a:xfrm>
                    <a:prstGeom prst="rect">
                      <a:avLst/>
                    </a:prstGeom>
                  </pic:spPr>
                </pic:pic>
              </a:graphicData>
            </a:graphic>
          </wp:anchor>
        </w:drawing>
      </w:r>
    </w:p>
    <w:p>
      <w:pPr>
        <w:spacing w:before="97"/>
        <w:ind w:left="1953" w:right="0" w:firstLine="0"/>
        <w:jc w:val="left"/>
        <w:rPr>
          <w:sz w:val="20"/>
        </w:rPr>
      </w:pPr>
      <w:r>
        <w:rPr>
          <w:sz w:val="20"/>
        </w:rPr>
        <w:t>Figura 4.11 Sustancias químicas usadas regularmente.</w:t>
      </w:r>
    </w:p>
    <w:p>
      <w:pPr>
        <w:spacing w:after="0"/>
        <w:jc w:val="left"/>
        <w:rPr>
          <w:sz w:val="20"/>
        </w:rPr>
        <w:sectPr>
          <w:footerReference w:type="default" r:id="rId41"/>
          <w:pgSz w:w="12240" w:h="15840"/>
          <w:pgMar w:footer="1071" w:header="0" w:top="1360" w:bottom="1260" w:left="1720" w:right="1460"/>
        </w:sectPr>
      </w:pPr>
    </w:p>
    <w:p>
      <w:pPr>
        <w:pStyle w:val="Heading2"/>
        <w:spacing w:line="362" w:lineRule="auto"/>
        <w:ind w:right="56" w:firstLine="708"/>
      </w:pPr>
      <w:r>
        <w:rPr/>
        <w:t>Identificación de los mecanismos de liberación y transporte de contaminantes.</w:t>
      </w:r>
    </w:p>
    <w:p>
      <w:pPr>
        <w:pStyle w:val="BodyText"/>
        <w:spacing w:line="360" w:lineRule="auto" w:before="203"/>
        <w:ind w:left="100" w:right="847"/>
        <w:jc w:val="both"/>
      </w:pPr>
      <w:r>
        <w:rPr/>
        <w:t>Todos los materiales se encuentran en polvo finamente dividido por lo que su dispersión se facilita hacia el ambiente. El tipo de explosión que se generaría es el correspondiente a explosión por ignición de polvo combustible en suspensión.</w:t>
      </w:r>
    </w:p>
    <w:p>
      <w:pPr>
        <w:pStyle w:val="BodyText"/>
      </w:pPr>
    </w:p>
    <w:p>
      <w:pPr>
        <w:pStyle w:val="BodyText"/>
        <w:spacing w:line="362" w:lineRule="auto" w:before="142"/>
        <w:ind w:left="100" w:right="847"/>
        <w:jc w:val="both"/>
      </w:pPr>
      <w:r>
        <w:rPr/>
        <w:t>De los materiales combustibles se presentan metales como el Mg, el Al o el Ti, por lo que el riesgo de explosión por chispa electrostática se incrementa.</w:t>
      </w:r>
    </w:p>
    <w:p>
      <w:pPr>
        <w:pStyle w:val="BodyText"/>
      </w:pPr>
    </w:p>
    <w:p>
      <w:pPr>
        <w:pStyle w:val="BodyText"/>
        <w:spacing w:line="360" w:lineRule="auto" w:before="139"/>
        <w:ind w:left="100" w:right="844"/>
        <w:jc w:val="both"/>
      </w:pPr>
      <w:r>
        <w:rPr/>
        <w:t>Durante la fabricación tienden a generar fricción entre materiales en los procesos de tamizado, elaboración de estrellas y armado, de manera igualmente riesgosa encontramos golpeteo en la molienda y el cargado de cartuchos por lo que las probabilidades de explosión se centran en tres factores: electrostática, fricción e impacto.</w:t>
      </w:r>
    </w:p>
    <w:p>
      <w:pPr>
        <w:pStyle w:val="BodyText"/>
        <w:rPr>
          <w:sz w:val="20"/>
        </w:rPr>
      </w:pPr>
    </w:p>
    <w:p>
      <w:pPr>
        <w:pStyle w:val="BodyText"/>
        <w:spacing w:before="10"/>
        <w:rPr>
          <w:sz w:val="12"/>
        </w:rPr>
      </w:pPr>
      <w:r>
        <w:rPr/>
        <w:drawing>
          <wp:anchor distT="0" distB="0" distL="0" distR="0" allowOverlap="1" layoutInCell="1" locked="0" behindDoc="0" simplePos="0" relativeHeight="1624">
            <wp:simplePos x="0" y="0"/>
            <wp:positionH relativeFrom="page">
              <wp:posOffset>1549400</wp:posOffset>
            </wp:positionH>
            <wp:positionV relativeFrom="paragraph">
              <wp:posOffset>119188</wp:posOffset>
            </wp:positionV>
            <wp:extent cx="5611609" cy="2809875"/>
            <wp:effectExtent l="0" t="0" r="0" b="0"/>
            <wp:wrapTopAndBottom/>
            <wp:docPr id="79" name="image28.jpeg" descr=""/>
            <wp:cNvGraphicFramePr>
              <a:graphicFrameLocks noChangeAspect="1"/>
            </wp:cNvGraphicFramePr>
            <a:graphic>
              <a:graphicData uri="http://schemas.openxmlformats.org/drawingml/2006/picture">
                <pic:pic>
                  <pic:nvPicPr>
                    <pic:cNvPr id="80" name="image28.jpeg"/>
                    <pic:cNvPicPr/>
                  </pic:nvPicPr>
                  <pic:blipFill>
                    <a:blip r:embed="rId45" cstate="print"/>
                    <a:stretch>
                      <a:fillRect/>
                    </a:stretch>
                  </pic:blipFill>
                  <pic:spPr>
                    <a:xfrm>
                      <a:off x="0" y="0"/>
                      <a:ext cx="5611609" cy="2809875"/>
                    </a:xfrm>
                    <a:prstGeom prst="rect">
                      <a:avLst/>
                    </a:prstGeom>
                  </pic:spPr>
                </pic:pic>
              </a:graphicData>
            </a:graphic>
          </wp:anchor>
        </w:drawing>
      </w:r>
    </w:p>
    <w:p>
      <w:pPr>
        <w:spacing w:before="101"/>
        <w:ind w:left="1968" w:right="56" w:firstLine="0"/>
        <w:jc w:val="left"/>
        <w:rPr>
          <w:sz w:val="20"/>
        </w:rPr>
      </w:pPr>
      <w:r>
        <w:rPr>
          <w:sz w:val="20"/>
        </w:rPr>
        <w:t>Figura 4.12. Cercanía de casas habitación a talleres pirotécnicos.</w:t>
      </w:r>
    </w:p>
    <w:p>
      <w:pPr>
        <w:pStyle w:val="BodyText"/>
        <w:rPr>
          <w:sz w:val="20"/>
        </w:rPr>
      </w:pPr>
    </w:p>
    <w:p>
      <w:pPr>
        <w:pStyle w:val="BodyText"/>
        <w:spacing w:before="3"/>
        <w:rPr>
          <w:sz w:val="26"/>
        </w:rPr>
      </w:pPr>
    </w:p>
    <w:p>
      <w:pPr>
        <w:pStyle w:val="BodyText"/>
        <w:spacing w:line="360" w:lineRule="auto"/>
        <w:ind w:left="100" w:right="843"/>
        <w:jc w:val="both"/>
      </w:pPr>
      <w:r>
        <w:rPr/>
        <w:t>En caso de una explosión los restos de construcción y el efecto de la sobrepresión podrían alcanzar hasta los 300 metros a la redonda, por lo que es factible un incidente  en  el  conjunto  habitacional  La  Loma,  perteneciente  al  municipio  de</w:t>
      </w:r>
    </w:p>
    <w:p>
      <w:pPr>
        <w:spacing w:after="0" w:line="360" w:lineRule="auto"/>
        <w:jc w:val="both"/>
        <w:sectPr>
          <w:footerReference w:type="default" r:id="rId44"/>
          <w:pgSz w:w="12240" w:h="15840"/>
          <w:pgMar w:footer="1071" w:header="0" w:top="1360" w:bottom="1260" w:left="1600" w:right="860"/>
          <w:pgNumType w:start="61"/>
        </w:sectPr>
      </w:pPr>
    </w:p>
    <w:p>
      <w:pPr>
        <w:pStyle w:val="BodyText"/>
        <w:spacing w:line="360" w:lineRule="auto" w:before="55"/>
        <w:ind w:left="120" w:right="1225"/>
        <w:jc w:val="both"/>
      </w:pPr>
      <w:r>
        <w:rPr/>
        <w:t>Zinacantepec, ya que dentro de los 300 m del taller pirotécnico más cercano hay casi 50 casas esto se observa en la figura 4.12 incrementándose el riesgo de incendio en estas casas de interés social.</w:t>
      </w:r>
    </w:p>
    <w:p>
      <w:pPr>
        <w:pStyle w:val="BodyText"/>
      </w:pPr>
    </w:p>
    <w:p>
      <w:pPr>
        <w:pStyle w:val="BodyText"/>
        <w:spacing w:line="360" w:lineRule="auto" w:before="142"/>
        <w:ind w:left="120" w:right="1221"/>
        <w:jc w:val="both"/>
      </w:pPr>
      <w:r>
        <w:rPr/>
        <w:t>Muchos ciudadanos se han quejado del ruido de las bombas, la caída de ceniza o varas y cartón quemado durante el día, este problema también es común ya que existe material pirotécnico que cae en los techos y patios de estas casas, dado por las pruebas de los materiales y productos terminados que realizan los pirotécnicos como parte del control de calidad, generando una nueva ruta de exposición a las sustancias químicas (Tabla 4.3).</w:t>
      </w:r>
    </w:p>
    <w:p>
      <w:pPr>
        <w:pStyle w:val="BodyText"/>
        <w:rPr>
          <w:sz w:val="20"/>
        </w:rPr>
      </w:pPr>
    </w:p>
    <w:p>
      <w:pPr>
        <w:pStyle w:val="BodyText"/>
        <w:rPr>
          <w:sz w:val="20"/>
        </w:rPr>
      </w:pPr>
    </w:p>
    <w:p>
      <w:pPr>
        <w:pStyle w:val="BodyText"/>
        <w:rPr>
          <w:sz w:val="20"/>
        </w:rPr>
      </w:pPr>
    </w:p>
    <w:p>
      <w:pPr>
        <w:pStyle w:val="BodyText"/>
        <w:spacing w:before="3"/>
        <w:rPr>
          <w:sz w:val="12"/>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80"/>
        <w:gridCol w:w="1781"/>
        <w:gridCol w:w="2481"/>
        <w:gridCol w:w="2301"/>
        <w:gridCol w:w="1785"/>
      </w:tblGrid>
      <w:tr>
        <w:trPr>
          <w:trHeight w:val="921" w:hRule="exact"/>
        </w:trPr>
        <w:tc>
          <w:tcPr>
            <w:tcW w:w="1580" w:type="dxa"/>
          </w:tcPr>
          <w:p>
            <w:pPr>
              <w:pStyle w:val="TableParagraph"/>
              <w:rPr>
                <w:sz w:val="24"/>
              </w:rPr>
            </w:pPr>
          </w:p>
          <w:p>
            <w:pPr>
              <w:pStyle w:val="TableParagraph"/>
              <w:spacing w:before="5"/>
              <w:rPr>
                <w:sz w:val="29"/>
              </w:rPr>
            </w:pPr>
          </w:p>
          <w:p>
            <w:pPr>
              <w:pStyle w:val="TableParagraph"/>
              <w:ind w:left="303"/>
              <w:rPr>
                <w:b/>
                <w:sz w:val="24"/>
              </w:rPr>
            </w:pPr>
            <w:r>
              <w:rPr>
                <w:b/>
                <w:sz w:val="24"/>
              </w:rPr>
              <w:t>FUENTE</w:t>
            </w:r>
          </w:p>
        </w:tc>
        <w:tc>
          <w:tcPr>
            <w:tcW w:w="1781" w:type="dxa"/>
          </w:tcPr>
          <w:p>
            <w:pPr>
              <w:pStyle w:val="TableParagraph"/>
              <w:rPr>
                <w:sz w:val="24"/>
              </w:rPr>
            </w:pPr>
          </w:p>
          <w:p>
            <w:pPr>
              <w:pStyle w:val="TableParagraph"/>
              <w:spacing w:before="5"/>
              <w:rPr>
                <w:sz w:val="29"/>
              </w:rPr>
            </w:pPr>
          </w:p>
          <w:p>
            <w:pPr>
              <w:pStyle w:val="TableParagraph"/>
              <w:ind w:left="184" w:right="75"/>
              <w:rPr>
                <w:b/>
                <w:sz w:val="24"/>
              </w:rPr>
            </w:pPr>
            <w:r>
              <w:rPr>
                <w:b/>
                <w:sz w:val="24"/>
              </w:rPr>
              <w:t>SUSTANCIA</w:t>
            </w:r>
          </w:p>
        </w:tc>
        <w:tc>
          <w:tcPr>
            <w:tcW w:w="2481" w:type="dxa"/>
          </w:tcPr>
          <w:p>
            <w:pPr>
              <w:pStyle w:val="TableParagraph"/>
              <w:spacing w:before="5"/>
              <w:rPr>
                <w:sz w:val="29"/>
              </w:rPr>
            </w:pPr>
          </w:p>
          <w:p>
            <w:pPr>
              <w:pStyle w:val="TableParagraph"/>
              <w:ind w:left="488" w:right="459" w:firstLine="212"/>
              <w:rPr>
                <w:b/>
                <w:sz w:val="24"/>
              </w:rPr>
            </w:pPr>
            <w:r>
              <w:rPr>
                <w:b/>
                <w:sz w:val="24"/>
              </w:rPr>
              <w:t>RUTA DE EXPOSICION</w:t>
            </w:r>
          </w:p>
        </w:tc>
        <w:tc>
          <w:tcPr>
            <w:tcW w:w="2301" w:type="dxa"/>
          </w:tcPr>
          <w:p>
            <w:pPr>
              <w:pStyle w:val="TableParagraph"/>
              <w:spacing w:before="5"/>
              <w:rPr>
                <w:sz w:val="29"/>
              </w:rPr>
            </w:pPr>
          </w:p>
          <w:p>
            <w:pPr>
              <w:pStyle w:val="TableParagraph"/>
              <w:ind w:left="496" w:hanging="73"/>
              <w:rPr>
                <w:b/>
                <w:sz w:val="24"/>
              </w:rPr>
            </w:pPr>
            <w:r>
              <w:rPr>
                <w:b/>
                <w:sz w:val="24"/>
              </w:rPr>
              <w:t>POBLACION EXPUESTA</w:t>
            </w:r>
          </w:p>
        </w:tc>
        <w:tc>
          <w:tcPr>
            <w:tcW w:w="1785" w:type="dxa"/>
          </w:tcPr>
          <w:p>
            <w:pPr>
              <w:pStyle w:val="TableParagraph"/>
              <w:spacing w:before="5"/>
              <w:rPr>
                <w:sz w:val="29"/>
              </w:rPr>
            </w:pPr>
          </w:p>
          <w:p>
            <w:pPr>
              <w:pStyle w:val="TableParagraph"/>
              <w:ind w:left="331" w:right="306" w:firstLine="156"/>
              <w:rPr>
                <w:b/>
                <w:sz w:val="24"/>
              </w:rPr>
            </w:pPr>
            <w:r>
              <w:rPr>
                <w:b/>
                <w:sz w:val="24"/>
              </w:rPr>
              <w:t>VIA DE INGRESO</w:t>
            </w:r>
          </w:p>
        </w:tc>
      </w:tr>
      <w:tr>
        <w:trPr>
          <w:trHeight w:val="440" w:hRule="exact"/>
        </w:trPr>
        <w:tc>
          <w:tcPr>
            <w:tcW w:w="1580"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75"/>
              <w:ind w:left="264" w:firstLine="51"/>
              <w:rPr>
                <w:sz w:val="24"/>
              </w:rPr>
            </w:pPr>
            <w:r>
              <w:rPr>
                <w:sz w:val="24"/>
              </w:rPr>
              <w:t>Taller de pirotecnia</w:t>
            </w:r>
          </w:p>
        </w:tc>
        <w:tc>
          <w:tcPr>
            <w:tcW w:w="1781" w:type="dxa"/>
          </w:tcPr>
          <w:p>
            <w:pPr>
              <w:pStyle w:val="TableParagraph"/>
              <w:spacing w:before="139"/>
              <w:ind w:left="64" w:right="75"/>
              <w:rPr>
                <w:sz w:val="24"/>
              </w:rPr>
            </w:pPr>
            <w:r>
              <w:rPr>
                <w:sz w:val="24"/>
              </w:rPr>
              <w:t>Oxidantes</w:t>
            </w:r>
          </w:p>
        </w:tc>
        <w:tc>
          <w:tcPr>
            <w:tcW w:w="2481" w:type="dxa"/>
            <w:vMerge w:val="restart"/>
          </w:tcPr>
          <w:p>
            <w:pPr>
              <w:pStyle w:val="TableParagraph"/>
              <w:rPr>
                <w:sz w:val="24"/>
              </w:rPr>
            </w:pPr>
          </w:p>
          <w:p>
            <w:pPr>
              <w:pStyle w:val="TableParagraph"/>
              <w:spacing w:before="5"/>
              <w:rPr>
                <w:sz w:val="29"/>
              </w:rPr>
            </w:pPr>
          </w:p>
          <w:p>
            <w:pPr>
              <w:pStyle w:val="TableParagraph"/>
              <w:tabs>
                <w:tab w:pos="2055" w:val="left" w:leader="none"/>
              </w:tabs>
              <w:ind w:left="63" w:right="58" w:firstLine="68"/>
              <w:rPr>
                <w:sz w:val="24"/>
              </w:rPr>
            </w:pPr>
            <w:r>
              <w:rPr>
                <w:sz w:val="24"/>
              </w:rPr>
              <w:t>Manejo en polvo de materiales, permanencia en ropa, ingestión</w:t>
              <w:tab/>
            </w:r>
            <w:r>
              <w:rPr>
                <w:spacing w:val="-1"/>
                <w:sz w:val="24"/>
              </w:rPr>
              <w:t>por</w:t>
            </w:r>
          </w:p>
          <w:p>
            <w:pPr>
              <w:pStyle w:val="TableParagraph"/>
              <w:tabs>
                <w:tab w:pos="2011" w:val="left" w:leader="none"/>
              </w:tabs>
              <w:ind w:left="63" w:right="58"/>
              <w:rPr>
                <w:sz w:val="24"/>
              </w:rPr>
            </w:pPr>
            <w:r>
              <w:rPr>
                <w:sz w:val="24"/>
              </w:rPr>
              <w:t>contacto</w:t>
              <w:tab/>
              <w:t>con alimentos.</w:t>
            </w:r>
          </w:p>
        </w:tc>
        <w:tc>
          <w:tcPr>
            <w:tcW w:w="2301"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75"/>
              <w:ind w:left="64" w:right="55"/>
              <w:jc w:val="both"/>
              <w:rPr>
                <w:sz w:val="24"/>
              </w:rPr>
            </w:pPr>
            <w:r>
              <w:rPr>
                <w:sz w:val="24"/>
              </w:rPr>
              <w:t>Trabajadores y familiares en forma directa.</w:t>
            </w:r>
          </w:p>
          <w:p>
            <w:pPr>
              <w:pStyle w:val="TableParagraph"/>
              <w:rPr>
                <w:sz w:val="24"/>
              </w:rPr>
            </w:pPr>
          </w:p>
          <w:p>
            <w:pPr>
              <w:pStyle w:val="TableParagraph"/>
              <w:tabs>
                <w:tab w:pos="1952" w:val="left" w:leader="none"/>
              </w:tabs>
              <w:ind w:left="64" w:right="57"/>
              <w:jc w:val="both"/>
              <w:rPr>
                <w:sz w:val="24"/>
              </w:rPr>
            </w:pPr>
            <w:r>
              <w:rPr>
                <w:sz w:val="24"/>
              </w:rPr>
              <w:t>Población</w:t>
              <w:tab/>
              <w:t>de Tlalchichilpan, en forma</w:t>
            </w:r>
            <w:r>
              <w:rPr>
                <w:spacing w:val="-13"/>
                <w:sz w:val="24"/>
              </w:rPr>
              <w:t> </w:t>
            </w:r>
            <w:r>
              <w:rPr>
                <w:sz w:val="24"/>
              </w:rPr>
              <w:t>indirecta.</w:t>
            </w:r>
          </w:p>
        </w:tc>
        <w:tc>
          <w:tcPr>
            <w:tcW w:w="1785" w:type="dxa"/>
            <w:vMerge w:val="restart"/>
          </w:tcPr>
          <w:p>
            <w:pPr>
              <w:pStyle w:val="TableParagraph"/>
              <w:rPr>
                <w:sz w:val="24"/>
              </w:rPr>
            </w:pPr>
          </w:p>
          <w:p>
            <w:pPr>
              <w:pStyle w:val="TableParagraph"/>
              <w:rPr>
                <w:sz w:val="24"/>
              </w:rPr>
            </w:pPr>
          </w:p>
          <w:p>
            <w:pPr>
              <w:pStyle w:val="TableParagraph"/>
              <w:rPr>
                <w:sz w:val="24"/>
              </w:rPr>
            </w:pPr>
          </w:p>
          <w:p>
            <w:pPr>
              <w:pStyle w:val="TableParagraph"/>
              <w:spacing w:before="5"/>
              <w:rPr>
                <w:sz w:val="29"/>
              </w:rPr>
            </w:pPr>
          </w:p>
          <w:p>
            <w:pPr>
              <w:pStyle w:val="TableParagraph"/>
              <w:tabs>
                <w:tab w:pos="1587" w:val="left" w:leader="none"/>
              </w:tabs>
              <w:ind w:left="63" w:right="55"/>
              <w:rPr>
                <w:sz w:val="24"/>
              </w:rPr>
            </w:pPr>
            <w:r>
              <w:rPr>
                <w:sz w:val="24"/>
              </w:rPr>
              <w:t>Ingesta, Respiratoria</w:t>
              <w:tab/>
              <w:t>y Dérmica</w:t>
            </w:r>
          </w:p>
        </w:tc>
      </w:tr>
      <w:tr>
        <w:trPr>
          <w:trHeight w:val="848" w:hRule="exact"/>
        </w:trPr>
        <w:tc>
          <w:tcPr>
            <w:tcW w:w="1580" w:type="dxa"/>
            <w:vMerge/>
          </w:tcPr>
          <w:p>
            <w:pPr/>
          </w:p>
        </w:tc>
        <w:tc>
          <w:tcPr>
            <w:tcW w:w="1781" w:type="dxa"/>
          </w:tcPr>
          <w:p>
            <w:pPr>
              <w:pStyle w:val="TableParagraph"/>
              <w:spacing w:before="6"/>
              <w:rPr>
                <w:sz w:val="23"/>
              </w:rPr>
            </w:pPr>
          </w:p>
          <w:p>
            <w:pPr>
              <w:pStyle w:val="TableParagraph"/>
              <w:ind w:left="64" w:right="75"/>
              <w:rPr>
                <w:sz w:val="24"/>
              </w:rPr>
            </w:pPr>
            <w:r>
              <w:rPr>
                <w:sz w:val="24"/>
              </w:rPr>
              <w:t>Sales minerales</w:t>
            </w:r>
          </w:p>
        </w:tc>
        <w:tc>
          <w:tcPr>
            <w:tcW w:w="2481" w:type="dxa"/>
            <w:vMerge/>
          </w:tcPr>
          <w:p>
            <w:pPr/>
          </w:p>
        </w:tc>
        <w:tc>
          <w:tcPr>
            <w:tcW w:w="2301" w:type="dxa"/>
            <w:vMerge/>
          </w:tcPr>
          <w:p>
            <w:pPr/>
          </w:p>
        </w:tc>
        <w:tc>
          <w:tcPr>
            <w:tcW w:w="1785" w:type="dxa"/>
            <w:vMerge/>
          </w:tcPr>
          <w:p>
            <w:pPr/>
          </w:p>
        </w:tc>
      </w:tr>
      <w:tr>
        <w:trPr>
          <w:trHeight w:val="845" w:hRule="exact"/>
        </w:trPr>
        <w:tc>
          <w:tcPr>
            <w:tcW w:w="1580" w:type="dxa"/>
            <w:vMerge/>
          </w:tcPr>
          <w:p>
            <w:pPr/>
          </w:p>
        </w:tc>
        <w:tc>
          <w:tcPr>
            <w:tcW w:w="1781" w:type="dxa"/>
          </w:tcPr>
          <w:p>
            <w:pPr>
              <w:pStyle w:val="TableParagraph"/>
              <w:spacing w:before="2"/>
              <w:rPr>
                <w:sz w:val="23"/>
              </w:rPr>
            </w:pPr>
          </w:p>
          <w:p>
            <w:pPr>
              <w:pStyle w:val="TableParagraph"/>
              <w:tabs>
                <w:tab w:pos="1435" w:val="left" w:leader="none"/>
              </w:tabs>
              <w:ind w:left="64" w:right="57"/>
              <w:rPr>
                <w:sz w:val="24"/>
              </w:rPr>
            </w:pPr>
            <w:r>
              <w:rPr>
                <w:sz w:val="24"/>
              </w:rPr>
              <w:t>Metales</w:t>
              <w:tab/>
              <w:t>en</w:t>
            </w:r>
            <w:r>
              <w:rPr>
                <w:w w:val="99"/>
                <w:sz w:val="24"/>
              </w:rPr>
              <w:t> </w:t>
            </w:r>
            <w:r>
              <w:rPr>
                <w:sz w:val="24"/>
              </w:rPr>
              <w:t>polvo</w:t>
            </w:r>
          </w:p>
        </w:tc>
        <w:tc>
          <w:tcPr>
            <w:tcW w:w="2481" w:type="dxa"/>
            <w:vMerge/>
          </w:tcPr>
          <w:p>
            <w:pPr/>
          </w:p>
        </w:tc>
        <w:tc>
          <w:tcPr>
            <w:tcW w:w="2301" w:type="dxa"/>
            <w:vMerge/>
          </w:tcPr>
          <w:p>
            <w:pPr/>
          </w:p>
        </w:tc>
        <w:tc>
          <w:tcPr>
            <w:tcW w:w="1785" w:type="dxa"/>
            <w:vMerge/>
          </w:tcPr>
          <w:p>
            <w:pPr/>
          </w:p>
        </w:tc>
      </w:tr>
      <w:tr>
        <w:trPr>
          <w:trHeight w:val="440" w:hRule="exact"/>
        </w:trPr>
        <w:tc>
          <w:tcPr>
            <w:tcW w:w="1580" w:type="dxa"/>
            <w:vMerge/>
          </w:tcPr>
          <w:p>
            <w:pPr/>
          </w:p>
        </w:tc>
        <w:tc>
          <w:tcPr>
            <w:tcW w:w="1781" w:type="dxa"/>
          </w:tcPr>
          <w:p>
            <w:pPr>
              <w:pStyle w:val="TableParagraph"/>
              <w:spacing w:before="138"/>
              <w:ind w:left="64" w:right="75"/>
              <w:rPr>
                <w:sz w:val="24"/>
              </w:rPr>
            </w:pPr>
            <w:r>
              <w:rPr>
                <w:sz w:val="24"/>
              </w:rPr>
              <w:t>Combustibles</w:t>
            </w:r>
          </w:p>
        </w:tc>
        <w:tc>
          <w:tcPr>
            <w:tcW w:w="2481" w:type="dxa"/>
            <w:vMerge/>
          </w:tcPr>
          <w:p>
            <w:pPr/>
          </w:p>
        </w:tc>
        <w:tc>
          <w:tcPr>
            <w:tcW w:w="2301" w:type="dxa"/>
            <w:vMerge/>
          </w:tcPr>
          <w:p>
            <w:pPr/>
          </w:p>
        </w:tc>
        <w:tc>
          <w:tcPr>
            <w:tcW w:w="1785" w:type="dxa"/>
            <w:vMerge/>
          </w:tcPr>
          <w:p>
            <w:pPr/>
          </w:p>
        </w:tc>
      </w:tr>
      <w:tr>
        <w:trPr>
          <w:trHeight w:val="940" w:hRule="exact"/>
        </w:trPr>
        <w:tc>
          <w:tcPr>
            <w:tcW w:w="1580" w:type="dxa"/>
            <w:vMerge/>
          </w:tcPr>
          <w:p>
            <w:pPr/>
          </w:p>
        </w:tc>
        <w:tc>
          <w:tcPr>
            <w:tcW w:w="1781" w:type="dxa"/>
          </w:tcPr>
          <w:p>
            <w:pPr>
              <w:pStyle w:val="TableParagraph"/>
              <w:spacing w:before="6"/>
              <w:rPr>
                <w:sz w:val="31"/>
              </w:rPr>
            </w:pPr>
          </w:p>
          <w:p>
            <w:pPr>
              <w:pStyle w:val="TableParagraph"/>
              <w:ind w:left="64" w:right="75"/>
              <w:rPr>
                <w:sz w:val="24"/>
              </w:rPr>
            </w:pPr>
            <w:r>
              <w:rPr>
                <w:sz w:val="24"/>
              </w:rPr>
              <w:t>Aglutinantes</w:t>
            </w:r>
          </w:p>
        </w:tc>
        <w:tc>
          <w:tcPr>
            <w:tcW w:w="2481" w:type="dxa"/>
          </w:tcPr>
          <w:p>
            <w:pPr>
              <w:pStyle w:val="TableParagraph"/>
              <w:spacing w:before="86"/>
              <w:ind w:left="63" w:right="58" w:firstLine="68"/>
              <w:jc w:val="both"/>
              <w:rPr>
                <w:sz w:val="24"/>
              </w:rPr>
            </w:pPr>
            <w:r>
              <w:rPr>
                <w:sz w:val="24"/>
              </w:rPr>
              <w:t>Sustancias liquidas, exposición principal por contacto dérmico</w:t>
            </w:r>
          </w:p>
        </w:tc>
        <w:tc>
          <w:tcPr>
            <w:tcW w:w="2301" w:type="dxa"/>
            <w:vMerge/>
          </w:tcPr>
          <w:p>
            <w:pPr/>
          </w:p>
        </w:tc>
        <w:tc>
          <w:tcPr>
            <w:tcW w:w="1785" w:type="dxa"/>
          </w:tcPr>
          <w:p>
            <w:pPr>
              <w:pStyle w:val="TableParagraph"/>
              <w:spacing w:before="6"/>
              <w:rPr>
                <w:sz w:val="31"/>
              </w:rPr>
            </w:pPr>
          </w:p>
          <w:p>
            <w:pPr>
              <w:pStyle w:val="TableParagraph"/>
              <w:ind w:left="63" w:right="306"/>
              <w:rPr>
                <w:sz w:val="24"/>
              </w:rPr>
            </w:pPr>
            <w:r>
              <w:rPr>
                <w:sz w:val="24"/>
              </w:rPr>
              <w:t>Dérmica</w:t>
            </w:r>
          </w:p>
        </w:tc>
      </w:tr>
    </w:tbl>
    <w:p>
      <w:pPr>
        <w:spacing w:line="226" w:lineRule="exact" w:before="0"/>
        <w:ind w:left="1437" w:right="0" w:firstLine="0"/>
        <w:jc w:val="left"/>
        <w:rPr>
          <w:sz w:val="20"/>
        </w:rPr>
      </w:pPr>
      <w:r>
        <w:rPr>
          <w:sz w:val="20"/>
        </w:rPr>
        <w:t>Tabla 4.3. Tabla de identificación de receptores y rutas de exposición.</w:t>
      </w:r>
    </w:p>
    <w:p>
      <w:pPr>
        <w:pStyle w:val="BodyText"/>
        <w:rPr>
          <w:sz w:val="20"/>
        </w:rPr>
      </w:pPr>
    </w:p>
    <w:p>
      <w:pPr>
        <w:pStyle w:val="BodyText"/>
        <w:rPr>
          <w:sz w:val="26"/>
        </w:rPr>
      </w:pPr>
    </w:p>
    <w:p>
      <w:pPr>
        <w:pStyle w:val="Heading2"/>
        <w:numPr>
          <w:ilvl w:val="2"/>
          <w:numId w:val="8"/>
        </w:numPr>
        <w:tabs>
          <w:tab w:pos="1573" w:val="left" w:leader="none"/>
        </w:tabs>
        <w:spacing w:line="240" w:lineRule="auto" w:before="0" w:after="0"/>
        <w:ind w:left="1573" w:right="0" w:hanging="600"/>
        <w:jc w:val="left"/>
      </w:pPr>
      <w:r>
        <w:rPr/>
        <w:t>CONCLUSIONES</w:t>
      </w:r>
    </w:p>
    <w:p>
      <w:pPr>
        <w:pStyle w:val="BodyText"/>
        <w:rPr>
          <w:b/>
        </w:rPr>
      </w:pPr>
    </w:p>
    <w:p>
      <w:pPr>
        <w:pStyle w:val="BodyText"/>
        <w:spacing w:before="4"/>
        <w:rPr>
          <w:b/>
        </w:rPr>
      </w:pPr>
    </w:p>
    <w:p>
      <w:pPr>
        <w:pStyle w:val="BodyText"/>
        <w:spacing w:line="360" w:lineRule="auto"/>
        <w:ind w:left="120" w:right="1220"/>
        <w:jc w:val="both"/>
      </w:pPr>
      <w:r>
        <w:rPr/>
        <w:t>La actividad pirotécnica en San Mateo Tlalchichilpan se realiza de manera artesanal entre los límites municipales de Almoloya de Juárez y Zinacantepec, la zona primordial se encuentra en las faldas del cerro del Molcajete, esto conlleva diversos problemas ya que las escorrentías de agua en tiempo de lluvia pasan por</w:t>
      </w:r>
    </w:p>
    <w:p>
      <w:pPr>
        <w:spacing w:after="0" w:line="360" w:lineRule="auto"/>
        <w:jc w:val="both"/>
        <w:sectPr>
          <w:pgSz w:w="12240" w:h="15840"/>
          <w:pgMar w:header="0" w:footer="1071" w:top="1360" w:bottom="1260" w:left="1580" w:right="480"/>
        </w:sectPr>
      </w:pPr>
    </w:p>
    <w:p>
      <w:pPr>
        <w:pStyle w:val="BodyText"/>
        <w:spacing w:line="362" w:lineRule="auto" w:before="55"/>
        <w:ind w:left="100" w:right="105"/>
        <w:jc w:val="both"/>
      </w:pPr>
      <w:r>
        <w:rPr/>
        <w:t>la calle principal de dicha comunidad transportando materiales químicos de la  zona de producción a la zona</w:t>
      </w:r>
      <w:r>
        <w:rPr>
          <w:spacing w:val="-23"/>
        </w:rPr>
        <w:t> </w:t>
      </w:r>
      <w:r>
        <w:rPr/>
        <w:t>urbana.</w:t>
      </w:r>
    </w:p>
    <w:p>
      <w:pPr>
        <w:pStyle w:val="BodyText"/>
      </w:pPr>
    </w:p>
    <w:p>
      <w:pPr>
        <w:pStyle w:val="BodyText"/>
        <w:spacing w:line="360" w:lineRule="auto" w:before="139"/>
        <w:ind w:left="100" w:right="103"/>
        <w:jc w:val="both"/>
      </w:pPr>
      <w:r>
        <w:rPr/>
        <w:t>La localización de los talleres representa un severo problema </w:t>
      </w:r>
      <w:r>
        <w:rPr>
          <w:spacing w:val="-3"/>
        </w:rPr>
        <w:t>ya </w:t>
      </w:r>
      <w:r>
        <w:rPr/>
        <w:t>que al estar en los límites municipales las autoridades no tienen una adecuada comunicación por lo que existen problemas como la invasión de la mancha urbana hacia los talleres pirotécnicos por lo que no se cumple lo estipulado por la</w:t>
      </w:r>
      <w:r>
        <w:rPr>
          <w:spacing w:val="-28"/>
        </w:rPr>
        <w:t> </w:t>
      </w:r>
      <w:r>
        <w:rPr/>
        <w:t>ley.</w:t>
      </w:r>
    </w:p>
    <w:p>
      <w:pPr>
        <w:pStyle w:val="BodyText"/>
      </w:pPr>
    </w:p>
    <w:p>
      <w:pPr>
        <w:pStyle w:val="BodyText"/>
        <w:spacing w:line="360" w:lineRule="auto" w:before="142"/>
        <w:ind w:left="100" w:right="107"/>
        <w:jc w:val="both"/>
      </w:pPr>
      <w:r>
        <w:rPr/>
        <w:t>Las sustancias utilizadas para la fabricación de material pírico presentan altas características que incrementan el riesgo a la salud por su reactividad, y es de gran importancia destacar el uso de productos tóxicos y</w:t>
      </w:r>
      <w:r>
        <w:rPr>
          <w:spacing w:val="-36"/>
        </w:rPr>
        <w:t> </w:t>
      </w:r>
      <w:r>
        <w:rPr/>
        <w:t>cancerígenos.</w:t>
      </w:r>
    </w:p>
    <w:p>
      <w:pPr>
        <w:pStyle w:val="BodyText"/>
      </w:pPr>
    </w:p>
    <w:p>
      <w:pPr>
        <w:pStyle w:val="BodyText"/>
        <w:spacing w:line="360" w:lineRule="auto" w:before="142"/>
        <w:ind w:left="100" w:right="106"/>
        <w:jc w:val="both"/>
      </w:pPr>
      <w:r>
        <w:rPr/>
        <w:t>Debido a las características de la zona, esta se puede considerar de marginación media, y por la falta de servicios existe un constante contacto directo e indirecto de las sustancias químicas con la población.</w:t>
      </w:r>
    </w:p>
    <w:p>
      <w:pPr>
        <w:pStyle w:val="BodyText"/>
      </w:pPr>
    </w:p>
    <w:p>
      <w:pPr>
        <w:pStyle w:val="BodyText"/>
      </w:pPr>
    </w:p>
    <w:p>
      <w:pPr>
        <w:pStyle w:val="BodyText"/>
        <w:spacing w:before="2"/>
      </w:pPr>
    </w:p>
    <w:p>
      <w:pPr>
        <w:pStyle w:val="Heading2"/>
        <w:numPr>
          <w:ilvl w:val="1"/>
          <w:numId w:val="8"/>
        </w:numPr>
        <w:tabs>
          <w:tab w:pos="1029" w:val="left" w:leader="none"/>
        </w:tabs>
        <w:spacing w:line="357" w:lineRule="auto" w:before="0" w:after="0"/>
        <w:ind w:left="100" w:right="101" w:firstLine="428"/>
        <w:jc w:val="left"/>
      </w:pPr>
      <w:r>
        <w:rPr/>
        <w:t>SUSTENTABILIDAD PIROTECNICA EN </w:t>
      </w:r>
      <w:r>
        <w:rPr>
          <w:spacing w:val="2"/>
        </w:rPr>
        <w:t>LA </w:t>
      </w:r>
      <w:r>
        <w:rPr/>
        <w:t>COMUNIDAD DE SAN MATEO</w:t>
      </w:r>
      <w:r>
        <w:rPr>
          <w:spacing w:val="-12"/>
        </w:rPr>
        <w:t> </w:t>
      </w:r>
      <w:r>
        <w:rPr/>
        <w:t>TLALCHICHILPAN</w:t>
      </w:r>
    </w:p>
    <w:p>
      <w:pPr>
        <w:pStyle w:val="BodyText"/>
        <w:rPr>
          <w:b/>
        </w:rPr>
      </w:pPr>
    </w:p>
    <w:p>
      <w:pPr>
        <w:pStyle w:val="BodyText"/>
        <w:spacing w:line="360" w:lineRule="auto" w:before="149"/>
        <w:ind w:left="100" w:right="101"/>
        <w:jc w:val="both"/>
      </w:pPr>
      <w:r>
        <w:rPr/>
        <w:t>En el presente capítulo se describen los análisis a los resultados obtenidos de las entrevistas realizadas a miembros de la comunidad de San Mateo Tlalchichilpan, estas son comparadas con los datos recabados en las visitas de campo y su contrapunto bibliográfico, marcando el análisis de sustentabilidad y producto de  ello su grado de</w:t>
      </w:r>
      <w:r>
        <w:rPr>
          <w:spacing w:val="-21"/>
        </w:rPr>
        <w:t> </w:t>
      </w:r>
      <w:r>
        <w:rPr/>
        <w:t>vulnerabilidad.</w:t>
      </w:r>
    </w:p>
    <w:p>
      <w:pPr>
        <w:pStyle w:val="BodyText"/>
      </w:pPr>
    </w:p>
    <w:p>
      <w:pPr>
        <w:pStyle w:val="BodyText"/>
        <w:spacing w:line="360" w:lineRule="auto" w:before="142"/>
        <w:ind w:left="100" w:right="99"/>
        <w:jc w:val="both"/>
      </w:pPr>
      <w:r>
        <w:rPr/>
        <w:t>Es importante destacar que para realizar todo esto se utilizan como base la metodología MESMIS usando los atributos planteados por ella en el sector a estudiar, en cuyo caso no todas estas atribuciones corresponden a los análisis social, económico y ambiental, por lo que se aplican solo en los casos donde aparecen como propiedades del sector en particular.</w:t>
      </w:r>
    </w:p>
    <w:p>
      <w:pPr>
        <w:spacing w:after="0" w:line="360" w:lineRule="auto"/>
        <w:jc w:val="both"/>
        <w:sectPr>
          <w:pgSz w:w="12240" w:h="15840"/>
          <w:pgMar w:header="0" w:footer="1071" w:top="1360" w:bottom="1260" w:left="1600" w:right="1600"/>
        </w:sectPr>
      </w:pPr>
    </w:p>
    <w:p>
      <w:pPr>
        <w:pStyle w:val="BodyText"/>
        <w:spacing w:before="10"/>
        <w:rPr>
          <w:sz w:val="28"/>
        </w:rPr>
      </w:pPr>
    </w:p>
    <w:p>
      <w:pPr>
        <w:pStyle w:val="BodyText"/>
        <w:ind w:left="1103"/>
        <w:rPr>
          <w:sz w:val="20"/>
        </w:rPr>
      </w:pPr>
      <w:r>
        <w:rPr>
          <w:sz w:val="20"/>
        </w:rPr>
        <w:drawing>
          <wp:inline distT="0" distB="0" distL="0" distR="0">
            <wp:extent cx="4609263" cy="2276855"/>
            <wp:effectExtent l="0" t="0" r="0" b="0"/>
            <wp:docPr id="81" name="image29.png" descr=""/>
            <wp:cNvGraphicFramePr>
              <a:graphicFrameLocks noChangeAspect="1"/>
            </wp:cNvGraphicFramePr>
            <a:graphic>
              <a:graphicData uri="http://schemas.openxmlformats.org/drawingml/2006/picture">
                <pic:pic>
                  <pic:nvPicPr>
                    <pic:cNvPr id="82" name="image29.png"/>
                    <pic:cNvPicPr/>
                  </pic:nvPicPr>
                  <pic:blipFill>
                    <a:blip r:embed="rId46" cstate="print"/>
                    <a:stretch>
                      <a:fillRect/>
                    </a:stretch>
                  </pic:blipFill>
                  <pic:spPr>
                    <a:xfrm>
                      <a:off x="0" y="0"/>
                      <a:ext cx="4609263" cy="2276855"/>
                    </a:xfrm>
                    <a:prstGeom prst="rect">
                      <a:avLst/>
                    </a:prstGeom>
                  </pic:spPr>
                </pic:pic>
              </a:graphicData>
            </a:graphic>
          </wp:inline>
        </w:drawing>
      </w:r>
      <w:r>
        <w:rPr>
          <w:sz w:val="20"/>
        </w:rPr>
      </w:r>
    </w:p>
    <w:p>
      <w:pPr>
        <w:pStyle w:val="BodyText"/>
        <w:spacing w:before="4"/>
        <w:rPr>
          <w:sz w:val="6"/>
        </w:rPr>
      </w:pPr>
    </w:p>
    <w:p>
      <w:pPr>
        <w:spacing w:before="75"/>
        <w:ind w:left="2321" w:right="9" w:firstLine="0"/>
        <w:jc w:val="left"/>
        <w:rPr>
          <w:sz w:val="20"/>
        </w:rPr>
      </w:pPr>
      <w:r>
        <w:rPr>
          <w:sz w:val="20"/>
        </w:rPr>
        <w:t>Figura 4.13. Estructura de la fracción 2 del capítulo IV.</w:t>
      </w:r>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2"/>
        <w:numPr>
          <w:ilvl w:val="2"/>
          <w:numId w:val="8"/>
        </w:numPr>
        <w:tabs>
          <w:tab w:pos="1133" w:val="left" w:leader="none"/>
        </w:tabs>
        <w:spacing w:line="240" w:lineRule="auto" w:before="0" w:after="0"/>
        <w:ind w:left="1133" w:right="0" w:hanging="605"/>
        <w:jc w:val="left"/>
      </w:pPr>
      <w:r>
        <w:rPr/>
        <w:t>ANÁLISIS DE INDICADORES POLITICOS Y</w:t>
      </w:r>
      <w:r>
        <w:rPr>
          <w:spacing w:val="-21"/>
        </w:rPr>
        <w:t> </w:t>
      </w:r>
      <w:r>
        <w:rPr/>
        <w:t>SOCIALES.</w:t>
      </w:r>
    </w:p>
    <w:p>
      <w:pPr>
        <w:pStyle w:val="BodyText"/>
        <w:rPr>
          <w:b/>
        </w:rPr>
      </w:pPr>
    </w:p>
    <w:p>
      <w:pPr>
        <w:pStyle w:val="BodyText"/>
        <w:spacing w:before="4"/>
        <w:rPr>
          <w:b/>
        </w:rPr>
      </w:pPr>
    </w:p>
    <w:p>
      <w:pPr>
        <w:pStyle w:val="BodyText"/>
        <w:spacing w:line="360" w:lineRule="auto"/>
        <w:ind w:left="100" w:right="103"/>
        <w:jc w:val="both"/>
      </w:pPr>
      <w:r>
        <w:rPr/>
        <w:t>La comunidad de San Mateo Tlalchichilpan presenta una tradición pirotécnica muy arraigada, por lo que sus manejos políticos y sociales giran en torno a este arte, y al ser una actividad aun considerada como artesanal, las prácticas sociales giran en torno al respeto y admiración a los pirotécnicos de mayor edad por ser considerados los poseedores del conocimiento original del manejo de sus técnicas de elaboración.</w:t>
      </w:r>
    </w:p>
    <w:p>
      <w:pPr>
        <w:pStyle w:val="BodyText"/>
        <w:spacing w:before="11"/>
        <w:rPr>
          <w:sz w:val="35"/>
        </w:rPr>
      </w:pPr>
    </w:p>
    <w:p>
      <w:pPr>
        <w:pStyle w:val="Heading2"/>
        <w:numPr>
          <w:ilvl w:val="0"/>
          <w:numId w:val="10"/>
        </w:numPr>
        <w:tabs>
          <w:tab w:pos="889" w:val="left" w:leader="none"/>
        </w:tabs>
        <w:spacing w:line="240" w:lineRule="auto" w:before="0" w:after="0"/>
        <w:ind w:left="889" w:right="0" w:hanging="361"/>
        <w:jc w:val="left"/>
      </w:pPr>
      <w:r>
        <w:rPr/>
        <w:t>Productividad.</w:t>
      </w:r>
    </w:p>
    <w:p>
      <w:pPr>
        <w:pStyle w:val="BodyText"/>
        <w:spacing w:line="360" w:lineRule="auto" w:before="140"/>
        <w:ind w:left="100" w:right="103"/>
        <w:jc w:val="both"/>
      </w:pPr>
      <w:r>
        <w:rPr/>
        <w:t>Los sistemas productivos son de modo artesanal, con conocimiento heredado de generación en generación, esto propicia una falta de avances científicos y tecnológicos dirigidos directamente a este sector, como contraparte existe la adecuación de sistemas de otras áreas, tal es el caso de los sistemas de encendido electrónico, los cuales son la adaptación de los equipos usados en la industria minera.</w:t>
      </w:r>
    </w:p>
    <w:p>
      <w:pPr>
        <w:spacing w:after="0" w:line="360" w:lineRule="auto"/>
        <w:jc w:val="both"/>
        <w:sectPr>
          <w:pgSz w:w="12240" w:h="15840"/>
          <w:pgMar w:header="0" w:footer="1071" w:top="1500" w:bottom="1260" w:left="1600" w:right="1600"/>
        </w:sectPr>
      </w:pPr>
    </w:p>
    <w:p>
      <w:pPr>
        <w:pStyle w:val="BodyText"/>
        <w:ind w:left="1349"/>
        <w:rPr>
          <w:sz w:val="20"/>
        </w:rPr>
      </w:pPr>
      <w:r>
        <w:rPr>
          <w:sz w:val="20"/>
        </w:rPr>
        <w:drawing>
          <wp:inline distT="0" distB="0" distL="0" distR="0">
            <wp:extent cx="4472470" cy="2540889"/>
            <wp:effectExtent l="0" t="0" r="0" b="0"/>
            <wp:docPr id="83" name="image30.jpeg" descr=""/>
            <wp:cNvGraphicFramePr>
              <a:graphicFrameLocks noChangeAspect="1"/>
            </wp:cNvGraphicFramePr>
            <a:graphic>
              <a:graphicData uri="http://schemas.openxmlformats.org/drawingml/2006/picture">
                <pic:pic>
                  <pic:nvPicPr>
                    <pic:cNvPr id="84" name="image30.jpeg"/>
                    <pic:cNvPicPr/>
                  </pic:nvPicPr>
                  <pic:blipFill>
                    <a:blip r:embed="rId47" cstate="print"/>
                    <a:stretch>
                      <a:fillRect/>
                    </a:stretch>
                  </pic:blipFill>
                  <pic:spPr>
                    <a:xfrm>
                      <a:off x="0" y="0"/>
                      <a:ext cx="4472470" cy="2540889"/>
                    </a:xfrm>
                    <a:prstGeom prst="rect">
                      <a:avLst/>
                    </a:prstGeom>
                  </pic:spPr>
                </pic:pic>
              </a:graphicData>
            </a:graphic>
          </wp:inline>
        </w:drawing>
      </w:r>
      <w:r>
        <w:rPr>
          <w:sz w:val="20"/>
        </w:rPr>
      </w:r>
    </w:p>
    <w:p>
      <w:pPr>
        <w:pStyle w:val="BodyText"/>
        <w:spacing w:before="8"/>
        <w:rPr>
          <w:sz w:val="6"/>
        </w:rPr>
      </w:pPr>
    </w:p>
    <w:p>
      <w:pPr>
        <w:spacing w:before="75"/>
        <w:ind w:left="1276" w:right="9" w:firstLine="0"/>
        <w:jc w:val="left"/>
        <w:rPr>
          <w:sz w:val="20"/>
        </w:rPr>
      </w:pPr>
      <w:r>
        <w:rPr>
          <w:sz w:val="20"/>
        </w:rPr>
        <w:t>Figura 4.14. Producción de pirotecnia francesa en 1770. Fuente, Manochio 1992.</w:t>
      </w:r>
    </w:p>
    <w:p>
      <w:pPr>
        <w:pStyle w:val="BodyText"/>
        <w:rPr>
          <w:sz w:val="20"/>
        </w:rPr>
      </w:pPr>
    </w:p>
    <w:p>
      <w:pPr>
        <w:pStyle w:val="BodyText"/>
        <w:spacing w:before="10"/>
        <w:rPr>
          <w:sz w:val="25"/>
        </w:rPr>
      </w:pPr>
    </w:p>
    <w:p>
      <w:pPr>
        <w:pStyle w:val="BodyText"/>
        <w:spacing w:line="360" w:lineRule="auto" w:before="1"/>
        <w:ind w:left="100" w:right="101"/>
        <w:jc w:val="both"/>
      </w:pPr>
      <w:r>
        <w:rPr/>
        <w:t>Uno de los productores entrevistados con mayor experiencia (73 años de edad de los cuales 60 años dedicados a la producción) comenta que los cambios han sido muy pocos a los largo de los años que van trabajando, “hay pequeños cambios cuando se han ido vidas por experimentar”, ello muestra un sistema de trabajo en el que mientras no existan situaciones traumáticas por el mal manejo de materiales, equipos o formas de producir no hay cambios evolutivos del arte pirotécnico. La producción tradicionalista trae consigo múltiples problemas como son la falta de seguridad por el mal manejo de sustancias, la carencia de seguridad en la producción, la poca tecnificación de los procesos e incluso la falta de documentación descriptiva de los procesos de elaboración, todo ello propicia una inexistente preparación</w:t>
      </w:r>
      <w:r>
        <w:rPr>
          <w:spacing w:val="-23"/>
        </w:rPr>
        <w:t> </w:t>
      </w:r>
      <w:r>
        <w:rPr/>
        <w:t>profesional.</w:t>
      </w:r>
    </w:p>
    <w:p>
      <w:pPr>
        <w:pStyle w:val="BodyText"/>
      </w:pPr>
    </w:p>
    <w:p>
      <w:pPr>
        <w:pStyle w:val="BodyText"/>
        <w:spacing w:line="360" w:lineRule="auto" w:before="142"/>
        <w:ind w:left="100" w:right="100"/>
        <w:jc w:val="both"/>
      </w:pPr>
      <w:r>
        <w:rPr/>
        <w:t>La pirotecnia es una actividad muy atractiva para jóvenes que no tienen estudios y la ven como un oficio, esta situación eleva los problemas mencionados </w:t>
      </w:r>
      <w:r>
        <w:rPr>
          <w:spacing w:val="-3"/>
        </w:rPr>
        <w:t>ya </w:t>
      </w:r>
      <w:r>
        <w:rPr/>
        <w:t>que existen muchos trabajadores que ven en la pirotecnia un trabajo temporal, incursionan en el trabajo sin capacitación adecuada buscando una percepción económica por jornada, por lo que no existen contratos lo que propicia una rotación de personal constante sin que alcancen un grado adecuado de conocimiento y práctica de este arte. Habitualmente a finales de cada año</w:t>
      </w:r>
      <w:r>
        <w:rPr>
          <w:spacing w:val="-5"/>
        </w:rPr>
        <w:t> </w:t>
      </w:r>
      <w:r>
        <w:rPr/>
        <w:t>aparece</w:t>
      </w:r>
    </w:p>
    <w:p>
      <w:pPr>
        <w:spacing w:after="0" w:line="360" w:lineRule="auto"/>
        <w:jc w:val="both"/>
        <w:sectPr>
          <w:pgSz w:w="12240" w:h="15840"/>
          <w:pgMar w:header="0" w:footer="1071" w:top="1420" w:bottom="1260" w:left="1600" w:right="1600"/>
        </w:sectPr>
      </w:pPr>
    </w:p>
    <w:p>
      <w:pPr>
        <w:pStyle w:val="BodyText"/>
        <w:spacing w:line="360" w:lineRule="auto" w:before="55"/>
        <w:ind w:left="100" w:right="101"/>
        <w:jc w:val="both"/>
      </w:pPr>
      <w:r>
        <w:rPr/>
        <w:t>un fenómeno de deserción, “cada fin de año los trabajadores aprovechan las necesidades para pedir aumentos en su pago, aprovechando que en diciembre los compromisos son mayores y no podemos arriesgarnos a contratar a gente que no sepamos si saben hacer las cosas, en muchos casos hasta se han ido todos los trabajadores de algunos talleres y hasta nos tenemos que prestar chalanes (pirotécnico de Tlalchichilpan de 58 años de edad)”</w:t>
      </w:r>
    </w:p>
    <w:p>
      <w:pPr>
        <w:pStyle w:val="BodyText"/>
        <w:spacing w:before="11"/>
        <w:rPr>
          <w:sz w:val="35"/>
        </w:rPr>
      </w:pPr>
    </w:p>
    <w:p>
      <w:pPr>
        <w:pStyle w:val="Heading2"/>
        <w:numPr>
          <w:ilvl w:val="0"/>
          <w:numId w:val="10"/>
        </w:numPr>
        <w:tabs>
          <w:tab w:pos="889" w:val="left" w:leader="none"/>
        </w:tabs>
        <w:spacing w:line="240" w:lineRule="auto" w:before="0" w:after="0"/>
        <w:ind w:left="889" w:right="0" w:hanging="361"/>
        <w:jc w:val="left"/>
      </w:pPr>
      <w:r>
        <w:rPr/>
        <w:t>Estabilidad, confiabilidad y</w:t>
      </w:r>
      <w:r>
        <w:rPr>
          <w:spacing w:val="-17"/>
        </w:rPr>
        <w:t> </w:t>
      </w:r>
      <w:r>
        <w:rPr/>
        <w:t>resiliencia.</w:t>
      </w:r>
    </w:p>
    <w:p>
      <w:pPr>
        <w:pStyle w:val="BodyText"/>
        <w:spacing w:line="360" w:lineRule="auto" w:before="140"/>
        <w:ind w:left="100" w:right="102"/>
        <w:jc w:val="both"/>
      </w:pPr>
      <w:r>
        <w:rPr/>
        <w:t>Debido a los materiales que se manejan y a la reacción química por parte de estos, la pirotecnia es considerada una actividad de alto riesgo, esta  categorización es fundamental para comprender el trabajo del productor, en la mayoría de los casos, solicita por adelantado cierto porcentaje del costo total del evento para cumplir con el consumo de materias primas e iniciar la producción, sin embargo en caso de existir un accidente, los materiales utilizados y el producto terminado se pierde, quedando comprometidos económicamente para culminar la labor, no obstante las multas y en caso de haber heridos los gastos generados en atención a estos, la SEDENA cierra las instalaciones e impide el trabajo hasta concluir las averiguaciones correspondientes, por lo que la comunidad coopera en auxilio del permisionario, con ello evitan en lo posible que se pierda patrimonio del productor</w:t>
      </w:r>
      <w:r>
        <w:rPr>
          <w:spacing w:val="-16"/>
        </w:rPr>
        <w:t> </w:t>
      </w:r>
      <w:r>
        <w:rPr/>
        <w:t>afectado.</w:t>
      </w:r>
    </w:p>
    <w:p>
      <w:pPr>
        <w:pStyle w:val="BodyText"/>
      </w:pPr>
    </w:p>
    <w:p>
      <w:pPr>
        <w:pStyle w:val="BodyText"/>
        <w:spacing w:line="360" w:lineRule="auto" w:before="141"/>
        <w:ind w:left="100" w:right="99"/>
        <w:jc w:val="both"/>
      </w:pPr>
      <w:r>
        <w:rPr/>
        <w:t>Independientemente de la unión que presentan los productores cuando se presenta una eventualidad adversa existen múltiples variaciones que afectan de forma gradual su sistema de producción, tal es el caso de las modificaciones que realiza la SEDENA a los requerimientos básicos de las instalaciones de fabricación, en este sentido cada año se emiten comunicados donde se incorporan los cambios solicitados por esta instancia federal para la adecuación de los talleres, esto es un gran problema porque en muchos casos los cambios incluyen construcción de infraestructura o colocación de equipos de seguridad que a inicios de año representan una inversión considerable a lo cual el sector reacciona de formas desfavorables por considerar estos como un gasto innecesario.</w:t>
      </w:r>
    </w:p>
    <w:p>
      <w:pPr>
        <w:spacing w:after="0" w:line="360" w:lineRule="auto"/>
        <w:jc w:val="both"/>
        <w:sectPr>
          <w:pgSz w:w="12240" w:h="15840"/>
          <w:pgMar w:header="0" w:footer="1071" w:top="1360" w:bottom="1260" w:left="1600" w:right="1600"/>
        </w:sectPr>
      </w:pPr>
    </w:p>
    <w:p>
      <w:pPr>
        <w:pStyle w:val="BodyText"/>
        <w:spacing w:before="10"/>
        <w:rPr>
          <w:sz w:val="28"/>
        </w:rPr>
      </w:pPr>
    </w:p>
    <w:p>
      <w:pPr>
        <w:pStyle w:val="BodyText"/>
        <w:ind w:left="111" w:right="-2"/>
        <w:rPr>
          <w:sz w:val="20"/>
        </w:rPr>
      </w:pPr>
      <w:r>
        <w:rPr>
          <w:sz w:val="20"/>
        </w:rPr>
        <w:drawing>
          <wp:inline distT="0" distB="0" distL="0" distR="0">
            <wp:extent cx="5658330" cy="7543800"/>
            <wp:effectExtent l="0" t="0" r="0" b="0"/>
            <wp:docPr id="85" name="image31.jpeg" descr=""/>
            <wp:cNvGraphicFramePr>
              <a:graphicFrameLocks noChangeAspect="1"/>
            </wp:cNvGraphicFramePr>
            <a:graphic>
              <a:graphicData uri="http://schemas.openxmlformats.org/drawingml/2006/picture">
                <pic:pic>
                  <pic:nvPicPr>
                    <pic:cNvPr id="86" name="image31.jpeg"/>
                    <pic:cNvPicPr/>
                  </pic:nvPicPr>
                  <pic:blipFill>
                    <a:blip r:embed="rId48" cstate="print"/>
                    <a:stretch>
                      <a:fillRect/>
                    </a:stretch>
                  </pic:blipFill>
                  <pic:spPr>
                    <a:xfrm>
                      <a:off x="0" y="0"/>
                      <a:ext cx="5658330" cy="7543800"/>
                    </a:xfrm>
                    <a:prstGeom prst="rect">
                      <a:avLst/>
                    </a:prstGeom>
                  </pic:spPr>
                </pic:pic>
              </a:graphicData>
            </a:graphic>
          </wp:inline>
        </w:drawing>
      </w:r>
      <w:r>
        <w:rPr>
          <w:sz w:val="20"/>
        </w:rPr>
      </w:r>
    </w:p>
    <w:p>
      <w:pPr>
        <w:spacing w:before="40"/>
        <w:ind w:left="845" w:right="0" w:firstLine="0"/>
        <w:jc w:val="left"/>
        <w:rPr>
          <w:sz w:val="20"/>
        </w:rPr>
      </w:pPr>
      <w:r>
        <w:rPr>
          <w:sz w:val="20"/>
        </w:rPr>
        <w:t>Figura 4.15. Accidente pirotécnico en San Mateo Tlalchichilpan, agosto 7 de 2012.</w:t>
      </w:r>
    </w:p>
    <w:p>
      <w:pPr>
        <w:spacing w:after="0"/>
        <w:jc w:val="left"/>
        <w:rPr>
          <w:sz w:val="20"/>
        </w:rPr>
        <w:sectPr>
          <w:pgSz w:w="12240" w:h="15840"/>
          <w:pgMar w:header="0" w:footer="1071" w:top="1500" w:bottom="1260" w:left="1620" w:right="1560"/>
        </w:sectPr>
      </w:pPr>
    </w:p>
    <w:p>
      <w:pPr>
        <w:pStyle w:val="Heading2"/>
        <w:numPr>
          <w:ilvl w:val="0"/>
          <w:numId w:val="10"/>
        </w:numPr>
        <w:tabs>
          <w:tab w:pos="889" w:val="left" w:leader="none"/>
        </w:tabs>
        <w:spacing w:line="240" w:lineRule="auto" w:before="51" w:after="0"/>
        <w:ind w:left="889" w:right="0" w:hanging="361"/>
        <w:jc w:val="left"/>
      </w:pPr>
      <w:r>
        <w:rPr/>
        <w:t>Adaptabilidad.</w:t>
      </w:r>
    </w:p>
    <w:p>
      <w:pPr>
        <w:pStyle w:val="BodyText"/>
        <w:spacing w:line="360" w:lineRule="auto" w:before="144"/>
        <w:ind w:left="100" w:right="760"/>
        <w:jc w:val="both"/>
      </w:pPr>
      <w:r>
        <w:rPr/>
        <w:t>La pirotecnia es una actividad cada vez más competida </w:t>
      </w:r>
      <w:r>
        <w:rPr>
          <w:spacing w:val="-3"/>
        </w:rPr>
        <w:t>ya </w:t>
      </w:r>
      <w:r>
        <w:rPr/>
        <w:t>que en la mayoría de  los casos los hijos de los pirotécnicos deciden continuar la tradición e incluso los trabajadores de mayor experiencia procuran por hacer sus propios negocios incrementando el número de productores, para contrarrestar este aumento de comerciantes se han tenido que amoldar a las exigencias del mercado el cual en muchos casos está marcado en su mayoría por los precios más bajos y no necesariamente la mejor calidad, por lo que aumentan los riesgos por uso de sustancias de menor</w:t>
      </w:r>
      <w:r>
        <w:rPr>
          <w:spacing w:val="-18"/>
        </w:rPr>
        <w:t> </w:t>
      </w:r>
      <w:r>
        <w:rPr/>
        <w:t>calidad.</w:t>
      </w:r>
    </w:p>
    <w:p>
      <w:pPr>
        <w:pStyle w:val="BodyText"/>
      </w:pPr>
    </w:p>
    <w:p>
      <w:pPr>
        <w:pStyle w:val="BodyText"/>
        <w:spacing w:line="360" w:lineRule="auto" w:before="142"/>
        <w:ind w:left="100" w:right="762"/>
        <w:jc w:val="both"/>
      </w:pPr>
      <w:r>
        <w:rPr/>
        <w:t>En cuanto a los consumidores, la pirotecnia no ha sufrido cambios sustanciales ya que el material más producido sigue siendo el cohetón pirotécnico, el cual ha sido de los primeros materiales píricos en utilizarse en México por la conquista  religiosa, y en la actualidad su uso es constante, sin embargo eventos aéreos han crecido en demanda, por lo tanto el productor se ha visto en la necesidad de cambiar sus formas de disparo para poder ofertar los llamados piromusicales o los efectos aéreos denominados remates en los</w:t>
      </w:r>
      <w:r>
        <w:rPr>
          <w:spacing w:val="-27"/>
        </w:rPr>
        <w:t> </w:t>
      </w:r>
      <w:r>
        <w:rPr/>
        <w:t>castillos.</w:t>
      </w:r>
    </w:p>
    <w:p>
      <w:pPr>
        <w:pStyle w:val="BodyText"/>
        <w:rPr>
          <w:sz w:val="20"/>
        </w:rPr>
      </w:pPr>
    </w:p>
    <w:p>
      <w:pPr>
        <w:pStyle w:val="BodyText"/>
        <w:spacing w:before="10"/>
        <w:rPr>
          <w:sz w:val="12"/>
        </w:rPr>
      </w:pPr>
      <w:r>
        <w:rPr/>
        <w:drawing>
          <wp:anchor distT="0" distB="0" distL="0" distR="0" allowOverlap="1" layoutInCell="1" locked="0" behindDoc="0" simplePos="0" relativeHeight="1648">
            <wp:simplePos x="0" y="0"/>
            <wp:positionH relativeFrom="page">
              <wp:posOffset>1099185</wp:posOffset>
            </wp:positionH>
            <wp:positionV relativeFrom="paragraph">
              <wp:posOffset>119061</wp:posOffset>
            </wp:positionV>
            <wp:extent cx="2811075" cy="3160014"/>
            <wp:effectExtent l="0" t="0" r="0" b="0"/>
            <wp:wrapTopAndBottom/>
            <wp:docPr id="87" name="image32.jpeg" descr=""/>
            <wp:cNvGraphicFramePr>
              <a:graphicFrameLocks noChangeAspect="1"/>
            </wp:cNvGraphicFramePr>
            <a:graphic>
              <a:graphicData uri="http://schemas.openxmlformats.org/drawingml/2006/picture">
                <pic:pic>
                  <pic:nvPicPr>
                    <pic:cNvPr id="88" name="image32.jpeg"/>
                    <pic:cNvPicPr/>
                  </pic:nvPicPr>
                  <pic:blipFill>
                    <a:blip r:embed="rId49" cstate="print"/>
                    <a:stretch>
                      <a:fillRect/>
                    </a:stretch>
                  </pic:blipFill>
                  <pic:spPr>
                    <a:xfrm>
                      <a:off x="0" y="0"/>
                      <a:ext cx="2811075" cy="3160014"/>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4058284</wp:posOffset>
            </wp:positionH>
            <wp:positionV relativeFrom="paragraph">
              <wp:posOffset>124141</wp:posOffset>
            </wp:positionV>
            <wp:extent cx="3079604" cy="3164204"/>
            <wp:effectExtent l="0" t="0" r="0" b="0"/>
            <wp:wrapTopAndBottom/>
            <wp:docPr id="89" name="image33.jpeg" descr=""/>
            <wp:cNvGraphicFramePr>
              <a:graphicFrameLocks noChangeAspect="1"/>
            </wp:cNvGraphicFramePr>
            <a:graphic>
              <a:graphicData uri="http://schemas.openxmlformats.org/drawingml/2006/picture">
                <pic:pic>
                  <pic:nvPicPr>
                    <pic:cNvPr id="90" name="image33.jpeg"/>
                    <pic:cNvPicPr/>
                  </pic:nvPicPr>
                  <pic:blipFill>
                    <a:blip r:embed="rId50" cstate="print"/>
                    <a:stretch>
                      <a:fillRect/>
                    </a:stretch>
                  </pic:blipFill>
                  <pic:spPr>
                    <a:xfrm>
                      <a:off x="0" y="0"/>
                      <a:ext cx="3079604" cy="3164204"/>
                    </a:xfrm>
                    <a:prstGeom prst="rect">
                      <a:avLst/>
                    </a:prstGeom>
                  </pic:spPr>
                </pic:pic>
              </a:graphicData>
            </a:graphic>
          </wp:anchor>
        </w:drawing>
      </w:r>
    </w:p>
    <w:p>
      <w:pPr>
        <w:spacing w:before="59"/>
        <w:ind w:left="2361" w:right="0" w:firstLine="0"/>
        <w:jc w:val="left"/>
        <w:rPr>
          <w:sz w:val="20"/>
        </w:rPr>
      </w:pPr>
      <w:r>
        <w:rPr>
          <w:sz w:val="20"/>
        </w:rPr>
        <w:t>Figura 4.16. Uso de cohetón pirotécnico en procesiones.</w:t>
      </w:r>
    </w:p>
    <w:p>
      <w:pPr>
        <w:spacing w:after="0"/>
        <w:jc w:val="left"/>
        <w:rPr>
          <w:sz w:val="20"/>
        </w:rPr>
        <w:sectPr>
          <w:pgSz w:w="12240" w:h="15840"/>
          <w:pgMar w:header="0" w:footer="1071" w:top="1360" w:bottom="1260" w:left="1600" w:right="940"/>
        </w:sectPr>
      </w:pPr>
    </w:p>
    <w:p>
      <w:pPr>
        <w:pStyle w:val="BodyText"/>
        <w:spacing w:line="360" w:lineRule="auto" w:before="55"/>
        <w:ind w:left="100" w:right="838"/>
        <w:jc w:val="both"/>
      </w:pPr>
      <w:r>
        <w:rPr/>
        <w:t>El uso de suelo en la comunidad ha traído nuevos problemas a los que el productor no está preparado, ejemplo de ello es la invasión de las zonas urbanas hacia los lugares de producción pirotécnica, esto es producto de la falta de comunicación entre municipios </w:t>
      </w:r>
      <w:r>
        <w:rPr>
          <w:spacing w:val="-3"/>
        </w:rPr>
        <w:t>ya </w:t>
      </w:r>
      <w:r>
        <w:rPr/>
        <w:t>que la mayoría de los productores pirotécnicos se encuentran dentro del municipio de Almoloya de Juárez y en los límites, en espacio territorial de Zinacantepec, se ha colocado un asentamiento urbano invadiendo las zonas de seguridad planteadas por la SEDENA, pese a que los talleres fueron colocados muchos años antes se les exige a ellos que se reubiquen, obligándolos a vender sus predios para comprar otros </w:t>
      </w:r>
      <w:r>
        <w:rPr>
          <w:spacing w:val="-2"/>
        </w:rPr>
        <w:t>más </w:t>
      </w:r>
      <w:r>
        <w:rPr/>
        <w:t>alejados y generar de nueva cuenta la infraestructura necesaria para obtener los permisos adecuados.</w:t>
      </w:r>
    </w:p>
    <w:p>
      <w:pPr>
        <w:pStyle w:val="BodyText"/>
        <w:rPr>
          <w:sz w:val="20"/>
        </w:rPr>
      </w:pPr>
    </w:p>
    <w:p>
      <w:pPr>
        <w:pStyle w:val="BodyText"/>
        <w:spacing w:before="11"/>
        <w:rPr>
          <w:sz w:val="12"/>
        </w:rPr>
      </w:pPr>
      <w:r>
        <w:rPr/>
        <w:drawing>
          <wp:anchor distT="0" distB="0" distL="0" distR="0" allowOverlap="1" layoutInCell="1" locked="0" behindDoc="0" simplePos="0" relativeHeight="1696">
            <wp:simplePos x="0" y="0"/>
            <wp:positionH relativeFrom="page">
              <wp:posOffset>1549400</wp:posOffset>
            </wp:positionH>
            <wp:positionV relativeFrom="paragraph">
              <wp:posOffset>119442</wp:posOffset>
            </wp:positionV>
            <wp:extent cx="5654911" cy="2958846"/>
            <wp:effectExtent l="0" t="0" r="0" b="0"/>
            <wp:wrapTopAndBottom/>
            <wp:docPr id="91" name="image34.jpeg" descr=""/>
            <wp:cNvGraphicFramePr>
              <a:graphicFrameLocks noChangeAspect="1"/>
            </wp:cNvGraphicFramePr>
            <a:graphic>
              <a:graphicData uri="http://schemas.openxmlformats.org/drawingml/2006/picture">
                <pic:pic>
                  <pic:nvPicPr>
                    <pic:cNvPr id="92" name="image34.jpeg"/>
                    <pic:cNvPicPr/>
                  </pic:nvPicPr>
                  <pic:blipFill>
                    <a:blip r:embed="rId51" cstate="print"/>
                    <a:stretch>
                      <a:fillRect/>
                    </a:stretch>
                  </pic:blipFill>
                  <pic:spPr>
                    <a:xfrm>
                      <a:off x="0" y="0"/>
                      <a:ext cx="5654911" cy="2958846"/>
                    </a:xfrm>
                    <a:prstGeom prst="rect">
                      <a:avLst/>
                    </a:prstGeom>
                  </pic:spPr>
                </pic:pic>
              </a:graphicData>
            </a:graphic>
          </wp:anchor>
        </w:drawing>
      </w:r>
    </w:p>
    <w:p>
      <w:pPr>
        <w:spacing w:before="70"/>
        <w:ind w:left="1453" w:right="56" w:firstLine="0"/>
        <w:jc w:val="left"/>
        <w:rPr>
          <w:sz w:val="20"/>
        </w:rPr>
      </w:pPr>
      <w:r>
        <w:rPr>
          <w:sz w:val="20"/>
        </w:rPr>
        <w:t>Figura 4.17. Crecimiento de la población acercándose a talleres pirotecnicos.</w:t>
      </w:r>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2"/>
        <w:numPr>
          <w:ilvl w:val="0"/>
          <w:numId w:val="10"/>
        </w:numPr>
        <w:tabs>
          <w:tab w:pos="889" w:val="left" w:leader="none"/>
        </w:tabs>
        <w:spacing w:line="240" w:lineRule="auto" w:before="0" w:after="0"/>
        <w:ind w:left="889" w:right="0" w:hanging="361"/>
        <w:jc w:val="left"/>
      </w:pPr>
      <w:r>
        <w:rPr/>
        <w:t>Equidad.</w:t>
      </w:r>
    </w:p>
    <w:p>
      <w:pPr>
        <w:pStyle w:val="BodyText"/>
        <w:spacing w:line="360" w:lineRule="auto" w:before="144"/>
        <w:ind w:left="100" w:right="844"/>
        <w:jc w:val="both"/>
      </w:pPr>
      <w:r>
        <w:rPr/>
        <w:t>Los inconvenientes propiciados por el incremento de competencia, exigencias de SEDENA e incluso la falta de puntualidad con los trámites de quema por parte de los ayuntamientos, propician un aumento considerable de productores irregulares, los cuales no están registrados, por lo mismo se valen del consumo de  materiales</w:t>
      </w:r>
    </w:p>
    <w:p>
      <w:pPr>
        <w:spacing w:after="0" w:line="360" w:lineRule="auto"/>
        <w:jc w:val="both"/>
        <w:sectPr>
          <w:pgSz w:w="12240" w:h="15840"/>
          <w:pgMar w:header="0" w:footer="1071" w:top="1360" w:bottom="1260" w:left="1600" w:right="860"/>
        </w:sectPr>
      </w:pPr>
    </w:p>
    <w:p>
      <w:pPr>
        <w:pStyle w:val="BodyText"/>
        <w:spacing w:line="360" w:lineRule="auto" w:before="55"/>
        <w:ind w:left="100" w:right="117"/>
        <w:jc w:val="both"/>
      </w:pPr>
      <w:r>
        <w:rPr/>
        <w:t>de venta clandestina y para lograr ofertar sus productos los venden a precios considerablemente bajos creando un sistema de competencia desleal que causa menores ventas a los pirotécnicos que cuentan con los permisos adecuados. Esta disminución de precios también es lograda por qué no pagan derechos de quema ni permisos de fabricación y transporte incentivando las prácticas del soborno a las autoridades para llevar a cabo estas actividades.</w:t>
      </w:r>
    </w:p>
    <w:p>
      <w:pPr>
        <w:pStyle w:val="BodyText"/>
      </w:pPr>
    </w:p>
    <w:p>
      <w:pPr>
        <w:pStyle w:val="BodyText"/>
        <w:spacing w:line="360" w:lineRule="auto" w:before="142"/>
        <w:ind w:left="100" w:right="120"/>
        <w:jc w:val="both"/>
      </w:pPr>
      <w:r>
        <w:rPr/>
        <w:t>Otro punto que produce condiciones de desigualdad es que la mayoría de los conocimientos de las formulas pirotécnicas son ocultadas, transmitidas únicamente a su descendencia, y pese a que la técnica sea la misma, los pirotécnicos compiten por el mercado ofertando efectos que sus contrapartes no pueden</w:t>
      </w:r>
      <w:r>
        <w:rPr>
          <w:spacing w:val="-12"/>
        </w:rPr>
        <w:t> </w:t>
      </w:r>
      <w:r>
        <w:rPr/>
        <w:t>igualar.</w:t>
      </w:r>
    </w:p>
    <w:p>
      <w:pPr>
        <w:pStyle w:val="BodyText"/>
      </w:pPr>
    </w:p>
    <w:p>
      <w:pPr>
        <w:pStyle w:val="Heading2"/>
        <w:numPr>
          <w:ilvl w:val="0"/>
          <w:numId w:val="10"/>
        </w:numPr>
        <w:tabs>
          <w:tab w:pos="889" w:val="left" w:leader="none"/>
        </w:tabs>
        <w:spacing w:line="240" w:lineRule="auto" w:before="138" w:after="0"/>
        <w:ind w:left="889" w:right="0" w:hanging="361"/>
        <w:jc w:val="left"/>
      </w:pPr>
      <w:r>
        <w:rPr/>
        <w:t>Autodependencia.</w:t>
      </w:r>
    </w:p>
    <w:p>
      <w:pPr>
        <w:pStyle w:val="BodyText"/>
        <w:spacing w:line="360" w:lineRule="auto" w:before="140"/>
        <w:ind w:left="100" w:right="122"/>
        <w:jc w:val="both"/>
      </w:pPr>
      <w:r>
        <w:rPr/>
        <w:t>El maestro pirotécnico debe completar una lista de requisitos para obtener el permiso de SEDENA, causando que la autogestión sea un tema que dista mucho de la realidad, ello porque algunos de estos puntos inevitablemente cruzan por los caminos de la burocracia, tal es el caso de la opinión favorable. Los requisitos  para obtener el permiso general</w:t>
      </w:r>
      <w:r>
        <w:rPr>
          <w:spacing w:val="-21"/>
        </w:rPr>
        <w:t> </w:t>
      </w:r>
      <w:r>
        <w:rPr/>
        <w:t>son:</w:t>
      </w:r>
    </w:p>
    <w:p>
      <w:pPr>
        <w:pStyle w:val="BodyText"/>
      </w:pPr>
    </w:p>
    <w:p>
      <w:pPr>
        <w:pStyle w:val="ListParagraph"/>
        <w:numPr>
          <w:ilvl w:val="1"/>
          <w:numId w:val="10"/>
        </w:numPr>
        <w:tabs>
          <w:tab w:pos="1360" w:val="left" w:leader="none"/>
          <w:tab w:pos="1361" w:val="left" w:leader="none"/>
        </w:tabs>
        <w:spacing w:line="240" w:lineRule="auto" w:before="142" w:after="0"/>
        <w:ind w:left="1361" w:right="0" w:hanging="360"/>
        <w:jc w:val="left"/>
        <w:rPr>
          <w:sz w:val="24"/>
        </w:rPr>
      </w:pPr>
      <w:r>
        <w:rPr>
          <w:sz w:val="24"/>
        </w:rPr>
        <w:t>Acta de Nacimiento</w:t>
      </w:r>
      <w:r>
        <w:rPr>
          <w:spacing w:val="-17"/>
          <w:sz w:val="24"/>
        </w:rPr>
        <w:t> </w:t>
      </w:r>
      <w:r>
        <w:rPr>
          <w:sz w:val="24"/>
        </w:rPr>
        <w:t>Certificada</w:t>
      </w:r>
    </w:p>
    <w:p>
      <w:pPr>
        <w:pStyle w:val="ListParagraph"/>
        <w:numPr>
          <w:ilvl w:val="1"/>
          <w:numId w:val="10"/>
        </w:numPr>
        <w:tabs>
          <w:tab w:pos="1360" w:val="left" w:leader="none"/>
          <w:tab w:pos="1361" w:val="left" w:leader="none"/>
        </w:tabs>
        <w:spacing w:line="240" w:lineRule="auto" w:before="137" w:after="0"/>
        <w:ind w:left="1361" w:right="0" w:hanging="360"/>
        <w:jc w:val="left"/>
        <w:rPr>
          <w:sz w:val="24"/>
        </w:rPr>
      </w:pPr>
      <w:r>
        <w:rPr>
          <w:sz w:val="24"/>
        </w:rPr>
        <w:t>Copia legible de la Credencial de</w:t>
      </w:r>
      <w:r>
        <w:rPr>
          <w:spacing w:val="-22"/>
          <w:sz w:val="24"/>
        </w:rPr>
        <w:t> </w:t>
      </w:r>
      <w:r>
        <w:rPr>
          <w:sz w:val="24"/>
        </w:rPr>
        <w:t>Elector</w:t>
      </w:r>
    </w:p>
    <w:p>
      <w:pPr>
        <w:pStyle w:val="ListParagraph"/>
        <w:numPr>
          <w:ilvl w:val="1"/>
          <w:numId w:val="10"/>
        </w:numPr>
        <w:tabs>
          <w:tab w:pos="1360" w:val="left" w:leader="none"/>
          <w:tab w:pos="1361" w:val="left" w:leader="none"/>
        </w:tabs>
        <w:spacing w:line="240" w:lineRule="auto" w:before="134" w:after="0"/>
        <w:ind w:left="1361" w:right="0" w:hanging="360"/>
        <w:jc w:val="left"/>
        <w:rPr>
          <w:sz w:val="24"/>
        </w:rPr>
      </w:pPr>
      <w:r>
        <w:rPr>
          <w:sz w:val="24"/>
        </w:rPr>
        <w:t>Constancia de propiedad y/o contrato de</w:t>
      </w:r>
      <w:r>
        <w:rPr>
          <w:spacing w:val="-31"/>
          <w:sz w:val="24"/>
        </w:rPr>
        <w:t> </w:t>
      </w:r>
      <w:r>
        <w:rPr>
          <w:sz w:val="24"/>
        </w:rPr>
        <w:t>arrendamiento</w:t>
      </w:r>
    </w:p>
    <w:p>
      <w:pPr>
        <w:pStyle w:val="ListParagraph"/>
        <w:numPr>
          <w:ilvl w:val="1"/>
          <w:numId w:val="10"/>
        </w:numPr>
        <w:tabs>
          <w:tab w:pos="1360" w:val="left" w:leader="none"/>
          <w:tab w:pos="1361" w:val="left" w:leader="none"/>
        </w:tabs>
        <w:spacing w:line="240" w:lineRule="auto" w:before="138" w:after="0"/>
        <w:ind w:left="1361" w:right="0" w:hanging="360"/>
        <w:jc w:val="left"/>
        <w:rPr>
          <w:sz w:val="24"/>
        </w:rPr>
      </w:pPr>
      <w:r>
        <w:rPr>
          <w:sz w:val="24"/>
        </w:rPr>
        <w:t>Certificado de Conformidad firmadas por el Presidente</w:t>
      </w:r>
      <w:r>
        <w:rPr>
          <w:spacing w:val="-35"/>
          <w:sz w:val="24"/>
        </w:rPr>
        <w:t> </w:t>
      </w:r>
      <w:r>
        <w:rPr>
          <w:sz w:val="24"/>
        </w:rPr>
        <w:t>Municipal</w:t>
      </w:r>
    </w:p>
    <w:p>
      <w:pPr>
        <w:pStyle w:val="ListParagraph"/>
        <w:numPr>
          <w:ilvl w:val="1"/>
          <w:numId w:val="10"/>
        </w:numPr>
        <w:tabs>
          <w:tab w:pos="1360" w:val="left" w:leader="none"/>
          <w:tab w:pos="1361" w:val="left" w:leader="none"/>
        </w:tabs>
        <w:spacing w:line="240" w:lineRule="auto" w:before="134" w:after="0"/>
        <w:ind w:left="1361" w:right="0" w:hanging="360"/>
        <w:jc w:val="left"/>
        <w:rPr>
          <w:sz w:val="24"/>
        </w:rPr>
      </w:pPr>
      <w:r>
        <w:rPr>
          <w:sz w:val="24"/>
        </w:rPr>
        <w:t>Solicitud de Permiso</w:t>
      </w:r>
      <w:r>
        <w:rPr>
          <w:spacing w:val="-18"/>
          <w:sz w:val="24"/>
        </w:rPr>
        <w:t> </w:t>
      </w:r>
      <w:r>
        <w:rPr>
          <w:sz w:val="24"/>
        </w:rPr>
        <w:t>General</w:t>
      </w:r>
    </w:p>
    <w:p>
      <w:pPr>
        <w:pStyle w:val="ListParagraph"/>
        <w:numPr>
          <w:ilvl w:val="1"/>
          <w:numId w:val="10"/>
        </w:numPr>
        <w:tabs>
          <w:tab w:pos="1360" w:val="left" w:leader="none"/>
          <w:tab w:pos="1361" w:val="left" w:leader="none"/>
        </w:tabs>
        <w:spacing w:line="240" w:lineRule="auto" w:before="138" w:after="0"/>
        <w:ind w:left="1361" w:right="0" w:hanging="360"/>
        <w:jc w:val="left"/>
        <w:rPr>
          <w:sz w:val="24"/>
        </w:rPr>
      </w:pPr>
      <w:r>
        <w:rPr>
          <w:sz w:val="24"/>
        </w:rPr>
        <w:t>Referencia del Lugar de</w:t>
      </w:r>
      <w:r>
        <w:rPr>
          <w:spacing w:val="-19"/>
          <w:sz w:val="24"/>
        </w:rPr>
        <w:t> </w:t>
      </w:r>
      <w:r>
        <w:rPr>
          <w:sz w:val="24"/>
        </w:rPr>
        <w:t>Consumo</w:t>
      </w:r>
    </w:p>
    <w:p>
      <w:pPr>
        <w:pStyle w:val="ListParagraph"/>
        <w:numPr>
          <w:ilvl w:val="1"/>
          <w:numId w:val="10"/>
        </w:numPr>
        <w:tabs>
          <w:tab w:pos="1360" w:val="left" w:leader="none"/>
          <w:tab w:pos="1361" w:val="left" w:leader="none"/>
        </w:tabs>
        <w:spacing w:line="240" w:lineRule="auto" w:before="134" w:after="0"/>
        <w:ind w:left="1361" w:right="0" w:hanging="360"/>
        <w:jc w:val="left"/>
        <w:rPr>
          <w:sz w:val="24"/>
        </w:rPr>
      </w:pPr>
      <w:r>
        <w:rPr>
          <w:sz w:val="24"/>
        </w:rPr>
        <w:t>Referencias de los</w:t>
      </w:r>
      <w:r>
        <w:rPr>
          <w:spacing w:val="-20"/>
          <w:sz w:val="24"/>
        </w:rPr>
        <w:t> </w:t>
      </w:r>
      <w:r>
        <w:rPr>
          <w:sz w:val="24"/>
        </w:rPr>
        <w:t>polvorines</w:t>
      </w:r>
    </w:p>
    <w:p>
      <w:pPr>
        <w:pStyle w:val="ListParagraph"/>
        <w:numPr>
          <w:ilvl w:val="1"/>
          <w:numId w:val="10"/>
        </w:numPr>
        <w:tabs>
          <w:tab w:pos="1360" w:val="left" w:leader="none"/>
          <w:tab w:pos="1361" w:val="left" w:leader="none"/>
        </w:tabs>
        <w:spacing w:line="240" w:lineRule="auto" w:before="138" w:after="0"/>
        <w:ind w:left="1361" w:right="0" w:hanging="360"/>
        <w:jc w:val="left"/>
        <w:rPr>
          <w:sz w:val="24"/>
        </w:rPr>
      </w:pPr>
      <w:r>
        <w:rPr>
          <w:sz w:val="24"/>
        </w:rPr>
        <w:t>Cedula de Consumo</w:t>
      </w:r>
      <w:r>
        <w:rPr>
          <w:spacing w:val="-19"/>
          <w:sz w:val="24"/>
        </w:rPr>
        <w:t> </w:t>
      </w:r>
      <w:r>
        <w:rPr>
          <w:sz w:val="24"/>
        </w:rPr>
        <w:t>Unitario</w:t>
      </w:r>
    </w:p>
    <w:p>
      <w:pPr>
        <w:pStyle w:val="ListParagraph"/>
        <w:numPr>
          <w:ilvl w:val="1"/>
          <w:numId w:val="10"/>
        </w:numPr>
        <w:tabs>
          <w:tab w:pos="1360" w:val="left" w:leader="none"/>
          <w:tab w:pos="1361" w:val="left" w:leader="none"/>
        </w:tabs>
        <w:spacing w:line="352" w:lineRule="auto" w:before="134" w:after="0"/>
        <w:ind w:left="1361" w:right="124" w:hanging="360"/>
        <w:jc w:val="left"/>
        <w:rPr>
          <w:sz w:val="24"/>
        </w:rPr>
      </w:pPr>
      <w:r>
        <w:rPr>
          <w:sz w:val="24"/>
        </w:rPr>
        <w:t>Copia de la Opinión Favorable firmada por el Gobernador del Estado de</w:t>
      </w:r>
      <w:r>
        <w:rPr>
          <w:spacing w:val="-10"/>
          <w:sz w:val="24"/>
        </w:rPr>
        <w:t> </w:t>
      </w:r>
      <w:r>
        <w:rPr>
          <w:sz w:val="24"/>
        </w:rPr>
        <w:t>México.</w:t>
      </w:r>
    </w:p>
    <w:p>
      <w:pPr>
        <w:pStyle w:val="ListParagraph"/>
        <w:numPr>
          <w:ilvl w:val="1"/>
          <w:numId w:val="10"/>
        </w:numPr>
        <w:tabs>
          <w:tab w:pos="1360" w:val="left" w:leader="none"/>
          <w:tab w:pos="1361" w:val="left" w:leader="none"/>
        </w:tabs>
        <w:spacing w:line="240" w:lineRule="auto" w:before="9" w:after="0"/>
        <w:ind w:left="1361" w:right="0" w:hanging="360"/>
        <w:jc w:val="left"/>
        <w:rPr>
          <w:sz w:val="24"/>
        </w:rPr>
      </w:pPr>
      <w:r>
        <w:rPr>
          <w:sz w:val="24"/>
        </w:rPr>
        <w:t>Certificado de Antecedentes no</w:t>
      </w:r>
      <w:r>
        <w:rPr>
          <w:spacing w:val="-21"/>
          <w:sz w:val="24"/>
        </w:rPr>
        <w:t> </w:t>
      </w:r>
      <w:r>
        <w:rPr>
          <w:sz w:val="24"/>
        </w:rPr>
        <w:t>penales</w:t>
      </w:r>
    </w:p>
    <w:p>
      <w:pPr>
        <w:spacing w:after="0" w:line="240" w:lineRule="auto"/>
        <w:jc w:val="left"/>
        <w:rPr>
          <w:sz w:val="24"/>
        </w:rPr>
        <w:sectPr>
          <w:footerReference w:type="default" r:id="rId52"/>
          <w:pgSz w:w="12240" w:h="15840"/>
          <w:pgMar w:footer="1071" w:header="0" w:top="1360" w:bottom="1260" w:left="1600" w:right="1580"/>
        </w:sectPr>
      </w:pPr>
    </w:p>
    <w:p>
      <w:pPr>
        <w:pStyle w:val="ListParagraph"/>
        <w:numPr>
          <w:ilvl w:val="1"/>
          <w:numId w:val="10"/>
        </w:numPr>
        <w:tabs>
          <w:tab w:pos="1360" w:val="left" w:leader="none"/>
          <w:tab w:pos="1361" w:val="left" w:leader="none"/>
        </w:tabs>
        <w:spacing w:line="240" w:lineRule="auto" w:before="35" w:after="0"/>
        <w:ind w:left="1361" w:right="0" w:hanging="360"/>
        <w:jc w:val="left"/>
        <w:rPr>
          <w:sz w:val="24"/>
        </w:rPr>
      </w:pPr>
      <w:r>
        <w:rPr>
          <w:sz w:val="24"/>
        </w:rPr>
        <w:t>Copia del comprobante de</w:t>
      </w:r>
      <w:r>
        <w:rPr>
          <w:spacing w:val="-19"/>
          <w:sz w:val="24"/>
        </w:rPr>
        <w:t> </w:t>
      </w:r>
      <w:r>
        <w:rPr>
          <w:sz w:val="24"/>
        </w:rPr>
        <w:t>domicilio</w:t>
      </w:r>
    </w:p>
    <w:p>
      <w:pPr>
        <w:pStyle w:val="ListParagraph"/>
        <w:numPr>
          <w:ilvl w:val="1"/>
          <w:numId w:val="10"/>
        </w:numPr>
        <w:tabs>
          <w:tab w:pos="1360" w:val="left" w:leader="none"/>
          <w:tab w:pos="1361" w:val="left" w:leader="none"/>
        </w:tabs>
        <w:spacing w:line="240" w:lineRule="auto" w:before="137" w:after="0"/>
        <w:ind w:left="1361" w:right="0" w:hanging="360"/>
        <w:jc w:val="left"/>
        <w:rPr>
          <w:sz w:val="24"/>
        </w:rPr>
      </w:pPr>
      <w:r>
        <w:rPr>
          <w:sz w:val="24"/>
        </w:rPr>
        <w:t>Plano de Ubicación a escala de</w:t>
      </w:r>
      <w:r>
        <w:rPr>
          <w:spacing w:val="-19"/>
          <w:sz w:val="24"/>
        </w:rPr>
        <w:t> </w:t>
      </w:r>
      <w:r>
        <w:rPr>
          <w:sz w:val="24"/>
        </w:rPr>
        <w:t>1,4000</w:t>
      </w:r>
    </w:p>
    <w:p>
      <w:pPr>
        <w:pStyle w:val="ListParagraph"/>
        <w:numPr>
          <w:ilvl w:val="1"/>
          <w:numId w:val="10"/>
        </w:numPr>
        <w:tabs>
          <w:tab w:pos="1360" w:val="left" w:leader="none"/>
          <w:tab w:pos="1361" w:val="left" w:leader="none"/>
        </w:tabs>
        <w:spacing w:line="240" w:lineRule="auto" w:before="134" w:after="0"/>
        <w:ind w:left="1361" w:right="0" w:hanging="360"/>
        <w:jc w:val="left"/>
        <w:rPr>
          <w:sz w:val="24"/>
        </w:rPr>
      </w:pPr>
      <w:r>
        <w:rPr>
          <w:sz w:val="24"/>
        </w:rPr>
        <w:t>Plano de Distribución de polvorines a escala de</w:t>
      </w:r>
      <w:r>
        <w:rPr>
          <w:spacing w:val="-31"/>
          <w:sz w:val="24"/>
        </w:rPr>
        <w:t> </w:t>
      </w:r>
      <w:r>
        <w:rPr>
          <w:sz w:val="24"/>
        </w:rPr>
        <w:t>1,4000</w:t>
      </w:r>
    </w:p>
    <w:p>
      <w:pPr>
        <w:pStyle w:val="BodyText"/>
      </w:pPr>
    </w:p>
    <w:p>
      <w:pPr>
        <w:pStyle w:val="BodyText"/>
        <w:spacing w:before="10"/>
        <w:rPr>
          <w:sz w:val="23"/>
        </w:rPr>
      </w:pPr>
    </w:p>
    <w:p>
      <w:pPr>
        <w:pStyle w:val="BodyText"/>
        <w:spacing w:line="360" w:lineRule="auto"/>
        <w:ind w:left="100" w:right="99"/>
        <w:jc w:val="both"/>
      </w:pPr>
      <w:r>
        <w:rPr/>
        <w:t>El permiso general tiene validez durante el año de emisión, a inicios de cada año se debe renovar, sin embargo el proceso es mucho más simple, ya que solamente se realiza la inspección militar y se presenta el acta de dicha inspección y el permiso anterior para refrendar el nuevo (Márquez, 2009).</w:t>
      </w:r>
    </w:p>
    <w:p>
      <w:pPr>
        <w:pStyle w:val="BodyText"/>
      </w:pPr>
    </w:p>
    <w:p>
      <w:pPr>
        <w:pStyle w:val="BodyText"/>
        <w:spacing w:line="360" w:lineRule="auto" w:before="142"/>
        <w:ind w:left="100" w:right="102"/>
        <w:jc w:val="both"/>
      </w:pPr>
      <w:r>
        <w:rPr/>
        <w:t>Los cargos militares no cuentan con un periodo especifico de función en cuyo caso pueden cambiar dependiendo la asignación de nuevos puestos y cambios dentro del organigrama militar, es por ello que en múltiples ocasiones los responsables  de generar dichos permisos cambien constantemente, dejando un vacio de responsabilidad por periodos indeterminados, situación que entorpece el proceso de generación de permisos</w:t>
      </w:r>
      <w:r>
        <w:rPr>
          <w:spacing w:val="-21"/>
        </w:rPr>
        <w:t> </w:t>
      </w:r>
      <w:r>
        <w:rPr/>
        <w:t>generales.</w:t>
      </w:r>
    </w:p>
    <w:p>
      <w:pPr>
        <w:pStyle w:val="BodyText"/>
        <w:rPr>
          <w:sz w:val="20"/>
        </w:rPr>
      </w:pPr>
    </w:p>
    <w:p>
      <w:pPr>
        <w:pStyle w:val="BodyText"/>
        <w:spacing w:before="10"/>
        <w:rPr>
          <w:sz w:val="12"/>
        </w:rPr>
      </w:pPr>
      <w:r>
        <w:rPr/>
        <w:drawing>
          <wp:anchor distT="0" distB="0" distL="0" distR="0" allowOverlap="1" layoutInCell="1" locked="0" behindDoc="0" simplePos="0" relativeHeight="1720">
            <wp:simplePos x="0" y="0"/>
            <wp:positionH relativeFrom="page">
              <wp:posOffset>1532000</wp:posOffset>
            </wp:positionH>
            <wp:positionV relativeFrom="paragraph">
              <wp:posOffset>119315</wp:posOffset>
            </wp:positionV>
            <wp:extent cx="4769535" cy="3248025"/>
            <wp:effectExtent l="0" t="0" r="0" b="0"/>
            <wp:wrapTopAndBottom/>
            <wp:docPr id="97" name="image35.jpeg" descr=""/>
            <wp:cNvGraphicFramePr>
              <a:graphicFrameLocks noChangeAspect="1"/>
            </wp:cNvGraphicFramePr>
            <a:graphic>
              <a:graphicData uri="http://schemas.openxmlformats.org/drawingml/2006/picture">
                <pic:pic>
                  <pic:nvPicPr>
                    <pic:cNvPr id="98" name="image35.jpeg"/>
                    <pic:cNvPicPr/>
                  </pic:nvPicPr>
                  <pic:blipFill>
                    <a:blip r:embed="rId54" cstate="print"/>
                    <a:stretch>
                      <a:fillRect/>
                    </a:stretch>
                  </pic:blipFill>
                  <pic:spPr>
                    <a:xfrm>
                      <a:off x="0" y="0"/>
                      <a:ext cx="4769535" cy="3248025"/>
                    </a:xfrm>
                    <a:prstGeom prst="rect">
                      <a:avLst/>
                    </a:prstGeom>
                  </pic:spPr>
                </pic:pic>
              </a:graphicData>
            </a:graphic>
          </wp:anchor>
        </w:drawing>
      </w:r>
    </w:p>
    <w:p>
      <w:pPr>
        <w:spacing w:before="62"/>
        <w:ind w:left="1305" w:right="9" w:firstLine="0"/>
        <w:jc w:val="left"/>
        <w:rPr>
          <w:sz w:val="20"/>
        </w:rPr>
      </w:pPr>
      <w:r>
        <w:rPr>
          <w:sz w:val="20"/>
        </w:rPr>
        <w:t>Figura 4.18. Cerro del molcajete: invasión urbana a talleres pirotécnicos.</w:t>
      </w:r>
    </w:p>
    <w:p>
      <w:pPr>
        <w:spacing w:after="0"/>
        <w:jc w:val="left"/>
        <w:rPr>
          <w:sz w:val="20"/>
        </w:rPr>
        <w:sectPr>
          <w:footerReference w:type="default" r:id="rId53"/>
          <w:pgSz w:w="12240" w:h="15840"/>
          <w:pgMar w:footer="1071" w:header="0" w:top="1380" w:bottom="1260" w:left="1600" w:right="1600"/>
          <w:pgNumType w:start="71"/>
        </w:sectPr>
      </w:pPr>
    </w:p>
    <w:p>
      <w:pPr>
        <w:pStyle w:val="Heading2"/>
        <w:numPr>
          <w:ilvl w:val="2"/>
          <w:numId w:val="8"/>
        </w:numPr>
        <w:tabs>
          <w:tab w:pos="1133" w:val="left" w:leader="none"/>
        </w:tabs>
        <w:spacing w:line="240" w:lineRule="auto" w:before="51" w:after="0"/>
        <w:ind w:left="1133" w:right="0" w:hanging="605"/>
        <w:jc w:val="left"/>
      </w:pPr>
      <w:r>
        <w:rPr/>
        <w:t>ANÁLISIS DE INDICADORES</w:t>
      </w:r>
      <w:r>
        <w:rPr>
          <w:spacing w:val="-23"/>
        </w:rPr>
        <w:t> </w:t>
      </w:r>
      <w:r>
        <w:rPr/>
        <w:t>AMBIENTALES.</w:t>
      </w:r>
    </w:p>
    <w:p>
      <w:pPr>
        <w:pStyle w:val="BodyText"/>
        <w:rPr>
          <w:b/>
        </w:rPr>
      </w:pPr>
    </w:p>
    <w:p>
      <w:pPr>
        <w:pStyle w:val="BodyText"/>
        <w:spacing w:before="3"/>
        <w:rPr>
          <w:b/>
        </w:rPr>
      </w:pPr>
    </w:p>
    <w:p>
      <w:pPr>
        <w:pStyle w:val="BodyText"/>
        <w:spacing w:line="360" w:lineRule="auto" w:before="1"/>
        <w:ind w:left="100" w:right="103"/>
        <w:jc w:val="both"/>
      </w:pPr>
      <w:r>
        <w:rPr/>
        <w:t>El análisis ambiental es fundamental para determinar la salud de una actividad, sin embargo al preguntarle a los productores locales acerca de su ambiente ellos determinan como tal las situaciones ecológicas de la comunidad por lo que desagregan de lo ambiental las cuestiones de seguridad e higiene de sus propios trabajadores, los problemas de salud e incluso los factores del manejo de sustancias peligrosas, en esta sección se utilizaron las respuestas del sector pirotécnico separando estos factores de lo que ellos en gran medida consideran social o económico.</w:t>
      </w:r>
    </w:p>
    <w:p>
      <w:pPr>
        <w:pStyle w:val="BodyText"/>
        <w:spacing w:before="11"/>
        <w:rPr>
          <w:sz w:val="35"/>
        </w:rPr>
      </w:pPr>
    </w:p>
    <w:p>
      <w:pPr>
        <w:pStyle w:val="Heading2"/>
        <w:numPr>
          <w:ilvl w:val="0"/>
          <w:numId w:val="11"/>
        </w:numPr>
        <w:tabs>
          <w:tab w:pos="889" w:val="left" w:leader="none"/>
        </w:tabs>
        <w:spacing w:line="240" w:lineRule="auto" w:before="0" w:after="0"/>
        <w:ind w:left="889" w:right="0" w:hanging="361"/>
        <w:jc w:val="left"/>
      </w:pPr>
      <w:r>
        <w:rPr/>
        <w:t>Productividad.</w:t>
      </w:r>
    </w:p>
    <w:p>
      <w:pPr>
        <w:pStyle w:val="BodyText"/>
        <w:spacing w:line="360" w:lineRule="auto" w:before="140"/>
        <w:ind w:left="100" w:right="98"/>
        <w:jc w:val="both"/>
      </w:pPr>
      <w:r>
        <w:rPr/>
        <w:t>Parte fundamental para el empleado de la pirotecnia es el lugar donde desarrolla habitualmente la fabricación de los artefactos pirotécnicos, sin embargo es uno de los lugares en los que se presenta mayor descuido en cuanto a las adecuaciones para generar un ambiente laboral sano, por lo que es notoria la falta de identidad de los trabajadores hacia la empresa pirotécnica.</w:t>
      </w:r>
    </w:p>
    <w:p>
      <w:pPr>
        <w:pStyle w:val="BodyText"/>
      </w:pPr>
    </w:p>
    <w:p>
      <w:pPr>
        <w:pStyle w:val="BodyText"/>
        <w:spacing w:line="360" w:lineRule="auto" w:before="142"/>
        <w:ind w:left="100" w:right="101"/>
        <w:jc w:val="both"/>
      </w:pPr>
      <w:r>
        <w:rPr/>
        <w:t>En la descripción del ambiente laboral destacan las visitas realizadas a los centros de trabajo, presentándose lo siguiente: Al entrar a los talleres no existe una preocupación por el aspecto externo de los espacios de trabajo, cumpliendo de forma minimalista con las especificaciones de la SEDENA, ello implica un inexistente impacto visual acorde a los estándares de una empresa formalmente establecida.</w:t>
      </w:r>
    </w:p>
    <w:p>
      <w:pPr>
        <w:pStyle w:val="BodyText"/>
      </w:pPr>
    </w:p>
    <w:p>
      <w:pPr>
        <w:pStyle w:val="BodyText"/>
        <w:spacing w:line="360" w:lineRule="auto" w:before="142"/>
        <w:ind w:left="100" w:right="103"/>
        <w:jc w:val="both"/>
      </w:pPr>
      <w:r>
        <w:rPr/>
        <w:t>En ninguno de los talleres visitados se observaron lugares de trabajo diseñados para la elaboración de pirotecnia, en lugar de ello se cuenta con botes, cubetas o sillas en mal estado donde se sienta el personal a laborar y en lugar de una mesa adecuada con la altura correcta colocan tablas o cajas, observándose la falta total de ergonomía para los trabajadores. La propia falta de una mesa de trabajo produce problemas de contaminación, ya que la mayoría de los productos que</w:t>
      </w:r>
    </w:p>
    <w:p>
      <w:pPr>
        <w:spacing w:after="0" w:line="360" w:lineRule="auto"/>
        <w:jc w:val="both"/>
        <w:sectPr>
          <w:pgSz w:w="12240" w:h="15840"/>
          <w:pgMar w:header="0" w:footer="1071" w:top="1360" w:bottom="1260" w:left="1600" w:right="1600"/>
        </w:sectPr>
      </w:pPr>
    </w:p>
    <w:p>
      <w:pPr>
        <w:pStyle w:val="BodyText"/>
        <w:spacing w:line="360" w:lineRule="auto" w:before="55"/>
        <w:ind w:left="100" w:right="126"/>
        <w:jc w:val="both"/>
      </w:pPr>
      <w:r>
        <w:rPr/>
        <w:t>maneja el maestro pirotécnico se presentan en forma de polvo y es muy común encontrar en las grietas de las tablas mezclas de polvos de lo que se ha trabajado los días anteriores.</w:t>
      </w:r>
    </w:p>
    <w:p>
      <w:pPr>
        <w:pStyle w:val="BodyText"/>
      </w:pPr>
    </w:p>
    <w:p>
      <w:pPr>
        <w:pStyle w:val="BodyText"/>
        <w:spacing w:line="360" w:lineRule="auto" w:before="142"/>
        <w:ind w:left="100" w:right="125"/>
        <w:jc w:val="both"/>
      </w:pPr>
      <w:r>
        <w:rPr/>
        <w:t>Las paredes internas de los talleres permanecen con restos de los polvos utilizados, provocando un aspecto de descuido y generando una situación de riesgo, ya que en la mayoría de los casos predomina la pólvora como el material que ensucia dichas paredes.</w:t>
      </w:r>
    </w:p>
    <w:p>
      <w:pPr>
        <w:pStyle w:val="BodyText"/>
      </w:pPr>
    </w:p>
    <w:p>
      <w:pPr>
        <w:pStyle w:val="Heading2"/>
        <w:numPr>
          <w:ilvl w:val="0"/>
          <w:numId w:val="11"/>
        </w:numPr>
        <w:tabs>
          <w:tab w:pos="889" w:val="left" w:leader="none"/>
        </w:tabs>
        <w:spacing w:line="240" w:lineRule="auto" w:before="138" w:after="0"/>
        <w:ind w:left="889" w:right="0" w:hanging="361"/>
        <w:jc w:val="left"/>
      </w:pPr>
      <w:r>
        <w:rPr/>
        <w:t>Estabilidad, confiabilidad y</w:t>
      </w:r>
      <w:r>
        <w:rPr>
          <w:spacing w:val="-19"/>
        </w:rPr>
        <w:t> </w:t>
      </w:r>
      <w:r>
        <w:rPr/>
        <w:t>resiliencia.</w:t>
      </w:r>
    </w:p>
    <w:p>
      <w:pPr>
        <w:pStyle w:val="BodyText"/>
        <w:spacing w:line="360" w:lineRule="auto" w:before="140"/>
        <w:ind w:left="100" w:right="114"/>
        <w:jc w:val="both"/>
      </w:pPr>
      <w:r>
        <w:rPr/>
        <w:t>La comunidad de San Mateo ha sufrido cambios con respecto a los años que han provocado que el sector adecue sus procesos e instalaciones para cumplir con lo que se estipula por la ley, el primero de los puntos es el relacionado con el espacio, cuando se comenzaron a establecer los primeros talleres la lejanía con  los centros habitacionales era tal que no tuvieron problemas en dividir los predios  y comenzar a construir, sin embargo conforme aumentó el número de productores la zona libre para poder instalarse fue avanzando hacia las orillas del cerro del Molcajete y ahora se están, instalando en la ladera norte del mismo cerro, para  ello ha sido necesario talar los árboles circundantes a los talleres haciéndose notoria pérdida de vegetación de la zona, al deforestarse el cerro el clima cambia y los trabajadores pirotécnicos se enfrentan a situaciones que antes no contemplaban como son la destrucción de los caminos en tiempos de lluvias por la modificación de los</w:t>
      </w:r>
      <w:r>
        <w:rPr>
          <w:spacing w:val="-17"/>
        </w:rPr>
        <w:t> </w:t>
      </w:r>
      <w:r>
        <w:rPr/>
        <w:t>cauces.</w:t>
      </w:r>
    </w:p>
    <w:p>
      <w:pPr>
        <w:pStyle w:val="BodyText"/>
      </w:pPr>
    </w:p>
    <w:p>
      <w:pPr>
        <w:pStyle w:val="BodyText"/>
        <w:spacing w:line="360" w:lineRule="auto" w:before="142"/>
        <w:ind w:left="100" w:right="120"/>
        <w:jc w:val="both"/>
      </w:pPr>
      <w:r>
        <w:rPr/>
        <w:t>De forma semejante la falta de árboles es un factor de tiempos de secas más largos, generándose mayor riesgo de incendio en pastizales, ambientes electrostáticos de mayores cargas y se quitaron las barreras naturales contra los vientos los cuales producen el levantamiento de polvos con mayor facilidad y en consecuencia mayor contaminación cruzada de materiales, o la migración de polvos de producción pirotécnica a suelos circundantes.</w:t>
      </w:r>
    </w:p>
    <w:p>
      <w:pPr>
        <w:spacing w:after="0" w:line="360" w:lineRule="auto"/>
        <w:jc w:val="both"/>
        <w:sectPr>
          <w:pgSz w:w="12240" w:h="15840"/>
          <w:pgMar w:header="0" w:footer="1071" w:top="1360" w:bottom="1260" w:left="1600" w:right="1580"/>
        </w:sectPr>
      </w:pPr>
    </w:p>
    <w:p>
      <w:pPr>
        <w:pStyle w:val="BodyText"/>
        <w:spacing w:line="360" w:lineRule="auto" w:before="55"/>
        <w:ind w:left="100" w:right="114"/>
        <w:jc w:val="both"/>
      </w:pPr>
      <w:r>
        <w:rPr/>
        <w:t>Debido a la acumulación de partículas pirotécnicas el suelo de la comunidad ha aumentado su acidez, ello denotado por bioindicadores (aparición de insectos como la gallinita ciega) perdiéndose las raíces de los cultivos de maíz que servía de entrada económica aledaña para muchas personas dentro de la comunidad.</w:t>
      </w:r>
    </w:p>
    <w:p>
      <w:pPr>
        <w:pStyle w:val="BodyText"/>
      </w:pPr>
    </w:p>
    <w:p>
      <w:pPr>
        <w:pStyle w:val="Heading2"/>
        <w:numPr>
          <w:ilvl w:val="0"/>
          <w:numId w:val="11"/>
        </w:numPr>
        <w:tabs>
          <w:tab w:pos="889" w:val="left" w:leader="none"/>
        </w:tabs>
        <w:spacing w:line="240" w:lineRule="auto" w:before="138" w:after="0"/>
        <w:ind w:left="889" w:right="0" w:hanging="361"/>
        <w:jc w:val="left"/>
      </w:pPr>
      <w:r>
        <w:rPr/>
        <w:t>Adaptabilidad.</w:t>
      </w:r>
    </w:p>
    <w:p>
      <w:pPr>
        <w:pStyle w:val="BodyText"/>
        <w:spacing w:line="360" w:lineRule="auto" w:before="140"/>
        <w:ind w:left="100" w:right="119"/>
        <w:jc w:val="both"/>
      </w:pPr>
      <w:r>
        <w:rPr/>
        <w:t>Los productores de San Mateo Tlalchichilpan habitualmente cuentan con un número establecido de clientes que año tras año ofertan sus productos y se conforman con obtener las mismas quemas que realizó el año anterior, esto propicia que no intenten innovar en el campo de materiales nuevos o la  eliminación de materiales altamente peligrosos, tal es el caso del calomel, el minio o el llamado comúnmente verde parís, materiales que contienen mercurio, plomo y arsénico respectivamente y son utilizados sin las medidas básicas de seguridad, utilizan hexaclorobenceno como abrillantador y son renuentes al cambio de estos productos ya que los han usado desde generaciones anteriores, en algunos de los talleres los productores nos aseguran que el uso de estos químicos agresivos </w:t>
      </w:r>
      <w:r>
        <w:rPr>
          <w:spacing w:val="-3"/>
        </w:rPr>
        <w:t>ya </w:t>
      </w:r>
      <w:r>
        <w:rPr/>
        <w:t>ha sido erradicado, sin embargo encontramos bolsas vacías o botes de estos materiales entre la basura de los mismos talleres, demostrando que no se han sustituido estos componentes. En el anexo 1 se pueden observar algunas de las sustancias químicas </w:t>
      </w:r>
      <w:r>
        <w:rPr>
          <w:spacing w:val="-2"/>
        </w:rPr>
        <w:t>más </w:t>
      </w:r>
      <w:r>
        <w:rPr/>
        <w:t>comunes utilizadas por los pirotécnicos y la utilidad que les</w:t>
      </w:r>
      <w:r>
        <w:rPr>
          <w:spacing w:val="-8"/>
        </w:rPr>
        <w:t> </w:t>
      </w:r>
      <w:r>
        <w:rPr/>
        <w:t>asignan.</w:t>
      </w:r>
    </w:p>
    <w:p>
      <w:pPr>
        <w:pStyle w:val="BodyText"/>
      </w:pPr>
    </w:p>
    <w:p>
      <w:pPr>
        <w:pStyle w:val="BodyText"/>
        <w:spacing w:line="360" w:lineRule="auto" w:before="142"/>
        <w:ind w:left="100" w:right="118"/>
        <w:jc w:val="both"/>
      </w:pPr>
      <w:r>
        <w:rPr/>
        <w:t>“Estamos consientes de que inhalamos los polvos con los que trabajamos… pero no nos afectan los químicos, aun que algunos dicen que si” esta es una típica respuesta ante esta interrogante a artesanos pirotécnicos, en este caso a un productor de 48 años de edad.</w:t>
      </w:r>
    </w:p>
    <w:p>
      <w:pPr>
        <w:pStyle w:val="BodyText"/>
      </w:pPr>
    </w:p>
    <w:p>
      <w:pPr>
        <w:pStyle w:val="BodyText"/>
        <w:spacing w:line="357" w:lineRule="auto" w:before="142"/>
        <w:ind w:left="100" w:right="121"/>
        <w:jc w:val="both"/>
      </w:pPr>
      <w:r>
        <w:rPr/>
        <w:t>La Unión Europea ha modificado algunos de los reglamentos para evitar el uso de cloratos (Krone, 2009) en las formulaciones de emisión de colores pirotécnicos, esto  se  le  hiso  saber  a  los  maestros  pirotécnicos  entrevistados  y  ante    ello</w:t>
      </w:r>
    </w:p>
    <w:p>
      <w:pPr>
        <w:spacing w:after="0" w:line="357" w:lineRule="auto"/>
        <w:jc w:val="both"/>
        <w:sectPr>
          <w:pgSz w:w="12240" w:h="15840"/>
          <w:pgMar w:header="0" w:footer="1071" w:top="1360" w:bottom="1260" w:left="1600" w:right="1580"/>
        </w:sectPr>
      </w:pPr>
    </w:p>
    <w:p>
      <w:pPr>
        <w:pStyle w:val="BodyText"/>
        <w:spacing w:line="362" w:lineRule="auto" w:before="55"/>
        <w:ind w:left="100" w:right="128"/>
        <w:jc w:val="both"/>
      </w:pPr>
      <w:r>
        <w:rPr/>
        <w:t>reaccionaron negativamente al cambio, mencionando que mientras a ellos no les digan nada seguirán trabajando como sus abuelos.</w:t>
      </w:r>
    </w:p>
    <w:p>
      <w:pPr>
        <w:pStyle w:val="BodyText"/>
        <w:spacing w:before="8"/>
        <w:rPr>
          <w:sz w:val="35"/>
        </w:rPr>
      </w:pPr>
    </w:p>
    <w:p>
      <w:pPr>
        <w:pStyle w:val="Heading2"/>
        <w:numPr>
          <w:ilvl w:val="0"/>
          <w:numId w:val="11"/>
        </w:numPr>
        <w:tabs>
          <w:tab w:pos="889" w:val="left" w:leader="none"/>
        </w:tabs>
        <w:spacing w:line="240" w:lineRule="auto" w:before="1" w:after="0"/>
        <w:ind w:left="889" w:right="0" w:hanging="361"/>
        <w:jc w:val="left"/>
      </w:pPr>
      <w:r>
        <w:rPr/>
        <w:t>Equidad.</w:t>
      </w:r>
    </w:p>
    <w:p>
      <w:pPr>
        <w:pStyle w:val="BodyText"/>
        <w:spacing w:line="360" w:lineRule="auto" w:before="140"/>
        <w:ind w:left="100" w:right="124"/>
        <w:jc w:val="both"/>
      </w:pPr>
      <w:r>
        <w:rPr/>
        <w:t>Para muchos productores la equidad es algo que no se encuentra en lo social y en lo económico, por ende en lo ambiental pierde también la posibilidad de alcanzar esta característica, es por ello que al productor no le interesa la mejora de la calidad de los productos, o no buscan materiales amigablemente ambientales, sino únicamente aquellos que representen menor inversión en costos económicos, los costos ambientales y de salud pasan a segundo</w:t>
      </w:r>
      <w:r>
        <w:rPr>
          <w:spacing w:val="-32"/>
        </w:rPr>
        <w:t> </w:t>
      </w:r>
      <w:r>
        <w:rPr/>
        <w:t>término.</w:t>
      </w:r>
    </w:p>
    <w:p>
      <w:pPr>
        <w:pStyle w:val="BodyText"/>
      </w:pPr>
    </w:p>
    <w:p>
      <w:pPr>
        <w:pStyle w:val="BodyText"/>
        <w:spacing w:line="360" w:lineRule="auto" w:before="142"/>
        <w:ind w:left="100" w:right="121"/>
        <w:jc w:val="both"/>
      </w:pPr>
      <w:r>
        <w:rPr/>
        <w:t>La carencia de legislación o la falta de aplicación en este rubro económico propician también que las cuestiones ambientales queden a elección de los productores pirotécnicos, con esto la igualdad de condiciones en la deposición de residuos se pierde totalmente, por lo tanto no existe un tratamiento de residuos o separación común, y es entonces que algunos entierran sus residuos, otros han optado por quemarlos y en el caso de tres talleres que comparten un pozo arrojan dentro sus desperdicios.</w:t>
      </w:r>
    </w:p>
    <w:p>
      <w:pPr>
        <w:pStyle w:val="BodyText"/>
      </w:pPr>
    </w:p>
    <w:p>
      <w:pPr>
        <w:pStyle w:val="Heading2"/>
        <w:numPr>
          <w:ilvl w:val="0"/>
          <w:numId w:val="11"/>
        </w:numPr>
        <w:tabs>
          <w:tab w:pos="889" w:val="left" w:leader="none"/>
        </w:tabs>
        <w:spacing w:line="240" w:lineRule="auto" w:before="138" w:after="0"/>
        <w:ind w:left="889" w:right="0" w:hanging="361"/>
        <w:jc w:val="left"/>
      </w:pPr>
      <w:r>
        <w:rPr/>
        <w:t>Autodependencia.</w:t>
      </w:r>
    </w:p>
    <w:p>
      <w:pPr>
        <w:pStyle w:val="BodyText"/>
        <w:spacing w:line="360" w:lineRule="auto" w:before="140"/>
        <w:ind w:left="100" w:right="117"/>
        <w:jc w:val="both"/>
      </w:pPr>
      <w:r>
        <w:rPr/>
        <w:t>Uno de los insumos de mayor frecuencia en la comunidad de San Mateo consiste en el carrizo para las varas para la elaboración del cohetón pirotécnico, cada año en tiempos de lluvias la comunidad se llenaba de la planta llamada carrizo, con lo que se generaba una fuente de ingresos adicional en la recolección de estas plantas secas para la elaboración de las varas del cohetón, o de las estructuras de los castillos, sin embargo por el aumento de los talleres pirotécnicos, se ha realizado reajustes en los terrenos bajos </w:t>
      </w:r>
      <w:r>
        <w:rPr>
          <w:spacing w:val="-3"/>
        </w:rPr>
        <w:t>ya </w:t>
      </w:r>
      <w:r>
        <w:rPr/>
        <w:t>que los productores  necesitaron nivelar los terrenos para evitar que la humedad entrara en los talleres por lo cual se disminuyeron los lugares de humedal donde crecía esta planta. Esta planta era de los últimos materiales que la comunidad contaba para auto consumo, en la actualidad  se  surten  de  varas  que  traen  de  las  faldas  del  volcán</w:t>
      </w:r>
      <w:r>
        <w:rPr>
          <w:spacing w:val="40"/>
        </w:rPr>
        <w:t> </w:t>
      </w:r>
      <w:r>
        <w:rPr/>
        <w:t>Xinantécatl</w:t>
      </w:r>
    </w:p>
    <w:p>
      <w:pPr>
        <w:spacing w:after="0" w:line="360" w:lineRule="auto"/>
        <w:jc w:val="both"/>
        <w:sectPr>
          <w:pgSz w:w="12240" w:h="15840"/>
          <w:pgMar w:header="0" w:footer="1071" w:top="1360" w:bottom="1260" w:left="1600" w:right="1580"/>
        </w:sectPr>
      </w:pPr>
    </w:p>
    <w:p>
      <w:pPr>
        <w:pStyle w:val="BodyText"/>
        <w:spacing w:line="362" w:lineRule="auto" w:before="55"/>
        <w:ind w:left="100" w:right="108"/>
        <w:jc w:val="both"/>
      </w:pPr>
      <w:r>
        <w:rPr/>
        <w:t>creando una dependencia totalmente de la materia prima que se distribuye mediante las casas proveedoras de la región.</w:t>
      </w:r>
    </w:p>
    <w:p>
      <w:pPr>
        <w:pStyle w:val="BodyText"/>
      </w:pPr>
    </w:p>
    <w:p>
      <w:pPr>
        <w:pStyle w:val="BodyText"/>
      </w:pPr>
    </w:p>
    <w:p>
      <w:pPr>
        <w:pStyle w:val="BodyText"/>
        <w:spacing w:before="7"/>
        <w:rPr>
          <w:sz w:val="23"/>
        </w:rPr>
      </w:pPr>
    </w:p>
    <w:p>
      <w:pPr>
        <w:pStyle w:val="Heading2"/>
        <w:numPr>
          <w:ilvl w:val="2"/>
          <w:numId w:val="8"/>
        </w:numPr>
        <w:tabs>
          <w:tab w:pos="1133" w:val="left" w:leader="none"/>
        </w:tabs>
        <w:spacing w:line="240" w:lineRule="auto" w:before="0" w:after="0"/>
        <w:ind w:left="1133" w:right="0" w:hanging="605"/>
        <w:jc w:val="left"/>
      </w:pPr>
      <w:r>
        <w:rPr/>
        <w:t>ANÁLISIS DE INDICADORES</w:t>
      </w:r>
      <w:r>
        <w:rPr>
          <w:spacing w:val="-17"/>
        </w:rPr>
        <w:t> </w:t>
      </w:r>
      <w:r>
        <w:rPr/>
        <w:t>ECONÓMICOS.</w:t>
      </w:r>
    </w:p>
    <w:p>
      <w:pPr>
        <w:pStyle w:val="BodyText"/>
        <w:rPr>
          <w:b/>
        </w:rPr>
      </w:pPr>
    </w:p>
    <w:p>
      <w:pPr>
        <w:pStyle w:val="BodyText"/>
        <w:spacing w:before="4"/>
        <w:rPr>
          <w:b/>
        </w:rPr>
      </w:pPr>
    </w:p>
    <w:p>
      <w:pPr>
        <w:pStyle w:val="BodyText"/>
        <w:spacing w:line="360" w:lineRule="auto"/>
        <w:ind w:left="100" w:right="101"/>
        <w:jc w:val="both"/>
      </w:pPr>
      <w:r>
        <w:rPr/>
        <w:t>La economía de esta comunidad gira en torno a la pirotecnia, prueba de ello es que las personas entrevistadas coinciden que aproximadamente el 80 % de la población económicamente activa de San Mateo Tlalchichilpan, se dedica a la producción de pirotecnia o de insumos relacionados con la</w:t>
      </w:r>
      <w:r>
        <w:rPr>
          <w:spacing w:val="-32"/>
        </w:rPr>
        <w:t> </w:t>
      </w:r>
      <w:r>
        <w:rPr/>
        <w:t>misma.</w:t>
      </w:r>
    </w:p>
    <w:p>
      <w:pPr>
        <w:pStyle w:val="BodyText"/>
      </w:pPr>
    </w:p>
    <w:p>
      <w:pPr>
        <w:pStyle w:val="BodyText"/>
        <w:spacing w:line="360" w:lineRule="auto" w:before="142"/>
        <w:ind w:left="100" w:right="102"/>
        <w:jc w:val="both"/>
      </w:pPr>
      <w:r>
        <w:rPr/>
        <w:t>Sin embargo económicamente está en decadencia ya que los pirotécnicos tienen pérdidas económicas relacionadas con la extorsión, disminución de ventas, costos de accidentes, malas prácticas en la colocación de precios, entre otras que limitan su crecimiento estancándolo en una actividad para sobrevivir y no como un negocio en crecimiento.</w:t>
      </w:r>
    </w:p>
    <w:p>
      <w:pPr>
        <w:pStyle w:val="BodyText"/>
        <w:spacing w:before="11"/>
        <w:rPr>
          <w:sz w:val="35"/>
        </w:rPr>
      </w:pPr>
    </w:p>
    <w:p>
      <w:pPr>
        <w:pStyle w:val="Heading2"/>
        <w:numPr>
          <w:ilvl w:val="0"/>
          <w:numId w:val="12"/>
        </w:numPr>
        <w:tabs>
          <w:tab w:pos="889" w:val="left" w:leader="none"/>
        </w:tabs>
        <w:spacing w:line="240" w:lineRule="auto" w:before="0" w:after="0"/>
        <w:ind w:left="889" w:right="0" w:hanging="361"/>
        <w:jc w:val="left"/>
      </w:pPr>
      <w:r>
        <w:rPr/>
        <w:t>Productividad.</w:t>
      </w:r>
    </w:p>
    <w:p>
      <w:pPr>
        <w:pStyle w:val="BodyText"/>
        <w:spacing w:line="360" w:lineRule="auto" w:before="140"/>
        <w:ind w:left="100" w:right="106"/>
        <w:jc w:val="both"/>
      </w:pPr>
      <w:r>
        <w:rPr/>
        <w:t>Las propias entrevistas marcan una tendencia del artesano pirotécnico a cobrar su trabajo en el doble de los gastos de elaboración, por ende se torna una actividad de precios altos, ya que no solo se paga por el espectáculo sino por el riesgo de la elaboración, sin embargo la cada vez mayor entrada de productos pirotécnico extranjeros amenazan las finanzas del productor pirotécnico.</w:t>
      </w:r>
    </w:p>
    <w:p>
      <w:pPr>
        <w:pStyle w:val="BodyText"/>
      </w:pPr>
    </w:p>
    <w:p>
      <w:pPr>
        <w:pStyle w:val="BodyText"/>
        <w:spacing w:line="360" w:lineRule="auto" w:before="142"/>
        <w:ind w:left="100" w:right="101"/>
        <w:jc w:val="both"/>
      </w:pPr>
      <w:r>
        <w:rPr/>
        <w:t>De los diversos productos que se comercializan el de mayor incidencia es el cohetón pirotécnico, este es un material altamente utilizado en festividades religiosas y durante todo el año se celebran por tradición los días correspondientes a cada santo de la religión católica, ello permite entender por qué uno de los pirotécnicos entrevistados comentaba que si uno es atento podrá escuchar diariamente el estallido de cohetones pirotécnicos, y esto se explica    apoyándose</w:t>
      </w:r>
    </w:p>
    <w:p>
      <w:pPr>
        <w:spacing w:after="0" w:line="360" w:lineRule="auto"/>
        <w:jc w:val="both"/>
        <w:sectPr>
          <w:pgSz w:w="12240" w:h="15840"/>
          <w:pgMar w:header="0" w:footer="1071" w:top="1360" w:bottom="1260" w:left="1600" w:right="1600"/>
        </w:sectPr>
      </w:pPr>
    </w:p>
    <w:p>
      <w:pPr>
        <w:pStyle w:val="BodyText"/>
        <w:spacing w:line="362" w:lineRule="auto" w:before="55"/>
        <w:ind w:left="100" w:right="114"/>
        <w:jc w:val="both"/>
      </w:pPr>
      <w:r>
        <w:rPr/>
        <w:t>en que dentro del territorio estatal se encuentran aproximadamente 8000 iglesias y en cada una se festeja el santo patrono del lugar.</w:t>
      </w:r>
    </w:p>
    <w:p>
      <w:pPr>
        <w:pStyle w:val="BodyText"/>
      </w:pPr>
    </w:p>
    <w:p>
      <w:pPr>
        <w:pStyle w:val="BodyText"/>
        <w:spacing w:line="360" w:lineRule="auto" w:before="139"/>
        <w:ind w:left="100" w:right="117"/>
        <w:jc w:val="both"/>
      </w:pPr>
      <w:r>
        <w:rPr/>
        <w:t>En promedio un pirotécnico en los primeros meses del año produce entre treinta y cuarenta gruesas de cohetón pirotécnico, cada gruesa consta de 144 unidades, la producción va de 4320 a 5760 unidades por mes, sin embargo estas cantidades  se elevan en los meses de marzo y diciembre donde se elaboran hasta 200 gruesas en cada uno de estos meses, esto debido a las festividades de “semana santa” en marzo y las celebraciones de la virgen de Guadalupe y fiestas de navidad en el </w:t>
      </w:r>
      <w:r>
        <w:rPr>
          <w:spacing w:val="-2"/>
        </w:rPr>
        <w:t>mes </w:t>
      </w:r>
      <w:r>
        <w:rPr/>
        <w:t>de diciembre, acercándose a las 30000 unidades producidas, lo que en promedio representaría unas 700 gruesas anuales traduciéndose en cerca de 100,000 cohetones por año, generando una derrama económica cercana a un millón de pesos al año por maestro pirotécnico solamente de la elaboración de este material. Para obtener los datos anteriores se efectuó un análisis de ciclo de vida del cohetón pirotécnico (véase el anexo 2 de la presente</w:t>
      </w:r>
      <w:r>
        <w:rPr>
          <w:spacing w:val="-34"/>
        </w:rPr>
        <w:t> </w:t>
      </w:r>
      <w:r>
        <w:rPr/>
        <w:t>tesis).</w:t>
      </w:r>
    </w:p>
    <w:p>
      <w:pPr>
        <w:pStyle w:val="BodyText"/>
      </w:pPr>
    </w:p>
    <w:p>
      <w:pPr>
        <w:pStyle w:val="BodyText"/>
        <w:spacing w:line="360" w:lineRule="auto" w:before="142"/>
        <w:ind w:left="100" w:right="119"/>
        <w:jc w:val="both"/>
      </w:pPr>
      <w:r>
        <w:rPr/>
        <w:t>En promedio, aparte de la producción de cohetón se producen castillos pirotécnicos, los cuales generan un movimiento mayor económico, </w:t>
      </w:r>
      <w:r>
        <w:rPr>
          <w:spacing w:val="-3"/>
        </w:rPr>
        <w:t>ya </w:t>
      </w:r>
      <w:r>
        <w:rPr/>
        <w:t>que son espectáculos de mayor costo, sin embargo la ganancia es menor, “se realiza una quema cada dos o tres meses y después de restarle los gastos de elaboración, transporte y quema nos deja una ganancia de $30,000” usando estos datos recopilados podemos calcular que por lo menos se producen 5 castillos al año, dependiendo el tamaño, el número de luces que se integren, y el remate van desde $100,000 hasta $200,000 por espectáculo, promediando los valores representarían $750,000</w:t>
      </w:r>
      <w:r>
        <w:rPr>
          <w:spacing w:val="-20"/>
        </w:rPr>
        <w:t> </w:t>
      </w:r>
      <w:r>
        <w:rPr/>
        <w:t>anuales.</w:t>
      </w:r>
    </w:p>
    <w:p>
      <w:pPr>
        <w:pStyle w:val="BodyText"/>
      </w:pPr>
    </w:p>
    <w:p>
      <w:pPr>
        <w:pStyle w:val="BodyText"/>
        <w:spacing w:line="360" w:lineRule="auto" w:before="142"/>
        <w:ind w:left="100" w:right="124"/>
        <w:jc w:val="both"/>
      </w:pPr>
      <w:r>
        <w:rPr/>
        <w:t>Pese a lo optimista del panorama una vez dictaminados los números se deben restar los costos de producción, de permisos e incluso de las extorsiones por parte de autoridades que al saber que es una actividad de movimientos económicos elevados, se aprovechan de la situación.</w:t>
      </w:r>
    </w:p>
    <w:p>
      <w:pPr>
        <w:spacing w:after="0" w:line="360" w:lineRule="auto"/>
        <w:jc w:val="both"/>
        <w:sectPr>
          <w:pgSz w:w="12240" w:h="15840"/>
          <w:pgMar w:header="0" w:footer="1071" w:top="1360" w:bottom="1260" w:left="1600" w:right="1580"/>
        </w:sectPr>
      </w:pPr>
    </w:p>
    <w:p>
      <w:pPr>
        <w:pStyle w:val="Heading2"/>
        <w:numPr>
          <w:ilvl w:val="0"/>
          <w:numId w:val="12"/>
        </w:numPr>
        <w:tabs>
          <w:tab w:pos="889" w:val="left" w:leader="none"/>
        </w:tabs>
        <w:spacing w:line="240" w:lineRule="auto" w:before="51" w:after="0"/>
        <w:ind w:left="889" w:right="0" w:hanging="361"/>
        <w:jc w:val="left"/>
      </w:pPr>
      <w:r>
        <w:rPr/>
        <w:t>Estabilidad, confiabilidad y</w:t>
      </w:r>
      <w:r>
        <w:rPr>
          <w:spacing w:val="-19"/>
        </w:rPr>
        <w:t> </w:t>
      </w:r>
      <w:r>
        <w:rPr/>
        <w:t>resiliencia.</w:t>
      </w:r>
    </w:p>
    <w:p>
      <w:pPr>
        <w:pStyle w:val="BodyText"/>
        <w:spacing w:line="360" w:lineRule="auto" w:before="144"/>
        <w:ind w:left="100" w:right="99"/>
        <w:jc w:val="both"/>
      </w:pPr>
      <w:r>
        <w:rPr/>
        <w:t>La pirotecnia es considerada una actividad de alto riesgo </w:t>
      </w:r>
      <w:r>
        <w:rPr>
          <w:spacing w:val="-3"/>
        </w:rPr>
        <w:t>ya </w:t>
      </w:r>
      <w:r>
        <w:rPr/>
        <w:t>que la naturaleza de los materiales que manejan es altamente reactiva, existiendo muy seguido accidentes que no siempre son reportados de manera que las cifras no se conocen con exactitud, sin embargo el costo por accidente suele ser un problema muy grande para el artesano pirotécnico y su</w:t>
      </w:r>
      <w:r>
        <w:rPr>
          <w:spacing w:val="-30"/>
        </w:rPr>
        <w:t> </w:t>
      </w:r>
      <w:r>
        <w:rPr/>
        <w:t>familia.</w:t>
      </w:r>
    </w:p>
    <w:p>
      <w:pPr>
        <w:pStyle w:val="BodyText"/>
      </w:pPr>
    </w:p>
    <w:p>
      <w:pPr>
        <w:pStyle w:val="BodyText"/>
        <w:spacing w:line="360" w:lineRule="auto" w:before="142"/>
        <w:ind w:left="100" w:right="98"/>
        <w:jc w:val="both"/>
      </w:pPr>
      <w:r>
        <w:rPr/>
        <w:t>Cuando un evento pirotécnico es contratado, el productor solicita un anticipo monetario mínimo del 50% de lo acordado con ello se contempla la compra de materia prima, los costos de producción y transporte y finalizando el evento se recupera la otra mitad y es destinada para el pago de trabajadores durante el armado y quema del producto, los permisos correspondientes y la ganancia del productor, es por ello que en caso de un accidente el productor pierde la materia prima, y los productos que había elaborado hasta el momento del siniestro, inmediatamente el taller de elaboración es clausurado por la SEDENA hasta que determinan las causales del incidente, el pirotécnico es multado, pierde su material y la forma de elaborar más producto y aun así debe completar el contrato adquirido.</w:t>
      </w:r>
    </w:p>
    <w:p>
      <w:pPr>
        <w:pStyle w:val="BodyText"/>
      </w:pPr>
    </w:p>
    <w:p>
      <w:pPr>
        <w:pStyle w:val="BodyText"/>
        <w:spacing w:line="360" w:lineRule="auto" w:before="142"/>
        <w:ind w:left="100" w:right="103"/>
        <w:jc w:val="both"/>
      </w:pPr>
      <w:r>
        <w:rPr/>
        <w:t>Por ello y para lograr la resiliencia luego de un accidente los productores se unen  y cooperan donando algo de materia prima, o productos terminados que les dan al pirotécnico en cuestión, incluso se prestan instalaciones y vehículos para cumplir con la quema programada y de esta forma una vez que cobran pueden cubrir las multas generadas y comenzar con la reparación de los</w:t>
      </w:r>
      <w:r>
        <w:rPr>
          <w:spacing w:val="-32"/>
        </w:rPr>
        <w:t> </w:t>
      </w:r>
      <w:r>
        <w:rPr/>
        <w:t>daños.</w:t>
      </w:r>
    </w:p>
    <w:p>
      <w:pPr>
        <w:pStyle w:val="BodyText"/>
      </w:pPr>
    </w:p>
    <w:p>
      <w:pPr>
        <w:pStyle w:val="BodyText"/>
        <w:spacing w:line="360" w:lineRule="auto" w:before="142"/>
        <w:ind w:left="100" w:right="104" w:firstLine="708"/>
        <w:jc w:val="both"/>
      </w:pPr>
      <w:r>
        <w:rPr/>
        <w:t>En el peor de los caso existen damnificados que habitualmente pierden la vida, desafortunadamente no existe seguridad social en esta zona, y las familias de los afectados no reciben ningún tipo de pensión afectando los ingresos del hogar del</w:t>
      </w:r>
      <w:r>
        <w:rPr>
          <w:spacing w:val="-15"/>
        </w:rPr>
        <w:t> </w:t>
      </w:r>
      <w:r>
        <w:rPr/>
        <w:t>afectado.</w:t>
      </w:r>
    </w:p>
    <w:p>
      <w:pPr>
        <w:spacing w:after="0" w:line="360" w:lineRule="auto"/>
        <w:jc w:val="both"/>
        <w:sectPr>
          <w:pgSz w:w="12240" w:h="15840"/>
          <w:pgMar w:header="0" w:footer="1071" w:top="1360" w:bottom="1260" w:left="1600" w:right="1600"/>
        </w:sectPr>
      </w:pPr>
    </w:p>
    <w:p>
      <w:pPr>
        <w:pStyle w:val="Heading2"/>
        <w:numPr>
          <w:ilvl w:val="0"/>
          <w:numId w:val="12"/>
        </w:numPr>
        <w:tabs>
          <w:tab w:pos="889" w:val="left" w:leader="none"/>
        </w:tabs>
        <w:spacing w:line="240" w:lineRule="auto" w:before="51" w:after="0"/>
        <w:ind w:left="889" w:right="0" w:hanging="361"/>
        <w:jc w:val="left"/>
      </w:pPr>
      <w:r>
        <w:rPr/>
        <w:t>Adaptabilidad.</w:t>
      </w:r>
    </w:p>
    <w:p>
      <w:pPr>
        <w:pStyle w:val="BodyText"/>
        <w:spacing w:line="360" w:lineRule="auto" w:before="144"/>
        <w:ind w:left="100" w:right="100"/>
        <w:jc w:val="both"/>
      </w:pPr>
      <w:r>
        <w:rPr/>
        <w:t>En todos los casos de artesanos pirotécnicos entrevistados coinciden en que la pirotecnia está dejando de ser un negocio de amplias ganancias, esto principalmente a causa del aumento de la competencia, por ello los artesanos pirotécnicos han optado por disminuir la calidad de las materia primas con lo que los costos de producción pueden disminuirse aumentando el riesgo del manejo de los productos ello genera una competencia desleal, ya que los pirotécnicos que aun trabajan usando las materias primas de alta calidad y tramitando sus permisos cobran una gruesa de cohetón aproximadamente en $1200.00 sin embargo existe quienes la venden por menos de $800.00.</w:t>
      </w:r>
    </w:p>
    <w:p>
      <w:pPr>
        <w:pStyle w:val="BodyText"/>
      </w:pPr>
    </w:p>
    <w:p>
      <w:pPr>
        <w:pStyle w:val="BodyText"/>
        <w:spacing w:line="360" w:lineRule="auto" w:before="142"/>
        <w:ind w:left="100" w:right="104"/>
        <w:jc w:val="both"/>
      </w:pPr>
      <w:r>
        <w:rPr/>
        <w:t>Uno de los productores más longevos entrevistado afirma que su bisabuelo fue uno de los primeros pirotécnicos en elegir Tlalchichilpan para poner sus talleres, mencionando que hace cuatro generaciones habrían 5 pirotécnicos comenzando con esta tradición, hoy en día hay </w:t>
      </w:r>
      <w:r>
        <w:rPr>
          <w:spacing w:val="-2"/>
        </w:rPr>
        <w:t>más </w:t>
      </w:r>
      <w:r>
        <w:rPr/>
        <w:t>de 200, -La pirotecnia en Tlalchichilpan tiene unos 115 años y no creo que se componga por que vienen más</w:t>
      </w:r>
      <w:r>
        <w:rPr>
          <w:spacing w:val="-29"/>
        </w:rPr>
        <w:t> </w:t>
      </w:r>
      <w:r>
        <w:rPr/>
        <w:t>jóvenes-</w:t>
      </w:r>
    </w:p>
    <w:p>
      <w:pPr>
        <w:pStyle w:val="BodyText"/>
        <w:spacing w:before="11"/>
        <w:rPr>
          <w:sz w:val="35"/>
        </w:rPr>
      </w:pPr>
    </w:p>
    <w:p>
      <w:pPr>
        <w:pStyle w:val="Heading2"/>
        <w:numPr>
          <w:ilvl w:val="0"/>
          <w:numId w:val="12"/>
        </w:numPr>
        <w:tabs>
          <w:tab w:pos="889" w:val="left" w:leader="none"/>
        </w:tabs>
        <w:spacing w:line="240" w:lineRule="auto" w:before="0" w:after="0"/>
        <w:ind w:left="889" w:right="0" w:hanging="361"/>
        <w:jc w:val="left"/>
      </w:pPr>
      <w:r>
        <w:rPr/>
        <w:t>Equidad.</w:t>
      </w:r>
    </w:p>
    <w:p>
      <w:pPr>
        <w:pStyle w:val="BodyText"/>
        <w:spacing w:line="360" w:lineRule="auto" w:before="140"/>
        <w:ind w:left="100" w:right="99"/>
        <w:jc w:val="both"/>
      </w:pPr>
      <w:r>
        <w:rPr/>
        <w:t>De manera que el mercado se ha abierto, empresas de mayor capacidad económica han entrado al país usando pirotécnicos locales como testaferros para obtener las grandes quemas (16 de septiembre o eventos especiales como la inauguración de la estela de luz en el DF) limitando a los productores a la búsqueda de contratos en fiestas patronales menores, estas empresas en su mayoría italianas han logrado ofrecer seguridad en las quemas pirotécnicas por lo que las oportunidades de realizar eventos de talla mayor se pierden.</w:t>
      </w:r>
    </w:p>
    <w:p>
      <w:pPr>
        <w:pStyle w:val="BodyText"/>
      </w:pPr>
    </w:p>
    <w:p>
      <w:pPr>
        <w:pStyle w:val="BodyText"/>
        <w:spacing w:line="360" w:lineRule="auto" w:before="142"/>
        <w:ind w:left="100" w:right="101"/>
        <w:jc w:val="both"/>
      </w:pPr>
      <w:r>
        <w:rPr/>
        <w:t>De la misma manera la entrada de pirotecnia ilegal de China ha causado un desorden en los productores de castillería de Tlalchichilpan, ya que habitualmente se contrataban eventos de castillería y al final se hacía un remate de bombas pirotécnicas, estas últimas sustituidas por las cajas de pirotecnia llamadas “cakes” provenientes  del  país  en  cuestión.  Estas  cajas  ofrecen  un  espectáculo aéreo</w:t>
      </w:r>
    </w:p>
    <w:p>
      <w:pPr>
        <w:spacing w:after="0" w:line="360" w:lineRule="auto"/>
        <w:jc w:val="both"/>
        <w:sectPr>
          <w:pgSz w:w="12240" w:h="15840"/>
          <w:pgMar w:header="0" w:footer="1071" w:top="1360" w:bottom="1260" w:left="1600" w:right="1600"/>
        </w:sectPr>
      </w:pPr>
    </w:p>
    <w:p>
      <w:pPr>
        <w:pStyle w:val="BodyText"/>
        <w:spacing w:line="360" w:lineRule="auto" w:before="55"/>
        <w:ind w:left="100" w:right="120"/>
        <w:jc w:val="both"/>
      </w:pPr>
      <w:r>
        <w:rPr/>
        <w:t>acorde a lo solicitado para finalizar un castillo y debido a que este tipo de mercancía no paga impuestos se oferta en precios mucho menores a los que representa en costo elaborar los propios, por lo que la producción disminuye fundamentalmente. Estas prácticas son altamente criticadas por los pirotécnicos de mayor edad quienes prefieren elaborar sus artificios y no logran combatir los precios y las prácticas de las nuevas generaciones siendo estas últimas las que en su mayoría arriesgan sus permisos por conseguir mayor capacidad</w:t>
      </w:r>
      <w:r>
        <w:rPr>
          <w:spacing w:val="-31"/>
        </w:rPr>
        <w:t> </w:t>
      </w:r>
      <w:r>
        <w:rPr/>
        <w:t>económica.</w:t>
      </w:r>
    </w:p>
    <w:p>
      <w:pPr>
        <w:pStyle w:val="BodyText"/>
        <w:spacing w:before="11"/>
        <w:rPr>
          <w:sz w:val="35"/>
        </w:rPr>
      </w:pPr>
    </w:p>
    <w:p>
      <w:pPr>
        <w:pStyle w:val="Heading2"/>
        <w:numPr>
          <w:ilvl w:val="0"/>
          <w:numId w:val="12"/>
        </w:numPr>
        <w:tabs>
          <w:tab w:pos="889" w:val="left" w:leader="none"/>
        </w:tabs>
        <w:spacing w:line="240" w:lineRule="auto" w:before="0" w:after="0"/>
        <w:ind w:left="889" w:right="0" w:hanging="361"/>
        <w:jc w:val="left"/>
      </w:pPr>
      <w:r>
        <w:rPr/>
        <w:t>Autodependencia.</w:t>
      </w:r>
    </w:p>
    <w:p>
      <w:pPr>
        <w:pStyle w:val="BodyText"/>
        <w:spacing w:line="360" w:lineRule="auto" w:before="144"/>
        <w:ind w:left="100" w:right="124"/>
        <w:jc w:val="both"/>
      </w:pPr>
      <w:r>
        <w:rPr/>
        <w:t>Económicamente el productor de pirotecnia suele ser autodependiente, ya que no existen apoyos gubernamentales que les apoyen en el financiamiento de sus productos y sus procesos, pese a ello en múltiples ocasiones buscan instancias para recibir créditos que le ayuden a cambiar los vehículos o mejorar en cuanto a instalaciones, comprando equipos de producción o sistemas de encendido electrónico para estar a la vanguardia tecnológica, sin embargo debido a las tasas de interés pocos son los que logran conseguirlos y por ende se incrementa la desigualdad en el sector.</w:t>
      </w:r>
    </w:p>
    <w:p>
      <w:pPr>
        <w:pStyle w:val="BodyText"/>
      </w:pPr>
    </w:p>
    <w:p>
      <w:pPr>
        <w:pStyle w:val="BodyText"/>
        <w:spacing w:line="360" w:lineRule="auto" w:before="142"/>
        <w:ind w:left="100" w:right="117"/>
        <w:jc w:val="both"/>
      </w:pPr>
      <w:r>
        <w:rPr/>
        <w:t>Pese a lo antes mencionado el artesano pirotécnico utiliza recursos monetarios de los patrocinadores del espectáculo previa realización del mismo de forma que para asegurar el contrato solicitan hasta el 50% de lo convenido para compra de materias primas y pagos de salarios, con esto el productor no siempre necesita utilizar recursos propios para ofertar sus materiales, basta con presentar evidencias de quemas anteriores, sus presupuestos y en el caso favorable comenzar a trabajar con recursos ajenos.</w:t>
      </w:r>
    </w:p>
    <w:p>
      <w:pPr>
        <w:spacing w:after="0" w:line="360" w:lineRule="auto"/>
        <w:jc w:val="both"/>
        <w:sectPr>
          <w:footerReference w:type="default" r:id="rId55"/>
          <w:pgSz w:w="12240" w:h="15840"/>
          <w:pgMar w:footer="1071" w:header="0" w:top="1360" w:bottom="1260" w:left="1600" w:right="1580"/>
        </w:sectPr>
      </w:pPr>
    </w:p>
    <w:p>
      <w:pPr>
        <w:pStyle w:val="Heading2"/>
        <w:numPr>
          <w:ilvl w:val="2"/>
          <w:numId w:val="8"/>
        </w:numPr>
        <w:tabs>
          <w:tab w:pos="1129" w:val="left" w:leader="none"/>
        </w:tabs>
        <w:spacing w:line="240" w:lineRule="auto" w:before="51" w:after="0"/>
        <w:ind w:left="1129" w:right="0" w:hanging="601"/>
        <w:jc w:val="left"/>
      </w:pPr>
      <w:r>
        <w:rPr/>
        <w:t>CONCLUSIONES</w:t>
      </w:r>
    </w:p>
    <w:p>
      <w:pPr>
        <w:pStyle w:val="BodyText"/>
        <w:rPr>
          <w:b/>
        </w:rPr>
      </w:pPr>
    </w:p>
    <w:p>
      <w:pPr>
        <w:pStyle w:val="BodyText"/>
        <w:spacing w:before="3"/>
        <w:rPr>
          <w:b/>
        </w:rPr>
      </w:pPr>
    </w:p>
    <w:p>
      <w:pPr>
        <w:pStyle w:val="BodyText"/>
        <w:spacing w:line="360" w:lineRule="auto" w:before="1"/>
        <w:ind w:left="100" w:right="99"/>
        <w:jc w:val="both"/>
      </w:pPr>
      <w:r>
        <w:rPr/>
        <w:t>La pirotecnia de San Mateo Tlalchichilpan atraviesa severos problemas que la alejan de ser una actividad sustentable, ya que no cubren las características sociales, ambientales y económicas requeridas para catalogarla positivamente.</w:t>
      </w:r>
    </w:p>
    <w:p>
      <w:pPr>
        <w:pStyle w:val="BodyText"/>
      </w:pPr>
    </w:p>
    <w:p>
      <w:pPr>
        <w:pStyle w:val="BodyText"/>
        <w:spacing w:line="360" w:lineRule="auto" w:before="142"/>
        <w:ind w:left="100" w:right="98"/>
        <w:jc w:val="both"/>
      </w:pPr>
      <w:r>
        <w:rPr/>
        <w:t>En cuanto a lo social se vuelve claro el clandestinaje de productos, la falta de seguridad en la producción, la invasión de uso de suelos, la carencia de normatividad propia y los procesos tradicionales no documentados. En lo ambiental destaca la carencia de sistemas de salud, incremento de accidentes, desinterés por el sano ambiente laboral y el uso de químicos agresivos con la  salud y el medio ambiente. Sin embargo económicamente y pese a las quejas de los productores la actividad permite el sustento de </w:t>
      </w:r>
      <w:r>
        <w:rPr>
          <w:spacing w:val="-2"/>
        </w:rPr>
        <w:t>más </w:t>
      </w:r>
      <w:r>
        <w:rPr/>
        <w:t>de 200 familias en la comunidad para vivir de forma directa de la pirotecnia y genera el 80% de los trabajos en la comunidad, solventando problemas como la extorsión, la falta de tecnificación de procesos, los costos de accidentes, la disminución de contratos por competencia desleal o por la entrada de empresas</w:t>
      </w:r>
      <w:r>
        <w:rPr>
          <w:spacing w:val="-28"/>
        </w:rPr>
        <w:t> </w:t>
      </w:r>
      <w:r>
        <w:rPr/>
        <w:t>extranjeras.</w:t>
      </w:r>
    </w:p>
    <w:p>
      <w:pPr>
        <w:pStyle w:val="BodyText"/>
      </w:pPr>
    </w:p>
    <w:p>
      <w:pPr>
        <w:pStyle w:val="BodyText"/>
        <w:spacing w:line="360" w:lineRule="auto" w:before="142"/>
        <w:ind w:left="100" w:right="102"/>
        <w:jc w:val="both"/>
      </w:pPr>
      <w:r>
        <w:rPr/>
        <w:t>Productivamente la pirotecnia tiene un rezago importante con respecto a otros países, falta la tecnificación y el diseño de procesos que permitan optimizar tiempo de fabricación y los recursos usados.</w:t>
      </w:r>
    </w:p>
    <w:p>
      <w:pPr>
        <w:pStyle w:val="BodyText"/>
      </w:pPr>
    </w:p>
    <w:p>
      <w:pPr>
        <w:pStyle w:val="BodyText"/>
        <w:spacing w:line="360" w:lineRule="auto" w:before="142"/>
        <w:ind w:left="100" w:right="98"/>
        <w:jc w:val="both"/>
      </w:pPr>
      <w:r>
        <w:rPr/>
        <w:t>Luego de accidentes la resiliencia es alta ya que se apoyan mutuamente para cumplir con los compromisos, sin embargo esto influye directamente en la confiabilidad por lo cual es considerada una actividad de alto riesgo, y al no haber una legislación adecuada, la estabilidad se pierde, en muchos casos ocultan datos referentes al desempeño de la actividad o a los accidentes obstruyendo la información que podría llevarnos a realizar análisis más profundos de esta actividad.</w:t>
      </w:r>
    </w:p>
    <w:p>
      <w:pPr>
        <w:spacing w:after="0" w:line="360" w:lineRule="auto"/>
        <w:jc w:val="both"/>
        <w:sectPr>
          <w:footerReference w:type="default" r:id="rId56"/>
          <w:pgSz w:w="12240" w:h="15840"/>
          <w:pgMar w:footer="1071" w:header="0" w:top="1360" w:bottom="1260" w:left="1600" w:right="1600"/>
          <w:pgNumType w:start="81"/>
        </w:sectPr>
      </w:pPr>
    </w:p>
    <w:p>
      <w:pPr>
        <w:pStyle w:val="BodyText"/>
        <w:spacing w:line="360" w:lineRule="auto" w:before="55"/>
        <w:ind w:left="100" w:right="100"/>
        <w:jc w:val="both"/>
      </w:pPr>
      <w:r>
        <w:rPr/>
        <w:t>Las nuevas generaciones de pirotécnicos se están adaptando a los cambios del mercado y de igual forma a los comportamientos del propio sector, provocando una separación drástica entre los productores, abriéndose brechas en la equidad, y conforme se implementan nuevas acciones para disminuir costos los  pirotécnicos que no las adoptan son desplazados perdiendo</w:t>
      </w:r>
      <w:r>
        <w:rPr>
          <w:spacing w:val="-28"/>
        </w:rPr>
        <w:t> </w:t>
      </w:r>
      <w:r>
        <w:rPr/>
        <w:t>mercado.</w:t>
      </w:r>
    </w:p>
    <w:p>
      <w:pPr>
        <w:pStyle w:val="BodyText"/>
      </w:pPr>
    </w:p>
    <w:p>
      <w:pPr>
        <w:pStyle w:val="BodyText"/>
        <w:spacing w:line="360" w:lineRule="auto" w:before="142"/>
        <w:ind w:left="100" w:right="100"/>
        <w:jc w:val="both"/>
      </w:pPr>
      <w:r>
        <w:rPr/>
        <w:t>La adaptabilidad va en función de situaciones traumáticas, los pirotécnicos prefieren no realizar cambios en sus formas laborales a menos que sufran accidentes, en cuyo caso son obligados a realizar mejoras a los procesos o cambios de la estructura de los talleres sin embargo pocos lo hacen por iniciativa propia.</w:t>
      </w:r>
    </w:p>
    <w:p>
      <w:pPr>
        <w:pStyle w:val="BodyText"/>
      </w:pPr>
    </w:p>
    <w:p>
      <w:pPr>
        <w:pStyle w:val="BodyText"/>
        <w:spacing w:line="360" w:lineRule="auto" w:before="142"/>
        <w:ind w:left="100" w:right="99"/>
        <w:jc w:val="both"/>
      </w:pPr>
      <w:r>
        <w:rPr/>
        <w:t>Debido a la entrada cada vez más grande de artificios de procedencia extranjera (ilegales) se han perdido grandes oportunidades de empleo, los que accedan a estos productos pueden vender sus espectáculos hasta una tercera parte más baratos generando competencia desleal que produce un deterioro de la artesanía pirotécnica.</w:t>
      </w:r>
    </w:p>
    <w:p>
      <w:pPr>
        <w:pStyle w:val="BodyText"/>
      </w:pPr>
    </w:p>
    <w:p>
      <w:pPr>
        <w:pStyle w:val="BodyText"/>
        <w:spacing w:line="360" w:lineRule="auto" w:before="142"/>
        <w:ind w:left="100" w:right="103"/>
        <w:jc w:val="both"/>
      </w:pPr>
      <w:r>
        <w:rPr/>
        <w:t>En cuestión de permisos la pirotecnia seguirá necesitando el apoyo de gobierno, esto con la finalidad de facilitar el proceso burocrático de la obtención de firmas para la opinión favorable, sin embargo económicamente los productores se vuelven autosuficientes manejando parte del presupuesto de los contratos realizados antes de la presentación del</w:t>
      </w:r>
      <w:r>
        <w:rPr>
          <w:spacing w:val="-26"/>
        </w:rPr>
        <w:t> </w:t>
      </w:r>
      <w:r>
        <w:rPr/>
        <w:t>espectáculo.</w:t>
      </w:r>
    </w:p>
    <w:p>
      <w:pPr>
        <w:pStyle w:val="BodyText"/>
      </w:pPr>
    </w:p>
    <w:p>
      <w:pPr>
        <w:pStyle w:val="BodyText"/>
        <w:spacing w:line="360" w:lineRule="auto" w:before="142"/>
        <w:ind w:left="100" w:right="104"/>
        <w:jc w:val="both"/>
      </w:pPr>
      <w:r>
        <w:rPr/>
        <w:t>En general la pirotecnia en San Mateo Tlalchichilpan sufre un estancamiento producido por las malas prácticas de elaboración y administración, esto se traduce en una falta de conciencia ambiental, una desgastada imagen social y una economía que únicamente se mantiene, por lo que podemos concluir que es una actividad sostenible económicamente pero no sustentable.</w:t>
      </w:r>
    </w:p>
    <w:p>
      <w:pPr>
        <w:spacing w:after="0" w:line="360" w:lineRule="auto"/>
        <w:jc w:val="both"/>
        <w:sectPr>
          <w:pgSz w:w="12240" w:h="15840"/>
          <w:pgMar w:header="0" w:footer="1071" w:top="1360" w:bottom="1260" w:left="1600" w:right="1600"/>
        </w:sectPr>
      </w:pPr>
    </w:p>
    <w:p>
      <w:pPr>
        <w:pStyle w:val="BodyText"/>
        <w:spacing w:before="4"/>
        <w:rPr>
          <w:sz w:val="22"/>
        </w:rPr>
      </w:pPr>
    </w:p>
    <w:p>
      <w:pPr>
        <w:pStyle w:val="Heading2"/>
        <w:numPr>
          <w:ilvl w:val="1"/>
          <w:numId w:val="8"/>
        </w:numPr>
        <w:tabs>
          <w:tab w:pos="581" w:val="left" w:leader="none"/>
        </w:tabs>
        <w:spacing w:line="357" w:lineRule="auto" w:before="70" w:after="0"/>
        <w:ind w:left="100" w:right="105" w:firstLine="0"/>
        <w:jc w:val="both"/>
      </w:pPr>
      <w:r>
        <w:rPr/>
        <w:t>VULNERABILIDAD Y RECOMENDACIONES DE IMPLEMENTACIÓN </w:t>
      </w:r>
      <w:r>
        <w:rPr>
          <w:spacing w:val="-5"/>
        </w:rPr>
        <w:t>AL </w:t>
      </w:r>
      <w:r>
        <w:rPr/>
        <w:t>SECTOR</w:t>
      </w:r>
      <w:r>
        <w:rPr>
          <w:spacing w:val="-4"/>
        </w:rPr>
        <w:t> </w:t>
      </w:r>
      <w:r>
        <w:rPr/>
        <w:t>PIROTÉCNICO.</w:t>
      </w:r>
    </w:p>
    <w:p>
      <w:pPr>
        <w:pStyle w:val="BodyText"/>
        <w:rPr>
          <w:b/>
        </w:rPr>
      </w:pPr>
    </w:p>
    <w:p>
      <w:pPr>
        <w:pStyle w:val="BodyText"/>
        <w:spacing w:line="360" w:lineRule="auto" w:before="149"/>
        <w:ind w:left="100" w:right="101"/>
        <w:jc w:val="both"/>
      </w:pPr>
      <w:r>
        <w:rPr/>
        <w:t>En el primer capítulo del presente trabajo se explicó el concepto de vulnerabilidad, al añadirle los datos y experiencias recabadas durante la presente investigación nos presenta un panorama realista de la situación que atraviesa la comunidad de Tlalchichilpan logrando con ello generar una proyección de los problemas a los que se enfrentará si continúan las prácticas de producción de la misma forma que hasta ahora se han llevado a</w:t>
      </w:r>
      <w:r>
        <w:rPr>
          <w:spacing w:val="-22"/>
        </w:rPr>
        <w:t> </w:t>
      </w:r>
      <w:r>
        <w:rPr/>
        <w:t>cabo.</w:t>
      </w:r>
    </w:p>
    <w:p>
      <w:pPr>
        <w:pStyle w:val="BodyText"/>
      </w:pPr>
    </w:p>
    <w:p>
      <w:pPr>
        <w:pStyle w:val="BodyText"/>
        <w:spacing w:line="360" w:lineRule="auto" w:before="142"/>
        <w:ind w:left="100" w:right="109"/>
        <w:jc w:val="both"/>
      </w:pPr>
      <w:r>
        <w:rPr/>
        <w:t>De igual manera y usando como base el análisis de la sustentabilidad y el grado de vulnerabilidad se realizan recomendaciones propias para que los artesanos pirotécnicos cambien su forma de trabajar, incluso comparándolos con imágenes de lo solicitado por empresas extranjeras en talleres</w:t>
      </w:r>
      <w:r>
        <w:rPr>
          <w:spacing w:val="-36"/>
        </w:rPr>
        <w:t> </w:t>
      </w:r>
      <w:r>
        <w:rPr/>
        <w:t>nacionales.</w:t>
      </w:r>
    </w:p>
    <w:p>
      <w:pPr>
        <w:pStyle w:val="BodyText"/>
        <w:rPr>
          <w:sz w:val="20"/>
        </w:rPr>
      </w:pPr>
    </w:p>
    <w:p>
      <w:pPr>
        <w:pStyle w:val="BodyText"/>
        <w:rPr>
          <w:sz w:val="20"/>
        </w:rPr>
      </w:pPr>
    </w:p>
    <w:p>
      <w:pPr>
        <w:pStyle w:val="BodyText"/>
        <w:rPr>
          <w:sz w:val="29"/>
        </w:rPr>
      </w:pPr>
      <w:r>
        <w:rPr/>
        <w:drawing>
          <wp:anchor distT="0" distB="0" distL="0" distR="0" allowOverlap="1" layoutInCell="1" locked="0" behindDoc="0" simplePos="0" relativeHeight="1744">
            <wp:simplePos x="0" y="0"/>
            <wp:positionH relativeFrom="page">
              <wp:posOffset>2002154</wp:posOffset>
            </wp:positionH>
            <wp:positionV relativeFrom="paragraph">
              <wp:posOffset>236929</wp:posOffset>
            </wp:positionV>
            <wp:extent cx="4048610" cy="2769108"/>
            <wp:effectExtent l="0" t="0" r="0" b="0"/>
            <wp:wrapTopAndBottom/>
            <wp:docPr id="103" name="image36.png" descr=""/>
            <wp:cNvGraphicFramePr>
              <a:graphicFrameLocks noChangeAspect="1"/>
            </wp:cNvGraphicFramePr>
            <a:graphic>
              <a:graphicData uri="http://schemas.openxmlformats.org/drawingml/2006/picture">
                <pic:pic>
                  <pic:nvPicPr>
                    <pic:cNvPr id="104" name="image36.png"/>
                    <pic:cNvPicPr/>
                  </pic:nvPicPr>
                  <pic:blipFill>
                    <a:blip r:embed="rId57" cstate="print"/>
                    <a:stretch>
                      <a:fillRect/>
                    </a:stretch>
                  </pic:blipFill>
                  <pic:spPr>
                    <a:xfrm>
                      <a:off x="0" y="0"/>
                      <a:ext cx="4048610" cy="2769108"/>
                    </a:xfrm>
                    <a:prstGeom prst="rect">
                      <a:avLst/>
                    </a:prstGeom>
                  </pic:spPr>
                </pic:pic>
              </a:graphicData>
            </a:graphic>
          </wp:anchor>
        </w:drawing>
      </w:r>
    </w:p>
    <w:p>
      <w:pPr>
        <w:spacing w:before="117"/>
        <w:ind w:left="2321" w:right="9" w:firstLine="0"/>
        <w:jc w:val="left"/>
        <w:rPr>
          <w:sz w:val="20"/>
        </w:rPr>
      </w:pPr>
      <w:r>
        <w:rPr>
          <w:sz w:val="20"/>
        </w:rPr>
        <w:t>Figura 4.19. Estructura de la fracción 3 del capítulo IV.</w:t>
      </w:r>
    </w:p>
    <w:p>
      <w:pPr>
        <w:spacing w:after="0"/>
        <w:jc w:val="left"/>
        <w:rPr>
          <w:sz w:val="20"/>
        </w:rPr>
        <w:sectPr>
          <w:pgSz w:w="12240" w:h="15840"/>
          <w:pgMar w:header="0" w:footer="1071" w:top="1500" w:bottom="1260" w:left="1600" w:right="1600"/>
        </w:sectPr>
      </w:pPr>
    </w:p>
    <w:p>
      <w:pPr>
        <w:pStyle w:val="BodyText"/>
        <w:spacing w:before="4"/>
        <w:rPr>
          <w:sz w:val="22"/>
        </w:rPr>
      </w:pPr>
    </w:p>
    <w:p>
      <w:pPr>
        <w:pStyle w:val="Heading2"/>
        <w:numPr>
          <w:ilvl w:val="2"/>
          <w:numId w:val="8"/>
        </w:numPr>
        <w:tabs>
          <w:tab w:pos="1129" w:val="left" w:leader="none"/>
        </w:tabs>
        <w:spacing w:line="240" w:lineRule="auto" w:before="70" w:after="0"/>
        <w:ind w:left="1129" w:right="0" w:hanging="601"/>
        <w:jc w:val="left"/>
      </w:pPr>
      <w:r>
        <w:rPr/>
        <w:t>VULNERABILIDAD DE </w:t>
      </w:r>
      <w:r>
        <w:rPr>
          <w:spacing w:val="2"/>
        </w:rPr>
        <w:t>LA </w:t>
      </w:r>
      <w:r>
        <w:rPr/>
        <w:t>PIROTECNIA EN</w:t>
      </w:r>
      <w:r>
        <w:rPr>
          <w:spacing w:val="-30"/>
        </w:rPr>
        <w:t> </w:t>
      </w:r>
      <w:r>
        <w:rPr/>
        <w:t>TLALCHICHILPAN</w:t>
      </w:r>
    </w:p>
    <w:p>
      <w:pPr>
        <w:pStyle w:val="BodyText"/>
        <w:rPr>
          <w:b/>
        </w:rPr>
      </w:pPr>
    </w:p>
    <w:p>
      <w:pPr>
        <w:pStyle w:val="BodyText"/>
        <w:spacing w:before="4"/>
        <w:rPr>
          <w:b/>
        </w:rPr>
      </w:pPr>
    </w:p>
    <w:p>
      <w:pPr>
        <w:pStyle w:val="BodyText"/>
        <w:spacing w:line="360" w:lineRule="auto"/>
        <w:ind w:left="100" w:right="125"/>
        <w:jc w:val="both"/>
      </w:pPr>
      <w:r>
        <w:rPr/>
        <w:t>La vulnerabilidad dentro de la comunidad de San Mateo Tlalchichilpan se puede considerar como de alto riesgo, </w:t>
      </w:r>
      <w:r>
        <w:rPr>
          <w:spacing w:val="-3"/>
        </w:rPr>
        <w:t>ya </w:t>
      </w:r>
      <w:r>
        <w:rPr/>
        <w:t>no solamente por el tipo de sustancias  químicas o los riesgos inherentes al producto terminado, sino a las amenazas sociales a las que el sector se enfrenta. Muestra de ello es que durante el análisis comparativo de los mapas del SAVER se observa un crecimiento en la vulnerabilidad social del año 2000 al año 2010 (Figuras 4.20 y</w:t>
      </w:r>
      <w:r>
        <w:rPr>
          <w:spacing w:val="-35"/>
        </w:rPr>
        <w:t> </w:t>
      </w:r>
      <w:r>
        <w:rPr/>
        <w:t>4.21)</w:t>
      </w:r>
    </w:p>
    <w:p>
      <w:pPr>
        <w:pStyle w:val="BodyText"/>
        <w:rPr>
          <w:sz w:val="20"/>
        </w:rPr>
      </w:pPr>
    </w:p>
    <w:p>
      <w:pPr>
        <w:pStyle w:val="BodyText"/>
        <w:rPr>
          <w:sz w:val="13"/>
        </w:rPr>
      </w:pPr>
      <w:r>
        <w:rPr/>
        <w:drawing>
          <wp:anchor distT="0" distB="0" distL="0" distR="0" allowOverlap="1" layoutInCell="1" locked="0" behindDoc="0" simplePos="0" relativeHeight="1768">
            <wp:simplePos x="0" y="0"/>
            <wp:positionH relativeFrom="page">
              <wp:posOffset>1369694</wp:posOffset>
            </wp:positionH>
            <wp:positionV relativeFrom="paragraph">
              <wp:posOffset>119822</wp:posOffset>
            </wp:positionV>
            <wp:extent cx="5288418" cy="3329178"/>
            <wp:effectExtent l="0" t="0" r="0" b="0"/>
            <wp:wrapTopAndBottom/>
            <wp:docPr id="105" name="image37.jpeg" descr=""/>
            <wp:cNvGraphicFramePr>
              <a:graphicFrameLocks noChangeAspect="1"/>
            </wp:cNvGraphicFramePr>
            <a:graphic>
              <a:graphicData uri="http://schemas.openxmlformats.org/drawingml/2006/picture">
                <pic:pic>
                  <pic:nvPicPr>
                    <pic:cNvPr id="106" name="image37.jpeg"/>
                    <pic:cNvPicPr/>
                  </pic:nvPicPr>
                  <pic:blipFill>
                    <a:blip r:embed="rId58" cstate="print"/>
                    <a:stretch>
                      <a:fillRect/>
                    </a:stretch>
                  </pic:blipFill>
                  <pic:spPr>
                    <a:xfrm>
                      <a:off x="0" y="0"/>
                      <a:ext cx="5288418" cy="3329178"/>
                    </a:xfrm>
                    <a:prstGeom prst="rect">
                      <a:avLst/>
                    </a:prstGeom>
                  </pic:spPr>
                </pic:pic>
              </a:graphicData>
            </a:graphic>
          </wp:anchor>
        </w:drawing>
      </w:r>
    </w:p>
    <w:p>
      <w:pPr>
        <w:spacing w:before="86"/>
        <w:ind w:left="1116" w:right="0" w:firstLine="0"/>
        <w:jc w:val="left"/>
        <w:rPr>
          <w:sz w:val="20"/>
        </w:rPr>
      </w:pPr>
      <w:r>
        <w:rPr>
          <w:sz w:val="20"/>
        </w:rPr>
        <w:t>Figura 4.20. Grado de vulnerabilidad social en Tlalchichilpan, año 2000 (SAVER).</w:t>
      </w:r>
    </w:p>
    <w:p>
      <w:pPr>
        <w:pStyle w:val="BodyText"/>
        <w:rPr>
          <w:sz w:val="20"/>
        </w:rPr>
      </w:pPr>
    </w:p>
    <w:p>
      <w:pPr>
        <w:pStyle w:val="BodyText"/>
        <w:rPr>
          <w:sz w:val="26"/>
        </w:rPr>
      </w:pPr>
    </w:p>
    <w:p>
      <w:pPr>
        <w:pStyle w:val="BodyText"/>
        <w:spacing w:line="360" w:lineRule="auto"/>
        <w:ind w:left="100" w:right="116"/>
        <w:jc w:val="both"/>
      </w:pPr>
      <w:r>
        <w:rPr/>
        <w:t>Los parámetros que el propio sistema ocupa para determinar el grado de vulnerabilidad van en función de la población y los servicios a los que puede acceder llámense servicios médicos, escolares, o de vivienda y transporte. Las partes coloreadas en verde pertenecen a las zonas de menor vulnerabilidad mientras que las de amarillo son de vulnerabilidad media. Las líneas amarillas son los limites municipales.</w:t>
      </w:r>
    </w:p>
    <w:p>
      <w:pPr>
        <w:spacing w:after="0" w:line="360" w:lineRule="auto"/>
        <w:jc w:val="both"/>
        <w:sectPr>
          <w:pgSz w:w="12240" w:h="15840"/>
          <w:pgMar w:header="0" w:footer="1071" w:top="1500" w:bottom="1260" w:left="1600" w:right="1580"/>
        </w:sectPr>
      </w:pPr>
    </w:p>
    <w:p>
      <w:pPr>
        <w:pStyle w:val="BodyText"/>
        <w:spacing w:before="10"/>
        <w:rPr>
          <w:sz w:val="28"/>
        </w:rPr>
      </w:pPr>
    </w:p>
    <w:p>
      <w:pPr>
        <w:pStyle w:val="BodyText"/>
        <w:ind w:left="557"/>
        <w:rPr>
          <w:sz w:val="20"/>
        </w:rPr>
      </w:pPr>
      <w:r>
        <w:rPr>
          <w:sz w:val="20"/>
        </w:rPr>
        <w:drawing>
          <wp:inline distT="0" distB="0" distL="0" distR="0">
            <wp:extent cx="5247115" cy="3248310"/>
            <wp:effectExtent l="0" t="0" r="0" b="0"/>
            <wp:docPr id="107" name="image38.jpeg" descr=""/>
            <wp:cNvGraphicFramePr>
              <a:graphicFrameLocks noChangeAspect="1"/>
            </wp:cNvGraphicFramePr>
            <a:graphic>
              <a:graphicData uri="http://schemas.openxmlformats.org/drawingml/2006/picture">
                <pic:pic>
                  <pic:nvPicPr>
                    <pic:cNvPr id="108" name="image38.jpeg"/>
                    <pic:cNvPicPr/>
                  </pic:nvPicPr>
                  <pic:blipFill>
                    <a:blip r:embed="rId59" cstate="print"/>
                    <a:stretch>
                      <a:fillRect/>
                    </a:stretch>
                  </pic:blipFill>
                  <pic:spPr>
                    <a:xfrm>
                      <a:off x="0" y="0"/>
                      <a:ext cx="5247115" cy="3248310"/>
                    </a:xfrm>
                    <a:prstGeom prst="rect">
                      <a:avLst/>
                    </a:prstGeom>
                  </pic:spPr>
                </pic:pic>
              </a:graphicData>
            </a:graphic>
          </wp:inline>
        </w:drawing>
      </w:r>
      <w:r>
        <w:rPr>
          <w:sz w:val="20"/>
        </w:rPr>
      </w:r>
    </w:p>
    <w:p>
      <w:pPr>
        <w:pStyle w:val="BodyText"/>
        <w:spacing w:before="2"/>
        <w:rPr>
          <w:sz w:val="6"/>
        </w:rPr>
      </w:pPr>
    </w:p>
    <w:p>
      <w:pPr>
        <w:spacing w:before="75"/>
        <w:ind w:left="1093" w:right="679" w:firstLine="0"/>
        <w:jc w:val="center"/>
        <w:rPr>
          <w:sz w:val="20"/>
        </w:rPr>
      </w:pPr>
      <w:r>
        <w:rPr>
          <w:sz w:val="20"/>
        </w:rPr>
        <w:t>Figura 4.21. Grado de vulnerabilidad social en Tlalchichilpan, año 2010 (SAVER).</w:t>
      </w:r>
    </w:p>
    <w:p>
      <w:pPr>
        <w:pStyle w:val="BodyText"/>
        <w:rPr>
          <w:sz w:val="20"/>
        </w:rPr>
      </w:pPr>
    </w:p>
    <w:p>
      <w:pPr>
        <w:pStyle w:val="BodyText"/>
        <w:spacing w:before="11"/>
        <w:rPr>
          <w:sz w:val="25"/>
        </w:rPr>
      </w:pPr>
    </w:p>
    <w:p>
      <w:pPr>
        <w:pStyle w:val="BodyText"/>
        <w:spacing w:line="360" w:lineRule="auto"/>
        <w:ind w:left="100" w:right="102"/>
        <w:jc w:val="both"/>
      </w:pPr>
      <w:r>
        <w:rPr/>
        <w:t>El aumento de población en la comunidad combinada con el estancamiento de los servicios está causando que la estabilidad de la población se rompa, </w:t>
      </w:r>
      <w:r>
        <w:rPr>
          <w:spacing w:val="-3"/>
        </w:rPr>
        <w:t>ya </w:t>
      </w:r>
      <w:r>
        <w:rPr/>
        <w:t>que los servicios se vuelven insuficientes, la población rebasa (en el censo de población de 2010) los 12000 habitantes de los cuales más del 50% no tienen acceso a servicios de salud (tablas 4.4 y</w:t>
      </w:r>
      <w:r>
        <w:rPr>
          <w:spacing w:val="-20"/>
        </w:rPr>
        <w:t> </w:t>
      </w:r>
      <w:r>
        <w:rPr/>
        <w:t>4.5).</w:t>
      </w:r>
    </w:p>
    <w:p>
      <w:pPr>
        <w:pStyle w:val="BodyText"/>
        <w:rPr>
          <w:sz w:val="20"/>
        </w:rPr>
      </w:pPr>
    </w:p>
    <w:p>
      <w:pPr>
        <w:pStyle w:val="BodyText"/>
        <w:spacing w:before="11"/>
        <w:rPr>
          <w:sz w:val="12"/>
        </w:rPr>
      </w:pPr>
      <w:r>
        <w:rPr/>
        <w:drawing>
          <wp:anchor distT="0" distB="0" distL="0" distR="0" allowOverlap="1" layoutInCell="1" locked="0" behindDoc="0" simplePos="0" relativeHeight="1792">
            <wp:simplePos x="0" y="0"/>
            <wp:positionH relativeFrom="page">
              <wp:posOffset>2459354</wp:posOffset>
            </wp:positionH>
            <wp:positionV relativeFrom="paragraph">
              <wp:posOffset>119441</wp:posOffset>
            </wp:positionV>
            <wp:extent cx="3133033" cy="1868804"/>
            <wp:effectExtent l="0" t="0" r="0" b="0"/>
            <wp:wrapTopAndBottom/>
            <wp:docPr id="109" name="image39.jpeg" descr=""/>
            <wp:cNvGraphicFramePr>
              <a:graphicFrameLocks noChangeAspect="1"/>
            </wp:cNvGraphicFramePr>
            <a:graphic>
              <a:graphicData uri="http://schemas.openxmlformats.org/drawingml/2006/picture">
                <pic:pic>
                  <pic:nvPicPr>
                    <pic:cNvPr id="110" name="image39.jpeg"/>
                    <pic:cNvPicPr/>
                  </pic:nvPicPr>
                  <pic:blipFill>
                    <a:blip r:embed="rId60" cstate="print"/>
                    <a:stretch>
                      <a:fillRect/>
                    </a:stretch>
                  </pic:blipFill>
                  <pic:spPr>
                    <a:xfrm>
                      <a:off x="0" y="0"/>
                      <a:ext cx="3133033" cy="1868804"/>
                    </a:xfrm>
                    <a:prstGeom prst="rect">
                      <a:avLst/>
                    </a:prstGeom>
                  </pic:spPr>
                </pic:pic>
              </a:graphicData>
            </a:graphic>
          </wp:anchor>
        </w:drawing>
      </w:r>
    </w:p>
    <w:p>
      <w:pPr>
        <w:spacing w:before="118"/>
        <w:ind w:left="1093" w:right="666" w:firstLine="0"/>
        <w:jc w:val="center"/>
        <w:rPr>
          <w:sz w:val="20"/>
        </w:rPr>
      </w:pPr>
      <w:r>
        <w:rPr>
          <w:sz w:val="20"/>
        </w:rPr>
        <w:t>Tabla 4.4. Datos de población en Tlalchichilpan, año 2010 (SAVER).</w:t>
      </w:r>
    </w:p>
    <w:p>
      <w:pPr>
        <w:spacing w:after="0"/>
        <w:jc w:val="center"/>
        <w:rPr>
          <w:sz w:val="20"/>
        </w:rPr>
        <w:sectPr>
          <w:pgSz w:w="12240" w:h="15840"/>
          <w:pgMar w:header="0" w:footer="1071" w:top="1500" w:bottom="1260" w:left="1600" w:right="1600"/>
        </w:sectPr>
      </w:pPr>
    </w:p>
    <w:p>
      <w:pPr>
        <w:pStyle w:val="BodyText"/>
        <w:spacing w:line="360" w:lineRule="auto" w:before="55"/>
        <w:ind w:left="100" w:right="124"/>
        <w:jc w:val="both"/>
      </w:pPr>
      <w:r>
        <w:rPr/>
        <w:t>Debido a que los artesanos pirotécnicos no están inscritos en ninguna institución de salud, el acceso a servicios médicos está limitado, con lo que tampoco se puede obtener una pensión en caso de algún accidente, quedando desprotegidos tanto los trabajadores como sus familias.</w:t>
      </w:r>
    </w:p>
    <w:p>
      <w:pPr>
        <w:pStyle w:val="BodyText"/>
        <w:rPr>
          <w:sz w:val="20"/>
        </w:rPr>
      </w:pPr>
    </w:p>
    <w:p>
      <w:pPr>
        <w:pStyle w:val="BodyText"/>
        <w:rPr>
          <w:sz w:val="13"/>
        </w:rPr>
      </w:pPr>
      <w:r>
        <w:rPr/>
        <w:drawing>
          <wp:anchor distT="0" distB="0" distL="0" distR="0" allowOverlap="1" layoutInCell="1" locked="0" behindDoc="0" simplePos="0" relativeHeight="1816">
            <wp:simplePos x="0" y="0"/>
            <wp:positionH relativeFrom="page">
              <wp:posOffset>2475229</wp:posOffset>
            </wp:positionH>
            <wp:positionV relativeFrom="paragraph">
              <wp:posOffset>119823</wp:posOffset>
            </wp:positionV>
            <wp:extent cx="3112100" cy="1151858"/>
            <wp:effectExtent l="0" t="0" r="0" b="0"/>
            <wp:wrapTopAndBottom/>
            <wp:docPr id="111" name="image40.jpeg" descr=""/>
            <wp:cNvGraphicFramePr>
              <a:graphicFrameLocks noChangeAspect="1"/>
            </wp:cNvGraphicFramePr>
            <a:graphic>
              <a:graphicData uri="http://schemas.openxmlformats.org/drawingml/2006/picture">
                <pic:pic>
                  <pic:nvPicPr>
                    <pic:cNvPr id="112" name="image40.jpeg"/>
                    <pic:cNvPicPr/>
                  </pic:nvPicPr>
                  <pic:blipFill>
                    <a:blip r:embed="rId61" cstate="print"/>
                    <a:stretch>
                      <a:fillRect/>
                    </a:stretch>
                  </pic:blipFill>
                  <pic:spPr>
                    <a:xfrm>
                      <a:off x="0" y="0"/>
                      <a:ext cx="3112100" cy="1151858"/>
                    </a:xfrm>
                    <a:prstGeom prst="rect">
                      <a:avLst/>
                    </a:prstGeom>
                  </pic:spPr>
                </pic:pic>
              </a:graphicData>
            </a:graphic>
          </wp:anchor>
        </w:drawing>
      </w:r>
    </w:p>
    <w:p>
      <w:pPr>
        <w:spacing w:before="107"/>
        <w:ind w:left="995" w:right="595" w:firstLine="0"/>
        <w:jc w:val="center"/>
        <w:rPr>
          <w:sz w:val="20"/>
        </w:rPr>
      </w:pPr>
      <w:r>
        <w:rPr>
          <w:sz w:val="20"/>
        </w:rPr>
        <w:t>Tabla 4.5. Acceso a servicios de salud en Tlalchichilpan, año 2010 (SAVER).</w:t>
      </w:r>
    </w:p>
    <w:p>
      <w:pPr>
        <w:pStyle w:val="BodyText"/>
        <w:rPr>
          <w:sz w:val="20"/>
        </w:rPr>
      </w:pPr>
    </w:p>
    <w:p>
      <w:pPr>
        <w:pStyle w:val="BodyText"/>
        <w:spacing w:before="3"/>
        <w:rPr>
          <w:sz w:val="26"/>
        </w:rPr>
      </w:pPr>
    </w:p>
    <w:p>
      <w:pPr>
        <w:pStyle w:val="BodyText"/>
        <w:spacing w:line="360" w:lineRule="auto"/>
        <w:ind w:left="100" w:right="117"/>
        <w:jc w:val="both"/>
      </w:pPr>
      <w:r>
        <w:rPr/>
        <w:t>La pirotecnia es una actividad atractiva e incluyente de nuevos trabajadores que constantemente están migrando en búsqueda de mayores ingresos, sin embargo existe un bajo nivel de preparación profesional </w:t>
      </w:r>
      <w:r>
        <w:rPr>
          <w:spacing w:val="-3"/>
        </w:rPr>
        <w:t>ya </w:t>
      </w:r>
      <w:r>
        <w:rPr/>
        <w:t>que para desempeñar la labor  los pirotécnicos no solicitan grado de estudios lo que facilita el ingreso de jóvenes que al tener dificultades de ingreso a ciertos niveles escolares deciden integrarse  a la población económicamente activa pero con niveles de formación</w:t>
      </w:r>
      <w:r>
        <w:rPr>
          <w:spacing w:val="-45"/>
        </w:rPr>
        <w:t> </w:t>
      </w:r>
      <w:r>
        <w:rPr/>
        <w:t>bajos.</w:t>
      </w:r>
    </w:p>
    <w:p>
      <w:pPr>
        <w:pStyle w:val="BodyText"/>
        <w:rPr>
          <w:sz w:val="20"/>
        </w:rPr>
      </w:pPr>
    </w:p>
    <w:p>
      <w:pPr>
        <w:pStyle w:val="BodyText"/>
        <w:spacing w:before="10"/>
        <w:rPr>
          <w:sz w:val="12"/>
        </w:rPr>
      </w:pPr>
      <w:r>
        <w:rPr/>
        <w:drawing>
          <wp:anchor distT="0" distB="0" distL="0" distR="0" allowOverlap="1" layoutInCell="1" locked="0" behindDoc="0" simplePos="0" relativeHeight="1840">
            <wp:simplePos x="0" y="0"/>
            <wp:positionH relativeFrom="page">
              <wp:posOffset>2297429</wp:posOffset>
            </wp:positionH>
            <wp:positionV relativeFrom="paragraph">
              <wp:posOffset>119187</wp:posOffset>
            </wp:positionV>
            <wp:extent cx="3456699" cy="2409825"/>
            <wp:effectExtent l="0" t="0" r="0" b="0"/>
            <wp:wrapTopAndBottom/>
            <wp:docPr id="113" name="image41.jpeg" descr=""/>
            <wp:cNvGraphicFramePr>
              <a:graphicFrameLocks noChangeAspect="1"/>
            </wp:cNvGraphicFramePr>
            <a:graphic>
              <a:graphicData uri="http://schemas.openxmlformats.org/drawingml/2006/picture">
                <pic:pic>
                  <pic:nvPicPr>
                    <pic:cNvPr id="114" name="image41.jpeg"/>
                    <pic:cNvPicPr/>
                  </pic:nvPicPr>
                  <pic:blipFill>
                    <a:blip r:embed="rId62" cstate="print"/>
                    <a:stretch>
                      <a:fillRect/>
                    </a:stretch>
                  </pic:blipFill>
                  <pic:spPr>
                    <a:xfrm>
                      <a:off x="0" y="0"/>
                      <a:ext cx="3456699" cy="2409825"/>
                    </a:xfrm>
                    <a:prstGeom prst="rect">
                      <a:avLst/>
                    </a:prstGeom>
                  </pic:spPr>
                </pic:pic>
              </a:graphicData>
            </a:graphic>
          </wp:anchor>
        </w:drawing>
      </w:r>
    </w:p>
    <w:p>
      <w:pPr>
        <w:spacing w:before="119"/>
        <w:ind w:left="998" w:right="595" w:firstLine="0"/>
        <w:jc w:val="center"/>
        <w:rPr>
          <w:sz w:val="20"/>
        </w:rPr>
      </w:pPr>
      <w:r>
        <w:rPr>
          <w:sz w:val="20"/>
        </w:rPr>
        <w:t>Tabla 4.6. Acceso a infraestructura educativa en Tlalchichilpan, año 2010 (SAVER).</w:t>
      </w:r>
    </w:p>
    <w:p>
      <w:pPr>
        <w:pStyle w:val="BodyText"/>
        <w:rPr>
          <w:sz w:val="20"/>
        </w:rPr>
      </w:pPr>
    </w:p>
    <w:p>
      <w:pPr>
        <w:pStyle w:val="BodyText"/>
        <w:spacing w:before="5"/>
        <w:rPr>
          <w:sz w:val="20"/>
        </w:rPr>
      </w:pPr>
    </w:p>
    <w:p>
      <w:pPr>
        <w:pStyle w:val="BodyText"/>
        <w:spacing w:line="357" w:lineRule="auto"/>
        <w:ind w:left="100" w:right="121"/>
        <w:jc w:val="both"/>
      </w:pPr>
      <w:r>
        <w:rPr/>
        <w:t>Esta idea se sostiene al observar la infraestructura educativa existente en la comunidad,  observando  en  la  tabla  4.6  como  conforme  aumenta  el  grado de</w:t>
      </w:r>
    </w:p>
    <w:p>
      <w:pPr>
        <w:spacing w:after="0" w:line="357" w:lineRule="auto"/>
        <w:jc w:val="both"/>
        <w:sectPr>
          <w:pgSz w:w="12240" w:h="15840"/>
          <w:pgMar w:header="0" w:footer="1071" w:top="1360" w:bottom="1260" w:left="1600" w:right="1580"/>
        </w:sectPr>
      </w:pPr>
    </w:p>
    <w:p>
      <w:pPr>
        <w:pStyle w:val="BodyText"/>
        <w:spacing w:line="360" w:lineRule="auto" w:before="55"/>
        <w:ind w:left="100" w:right="101"/>
        <w:jc w:val="both"/>
      </w:pPr>
      <w:r>
        <w:rPr/>
        <w:t>estudio disminuye el número de planteles existentes, seis de preescolar, tres de educación primaria, dos secundarias y dos bachilleratos lo que nos hace pensar que al aumento de grado menos jóvenes entran o saturan las escuelas recibiendo menor atención por parte de los pocos maestros.</w:t>
      </w:r>
    </w:p>
    <w:p>
      <w:pPr>
        <w:pStyle w:val="BodyText"/>
      </w:pPr>
    </w:p>
    <w:p>
      <w:pPr>
        <w:pStyle w:val="BodyText"/>
        <w:spacing w:line="360" w:lineRule="auto" w:before="142"/>
        <w:ind w:left="100" w:right="109"/>
        <w:jc w:val="both"/>
      </w:pPr>
      <w:r>
        <w:rPr/>
        <w:t>Los empleados de la pirotecnia al no ser mano de obra calificada no aspiran a un crecimiento salarial que les permita cubrir sus necesidades básicas incrementándose el sector de pobreza en la comunidad.</w:t>
      </w:r>
    </w:p>
    <w:p>
      <w:pPr>
        <w:pStyle w:val="BodyText"/>
      </w:pPr>
    </w:p>
    <w:p>
      <w:pPr>
        <w:pStyle w:val="BodyText"/>
        <w:spacing w:line="360" w:lineRule="auto" w:before="142"/>
        <w:ind w:left="100" w:right="99"/>
        <w:jc w:val="both"/>
      </w:pPr>
      <w:r>
        <w:rPr/>
        <w:t>En el mismo sentido al existir un aumento considerable de productos de origen extranjero se ha vuelto menos necesaria la cantidad de horas hombre utilizadas en la producción de pirotecnia, aumentando la tasa de desempleo ya que los pirotécnicos compran productos fabricados en otros países para el remate de los espectáculos necesitando menos personal para la fabricación del restante de material, y únicamente aumentan en los periodos de grandes quemas como son “Semana Santa” o las fiestas decembrinas.</w:t>
      </w:r>
    </w:p>
    <w:p>
      <w:pPr>
        <w:pStyle w:val="BodyText"/>
      </w:pPr>
    </w:p>
    <w:p>
      <w:pPr>
        <w:pStyle w:val="BodyText"/>
      </w:pPr>
    </w:p>
    <w:p>
      <w:pPr>
        <w:pStyle w:val="BodyText"/>
        <w:spacing w:before="9"/>
        <w:rPr>
          <w:sz w:val="23"/>
        </w:rPr>
      </w:pPr>
    </w:p>
    <w:p>
      <w:pPr>
        <w:pStyle w:val="Heading2"/>
        <w:numPr>
          <w:ilvl w:val="2"/>
          <w:numId w:val="8"/>
        </w:numPr>
        <w:tabs>
          <w:tab w:pos="1129" w:val="left" w:leader="none"/>
        </w:tabs>
        <w:spacing w:line="240" w:lineRule="auto" w:before="0" w:after="0"/>
        <w:ind w:left="1129" w:right="0" w:hanging="601"/>
        <w:jc w:val="left"/>
      </w:pPr>
      <w:r>
        <w:rPr/>
        <w:t>RECOMENDACIONES </w:t>
      </w:r>
      <w:r>
        <w:rPr>
          <w:spacing w:val="-5"/>
        </w:rPr>
        <w:t>AL </w:t>
      </w:r>
      <w:r>
        <w:rPr/>
        <w:t>SECTOR</w:t>
      </w:r>
      <w:r>
        <w:rPr>
          <w:spacing w:val="1"/>
        </w:rPr>
        <w:t> </w:t>
      </w:r>
      <w:r>
        <w:rPr/>
        <w:t>PIROTECNICO</w:t>
      </w:r>
    </w:p>
    <w:p>
      <w:pPr>
        <w:pStyle w:val="BodyText"/>
        <w:rPr>
          <w:b/>
        </w:rPr>
      </w:pPr>
    </w:p>
    <w:p>
      <w:pPr>
        <w:pStyle w:val="BodyText"/>
        <w:spacing w:before="4"/>
        <w:rPr>
          <w:b/>
        </w:rPr>
      </w:pPr>
    </w:p>
    <w:p>
      <w:pPr>
        <w:pStyle w:val="BodyText"/>
        <w:spacing w:line="360" w:lineRule="auto"/>
        <w:ind w:left="100" w:right="109"/>
        <w:jc w:val="both"/>
      </w:pPr>
      <w:r>
        <w:rPr/>
        <w:t>La falta de representatividad dentro de los sectores gubernamentales ha permitido que exista una carencia normativa al sector pirotécnico, es de gran importancia un acercamiento mayor entre el sector público y privado.</w:t>
      </w:r>
    </w:p>
    <w:p>
      <w:pPr>
        <w:pStyle w:val="BodyText"/>
      </w:pPr>
    </w:p>
    <w:p>
      <w:pPr>
        <w:pStyle w:val="BodyText"/>
        <w:spacing w:line="360" w:lineRule="auto" w:before="142"/>
        <w:ind w:left="100" w:right="104"/>
        <w:jc w:val="both"/>
      </w:pPr>
      <w:r>
        <w:rPr/>
        <w:t>Se deben identificar plenamente las normas que intervienen en la producción de la pirotecnia, procurando que estas se cumplan cabalmente para el manejo seguro de sustancias, la mejora e implementación de tecnología y la mejoría de los centros de trabajo, </w:t>
      </w:r>
      <w:r>
        <w:rPr>
          <w:spacing w:val="-3"/>
        </w:rPr>
        <w:t>ya </w:t>
      </w:r>
      <w:r>
        <w:rPr/>
        <w:t>que hasta el momento el artesano se preocupa por cumplir lo estipulado por la SEDENA dejando de lado las normas de las demás secretarias que permitirán una mejoría fundamental en las condiciones de</w:t>
      </w:r>
      <w:r>
        <w:rPr>
          <w:spacing w:val="-39"/>
        </w:rPr>
        <w:t> </w:t>
      </w:r>
      <w:r>
        <w:rPr/>
        <w:t>trabajo.</w:t>
      </w:r>
    </w:p>
    <w:p>
      <w:pPr>
        <w:spacing w:after="0" w:line="360" w:lineRule="auto"/>
        <w:jc w:val="both"/>
        <w:sectPr>
          <w:pgSz w:w="12240" w:h="15840"/>
          <w:pgMar w:header="0" w:footer="1071" w:top="1360" w:bottom="1260" w:left="1600" w:right="1600"/>
        </w:sectPr>
      </w:pPr>
    </w:p>
    <w:p>
      <w:pPr>
        <w:pStyle w:val="BodyText"/>
        <w:spacing w:line="360" w:lineRule="auto" w:before="55"/>
        <w:ind w:left="100" w:right="102"/>
        <w:jc w:val="both"/>
      </w:pPr>
      <w:r>
        <w:rPr/>
        <w:t>Se debe prestar mayor atención en la salud de los trabajadores, mejorando las instalaciones y creando procesos que eliminen las viejas prácticas de producción que causan problemas médicos a largo plazo en los trabajadores de la pirotecnia.</w:t>
      </w:r>
    </w:p>
    <w:p>
      <w:pPr>
        <w:pStyle w:val="BodyText"/>
      </w:pPr>
    </w:p>
    <w:p>
      <w:pPr>
        <w:pStyle w:val="BodyText"/>
        <w:spacing w:line="360" w:lineRule="auto" w:before="142"/>
        <w:ind w:left="100" w:right="102"/>
        <w:jc w:val="both"/>
      </w:pPr>
      <w:r>
        <w:rPr/>
        <w:t>La importancia de cerrar el mercado a los productos ilegales representaría un impacto positivo al sector pirotécnico, evitando la compra de estos la necesidad de mano de obra crecería disminuyendo el desempleo.</w:t>
      </w:r>
    </w:p>
    <w:p>
      <w:pPr>
        <w:pStyle w:val="BodyText"/>
      </w:pPr>
    </w:p>
    <w:p>
      <w:pPr>
        <w:pStyle w:val="BodyText"/>
        <w:spacing w:line="360" w:lineRule="auto" w:before="142"/>
        <w:ind w:left="100" w:right="103"/>
        <w:jc w:val="both"/>
      </w:pPr>
      <w:r>
        <w:rPr/>
        <w:t>Se necesita contar con procesos de elaboración bien definidos y estructurados  que permitan utilizarse para la capacitación del personal que se incluye al sector laboral, a modo de lograr una estandarización positiva de la calidad de los productos para ser competitivos a nivel</w:t>
      </w:r>
      <w:r>
        <w:rPr>
          <w:spacing w:val="-29"/>
        </w:rPr>
        <w:t> </w:t>
      </w:r>
      <w:r>
        <w:rPr/>
        <w:t>internacional.</w:t>
      </w:r>
    </w:p>
    <w:p>
      <w:pPr>
        <w:pStyle w:val="BodyText"/>
      </w:pPr>
    </w:p>
    <w:p>
      <w:pPr>
        <w:pStyle w:val="BodyText"/>
        <w:spacing w:line="360" w:lineRule="auto" w:before="142"/>
        <w:ind w:left="100" w:right="102"/>
        <w:jc w:val="both"/>
      </w:pPr>
      <w:r>
        <w:rPr/>
        <w:t>El trabajador de la pirotecnia debe concientizarse de los beneficios de la tecnificación de sus procesos para lograr un grado de industria con estándares de calidad definidos respetando las normas vigentes.</w:t>
      </w:r>
    </w:p>
    <w:p>
      <w:pPr>
        <w:pStyle w:val="BodyText"/>
      </w:pPr>
    </w:p>
    <w:p>
      <w:pPr>
        <w:pStyle w:val="BodyText"/>
        <w:spacing w:line="357" w:lineRule="auto" w:before="142"/>
        <w:ind w:left="100" w:right="102"/>
        <w:jc w:val="both"/>
      </w:pPr>
      <w:r>
        <w:rPr/>
        <w:t>Elaborar contratos para los trabajadores generaría seguridad en la labor, con esta acción se disminuiría la rotación de personal que causa falta de profesionalización.</w:t>
      </w:r>
    </w:p>
    <w:p>
      <w:pPr>
        <w:pStyle w:val="BodyText"/>
      </w:pPr>
    </w:p>
    <w:p>
      <w:pPr>
        <w:pStyle w:val="BodyText"/>
        <w:spacing w:line="360" w:lineRule="auto" w:before="145"/>
        <w:ind w:left="100" w:right="105"/>
        <w:jc w:val="both"/>
      </w:pPr>
      <w:r>
        <w:rPr/>
        <w:t>Es de gran importancia afiliar a los trabajadores de la pirotecnia en programas gubernamentales como es el “Seguro Popular” para garantizar la salud de la comunidad.</w:t>
      </w:r>
    </w:p>
    <w:p>
      <w:pPr>
        <w:spacing w:after="0" w:line="360" w:lineRule="auto"/>
        <w:jc w:val="both"/>
        <w:sectPr>
          <w:pgSz w:w="12240" w:h="15840"/>
          <w:pgMar w:header="0" w:footer="1071" w:top="1360" w:bottom="1260" w:left="1600" w:right="1600"/>
        </w:sectPr>
      </w:pPr>
    </w:p>
    <w:p>
      <w:pPr>
        <w:pStyle w:val="Heading2"/>
        <w:numPr>
          <w:ilvl w:val="2"/>
          <w:numId w:val="8"/>
        </w:numPr>
        <w:tabs>
          <w:tab w:pos="1129" w:val="left" w:leader="none"/>
        </w:tabs>
        <w:spacing w:line="240" w:lineRule="auto" w:before="51" w:after="0"/>
        <w:ind w:left="1129" w:right="0" w:hanging="601"/>
        <w:jc w:val="left"/>
      </w:pPr>
      <w:r>
        <w:rPr/>
        <w:t>CONCLUSIONES</w:t>
      </w:r>
    </w:p>
    <w:p>
      <w:pPr>
        <w:pStyle w:val="BodyText"/>
        <w:rPr>
          <w:b/>
        </w:rPr>
      </w:pPr>
    </w:p>
    <w:p>
      <w:pPr>
        <w:pStyle w:val="BodyText"/>
        <w:spacing w:before="3"/>
        <w:rPr>
          <w:b/>
        </w:rPr>
      </w:pPr>
    </w:p>
    <w:p>
      <w:pPr>
        <w:pStyle w:val="BodyText"/>
        <w:spacing w:line="360" w:lineRule="auto" w:before="1"/>
        <w:ind w:left="100" w:right="104"/>
        <w:jc w:val="both"/>
      </w:pPr>
      <w:r>
        <w:rPr/>
        <w:t>La comunidad de San Mateo Tlalchichilpan se puede considerar vulnerable ya que no tiene la capacidad de mantener el crecimiento del sector pirotécnico a la par de las mejoras sociales que implicaría dicho crecimiento, destacando las situaciones siguientes:</w:t>
      </w:r>
    </w:p>
    <w:p>
      <w:pPr>
        <w:pStyle w:val="BodyText"/>
      </w:pPr>
    </w:p>
    <w:p>
      <w:pPr>
        <w:pStyle w:val="ListParagraph"/>
        <w:numPr>
          <w:ilvl w:val="0"/>
          <w:numId w:val="13"/>
        </w:numPr>
        <w:tabs>
          <w:tab w:pos="1249" w:val="left" w:leader="none"/>
        </w:tabs>
        <w:spacing w:line="355" w:lineRule="auto" w:before="142" w:after="0"/>
        <w:ind w:left="1249" w:right="103" w:hanging="360"/>
        <w:jc w:val="both"/>
        <w:rPr>
          <w:sz w:val="24"/>
        </w:rPr>
      </w:pPr>
      <w:r>
        <w:rPr>
          <w:sz w:val="24"/>
        </w:rPr>
        <w:t>Desempleo, ocasionado por la compra de productos de procedencia ilegal y por el aumento de la competencia desleal, lo que origina menor número de</w:t>
      </w:r>
      <w:r>
        <w:rPr>
          <w:spacing w:val="-16"/>
          <w:sz w:val="24"/>
        </w:rPr>
        <w:t> </w:t>
      </w:r>
      <w:r>
        <w:rPr>
          <w:sz w:val="24"/>
        </w:rPr>
        <w:t>contrataciones.</w:t>
      </w:r>
    </w:p>
    <w:p>
      <w:pPr>
        <w:pStyle w:val="ListParagraph"/>
        <w:numPr>
          <w:ilvl w:val="0"/>
          <w:numId w:val="13"/>
        </w:numPr>
        <w:tabs>
          <w:tab w:pos="1249" w:val="left" w:leader="none"/>
        </w:tabs>
        <w:spacing w:line="357" w:lineRule="auto" w:before="7" w:after="0"/>
        <w:ind w:left="1249" w:right="100" w:hanging="360"/>
        <w:jc w:val="both"/>
        <w:rPr>
          <w:sz w:val="24"/>
        </w:rPr>
      </w:pPr>
      <w:r>
        <w:rPr>
          <w:sz w:val="24"/>
        </w:rPr>
        <w:t>Precariedad laboral, debido a la inexistente exigencia de niveles escolares mínimos para la clase trabajadora y por lo mismo no hay una capacitación ni adiestramiento adecuado para las funciones que desempeña un trabajador de la</w:t>
      </w:r>
      <w:r>
        <w:rPr>
          <w:spacing w:val="-26"/>
          <w:sz w:val="24"/>
        </w:rPr>
        <w:t> </w:t>
      </w:r>
      <w:r>
        <w:rPr>
          <w:sz w:val="24"/>
        </w:rPr>
        <w:t>pirotecnia.</w:t>
      </w:r>
    </w:p>
    <w:p>
      <w:pPr>
        <w:pStyle w:val="ListParagraph"/>
        <w:numPr>
          <w:ilvl w:val="0"/>
          <w:numId w:val="13"/>
        </w:numPr>
        <w:tabs>
          <w:tab w:pos="1249" w:val="left" w:leader="none"/>
        </w:tabs>
        <w:spacing w:line="355" w:lineRule="auto" w:before="5" w:after="0"/>
        <w:ind w:left="1249" w:right="103" w:hanging="360"/>
        <w:jc w:val="both"/>
        <w:rPr>
          <w:sz w:val="24"/>
        </w:rPr>
      </w:pPr>
      <w:r>
        <w:rPr>
          <w:sz w:val="24"/>
        </w:rPr>
        <w:t>Los bajos niveles formativos dados a la falta de infraestructura escolar ello va de la mano con la precariedad laboral y por supuesto con el desempleo.</w:t>
      </w:r>
    </w:p>
    <w:p>
      <w:pPr>
        <w:pStyle w:val="ListParagraph"/>
        <w:numPr>
          <w:ilvl w:val="0"/>
          <w:numId w:val="13"/>
        </w:numPr>
        <w:tabs>
          <w:tab w:pos="1249" w:val="left" w:leader="none"/>
        </w:tabs>
        <w:spacing w:line="355" w:lineRule="auto" w:before="11" w:after="0"/>
        <w:ind w:left="1249" w:right="103" w:hanging="360"/>
        <w:jc w:val="both"/>
        <w:rPr>
          <w:sz w:val="24"/>
        </w:rPr>
      </w:pPr>
      <w:r>
        <w:rPr>
          <w:sz w:val="24"/>
        </w:rPr>
        <w:t>El aumento de la población y la permanencia de la infraestructura ocasiona que menos personas tengan acceso a los servicios propios de una población en sano</w:t>
      </w:r>
      <w:r>
        <w:rPr>
          <w:spacing w:val="-20"/>
          <w:sz w:val="24"/>
        </w:rPr>
        <w:t> </w:t>
      </w:r>
      <w:r>
        <w:rPr>
          <w:sz w:val="24"/>
        </w:rPr>
        <w:t>desarrollo.</w:t>
      </w:r>
    </w:p>
    <w:p>
      <w:pPr>
        <w:pStyle w:val="BodyText"/>
      </w:pPr>
    </w:p>
    <w:p>
      <w:pPr>
        <w:pStyle w:val="BodyText"/>
        <w:spacing w:before="2"/>
        <w:rPr>
          <w:sz w:val="30"/>
        </w:rPr>
      </w:pPr>
    </w:p>
    <w:p>
      <w:pPr>
        <w:pStyle w:val="BodyText"/>
        <w:spacing w:line="360" w:lineRule="auto"/>
        <w:ind w:left="100" w:right="106"/>
        <w:jc w:val="both"/>
      </w:pPr>
      <w:r>
        <w:rPr/>
        <w:t>Estos factores indican una creciente necesidad de legislar  adecuadamente  al rubro pirotécnico para normalizar su situación y evitar el creciente grado de vulnerabilidad que aqueja la población estudiada.</w:t>
      </w:r>
    </w:p>
    <w:p>
      <w:pPr>
        <w:spacing w:after="0" w:line="360" w:lineRule="auto"/>
        <w:jc w:val="both"/>
        <w:sectPr>
          <w:pgSz w:w="12240" w:h="15840"/>
          <w:pgMar w:header="0" w:footer="1071" w:top="1360" w:bottom="1260" w:left="1600" w:right="1600"/>
        </w:sectPr>
      </w:pPr>
    </w:p>
    <w:p>
      <w:pPr>
        <w:pStyle w:val="BodyText"/>
        <w:spacing w:line="360" w:lineRule="auto" w:before="55"/>
        <w:ind w:left="408" w:right="4998"/>
      </w:pPr>
      <w:r>
        <w:rPr/>
        <w:t>“desde pequeños nos enseñaron</w:t>
      </w:r>
      <w:r>
        <w:rPr>
          <w:spacing w:val="-16"/>
        </w:rPr>
        <w:t> </w:t>
      </w:r>
      <w:r>
        <w:rPr/>
        <w:t>que San Juan de Dios pasó varias veces entre las llamas de un hospital que se incendiaba para sacar a los enfermos y no le paso</w:t>
      </w:r>
      <w:r>
        <w:rPr>
          <w:spacing w:val="-20"/>
        </w:rPr>
        <w:t> </w:t>
      </w:r>
      <w:r>
        <w:rPr/>
        <w:t>nada…</w:t>
      </w:r>
    </w:p>
    <w:p>
      <w:pPr>
        <w:pStyle w:val="BodyText"/>
        <w:spacing w:before="6"/>
        <w:ind w:left="5338"/>
      </w:pPr>
      <w:r>
        <w:rPr/>
        <w:t>por eso nos encomendamos a él</w:t>
      </w:r>
    </w:p>
    <w:p>
      <w:pPr>
        <w:pStyle w:val="BodyText"/>
        <w:spacing w:before="136"/>
        <w:ind w:left="2569" w:firstLine="336"/>
      </w:pPr>
      <w:r>
        <w:rPr/>
        <w:t>para trabajar siempre con el fuego y nunca quemarnos”</w:t>
      </w:r>
    </w:p>
    <w:p>
      <w:pPr>
        <w:pStyle w:val="BodyText"/>
        <w:rPr>
          <w:sz w:val="20"/>
        </w:rPr>
      </w:pPr>
    </w:p>
    <w:p>
      <w:pPr>
        <w:pStyle w:val="BodyText"/>
        <w:rPr>
          <w:sz w:val="20"/>
        </w:rPr>
      </w:pPr>
    </w:p>
    <w:p>
      <w:pPr>
        <w:pStyle w:val="BodyText"/>
        <w:rPr>
          <w:sz w:val="20"/>
        </w:rPr>
      </w:pPr>
    </w:p>
    <w:p>
      <w:pPr>
        <w:pStyle w:val="BodyText"/>
        <w:spacing w:before="9"/>
        <w:rPr>
          <w:sz w:val="20"/>
        </w:rPr>
      </w:pPr>
      <w:r>
        <w:rPr/>
        <w:drawing>
          <wp:anchor distT="0" distB="0" distL="0" distR="0" allowOverlap="1" layoutInCell="1" locked="0" behindDoc="0" simplePos="0" relativeHeight="1864">
            <wp:simplePos x="0" y="0"/>
            <wp:positionH relativeFrom="page">
              <wp:posOffset>1369694</wp:posOffset>
            </wp:positionH>
            <wp:positionV relativeFrom="paragraph">
              <wp:posOffset>176656</wp:posOffset>
            </wp:positionV>
            <wp:extent cx="5657504" cy="3784473"/>
            <wp:effectExtent l="0" t="0" r="0" b="0"/>
            <wp:wrapTopAndBottom/>
            <wp:docPr id="117" name="image42.jpeg" descr=""/>
            <wp:cNvGraphicFramePr>
              <a:graphicFrameLocks noChangeAspect="1"/>
            </wp:cNvGraphicFramePr>
            <a:graphic>
              <a:graphicData uri="http://schemas.openxmlformats.org/drawingml/2006/picture">
                <pic:pic>
                  <pic:nvPicPr>
                    <pic:cNvPr id="118" name="image42.jpeg"/>
                    <pic:cNvPicPr/>
                  </pic:nvPicPr>
                  <pic:blipFill>
                    <a:blip r:embed="rId64" cstate="print"/>
                    <a:stretch>
                      <a:fillRect/>
                    </a:stretch>
                  </pic:blipFill>
                  <pic:spPr>
                    <a:xfrm>
                      <a:off x="0" y="0"/>
                      <a:ext cx="5657504" cy="3784473"/>
                    </a:xfrm>
                    <a:prstGeom prst="rect">
                      <a:avLst/>
                    </a:prstGeom>
                  </pic:spPr>
                </pic:pic>
              </a:graphicData>
            </a:graphic>
          </wp:anchor>
        </w:drawing>
      </w:r>
    </w:p>
    <w:p>
      <w:pPr>
        <w:spacing w:before="58"/>
        <w:ind w:left="2569" w:right="0" w:firstLine="0"/>
        <w:jc w:val="left"/>
        <w:rPr>
          <w:sz w:val="20"/>
        </w:rPr>
      </w:pPr>
      <w:r>
        <w:rPr>
          <w:sz w:val="20"/>
        </w:rPr>
        <w:t>Figura 5. Pirotécnicos de Tlalchichilpan, al fondo el Nevado de Toluca.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spacing w:line="362" w:lineRule="auto"/>
        <w:ind w:left="1573" w:right="542" w:firstLine="996"/>
      </w:pPr>
      <w:r>
        <w:rPr/>
        <w:t>CAPITULO V. CONCLUSIONES Y PRODUCTOS DE LA INVESTIGACIÓN.</w:t>
      </w:r>
    </w:p>
    <w:p>
      <w:pPr>
        <w:spacing w:after="0" w:line="362" w:lineRule="auto"/>
        <w:sectPr>
          <w:footerReference w:type="default" r:id="rId63"/>
          <w:pgSz w:w="12240" w:h="15840"/>
          <w:pgMar w:footer="1071" w:header="0" w:top="1360" w:bottom="1260" w:left="1720" w:right="1140"/>
        </w:sectPr>
      </w:pPr>
    </w:p>
    <w:p>
      <w:pPr>
        <w:pStyle w:val="Heading2"/>
        <w:jc w:val="both"/>
      </w:pPr>
      <w:r>
        <w:rPr/>
        <w:t>CAPITULO V. CONCLUSIONES Y PRODUCTOS DE LA INVESTIGACIÓN.</w:t>
      </w:r>
    </w:p>
    <w:p>
      <w:pPr>
        <w:pStyle w:val="BodyText"/>
        <w:rPr>
          <w:b/>
        </w:rPr>
      </w:pPr>
    </w:p>
    <w:p>
      <w:pPr>
        <w:pStyle w:val="BodyText"/>
        <w:spacing w:before="11"/>
        <w:rPr>
          <w:b/>
          <w:sz w:val="23"/>
        </w:rPr>
      </w:pPr>
    </w:p>
    <w:p>
      <w:pPr>
        <w:pStyle w:val="ListParagraph"/>
        <w:numPr>
          <w:ilvl w:val="1"/>
          <w:numId w:val="14"/>
        </w:numPr>
        <w:tabs>
          <w:tab w:pos="1209" w:val="left" w:leader="none"/>
        </w:tabs>
        <w:spacing w:line="240" w:lineRule="auto" w:before="0" w:after="0"/>
        <w:ind w:left="1208" w:right="0" w:hanging="399"/>
        <w:jc w:val="left"/>
        <w:rPr>
          <w:b/>
          <w:sz w:val="24"/>
        </w:rPr>
      </w:pPr>
      <w:r>
        <w:rPr>
          <w:b/>
          <w:sz w:val="24"/>
        </w:rPr>
        <w:t>CONCLUSIONES.</w:t>
      </w:r>
    </w:p>
    <w:p>
      <w:pPr>
        <w:pStyle w:val="BodyText"/>
        <w:rPr>
          <w:b/>
        </w:rPr>
      </w:pPr>
    </w:p>
    <w:p>
      <w:pPr>
        <w:pStyle w:val="BodyText"/>
        <w:spacing w:before="4"/>
        <w:rPr>
          <w:b/>
        </w:rPr>
      </w:pPr>
    </w:p>
    <w:p>
      <w:pPr>
        <w:pStyle w:val="BodyText"/>
        <w:spacing w:line="360" w:lineRule="auto"/>
        <w:ind w:left="100" w:right="104"/>
        <w:jc w:val="both"/>
      </w:pPr>
      <w:r>
        <w:rPr/>
        <w:t>San Mateo Tlalchichilpan es una comunidad con arraigada tradición pirotécnica cuyos productores se consideran artesanos de este oficio. El crecimiento industrial o tecnológico se encuentra estancado.</w:t>
      </w:r>
    </w:p>
    <w:p>
      <w:pPr>
        <w:pStyle w:val="BodyText"/>
      </w:pPr>
    </w:p>
    <w:p>
      <w:pPr>
        <w:pStyle w:val="BodyText"/>
        <w:spacing w:line="360" w:lineRule="auto" w:before="142"/>
        <w:ind w:left="100" w:right="102"/>
        <w:jc w:val="both"/>
      </w:pPr>
      <w:r>
        <w:rPr/>
        <w:t>La normatividad se encuentra relegada a la Ley Federal de Explosivos y Armas de Fuego, por tal motivo los productores desconocen las otras normas que interfieren con su trabajo, ello permite el abuso por parte de algunas autoridades incrementando la extorsión.</w:t>
      </w:r>
    </w:p>
    <w:p>
      <w:pPr>
        <w:pStyle w:val="BodyText"/>
      </w:pPr>
    </w:p>
    <w:p>
      <w:pPr>
        <w:pStyle w:val="BodyText"/>
        <w:spacing w:line="360" w:lineRule="auto" w:before="142"/>
        <w:ind w:left="100" w:right="98"/>
        <w:jc w:val="both"/>
      </w:pPr>
      <w:r>
        <w:rPr/>
        <w:t>Existe un claro desinterés en la toxicología de los materiales utilizados de forma que muchos de los trabajadores presentan problemas médicos sin que cuenten con acceso a servicios de seguridad social o tengan afiliación a alguna institución pública de este rubro.</w:t>
      </w:r>
    </w:p>
    <w:p>
      <w:pPr>
        <w:pStyle w:val="BodyText"/>
      </w:pPr>
    </w:p>
    <w:p>
      <w:pPr>
        <w:pStyle w:val="BodyText"/>
        <w:spacing w:line="360" w:lineRule="auto" w:before="142"/>
        <w:ind w:left="100" w:right="103"/>
        <w:jc w:val="both"/>
      </w:pPr>
      <w:r>
        <w:rPr/>
        <w:t>El aumento poblacional en contraste con la permanencia del mismo número de instalaciones de servicios produce un bajo nivel de formación escolar, esto a su vez genera precariedad laboral y por ende desempleo en aumento, factores que muestran que la comunidad se puede considerar vulnerable.</w:t>
      </w:r>
    </w:p>
    <w:p>
      <w:pPr>
        <w:pStyle w:val="BodyText"/>
      </w:pPr>
    </w:p>
    <w:p>
      <w:pPr>
        <w:pStyle w:val="BodyText"/>
        <w:spacing w:line="360" w:lineRule="auto" w:before="142"/>
        <w:ind w:left="100" w:right="105"/>
        <w:jc w:val="both"/>
      </w:pPr>
      <w:r>
        <w:rPr/>
        <w:t>Socialmente la pirotecnia atraviesa una crisis por una normatividad carente, es atacada por los medios de comunicación debido a los accidentes durante el uso  de estos materiales y el clandestinaje está en aumento por lo que no alcanza la aceptación social, se mantiene por usos y</w:t>
      </w:r>
      <w:r>
        <w:rPr>
          <w:spacing w:val="-30"/>
        </w:rPr>
        <w:t> </w:t>
      </w:r>
      <w:r>
        <w:rPr/>
        <w:t>costumbres.</w:t>
      </w:r>
    </w:p>
    <w:p>
      <w:pPr>
        <w:pStyle w:val="BodyText"/>
      </w:pPr>
    </w:p>
    <w:p>
      <w:pPr>
        <w:pStyle w:val="BodyText"/>
        <w:spacing w:line="360" w:lineRule="auto" w:before="142"/>
        <w:ind w:left="100" w:right="104"/>
        <w:jc w:val="both"/>
      </w:pPr>
      <w:r>
        <w:rPr/>
        <w:t>Ambientalmente no considera los riesgos de manufactura presentes en los talleres, incrementándose los problemas de salud y careciendo de afiliaciones al sector</w:t>
      </w:r>
      <w:r>
        <w:rPr>
          <w:spacing w:val="-12"/>
        </w:rPr>
        <w:t> </w:t>
      </w:r>
      <w:r>
        <w:rPr/>
        <w:t>salud.</w:t>
      </w:r>
    </w:p>
    <w:p>
      <w:pPr>
        <w:spacing w:after="0" w:line="360" w:lineRule="auto"/>
        <w:jc w:val="both"/>
        <w:sectPr>
          <w:footerReference w:type="default" r:id="rId65"/>
          <w:pgSz w:w="12240" w:h="15840"/>
          <w:pgMar w:footer="1011" w:header="0" w:top="1360" w:bottom="1200" w:left="1600" w:right="1600"/>
          <w:pgNumType w:start="91"/>
        </w:sectPr>
      </w:pPr>
    </w:p>
    <w:p>
      <w:pPr>
        <w:pStyle w:val="BodyText"/>
        <w:spacing w:before="9"/>
        <w:rPr>
          <w:sz w:val="22"/>
        </w:rPr>
      </w:pPr>
    </w:p>
    <w:p>
      <w:pPr>
        <w:pStyle w:val="BodyText"/>
        <w:spacing w:line="360" w:lineRule="auto" w:before="69"/>
        <w:ind w:left="100" w:right="101"/>
        <w:jc w:val="both"/>
      </w:pPr>
      <w:r>
        <w:rPr/>
        <w:t>Económicamente se tienen problemas severos por el aumento de los productores y la competencia desleal, sin embargo continúa siendo redituable para el productor, aun que las condiciones económicas de los trabajadores son críticas ya que durante los 3 años que duró el presente estudio no hubo aumentos de sueldos a estos</w:t>
      </w:r>
      <w:r>
        <w:rPr>
          <w:spacing w:val="-13"/>
        </w:rPr>
        <w:t> </w:t>
      </w:r>
      <w:r>
        <w:rPr/>
        <w:t>últimos.</w:t>
      </w:r>
    </w:p>
    <w:p>
      <w:pPr>
        <w:pStyle w:val="BodyText"/>
      </w:pPr>
    </w:p>
    <w:p>
      <w:pPr>
        <w:pStyle w:val="BodyText"/>
        <w:spacing w:line="360" w:lineRule="auto" w:before="142"/>
        <w:ind w:left="100" w:right="101"/>
        <w:jc w:val="both"/>
      </w:pPr>
      <w:r>
        <w:rPr/>
        <w:t>La actividad pirotécnica en la comunidad de San Mateo Tlalchichilpan, Estado de México es sostenible económicamente, con grados altos de vulnerabilidad en los factores sociales y ambientales, por lo cual no es considerada una actividad sustentable.</w:t>
      </w:r>
    </w:p>
    <w:p>
      <w:pPr>
        <w:pStyle w:val="BodyText"/>
      </w:pPr>
    </w:p>
    <w:p>
      <w:pPr>
        <w:pStyle w:val="BodyText"/>
      </w:pPr>
    </w:p>
    <w:p>
      <w:pPr>
        <w:pStyle w:val="BodyText"/>
        <w:spacing w:before="2"/>
      </w:pPr>
    </w:p>
    <w:p>
      <w:pPr>
        <w:pStyle w:val="Heading2"/>
        <w:numPr>
          <w:ilvl w:val="1"/>
          <w:numId w:val="14"/>
        </w:numPr>
        <w:tabs>
          <w:tab w:pos="501" w:val="left" w:leader="none"/>
        </w:tabs>
        <w:spacing w:line="240" w:lineRule="auto" w:before="0" w:after="0"/>
        <w:ind w:left="500" w:right="0" w:hanging="400"/>
        <w:jc w:val="both"/>
      </w:pPr>
      <w:r>
        <w:rPr/>
        <w:t>PRODUCTOS DE </w:t>
      </w:r>
      <w:r>
        <w:rPr>
          <w:spacing w:val="2"/>
        </w:rPr>
        <w:t>LA</w:t>
      </w:r>
      <w:r>
        <w:rPr>
          <w:spacing w:val="-16"/>
        </w:rPr>
        <w:t> </w:t>
      </w:r>
      <w:r>
        <w:rPr/>
        <w:t>INVESTIGACIÓN.</w:t>
      </w:r>
    </w:p>
    <w:p>
      <w:pPr>
        <w:pStyle w:val="BodyText"/>
        <w:rPr>
          <w:b/>
        </w:rPr>
      </w:pPr>
    </w:p>
    <w:p>
      <w:pPr>
        <w:pStyle w:val="BodyText"/>
        <w:spacing w:before="4"/>
        <w:rPr>
          <w:b/>
        </w:rPr>
      </w:pPr>
    </w:p>
    <w:p>
      <w:pPr>
        <w:pStyle w:val="BodyText"/>
        <w:spacing w:line="360" w:lineRule="auto"/>
        <w:ind w:left="100" w:right="102"/>
        <w:jc w:val="both"/>
      </w:pPr>
      <w:r>
        <w:rPr/>
        <w:t>Durante el estudio de la Maestría en Calidad Ambiental, de la cual este trabajo de tesis es resultado, se han realizado múltiples acciones </w:t>
      </w:r>
      <w:r>
        <w:rPr>
          <w:spacing w:val="2"/>
        </w:rPr>
        <w:t>que </w:t>
      </w:r>
      <w:r>
        <w:rPr/>
        <w:t>han permitido incrementar los conocimientos, las experiencias e información necesarias para obtener las conclusiones previamente planteadas, al mismo tiempo se  ha  buscado que esta investigación presente un impacto positivo a la comunidad en estudio, estas acciones se plantean como productos obtenidos durante el periodo de realización de la maestría para los cuales fue imprescindible el apoyo del Instituto Mexiquense de la Pirotecnia, </w:t>
      </w:r>
      <w:r>
        <w:rPr>
          <w:spacing w:val="-3"/>
        </w:rPr>
        <w:t>ya </w:t>
      </w:r>
      <w:r>
        <w:rPr/>
        <w:t>que comprometidos con la realización de la investigación permitieron el uso de recursos para que este trabajo tuviese impacto directo sobre el sector</w:t>
      </w:r>
      <w:r>
        <w:rPr>
          <w:spacing w:val="-28"/>
        </w:rPr>
        <w:t> </w:t>
      </w:r>
      <w:r>
        <w:rPr/>
        <w:t>pirotécnico.</w:t>
      </w:r>
    </w:p>
    <w:p>
      <w:pPr>
        <w:pStyle w:val="BodyText"/>
      </w:pPr>
    </w:p>
    <w:p>
      <w:pPr>
        <w:pStyle w:val="BodyText"/>
        <w:spacing w:line="360" w:lineRule="auto" w:before="142"/>
        <w:ind w:left="100" w:right="103"/>
        <w:jc w:val="both"/>
      </w:pPr>
      <w:r>
        <w:rPr/>
        <w:t>En primera instancia se añadió información técnica a los cursos de capacitación con los que contaba el IMEPI con lo cual se ha capacitado a miembros de Protección Civil de los municipios donde existe producción y quema de pirotecnia, para incrementar las medidas de seguridad con las que cuenta Gobierno del Estado de México.</w:t>
      </w:r>
    </w:p>
    <w:p>
      <w:pPr>
        <w:spacing w:after="0" w:line="360" w:lineRule="auto"/>
        <w:jc w:val="both"/>
        <w:sectPr>
          <w:pgSz w:w="12240" w:h="15840"/>
          <w:pgMar w:header="0" w:footer="1011" w:top="1500" w:bottom="1260" w:left="1600" w:right="1600"/>
        </w:sectPr>
      </w:pPr>
    </w:p>
    <w:p>
      <w:pPr>
        <w:pStyle w:val="BodyText"/>
        <w:spacing w:before="9"/>
        <w:rPr>
          <w:sz w:val="22"/>
        </w:rPr>
      </w:pPr>
    </w:p>
    <w:p>
      <w:pPr>
        <w:pStyle w:val="BodyText"/>
        <w:spacing w:line="360" w:lineRule="auto" w:before="69"/>
        <w:ind w:left="100" w:right="106"/>
        <w:jc w:val="both"/>
      </w:pPr>
      <w:r>
        <w:rPr/>
        <w:t>Se nutrió la parte técnica de los cursos y pláticas que se dan a artesanos pirotécnicos acerca de la seguridad e higiene en sus lugares de trabajo, y en el manejo de procesos, aunando los análisis de riesgos de la actividad con la finalidad de concientizar a los productores de mejorar su forma de trabajar.</w:t>
      </w:r>
    </w:p>
    <w:p>
      <w:pPr>
        <w:pStyle w:val="BodyText"/>
      </w:pPr>
    </w:p>
    <w:p>
      <w:pPr>
        <w:pStyle w:val="BodyText"/>
        <w:spacing w:line="360" w:lineRule="auto" w:before="142"/>
        <w:ind w:left="100" w:right="101"/>
        <w:jc w:val="both"/>
      </w:pPr>
      <w:r>
        <w:rPr/>
        <w:t>El reconocimiento como expertos que se ha ganado el IMEPI como el único instituto a nivel nacional dedicado directamente al sector de la pirotecnia ha permitido que otros Estados de la República soliciten apoyo para capacitar a las autoridades que intervienen en esta actividad económica, por ello se asistió a los estados de Aguascalientes, Zacatecas, Campeche, Yucatán, Querétaro y el Distrito Federal para impartir cursos y platicas sobre seguridad en la producción y manejo de artificios</w:t>
      </w:r>
      <w:r>
        <w:rPr>
          <w:spacing w:val="-20"/>
        </w:rPr>
        <w:t> </w:t>
      </w:r>
      <w:r>
        <w:rPr/>
        <w:t>píricos.</w:t>
      </w:r>
    </w:p>
    <w:p>
      <w:pPr>
        <w:pStyle w:val="BodyText"/>
      </w:pPr>
    </w:p>
    <w:p>
      <w:pPr>
        <w:pStyle w:val="BodyText"/>
        <w:spacing w:line="360" w:lineRule="auto" w:before="142"/>
        <w:ind w:left="100" w:right="106" w:firstLine="68"/>
        <w:jc w:val="both"/>
      </w:pPr>
      <w:r>
        <w:rPr/>
        <w:t>Para obtener la información internacional de la actividad pirotécnica se asistió al 13 Simposio Internacional de Fuegos Artificiales el cual se llevó a cabo en la Republica de Malta donde se presentaron los avances científicos y tecnológicos a nivel mundial en la producción de pirotecnia.</w:t>
      </w:r>
    </w:p>
    <w:p>
      <w:pPr>
        <w:pStyle w:val="BodyText"/>
      </w:pPr>
    </w:p>
    <w:p>
      <w:pPr>
        <w:pStyle w:val="BodyText"/>
        <w:spacing w:line="360" w:lineRule="auto" w:before="142"/>
        <w:ind w:left="100" w:right="110"/>
        <w:jc w:val="both"/>
      </w:pPr>
      <w:r>
        <w:rPr/>
        <w:t>Con la finalidad de generar un impacto mayor en la población se colaboró con texto y fotografías para el libro “Años de Pirotecnia, Arte de Fuego” publicado por el Gobierno del Estado de México ISBN:</w:t>
      </w:r>
      <w:r>
        <w:rPr>
          <w:spacing w:val="-25"/>
        </w:rPr>
        <w:t> </w:t>
      </w:r>
      <w:r>
        <w:rPr/>
        <w:t>978-607-495-169-1</w:t>
      </w:r>
    </w:p>
    <w:p>
      <w:pPr>
        <w:spacing w:after="0" w:line="360" w:lineRule="auto"/>
        <w:jc w:val="both"/>
        <w:sectPr>
          <w:pgSz w:w="12240" w:h="15840"/>
          <w:pgMar w:header="0" w:footer="1011" w:top="1500" w:bottom="1260" w:left="1600" w:right="1600"/>
        </w:sectPr>
      </w:pPr>
    </w:p>
    <w:p>
      <w:pPr>
        <w:pStyle w:val="BodyText"/>
        <w:spacing w:before="9"/>
        <w:rPr>
          <w:sz w:val="22"/>
        </w:rPr>
      </w:pPr>
    </w:p>
    <w:p>
      <w:pPr>
        <w:spacing w:after="0"/>
        <w:rPr>
          <w:sz w:val="22"/>
        </w:rPr>
        <w:sectPr>
          <w:pgSz w:w="12240" w:h="15840"/>
          <w:pgMar w:header="0" w:footer="1011" w:top="1500" w:bottom="1260" w:left="1600" w:right="1560"/>
        </w:sectPr>
      </w:pPr>
    </w:p>
    <w:p>
      <w:pPr>
        <w:pStyle w:val="BodyText"/>
        <w:spacing w:line="360" w:lineRule="auto" w:before="69"/>
        <w:ind w:left="100"/>
        <w:jc w:val="both"/>
      </w:pPr>
      <w:r>
        <w:rPr/>
        <w:t>“Se nos había caído el castillo cuando lo estábamos armando, sin embargo trabajamos duro para componerlo. Nadie esperaba que funcionara de esa manera y</w:t>
      </w:r>
    </w:p>
    <w:p>
      <w:pPr>
        <w:pStyle w:val="BodyText"/>
      </w:pPr>
      <w:r>
        <w:rPr/>
        <w:br w:type="column"/>
      </w:r>
      <w:r>
        <w:rPr/>
      </w:r>
    </w:p>
    <w:p>
      <w:pPr>
        <w:pStyle w:val="BodyText"/>
      </w:pPr>
    </w:p>
    <w:p>
      <w:pPr>
        <w:pStyle w:val="BodyText"/>
        <w:rPr>
          <w:sz w:val="30"/>
        </w:rPr>
      </w:pPr>
    </w:p>
    <w:p>
      <w:pPr>
        <w:pStyle w:val="BodyText"/>
        <w:ind w:left="100"/>
        <w:jc w:val="both"/>
      </w:pPr>
      <w:r>
        <w:rPr/>
        <w:t>cuando  terminamos  rematamos  con</w:t>
      </w:r>
    </w:p>
    <w:p>
      <w:pPr>
        <w:pStyle w:val="BodyText"/>
        <w:spacing w:line="360" w:lineRule="auto" w:before="136"/>
        <w:ind w:left="100" w:right="144"/>
        <w:jc w:val="both"/>
      </w:pPr>
      <w:r>
        <w:rPr/>
        <w:t>90 bombas. Al terminar nos alzaron en hombros y nos dieron una vuelta alrededor de la</w:t>
      </w:r>
      <w:r>
        <w:rPr>
          <w:spacing w:val="-17"/>
        </w:rPr>
        <w:t> </w:t>
      </w:r>
      <w:r>
        <w:rPr/>
        <w:t>iglesia”</w:t>
      </w:r>
    </w:p>
    <w:p>
      <w:pPr>
        <w:pStyle w:val="BodyText"/>
      </w:pPr>
    </w:p>
    <w:p>
      <w:pPr>
        <w:pStyle w:val="BodyText"/>
        <w:spacing w:line="362" w:lineRule="auto" w:before="142"/>
        <w:ind w:left="100" w:right="184"/>
      </w:pPr>
      <w:r>
        <w:rPr/>
        <w:drawing>
          <wp:anchor distT="0" distB="0" distL="0" distR="0" allowOverlap="1" layoutInCell="1" locked="0" behindDoc="0" simplePos="0" relativeHeight="1888">
            <wp:simplePos x="0" y="0"/>
            <wp:positionH relativeFrom="page">
              <wp:posOffset>1099185</wp:posOffset>
            </wp:positionH>
            <wp:positionV relativeFrom="paragraph">
              <wp:posOffset>1142185</wp:posOffset>
            </wp:positionV>
            <wp:extent cx="5611368" cy="3756025"/>
            <wp:effectExtent l="0" t="0" r="0" b="0"/>
            <wp:wrapNone/>
            <wp:docPr id="121" name="image43.jpeg" descr=""/>
            <wp:cNvGraphicFramePr>
              <a:graphicFrameLocks noChangeAspect="1"/>
            </wp:cNvGraphicFramePr>
            <a:graphic>
              <a:graphicData uri="http://schemas.openxmlformats.org/drawingml/2006/picture">
                <pic:pic>
                  <pic:nvPicPr>
                    <pic:cNvPr id="122" name="image43.jpeg"/>
                    <pic:cNvPicPr/>
                  </pic:nvPicPr>
                  <pic:blipFill>
                    <a:blip r:embed="rId66" cstate="print"/>
                    <a:stretch>
                      <a:fillRect/>
                    </a:stretch>
                  </pic:blipFill>
                  <pic:spPr>
                    <a:xfrm>
                      <a:off x="0" y="0"/>
                      <a:ext cx="5611368" cy="3756025"/>
                    </a:xfrm>
                    <a:prstGeom prst="rect">
                      <a:avLst/>
                    </a:prstGeom>
                  </pic:spPr>
                </pic:pic>
              </a:graphicData>
            </a:graphic>
          </wp:anchor>
        </w:drawing>
      </w:r>
      <w:r>
        <w:rPr/>
        <w:t>Artesano pirotécnico de Tlalchichilpan.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2"/>
        </w:rPr>
      </w:pPr>
    </w:p>
    <w:p>
      <w:pPr>
        <w:spacing w:before="0"/>
        <w:ind w:left="596" w:right="0" w:firstLine="0"/>
        <w:jc w:val="left"/>
        <w:rPr>
          <w:sz w:val="20"/>
        </w:rPr>
      </w:pPr>
      <w:r>
        <w:rPr>
          <w:sz w:val="20"/>
        </w:rPr>
        <w:t>Figura 6. Quema de cohetón pirotécnico</w:t>
      </w:r>
    </w:p>
    <w:p>
      <w:pPr>
        <w:pStyle w:val="BodyText"/>
        <w:rPr>
          <w:sz w:val="20"/>
        </w:rPr>
      </w:pPr>
    </w:p>
    <w:p>
      <w:pPr>
        <w:pStyle w:val="BodyText"/>
        <w:spacing w:before="1"/>
        <w:rPr>
          <w:sz w:val="26"/>
        </w:rPr>
      </w:pPr>
    </w:p>
    <w:p>
      <w:pPr>
        <w:pStyle w:val="Heading1"/>
        <w:ind w:left="2364"/>
      </w:pPr>
      <w:r>
        <w:rPr/>
        <w:t>ANEXOS.</w:t>
      </w:r>
    </w:p>
    <w:p>
      <w:pPr>
        <w:spacing w:after="0"/>
        <w:sectPr>
          <w:type w:val="continuous"/>
          <w:pgSz w:w="12240" w:h="15840"/>
          <w:pgMar w:top="1500" w:bottom="280" w:left="1600" w:right="1560"/>
          <w:cols w:num="2" w:equalWidth="0">
            <w:col w:w="4161" w:space="612"/>
            <w:col w:w="4307"/>
          </w:cols>
        </w:sectPr>
      </w:pPr>
    </w:p>
    <w:p>
      <w:pPr>
        <w:pStyle w:val="Heading2"/>
        <w:ind w:left="180"/>
      </w:pPr>
      <w:r>
        <w:rPr/>
        <w:t>ANEXOS.</w:t>
      </w:r>
    </w:p>
    <w:p>
      <w:pPr>
        <w:pStyle w:val="BodyText"/>
        <w:rPr>
          <w:b/>
        </w:rPr>
      </w:pPr>
    </w:p>
    <w:p>
      <w:pPr>
        <w:spacing w:before="180"/>
        <w:ind w:left="180" w:right="0" w:firstLine="0"/>
        <w:jc w:val="left"/>
        <w:rPr>
          <w:b/>
          <w:sz w:val="24"/>
        </w:rPr>
      </w:pPr>
      <w:r>
        <w:rPr>
          <w:b/>
          <w:sz w:val="24"/>
        </w:rPr>
        <w:t>ANEXO 1. Relación de productos químicos utilizados para la elaboración de dispositivos pirotécnicos.</w:t>
      </w:r>
    </w:p>
    <w:p>
      <w:pPr>
        <w:pStyle w:val="BodyText"/>
        <w:rPr>
          <w:b/>
          <w:sz w:val="20"/>
        </w:rPr>
      </w:pPr>
    </w:p>
    <w:p>
      <w:pPr>
        <w:pStyle w:val="BodyText"/>
        <w:rPr>
          <w:b/>
          <w:sz w:val="20"/>
        </w:rPr>
      </w:pPr>
    </w:p>
    <w:p>
      <w:pPr>
        <w:pStyle w:val="BodyText"/>
        <w:spacing w:before="3"/>
        <w:rPr>
          <w:b/>
          <w:sz w:val="12"/>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5"/>
              <w:rPr>
                <w:b/>
                <w:sz w:val="19"/>
              </w:rPr>
            </w:pPr>
          </w:p>
          <w:p>
            <w:pPr>
              <w:pStyle w:val="TableParagraph"/>
              <w:spacing w:before="1"/>
              <w:ind w:left="604" w:right="375" w:hanging="208"/>
              <w:rPr>
                <w:b/>
                <w:sz w:val="20"/>
              </w:rPr>
            </w:pPr>
            <w:r>
              <w:rPr>
                <w:b/>
                <w:sz w:val="20"/>
              </w:rPr>
              <w:t>COMPUESTO QUÍMICO</w:t>
            </w:r>
          </w:p>
        </w:tc>
        <w:tc>
          <w:tcPr>
            <w:tcW w:w="1305" w:type="dxa"/>
          </w:tcPr>
          <w:p>
            <w:pPr>
              <w:pStyle w:val="TableParagraph"/>
              <w:rPr>
                <w:b/>
                <w:sz w:val="20"/>
              </w:rPr>
            </w:pPr>
          </w:p>
          <w:p>
            <w:pPr>
              <w:pStyle w:val="TableParagraph"/>
              <w:rPr>
                <w:b/>
                <w:sz w:val="21"/>
              </w:rPr>
            </w:pPr>
          </w:p>
          <w:p>
            <w:pPr>
              <w:pStyle w:val="TableParagraph"/>
              <w:spacing w:before="1"/>
              <w:ind w:left="45" w:right="45"/>
              <w:jc w:val="center"/>
              <w:rPr>
                <w:b/>
                <w:sz w:val="20"/>
              </w:rPr>
            </w:pPr>
            <w:r>
              <w:rPr>
                <w:b/>
                <w:sz w:val="20"/>
              </w:rPr>
              <w:t>FORMULA</w:t>
            </w:r>
          </w:p>
        </w:tc>
        <w:tc>
          <w:tcPr>
            <w:tcW w:w="1384" w:type="dxa"/>
          </w:tcPr>
          <w:p>
            <w:pPr>
              <w:pStyle w:val="TableParagraph"/>
              <w:rPr>
                <w:b/>
                <w:sz w:val="20"/>
              </w:rPr>
            </w:pPr>
          </w:p>
          <w:p>
            <w:pPr>
              <w:pStyle w:val="TableParagraph"/>
              <w:rPr>
                <w:b/>
                <w:sz w:val="21"/>
              </w:rPr>
            </w:pPr>
          </w:p>
          <w:p>
            <w:pPr>
              <w:pStyle w:val="TableParagraph"/>
              <w:spacing w:before="1"/>
              <w:ind w:left="91"/>
              <w:rPr>
                <w:b/>
                <w:sz w:val="20"/>
              </w:rPr>
            </w:pPr>
            <w:r>
              <w:rPr>
                <w:b/>
                <w:sz w:val="20"/>
              </w:rPr>
              <w:t>PROPIEDAD</w:t>
            </w:r>
          </w:p>
        </w:tc>
        <w:tc>
          <w:tcPr>
            <w:tcW w:w="1297" w:type="dxa"/>
          </w:tcPr>
          <w:p>
            <w:pPr>
              <w:pStyle w:val="TableParagraph"/>
              <w:spacing w:before="5"/>
              <w:rPr>
                <w:b/>
                <w:sz w:val="19"/>
              </w:rPr>
            </w:pPr>
          </w:p>
          <w:p>
            <w:pPr>
              <w:pStyle w:val="TableParagraph"/>
              <w:spacing w:before="1"/>
              <w:ind w:left="240" w:right="207" w:hanging="12"/>
              <w:rPr>
                <w:b/>
                <w:sz w:val="20"/>
              </w:rPr>
            </w:pPr>
            <w:r>
              <w:rPr>
                <w:b/>
                <w:sz w:val="20"/>
              </w:rPr>
              <w:t>COLOR / EFECTO</w:t>
            </w:r>
          </w:p>
        </w:tc>
        <w:tc>
          <w:tcPr>
            <w:tcW w:w="2909" w:type="dxa"/>
          </w:tcPr>
          <w:p>
            <w:pPr>
              <w:pStyle w:val="TableParagraph"/>
              <w:rPr>
                <w:b/>
                <w:sz w:val="20"/>
              </w:rPr>
            </w:pPr>
          </w:p>
          <w:p>
            <w:pPr>
              <w:pStyle w:val="TableParagraph"/>
              <w:spacing w:before="3"/>
              <w:rPr>
                <w:b/>
                <w:sz w:val="19"/>
              </w:rPr>
            </w:pPr>
          </w:p>
          <w:p>
            <w:pPr>
              <w:pStyle w:val="TableParagraph"/>
              <w:spacing w:before="1"/>
              <w:ind w:left="671" w:right="193"/>
              <w:rPr>
                <w:b/>
                <w:sz w:val="20"/>
              </w:rPr>
            </w:pPr>
            <w:r>
              <w:rPr>
                <w:b/>
                <w:sz w:val="20"/>
              </w:rPr>
              <w:t>FORMA DE USO</w:t>
            </w:r>
          </w:p>
        </w:tc>
      </w:tr>
      <w:tr>
        <w:trPr>
          <w:trHeight w:val="1389" w:hRule="exact"/>
        </w:trPr>
        <w:tc>
          <w:tcPr>
            <w:tcW w:w="2088" w:type="dxa"/>
          </w:tcPr>
          <w:p>
            <w:pPr>
              <w:pStyle w:val="TableParagraph"/>
              <w:spacing w:line="222" w:lineRule="exact"/>
              <w:ind w:left="42" w:right="47"/>
              <w:jc w:val="center"/>
              <w:rPr>
                <w:b/>
                <w:sz w:val="20"/>
              </w:rPr>
            </w:pPr>
            <w:r>
              <w:rPr>
                <w:b/>
                <w:sz w:val="20"/>
              </w:rPr>
              <w:t>Aluminio</w:t>
            </w:r>
          </w:p>
        </w:tc>
        <w:tc>
          <w:tcPr>
            <w:tcW w:w="1305" w:type="dxa"/>
          </w:tcPr>
          <w:p>
            <w:pPr>
              <w:pStyle w:val="TableParagraph"/>
              <w:spacing w:line="226" w:lineRule="exact"/>
              <w:ind w:left="45" w:right="45"/>
              <w:jc w:val="center"/>
              <w:rPr>
                <w:sz w:val="20"/>
              </w:rPr>
            </w:pPr>
            <w:r>
              <w:rPr>
                <w:sz w:val="20"/>
              </w:rPr>
              <w:t>Al</w:t>
            </w:r>
          </w:p>
        </w:tc>
        <w:tc>
          <w:tcPr>
            <w:tcW w:w="1384" w:type="dxa"/>
          </w:tcPr>
          <w:p>
            <w:pPr>
              <w:pStyle w:val="TableParagraph"/>
              <w:spacing w:line="226" w:lineRule="exact"/>
              <w:ind w:left="103"/>
              <w:rPr>
                <w:sz w:val="20"/>
              </w:rPr>
            </w:pPr>
            <w:r>
              <w:rPr>
                <w:sz w:val="20"/>
              </w:rPr>
              <w:t>Combustible.</w:t>
            </w:r>
          </w:p>
        </w:tc>
        <w:tc>
          <w:tcPr>
            <w:tcW w:w="1297" w:type="dxa"/>
          </w:tcPr>
          <w:p>
            <w:pPr>
              <w:pStyle w:val="TableParagraph"/>
              <w:spacing w:line="242" w:lineRule="auto"/>
              <w:ind w:left="252" w:right="203" w:hanging="32"/>
              <w:rPr>
                <w:sz w:val="20"/>
              </w:rPr>
            </w:pPr>
            <w:r>
              <w:rPr>
                <w:sz w:val="20"/>
              </w:rPr>
              <w:t>Plateado, destellos</w:t>
            </w:r>
          </w:p>
        </w:tc>
        <w:tc>
          <w:tcPr>
            <w:tcW w:w="2909" w:type="dxa"/>
          </w:tcPr>
          <w:p>
            <w:pPr>
              <w:pStyle w:val="TableParagraph"/>
              <w:ind w:left="163" w:right="165" w:firstLine="3"/>
              <w:jc w:val="center"/>
              <w:rPr>
                <w:sz w:val="20"/>
              </w:rPr>
            </w:pPr>
            <w:r>
              <w:rPr>
                <w:sz w:val="20"/>
              </w:rPr>
              <w:t>Es un combustible usado generalmente en polvo del metal para crear destellos y los efectos chispeantes plateado-blancos en fuentes, cascadas, etc.</w:t>
            </w:r>
          </w:p>
        </w:tc>
      </w:tr>
      <w:tr>
        <w:trPr>
          <w:trHeight w:val="932" w:hRule="exact"/>
        </w:trPr>
        <w:tc>
          <w:tcPr>
            <w:tcW w:w="2088" w:type="dxa"/>
          </w:tcPr>
          <w:p>
            <w:pPr>
              <w:pStyle w:val="TableParagraph"/>
              <w:spacing w:line="226" w:lineRule="exact"/>
              <w:ind w:left="47" w:right="44"/>
              <w:jc w:val="center"/>
              <w:rPr>
                <w:b/>
                <w:sz w:val="20"/>
              </w:rPr>
            </w:pPr>
            <w:r>
              <w:rPr>
                <w:b/>
                <w:sz w:val="20"/>
              </w:rPr>
              <w:t>Nitrato de amonio</w:t>
            </w:r>
          </w:p>
        </w:tc>
        <w:tc>
          <w:tcPr>
            <w:tcW w:w="1305" w:type="dxa"/>
          </w:tcPr>
          <w:p>
            <w:pPr>
              <w:pStyle w:val="TableParagraph"/>
              <w:ind w:left="50" w:right="45"/>
              <w:jc w:val="center"/>
              <w:rPr>
                <w:sz w:val="13"/>
              </w:rPr>
            </w:pPr>
            <w:r>
              <w:rPr>
                <w:sz w:val="20"/>
              </w:rPr>
              <w:t>NH</w:t>
            </w:r>
            <w:r>
              <w:rPr>
                <w:position w:val="-2"/>
                <w:sz w:val="13"/>
              </w:rPr>
              <w:t>4</w:t>
            </w:r>
            <w:r>
              <w:rPr>
                <w:sz w:val="20"/>
              </w:rPr>
              <w:t>NO</w:t>
            </w:r>
            <w:r>
              <w:rPr>
                <w:position w:val="-2"/>
                <w:sz w:val="13"/>
              </w:rPr>
              <w:t>3</w:t>
            </w:r>
          </w:p>
        </w:tc>
        <w:tc>
          <w:tcPr>
            <w:tcW w:w="1384" w:type="dxa"/>
          </w:tcPr>
          <w:p>
            <w:pPr>
              <w:pStyle w:val="TableParagraph"/>
              <w:ind w:left="143"/>
              <w:rPr>
                <w:sz w:val="20"/>
              </w:rPr>
            </w:pPr>
            <w:r>
              <w:rPr>
                <w:sz w:val="20"/>
              </w:rPr>
              <w:t>Oxigenador.</w:t>
            </w:r>
          </w:p>
        </w:tc>
        <w:tc>
          <w:tcPr>
            <w:tcW w:w="1297" w:type="dxa"/>
          </w:tcPr>
          <w:p>
            <w:pPr/>
          </w:p>
        </w:tc>
        <w:tc>
          <w:tcPr>
            <w:tcW w:w="2909" w:type="dxa"/>
          </w:tcPr>
          <w:p>
            <w:pPr>
              <w:pStyle w:val="TableParagraph"/>
              <w:ind w:left="74" w:right="74"/>
              <w:jc w:val="center"/>
              <w:rPr>
                <w:sz w:val="20"/>
              </w:rPr>
            </w:pPr>
            <w:r>
              <w:rPr>
                <w:sz w:val="20"/>
              </w:rPr>
              <w:t>No es de uso general debido a los problemas con higroscopicidad y sensibilidad con otros productos químicos.</w:t>
            </w:r>
          </w:p>
        </w:tc>
      </w:tr>
      <w:tr>
        <w:trPr>
          <w:trHeight w:val="2309" w:hRule="exact"/>
        </w:trPr>
        <w:tc>
          <w:tcPr>
            <w:tcW w:w="2088" w:type="dxa"/>
          </w:tcPr>
          <w:p>
            <w:pPr>
              <w:pStyle w:val="TableParagraph"/>
              <w:spacing w:line="242" w:lineRule="auto"/>
              <w:ind w:left="684" w:right="383" w:hanging="285"/>
              <w:rPr>
                <w:b/>
                <w:sz w:val="20"/>
              </w:rPr>
            </w:pPr>
            <w:r>
              <w:rPr>
                <w:b/>
                <w:sz w:val="20"/>
              </w:rPr>
              <w:t>Perclorato de amonio</w:t>
            </w:r>
          </w:p>
        </w:tc>
        <w:tc>
          <w:tcPr>
            <w:tcW w:w="1305" w:type="dxa"/>
          </w:tcPr>
          <w:p>
            <w:pPr>
              <w:pStyle w:val="TableParagraph"/>
              <w:spacing w:line="242" w:lineRule="exact"/>
              <w:ind w:left="50" w:right="45"/>
              <w:jc w:val="center"/>
              <w:rPr>
                <w:sz w:val="13"/>
              </w:rPr>
            </w:pPr>
            <w:r>
              <w:rPr>
                <w:sz w:val="20"/>
              </w:rPr>
              <w:t>NH</w:t>
            </w:r>
            <w:r>
              <w:rPr>
                <w:position w:val="-2"/>
                <w:sz w:val="13"/>
              </w:rPr>
              <w:t>4</w:t>
            </w:r>
            <w:r>
              <w:rPr>
                <w:sz w:val="20"/>
              </w:rPr>
              <w:t>NO</w:t>
            </w:r>
            <w:r>
              <w:rPr>
                <w:position w:val="-2"/>
                <w:sz w:val="13"/>
              </w:rPr>
              <w:t>4</w:t>
            </w:r>
          </w:p>
        </w:tc>
        <w:tc>
          <w:tcPr>
            <w:tcW w:w="1384" w:type="dxa"/>
          </w:tcPr>
          <w:p>
            <w:pPr>
              <w:pStyle w:val="TableParagraph"/>
              <w:spacing w:line="227" w:lineRule="exact"/>
              <w:ind w:left="143"/>
              <w:rPr>
                <w:sz w:val="20"/>
              </w:rPr>
            </w:pPr>
            <w:r>
              <w:rPr>
                <w:sz w:val="20"/>
              </w:rPr>
              <w:t>Oxigenador.</w:t>
            </w:r>
          </w:p>
        </w:tc>
        <w:tc>
          <w:tcPr>
            <w:tcW w:w="1297" w:type="dxa"/>
          </w:tcPr>
          <w:p>
            <w:pPr/>
          </w:p>
        </w:tc>
        <w:tc>
          <w:tcPr>
            <w:tcW w:w="2909" w:type="dxa"/>
          </w:tcPr>
          <w:p>
            <w:pPr>
              <w:pStyle w:val="TableParagraph"/>
              <w:ind w:left="163" w:right="166" w:firstLine="6"/>
              <w:jc w:val="center"/>
              <w:rPr>
                <w:sz w:val="20"/>
              </w:rPr>
            </w:pPr>
            <w:r>
              <w:rPr>
                <w:sz w:val="20"/>
              </w:rPr>
              <w:t>Un oxidante primario en muchas composiciones de la estrella y otros efectos.</w:t>
            </w:r>
          </w:p>
          <w:p>
            <w:pPr>
              <w:pStyle w:val="TableParagraph"/>
              <w:spacing w:before="2"/>
              <w:ind w:left="76" w:right="75" w:hanging="1"/>
              <w:jc w:val="center"/>
              <w:rPr>
                <w:sz w:val="20"/>
              </w:rPr>
            </w:pPr>
            <w:r>
              <w:rPr>
                <w:sz w:val="20"/>
              </w:rPr>
              <w:t>Produce azules intensos y rojos cuando está utilizado con las sales de cobre y las sales del estroncio, no obstante el mezclarse con cloratos puede crear una composición inestable.</w:t>
            </w:r>
          </w:p>
        </w:tc>
      </w:tr>
      <w:tr>
        <w:trPr>
          <w:trHeight w:val="700" w:hRule="exact"/>
        </w:trPr>
        <w:tc>
          <w:tcPr>
            <w:tcW w:w="2088" w:type="dxa"/>
          </w:tcPr>
          <w:p>
            <w:pPr>
              <w:pStyle w:val="TableParagraph"/>
              <w:spacing w:line="226" w:lineRule="exact"/>
              <w:ind w:left="47" w:right="47"/>
              <w:jc w:val="center"/>
              <w:rPr>
                <w:b/>
                <w:sz w:val="20"/>
              </w:rPr>
            </w:pPr>
            <w:r>
              <w:rPr>
                <w:b/>
                <w:sz w:val="20"/>
              </w:rPr>
              <w:t>Antraceno</w:t>
            </w:r>
          </w:p>
        </w:tc>
        <w:tc>
          <w:tcPr>
            <w:tcW w:w="1305" w:type="dxa"/>
          </w:tcPr>
          <w:p>
            <w:pPr>
              <w:pStyle w:val="TableParagraph"/>
              <w:spacing w:before="2"/>
              <w:ind w:left="45" w:right="45"/>
              <w:jc w:val="center"/>
              <w:rPr>
                <w:sz w:val="13"/>
              </w:rPr>
            </w:pPr>
            <w:r>
              <w:rPr>
                <w:position w:val="3"/>
                <w:sz w:val="20"/>
              </w:rPr>
              <w:t>C</w:t>
            </w:r>
            <w:r>
              <w:rPr>
                <w:sz w:val="13"/>
              </w:rPr>
              <w:t>14</w:t>
            </w:r>
            <w:r>
              <w:rPr>
                <w:position w:val="3"/>
                <w:sz w:val="20"/>
              </w:rPr>
              <w:t>H</w:t>
            </w:r>
            <w:r>
              <w:rPr>
                <w:sz w:val="13"/>
              </w:rPr>
              <w:t>10</w:t>
            </w:r>
          </w:p>
        </w:tc>
        <w:tc>
          <w:tcPr>
            <w:tcW w:w="1384" w:type="dxa"/>
          </w:tcPr>
          <w:p>
            <w:pPr/>
          </w:p>
        </w:tc>
        <w:tc>
          <w:tcPr>
            <w:tcW w:w="1297" w:type="dxa"/>
          </w:tcPr>
          <w:p>
            <w:pPr>
              <w:pStyle w:val="TableParagraph"/>
              <w:ind w:left="368" w:right="51" w:hanging="296"/>
              <w:rPr>
                <w:sz w:val="20"/>
              </w:rPr>
            </w:pPr>
            <w:r>
              <w:rPr>
                <w:sz w:val="20"/>
              </w:rPr>
              <w:t>Productor de humo.</w:t>
            </w:r>
          </w:p>
        </w:tc>
        <w:tc>
          <w:tcPr>
            <w:tcW w:w="2909" w:type="dxa"/>
          </w:tcPr>
          <w:p>
            <w:pPr>
              <w:pStyle w:val="TableParagraph"/>
              <w:ind w:left="76" w:right="74"/>
              <w:jc w:val="center"/>
              <w:rPr>
                <w:sz w:val="20"/>
              </w:rPr>
            </w:pPr>
            <w:r>
              <w:rPr>
                <w:sz w:val="20"/>
              </w:rPr>
              <w:t>Es usado en combinación con perclorato de potasio para producir humo negro.</w:t>
            </w:r>
          </w:p>
        </w:tc>
      </w:tr>
      <w:tr>
        <w:trPr>
          <w:trHeight w:val="473" w:hRule="exact"/>
        </w:trPr>
        <w:tc>
          <w:tcPr>
            <w:tcW w:w="2088" w:type="dxa"/>
          </w:tcPr>
          <w:p>
            <w:pPr>
              <w:pStyle w:val="TableParagraph"/>
              <w:spacing w:line="227" w:lineRule="exact"/>
              <w:ind w:left="47" w:right="47"/>
              <w:jc w:val="center"/>
              <w:rPr>
                <w:b/>
                <w:sz w:val="20"/>
              </w:rPr>
            </w:pPr>
            <w:r>
              <w:rPr>
                <w:b/>
                <w:sz w:val="20"/>
              </w:rPr>
              <w:t>Antimonio</w:t>
            </w:r>
          </w:p>
        </w:tc>
        <w:tc>
          <w:tcPr>
            <w:tcW w:w="1305" w:type="dxa"/>
          </w:tcPr>
          <w:p>
            <w:pPr>
              <w:pStyle w:val="TableParagraph"/>
              <w:spacing w:before="1"/>
              <w:ind w:left="47" w:right="45"/>
              <w:jc w:val="center"/>
              <w:rPr>
                <w:sz w:val="20"/>
              </w:rPr>
            </w:pPr>
            <w:r>
              <w:rPr>
                <w:sz w:val="20"/>
              </w:rPr>
              <w:t>Sb</w:t>
            </w:r>
          </w:p>
        </w:tc>
        <w:tc>
          <w:tcPr>
            <w:tcW w:w="1384" w:type="dxa"/>
          </w:tcPr>
          <w:p>
            <w:pPr>
              <w:pStyle w:val="TableParagraph"/>
              <w:spacing w:before="1"/>
              <w:ind w:left="103"/>
              <w:rPr>
                <w:sz w:val="20"/>
              </w:rPr>
            </w:pPr>
            <w:r>
              <w:rPr>
                <w:sz w:val="20"/>
              </w:rPr>
              <w:t>Combustible.</w:t>
            </w:r>
          </w:p>
        </w:tc>
        <w:tc>
          <w:tcPr>
            <w:tcW w:w="1297" w:type="dxa"/>
          </w:tcPr>
          <w:p>
            <w:pPr>
              <w:pStyle w:val="TableParagraph"/>
              <w:spacing w:before="1"/>
              <w:ind w:left="96" w:right="71" w:firstLine="212"/>
              <w:rPr>
                <w:sz w:val="20"/>
              </w:rPr>
            </w:pPr>
            <w:r>
              <w:rPr>
                <w:sz w:val="20"/>
              </w:rPr>
              <w:t>Blanco, abrillantador</w:t>
            </w:r>
          </w:p>
        </w:tc>
        <w:tc>
          <w:tcPr>
            <w:tcW w:w="2909" w:type="dxa"/>
          </w:tcPr>
          <w:p>
            <w:pPr>
              <w:pStyle w:val="TableParagraph"/>
              <w:spacing w:before="1"/>
              <w:ind w:left="408" w:right="193" w:hanging="200"/>
              <w:rPr>
                <w:sz w:val="20"/>
              </w:rPr>
            </w:pPr>
            <w:r>
              <w:rPr>
                <w:sz w:val="20"/>
              </w:rPr>
              <w:t>Usado frecuentemente para formar efectos de brillo.</w:t>
            </w:r>
          </w:p>
        </w:tc>
      </w:tr>
      <w:tr>
        <w:trPr>
          <w:trHeight w:val="1388" w:hRule="exact"/>
        </w:trPr>
        <w:tc>
          <w:tcPr>
            <w:tcW w:w="2088" w:type="dxa"/>
          </w:tcPr>
          <w:p>
            <w:pPr>
              <w:pStyle w:val="TableParagraph"/>
              <w:spacing w:line="242" w:lineRule="auto"/>
              <w:ind w:left="563" w:right="411" w:hanging="136"/>
              <w:rPr>
                <w:b/>
                <w:sz w:val="20"/>
              </w:rPr>
            </w:pPr>
            <w:r>
              <w:rPr>
                <w:b/>
                <w:sz w:val="20"/>
              </w:rPr>
              <w:t>Trisulfuro de antimonio</w:t>
            </w:r>
          </w:p>
        </w:tc>
        <w:tc>
          <w:tcPr>
            <w:tcW w:w="1305" w:type="dxa"/>
          </w:tcPr>
          <w:p>
            <w:pPr>
              <w:pStyle w:val="TableParagraph"/>
              <w:spacing w:line="241" w:lineRule="exact"/>
              <w:ind w:left="46" w:right="45"/>
              <w:jc w:val="center"/>
              <w:rPr>
                <w:sz w:val="13"/>
              </w:rPr>
            </w:pPr>
            <w:r>
              <w:rPr>
                <w:sz w:val="20"/>
              </w:rPr>
              <w:t>Sb</w:t>
            </w:r>
            <w:r>
              <w:rPr>
                <w:position w:val="-2"/>
                <w:sz w:val="13"/>
              </w:rPr>
              <w:t>2</w:t>
            </w:r>
            <w:r>
              <w:rPr>
                <w:sz w:val="20"/>
              </w:rPr>
              <w:t>S</w:t>
            </w:r>
            <w:r>
              <w:rPr>
                <w:position w:val="-2"/>
                <w:sz w:val="13"/>
              </w:rPr>
              <w:t>3</w:t>
            </w:r>
          </w:p>
        </w:tc>
        <w:tc>
          <w:tcPr>
            <w:tcW w:w="1384" w:type="dxa"/>
          </w:tcPr>
          <w:p>
            <w:pPr>
              <w:pStyle w:val="TableParagraph"/>
              <w:spacing w:line="226" w:lineRule="exact"/>
              <w:ind w:left="103"/>
              <w:rPr>
                <w:sz w:val="20"/>
              </w:rPr>
            </w:pPr>
            <w:r>
              <w:rPr>
                <w:sz w:val="20"/>
              </w:rPr>
              <w:t>Combustible.</w:t>
            </w:r>
          </w:p>
        </w:tc>
        <w:tc>
          <w:tcPr>
            <w:tcW w:w="1297" w:type="dxa"/>
          </w:tcPr>
          <w:p>
            <w:pPr>
              <w:pStyle w:val="TableParagraph"/>
              <w:spacing w:line="226" w:lineRule="exact"/>
              <w:ind w:left="51" w:right="44"/>
              <w:jc w:val="center"/>
              <w:rPr>
                <w:sz w:val="20"/>
              </w:rPr>
            </w:pPr>
            <w:r>
              <w:rPr>
                <w:sz w:val="20"/>
              </w:rPr>
              <w:t>Brillo</w:t>
            </w:r>
          </w:p>
        </w:tc>
        <w:tc>
          <w:tcPr>
            <w:tcW w:w="2909" w:type="dxa"/>
          </w:tcPr>
          <w:p>
            <w:pPr>
              <w:pStyle w:val="TableParagraph"/>
              <w:ind w:left="296" w:right="294" w:hanging="4"/>
              <w:jc w:val="center"/>
              <w:rPr>
                <w:sz w:val="20"/>
              </w:rPr>
            </w:pPr>
            <w:r>
              <w:rPr>
                <w:sz w:val="20"/>
              </w:rPr>
              <w:t>Utilizado por algunos que creen que agregará un pequeño aumento de los destellos del polvo. Su utilización es un</w:t>
            </w:r>
            <w:r>
              <w:rPr>
                <w:spacing w:val="-11"/>
                <w:sz w:val="20"/>
              </w:rPr>
              <w:t> </w:t>
            </w:r>
            <w:r>
              <w:rPr>
                <w:sz w:val="20"/>
              </w:rPr>
              <w:t>problema debido a la</w:t>
            </w:r>
            <w:r>
              <w:rPr>
                <w:spacing w:val="-4"/>
                <w:sz w:val="20"/>
              </w:rPr>
              <w:t> </w:t>
            </w:r>
            <w:r>
              <w:rPr>
                <w:sz w:val="20"/>
              </w:rPr>
              <w:t>toxicidad.</w:t>
            </w:r>
          </w:p>
        </w:tc>
      </w:tr>
      <w:tr>
        <w:trPr>
          <w:trHeight w:val="1160" w:hRule="exact"/>
        </w:trPr>
        <w:tc>
          <w:tcPr>
            <w:tcW w:w="2088" w:type="dxa"/>
          </w:tcPr>
          <w:p>
            <w:pPr>
              <w:pStyle w:val="TableParagraph"/>
              <w:spacing w:line="226" w:lineRule="exact"/>
              <w:ind w:left="47" w:right="47"/>
              <w:jc w:val="center"/>
              <w:rPr>
                <w:b/>
                <w:sz w:val="20"/>
              </w:rPr>
            </w:pPr>
            <w:r>
              <w:rPr>
                <w:b/>
                <w:sz w:val="20"/>
              </w:rPr>
              <w:t>Carbonato de bario</w:t>
            </w:r>
          </w:p>
        </w:tc>
        <w:tc>
          <w:tcPr>
            <w:tcW w:w="1305" w:type="dxa"/>
          </w:tcPr>
          <w:p>
            <w:pPr>
              <w:pStyle w:val="TableParagraph"/>
              <w:ind w:left="46" w:right="45"/>
              <w:jc w:val="center"/>
              <w:rPr>
                <w:sz w:val="13"/>
              </w:rPr>
            </w:pPr>
            <w:r>
              <w:rPr>
                <w:sz w:val="20"/>
              </w:rPr>
              <w:t>BaCO</w:t>
            </w:r>
            <w:r>
              <w:rPr>
                <w:position w:val="-2"/>
                <w:sz w:val="13"/>
              </w:rPr>
              <w:t>3</w:t>
            </w:r>
          </w:p>
        </w:tc>
        <w:tc>
          <w:tcPr>
            <w:tcW w:w="1384" w:type="dxa"/>
          </w:tcPr>
          <w:p>
            <w:pPr>
              <w:pStyle w:val="TableParagraph"/>
              <w:ind w:left="79" w:right="65" w:firstLine="92"/>
              <w:rPr>
                <w:sz w:val="20"/>
              </w:rPr>
            </w:pPr>
            <w:r>
              <w:rPr>
                <w:sz w:val="20"/>
              </w:rPr>
              <w:t>Colorante y neutralizador.</w:t>
            </w:r>
          </w:p>
        </w:tc>
        <w:tc>
          <w:tcPr>
            <w:tcW w:w="1297" w:type="dxa"/>
          </w:tcPr>
          <w:p>
            <w:pPr>
              <w:pStyle w:val="TableParagraph"/>
              <w:ind w:left="51" w:right="45"/>
              <w:jc w:val="center"/>
              <w:rPr>
                <w:sz w:val="20"/>
              </w:rPr>
            </w:pPr>
            <w:r>
              <w:rPr>
                <w:sz w:val="20"/>
              </w:rPr>
              <w:t>Verde</w:t>
            </w:r>
          </w:p>
        </w:tc>
        <w:tc>
          <w:tcPr>
            <w:tcW w:w="2909" w:type="dxa"/>
          </w:tcPr>
          <w:p>
            <w:pPr>
              <w:pStyle w:val="TableParagraph"/>
              <w:ind w:left="180" w:right="178" w:hanging="5"/>
              <w:jc w:val="center"/>
              <w:rPr>
                <w:sz w:val="20"/>
              </w:rPr>
            </w:pPr>
            <w:r>
              <w:rPr>
                <w:sz w:val="20"/>
              </w:rPr>
              <w:t>Proporciona un color verde intenso, pero también puede ayudar a reducir acidez en algunas composiciones.</w:t>
            </w:r>
          </w:p>
        </w:tc>
      </w:tr>
      <w:tr>
        <w:trPr>
          <w:trHeight w:val="1848" w:hRule="exact"/>
        </w:trPr>
        <w:tc>
          <w:tcPr>
            <w:tcW w:w="2088" w:type="dxa"/>
          </w:tcPr>
          <w:p>
            <w:pPr>
              <w:pStyle w:val="TableParagraph"/>
              <w:spacing w:line="226" w:lineRule="exact"/>
              <w:ind w:left="47" w:right="44"/>
              <w:jc w:val="center"/>
              <w:rPr>
                <w:b/>
                <w:sz w:val="20"/>
              </w:rPr>
            </w:pPr>
            <w:r>
              <w:rPr>
                <w:b/>
                <w:sz w:val="20"/>
              </w:rPr>
              <w:t>Clorato de bario</w:t>
            </w:r>
          </w:p>
        </w:tc>
        <w:tc>
          <w:tcPr>
            <w:tcW w:w="1305" w:type="dxa"/>
          </w:tcPr>
          <w:p>
            <w:pPr>
              <w:pStyle w:val="TableParagraph"/>
              <w:spacing w:line="237" w:lineRule="exact"/>
              <w:ind w:left="50" w:right="41"/>
              <w:jc w:val="center"/>
              <w:rPr>
                <w:sz w:val="13"/>
              </w:rPr>
            </w:pPr>
            <w:r>
              <w:rPr>
                <w:sz w:val="20"/>
              </w:rPr>
              <w:t>Ba(ClO</w:t>
            </w:r>
            <w:r>
              <w:rPr>
                <w:position w:val="-2"/>
                <w:sz w:val="13"/>
              </w:rPr>
              <w:t>3</w:t>
            </w:r>
            <w:r>
              <w:rPr>
                <w:sz w:val="20"/>
              </w:rPr>
              <w:t>)</w:t>
            </w:r>
            <w:r>
              <w:rPr>
                <w:position w:val="-2"/>
                <w:sz w:val="13"/>
              </w:rPr>
              <w:t>2</w:t>
            </w:r>
          </w:p>
          <w:p>
            <w:pPr>
              <w:pStyle w:val="TableParagraph"/>
              <w:spacing w:line="237" w:lineRule="exact"/>
              <w:ind w:left="45" w:right="45"/>
              <w:jc w:val="center"/>
              <w:rPr>
                <w:sz w:val="20"/>
              </w:rPr>
            </w:pPr>
            <w:r>
              <w:rPr>
                <w:sz w:val="20"/>
              </w:rPr>
              <w:t>·H</w:t>
            </w:r>
            <w:r>
              <w:rPr>
                <w:position w:val="-2"/>
                <w:sz w:val="13"/>
              </w:rPr>
              <w:t>2</w:t>
            </w:r>
            <w:r>
              <w:rPr>
                <w:sz w:val="20"/>
              </w:rPr>
              <w:t>O</w:t>
            </w:r>
          </w:p>
        </w:tc>
        <w:tc>
          <w:tcPr>
            <w:tcW w:w="1384" w:type="dxa"/>
          </w:tcPr>
          <w:p>
            <w:pPr>
              <w:pStyle w:val="TableParagraph"/>
              <w:ind w:left="163" w:right="148" w:firstLine="8"/>
              <w:rPr>
                <w:sz w:val="20"/>
              </w:rPr>
            </w:pPr>
            <w:r>
              <w:rPr>
                <w:sz w:val="20"/>
              </w:rPr>
              <w:t>Colorante y oxigenador.</w:t>
            </w:r>
          </w:p>
        </w:tc>
        <w:tc>
          <w:tcPr>
            <w:tcW w:w="1297" w:type="dxa"/>
          </w:tcPr>
          <w:p>
            <w:pPr>
              <w:pStyle w:val="TableParagraph"/>
              <w:ind w:left="260" w:right="241" w:firstLine="88"/>
              <w:rPr>
                <w:sz w:val="20"/>
              </w:rPr>
            </w:pPr>
            <w:r>
              <w:rPr>
                <w:sz w:val="20"/>
              </w:rPr>
              <w:t>Verde, plateado</w:t>
            </w:r>
          </w:p>
        </w:tc>
        <w:tc>
          <w:tcPr>
            <w:tcW w:w="2909" w:type="dxa"/>
          </w:tcPr>
          <w:p>
            <w:pPr>
              <w:pStyle w:val="TableParagraph"/>
              <w:ind w:left="199" w:right="197" w:hanging="7"/>
              <w:jc w:val="center"/>
              <w:rPr>
                <w:sz w:val="20"/>
              </w:rPr>
            </w:pPr>
            <w:r>
              <w:rPr>
                <w:sz w:val="20"/>
              </w:rPr>
              <w:t>Fue utilizado una vez para crear verdes, pero debe ser utilizado solamente como compuestos que reducirán sensibilidad al choque y a la fricción.</w:t>
            </w:r>
          </w:p>
        </w:tc>
      </w:tr>
    </w:tbl>
    <w:p>
      <w:pPr>
        <w:spacing w:after="0"/>
        <w:jc w:val="center"/>
        <w:rPr>
          <w:sz w:val="20"/>
        </w:rPr>
        <w:sectPr>
          <w:pgSz w:w="12240" w:h="15840"/>
          <w:pgMar w:header="0" w:footer="1011" w:top="1360" w:bottom="1260" w:left="1520" w:right="15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2"/>
              <w:rPr>
                <w:b/>
                <w:sz w:val="19"/>
              </w:rPr>
            </w:pPr>
          </w:p>
          <w:p>
            <w:pPr>
              <w:pStyle w:val="TableParagraph"/>
              <w:ind w:left="604" w:right="375" w:hanging="208"/>
              <w:rPr>
                <w:b/>
                <w:sz w:val="20"/>
              </w:rPr>
            </w:pPr>
            <w:r>
              <w:rPr>
                <w:b/>
                <w:sz w:val="20"/>
              </w:rPr>
              <w:t>COMPUESTO QUÍMICO</w:t>
            </w:r>
          </w:p>
        </w:tc>
        <w:tc>
          <w:tcPr>
            <w:tcW w:w="1305" w:type="dxa"/>
          </w:tcPr>
          <w:p>
            <w:pPr>
              <w:pStyle w:val="TableParagraph"/>
              <w:rPr>
                <w:b/>
                <w:sz w:val="20"/>
              </w:rPr>
            </w:pPr>
          </w:p>
          <w:p>
            <w:pPr>
              <w:pStyle w:val="TableParagraph"/>
              <w:spacing w:before="1"/>
              <w:rPr>
                <w:b/>
                <w:sz w:val="21"/>
              </w:rPr>
            </w:pPr>
          </w:p>
          <w:p>
            <w:pPr>
              <w:pStyle w:val="TableParagraph"/>
              <w:ind w:left="45" w:right="45"/>
              <w:jc w:val="center"/>
              <w:rPr>
                <w:b/>
                <w:sz w:val="20"/>
              </w:rPr>
            </w:pPr>
            <w:r>
              <w:rPr>
                <w:b/>
                <w:sz w:val="20"/>
              </w:rPr>
              <w:t>FORMULA</w:t>
            </w:r>
          </w:p>
        </w:tc>
        <w:tc>
          <w:tcPr>
            <w:tcW w:w="1384" w:type="dxa"/>
          </w:tcPr>
          <w:p>
            <w:pPr>
              <w:pStyle w:val="TableParagraph"/>
              <w:rPr>
                <w:b/>
                <w:sz w:val="20"/>
              </w:rPr>
            </w:pPr>
          </w:p>
          <w:p>
            <w:pPr>
              <w:pStyle w:val="TableParagraph"/>
              <w:spacing w:before="1"/>
              <w:rPr>
                <w:b/>
                <w:sz w:val="21"/>
              </w:rPr>
            </w:pPr>
          </w:p>
          <w:p>
            <w:pPr>
              <w:pStyle w:val="TableParagraph"/>
              <w:ind w:left="39" w:right="45"/>
              <w:jc w:val="center"/>
              <w:rPr>
                <w:b/>
                <w:sz w:val="20"/>
              </w:rPr>
            </w:pPr>
            <w:r>
              <w:rPr>
                <w:b/>
                <w:sz w:val="20"/>
              </w:rPr>
              <w:t>PROPIEDAD</w:t>
            </w:r>
          </w:p>
        </w:tc>
        <w:tc>
          <w:tcPr>
            <w:tcW w:w="1297" w:type="dxa"/>
          </w:tcPr>
          <w:p>
            <w:pPr>
              <w:pStyle w:val="TableParagraph"/>
              <w:spacing w:before="2"/>
              <w:rPr>
                <w:b/>
                <w:sz w:val="19"/>
              </w:rPr>
            </w:pPr>
          </w:p>
          <w:p>
            <w:pPr>
              <w:pStyle w:val="TableParagraph"/>
              <w:ind w:left="240" w:right="207" w:hanging="12"/>
              <w:rPr>
                <w:b/>
                <w:sz w:val="20"/>
              </w:rPr>
            </w:pPr>
            <w:r>
              <w:rPr>
                <w:b/>
                <w:sz w:val="20"/>
              </w:rPr>
              <w:t>COLOR / EFECTO</w:t>
            </w:r>
          </w:p>
        </w:tc>
        <w:tc>
          <w:tcPr>
            <w:tcW w:w="2909" w:type="dxa"/>
          </w:tcPr>
          <w:p>
            <w:pPr>
              <w:pStyle w:val="TableParagraph"/>
              <w:rPr>
                <w:b/>
                <w:sz w:val="20"/>
              </w:rPr>
            </w:pPr>
          </w:p>
          <w:p>
            <w:pPr>
              <w:pStyle w:val="TableParagraph"/>
              <w:spacing w:before="4"/>
              <w:rPr>
                <w:b/>
                <w:sz w:val="19"/>
              </w:rPr>
            </w:pPr>
          </w:p>
          <w:p>
            <w:pPr>
              <w:pStyle w:val="TableParagraph"/>
              <w:ind w:left="671" w:right="193"/>
              <w:rPr>
                <w:b/>
                <w:sz w:val="20"/>
              </w:rPr>
            </w:pPr>
            <w:r>
              <w:rPr>
                <w:b/>
                <w:sz w:val="20"/>
              </w:rPr>
              <w:t>FORMA DE USO</w:t>
            </w:r>
          </w:p>
        </w:tc>
      </w:tr>
      <w:tr>
        <w:trPr>
          <w:trHeight w:val="1621" w:hRule="exact"/>
        </w:trPr>
        <w:tc>
          <w:tcPr>
            <w:tcW w:w="2088" w:type="dxa"/>
          </w:tcPr>
          <w:p>
            <w:pPr>
              <w:pStyle w:val="TableParagraph"/>
              <w:spacing w:line="223" w:lineRule="exact"/>
              <w:ind w:left="47" w:right="43"/>
              <w:jc w:val="center"/>
              <w:rPr>
                <w:b/>
                <w:sz w:val="20"/>
              </w:rPr>
            </w:pPr>
            <w:r>
              <w:rPr>
                <w:b/>
                <w:sz w:val="20"/>
              </w:rPr>
              <w:t>Nitrato de bario</w:t>
            </w:r>
          </w:p>
        </w:tc>
        <w:tc>
          <w:tcPr>
            <w:tcW w:w="1305" w:type="dxa"/>
          </w:tcPr>
          <w:p>
            <w:pPr>
              <w:pStyle w:val="TableParagraph"/>
              <w:spacing w:line="242" w:lineRule="exact"/>
              <w:ind w:left="46" w:right="45"/>
              <w:jc w:val="center"/>
              <w:rPr>
                <w:sz w:val="13"/>
              </w:rPr>
            </w:pPr>
            <w:r>
              <w:rPr>
                <w:sz w:val="20"/>
              </w:rPr>
              <w:t>Ba(NO</w:t>
            </w:r>
            <w:r>
              <w:rPr>
                <w:position w:val="-2"/>
                <w:sz w:val="13"/>
              </w:rPr>
              <w:t>3</w:t>
            </w:r>
            <w:r>
              <w:rPr>
                <w:sz w:val="20"/>
              </w:rPr>
              <w:t>)</w:t>
            </w:r>
            <w:r>
              <w:rPr>
                <w:position w:val="-2"/>
                <w:sz w:val="13"/>
              </w:rPr>
              <w:t>2</w:t>
            </w:r>
          </w:p>
        </w:tc>
        <w:tc>
          <w:tcPr>
            <w:tcW w:w="1384" w:type="dxa"/>
          </w:tcPr>
          <w:p>
            <w:pPr>
              <w:pStyle w:val="TableParagraph"/>
              <w:ind w:left="44" w:right="45"/>
              <w:jc w:val="center"/>
              <w:rPr>
                <w:sz w:val="20"/>
              </w:rPr>
            </w:pPr>
            <w:r>
              <w:rPr>
                <w:sz w:val="20"/>
              </w:rPr>
              <w:t>Colorante, reforzador y oxigenador</w:t>
            </w:r>
          </w:p>
        </w:tc>
        <w:tc>
          <w:tcPr>
            <w:tcW w:w="1297" w:type="dxa"/>
          </w:tcPr>
          <w:p>
            <w:pPr>
              <w:pStyle w:val="TableParagraph"/>
              <w:spacing w:line="228" w:lineRule="exact" w:before="2"/>
              <w:ind w:left="260" w:right="241" w:firstLine="88"/>
              <w:rPr>
                <w:sz w:val="20"/>
              </w:rPr>
            </w:pPr>
            <w:r>
              <w:rPr>
                <w:sz w:val="20"/>
              </w:rPr>
              <w:t>Verde, plateado</w:t>
            </w:r>
          </w:p>
        </w:tc>
        <w:tc>
          <w:tcPr>
            <w:tcW w:w="2909" w:type="dxa"/>
          </w:tcPr>
          <w:p>
            <w:pPr>
              <w:pStyle w:val="TableParagraph"/>
              <w:ind w:left="71" w:right="74"/>
              <w:jc w:val="center"/>
              <w:rPr>
                <w:sz w:val="20"/>
              </w:rPr>
            </w:pPr>
            <w:r>
              <w:rPr>
                <w:sz w:val="20"/>
              </w:rPr>
              <w:t>Por sí mismo tiene un efecto verde pobre como agente colorante. Se utiliza ácido bórico frecuente con las composiciones con Al.</w:t>
            </w:r>
          </w:p>
          <w:p>
            <w:pPr>
              <w:pStyle w:val="TableParagraph"/>
              <w:spacing w:line="242" w:lineRule="auto"/>
              <w:ind w:left="252" w:right="246" w:hanging="3"/>
              <w:jc w:val="center"/>
              <w:rPr>
                <w:sz w:val="20"/>
              </w:rPr>
            </w:pPr>
            <w:r>
              <w:rPr>
                <w:sz w:val="20"/>
              </w:rPr>
              <w:t>Utilizado a veces en composiciones de destello.</w:t>
            </w:r>
          </w:p>
        </w:tc>
      </w:tr>
      <w:tr>
        <w:trPr>
          <w:trHeight w:val="700" w:hRule="exact"/>
        </w:trPr>
        <w:tc>
          <w:tcPr>
            <w:tcW w:w="2088" w:type="dxa"/>
          </w:tcPr>
          <w:p>
            <w:pPr>
              <w:pStyle w:val="TableParagraph"/>
              <w:spacing w:line="223" w:lineRule="exact"/>
              <w:ind w:left="47" w:right="47"/>
              <w:jc w:val="center"/>
              <w:rPr>
                <w:b/>
                <w:sz w:val="20"/>
              </w:rPr>
            </w:pPr>
            <w:r>
              <w:rPr>
                <w:b/>
                <w:sz w:val="20"/>
              </w:rPr>
              <w:t>Oxalato de bario</w:t>
            </w:r>
          </w:p>
        </w:tc>
        <w:tc>
          <w:tcPr>
            <w:tcW w:w="1305" w:type="dxa"/>
          </w:tcPr>
          <w:p>
            <w:pPr>
              <w:pStyle w:val="TableParagraph"/>
              <w:spacing w:line="233" w:lineRule="exact"/>
              <w:ind w:left="46" w:right="45"/>
              <w:jc w:val="center"/>
              <w:rPr>
                <w:sz w:val="13"/>
              </w:rPr>
            </w:pPr>
            <w:r>
              <w:rPr>
                <w:sz w:val="20"/>
              </w:rPr>
              <w:t>BaC</w:t>
            </w:r>
            <w:r>
              <w:rPr>
                <w:position w:val="-2"/>
                <w:sz w:val="13"/>
              </w:rPr>
              <w:t>2</w:t>
            </w:r>
            <w:r>
              <w:rPr>
                <w:sz w:val="20"/>
              </w:rPr>
              <w:t>O</w:t>
            </w:r>
            <w:r>
              <w:rPr>
                <w:position w:val="-2"/>
                <w:sz w:val="13"/>
              </w:rPr>
              <w:t>4</w:t>
            </w:r>
          </w:p>
          <w:p>
            <w:pPr>
              <w:pStyle w:val="TableParagraph"/>
              <w:spacing w:line="237" w:lineRule="exact"/>
              <w:ind w:left="45" w:right="45"/>
              <w:jc w:val="center"/>
              <w:rPr>
                <w:sz w:val="20"/>
              </w:rPr>
            </w:pPr>
            <w:r>
              <w:rPr>
                <w:sz w:val="20"/>
              </w:rPr>
              <w:t>·H</w:t>
            </w:r>
            <w:r>
              <w:rPr>
                <w:position w:val="-2"/>
                <w:sz w:val="13"/>
              </w:rPr>
              <w:t>2</w:t>
            </w:r>
            <w:r>
              <w:rPr>
                <w:sz w:val="20"/>
              </w:rPr>
              <w:t>O</w:t>
            </w:r>
          </w:p>
        </w:tc>
        <w:tc>
          <w:tcPr>
            <w:tcW w:w="1384" w:type="dxa"/>
          </w:tcPr>
          <w:p>
            <w:pPr>
              <w:pStyle w:val="TableParagraph"/>
              <w:spacing w:line="228" w:lineRule="exact" w:before="2"/>
              <w:ind w:left="191" w:right="162" w:hanging="20"/>
              <w:rPr>
                <w:sz w:val="20"/>
              </w:rPr>
            </w:pPr>
            <w:r>
              <w:rPr>
                <w:sz w:val="20"/>
              </w:rPr>
              <w:t>Colorante y oxigenador</w:t>
            </w:r>
          </w:p>
        </w:tc>
        <w:tc>
          <w:tcPr>
            <w:tcW w:w="1297" w:type="dxa"/>
          </w:tcPr>
          <w:p>
            <w:pPr>
              <w:pStyle w:val="TableParagraph"/>
              <w:spacing w:line="228" w:lineRule="exact" w:before="2"/>
              <w:ind w:left="260" w:right="241" w:firstLine="88"/>
              <w:rPr>
                <w:sz w:val="20"/>
              </w:rPr>
            </w:pPr>
            <w:r>
              <w:rPr>
                <w:sz w:val="20"/>
              </w:rPr>
              <w:t>Verde, plateado</w:t>
            </w:r>
          </w:p>
        </w:tc>
        <w:tc>
          <w:tcPr>
            <w:tcW w:w="2909" w:type="dxa"/>
          </w:tcPr>
          <w:p>
            <w:pPr>
              <w:pStyle w:val="TableParagraph"/>
              <w:ind w:left="76" w:right="74"/>
              <w:jc w:val="center"/>
              <w:rPr>
                <w:sz w:val="20"/>
              </w:rPr>
            </w:pPr>
            <w:r>
              <w:rPr>
                <w:sz w:val="20"/>
              </w:rPr>
              <w:t>Utilizado raramente en fuegos artificiales, pero utilizado a veces en señalamientos.</w:t>
            </w:r>
          </w:p>
        </w:tc>
      </w:tr>
      <w:tr>
        <w:trPr>
          <w:trHeight w:val="472" w:hRule="exact"/>
        </w:trPr>
        <w:tc>
          <w:tcPr>
            <w:tcW w:w="2088" w:type="dxa"/>
          </w:tcPr>
          <w:p>
            <w:pPr>
              <w:pStyle w:val="TableParagraph"/>
              <w:spacing w:line="223" w:lineRule="exact"/>
              <w:ind w:left="47" w:right="42"/>
              <w:jc w:val="center"/>
              <w:rPr>
                <w:b/>
                <w:sz w:val="20"/>
              </w:rPr>
            </w:pPr>
            <w:r>
              <w:rPr>
                <w:b/>
                <w:sz w:val="20"/>
              </w:rPr>
              <w:t>Sales de bario</w:t>
            </w:r>
          </w:p>
        </w:tc>
        <w:tc>
          <w:tcPr>
            <w:tcW w:w="1305" w:type="dxa"/>
          </w:tcPr>
          <w:p>
            <w:pPr/>
          </w:p>
        </w:tc>
        <w:tc>
          <w:tcPr>
            <w:tcW w:w="1384" w:type="dxa"/>
          </w:tcPr>
          <w:p>
            <w:pPr>
              <w:pStyle w:val="TableParagraph"/>
              <w:spacing w:line="227" w:lineRule="exact"/>
              <w:ind w:left="45" w:right="45"/>
              <w:jc w:val="center"/>
              <w:rPr>
                <w:sz w:val="20"/>
              </w:rPr>
            </w:pPr>
            <w:r>
              <w:rPr>
                <w:sz w:val="20"/>
              </w:rPr>
              <w:t>Colorante</w:t>
            </w:r>
          </w:p>
        </w:tc>
        <w:tc>
          <w:tcPr>
            <w:tcW w:w="1297" w:type="dxa"/>
          </w:tcPr>
          <w:p>
            <w:pPr>
              <w:pStyle w:val="TableParagraph"/>
              <w:spacing w:line="227" w:lineRule="exact"/>
              <w:ind w:left="51" w:right="45"/>
              <w:jc w:val="center"/>
              <w:rPr>
                <w:sz w:val="20"/>
              </w:rPr>
            </w:pPr>
            <w:r>
              <w:rPr>
                <w:sz w:val="20"/>
              </w:rPr>
              <w:t>Verde</w:t>
            </w:r>
          </w:p>
        </w:tc>
        <w:tc>
          <w:tcPr>
            <w:tcW w:w="2909" w:type="dxa"/>
          </w:tcPr>
          <w:p>
            <w:pPr>
              <w:pStyle w:val="TableParagraph"/>
              <w:spacing w:line="228" w:lineRule="exact" w:before="2"/>
              <w:ind w:left="356" w:right="107" w:hanging="228"/>
              <w:rPr>
                <w:sz w:val="20"/>
              </w:rPr>
            </w:pPr>
            <w:r>
              <w:rPr>
                <w:sz w:val="20"/>
              </w:rPr>
              <w:t>Es la base para el color verde en los fuegos artificiales.</w:t>
            </w:r>
          </w:p>
        </w:tc>
      </w:tr>
      <w:tr>
        <w:trPr>
          <w:trHeight w:val="1388" w:hRule="exact"/>
        </w:trPr>
        <w:tc>
          <w:tcPr>
            <w:tcW w:w="2088" w:type="dxa"/>
          </w:tcPr>
          <w:p>
            <w:pPr>
              <w:pStyle w:val="TableParagraph"/>
              <w:spacing w:line="219" w:lineRule="exact"/>
              <w:ind w:left="47" w:right="47"/>
              <w:jc w:val="center"/>
              <w:rPr>
                <w:b/>
                <w:sz w:val="20"/>
              </w:rPr>
            </w:pPr>
            <w:r>
              <w:rPr>
                <w:b/>
                <w:sz w:val="20"/>
              </w:rPr>
              <w:t>Sulfato de bario</w:t>
            </w:r>
          </w:p>
        </w:tc>
        <w:tc>
          <w:tcPr>
            <w:tcW w:w="1305" w:type="dxa"/>
          </w:tcPr>
          <w:p>
            <w:pPr>
              <w:pStyle w:val="TableParagraph"/>
              <w:spacing w:line="238" w:lineRule="exact"/>
              <w:ind w:left="50" w:right="45"/>
              <w:jc w:val="center"/>
              <w:rPr>
                <w:sz w:val="13"/>
              </w:rPr>
            </w:pPr>
            <w:r>
              <w:rPr>
                <w:sz w:val="20"/>
              </w:rPr>
              <w:t>BaSO</w:t>
            </w:r>
            <w:r>
              <w:rPr>
                <w:position w:val="-2"/>
                <w:sz w:val="13"/>
              </w:rPr>
              <w:t>4</w:t>
            </w:r>
          </w:p>
        </w:tc>
        <w:tc>
          <w:tcPr>
            <w:tcW w:w="1384" w:type="dxa"/>
          </w:tcPr>
          <w:p>
            <w:pPr>
              <w:pStyle w:val="TableParagraph"/>
              <w:spacing w:line="242" w:lineRule="auto"/>
              <w:ind w:left="191" w:right="162" w:hanging="20"/>
              <w:rPr>
                <w:sz w:val="20"/>
              </w:rPr>
            </w:pPr>
            <w:r>
              <w:rPr>
                <w:sz w:val="20"/>
              </w:rPr>
              <w:t>Colorante y oxigenador</w:t>
            </w:r>
          </w:p>
        </w:tc>
        <w:tc>
          <w:tcPr>
            <w:tcW w:w="1297" w:type="dxa"/>
          </w:tcPr>
          <w:p>
            <w:pPr/>
          </w:p>
        </w:tc>
        <w:tc>
          <w:tcPr>
            <w:tcW w:w="2909" w:type="dxa"/>
          </w:tcPr>
          <w:p>
            <w:pPr>
              <w:pStyle w:val="TableParagraph"/>
              <w:ind w:left="71" w:right="74"/>
              <w:jc w:val="center"/>
              <w:rPr>
                <w:sz w:val="20"/>
              </w:rPr>
            </w:pPr>
            <w:r>
              <w:rPr>
                <w:sz w:val="20"/>
              </w:rPr>
              <w:t>Un excelente agente colorante verde y oxidante para las composiciones estroboscópicas. Utilizado a veces para las composiciones del brillo como retardador.</w:t>
            </w:r>
          </w:p>
        </w:tc>
      </w:tr>
      <w:tr>
        <w:trPr>
          <w:trHeight w:val="932" w:hRule="exact"/>
        </w:trPr>
        <w:tc>
          <w:tcPr>
            <w:tcW w:w="2088" w:type="dxa"/>
          </w:tcPr>
          <w:p>
            <w:pPr>
              <w:pStyle w:val="TableParagraph"/>
              <w:spacing w:line="237" w:lineRule="auto"/>
              <w:ind w:left="364" w:right="340" w:firstLine="311"/>
              <w:rPr>
                <w:b/>
                <w:sz w:val="20"/>
              </w:rPr>
            </w:pPr>
            <w:r>
              <w:rPr>
                <w:b/>
                <w:sz w:val="20"/>
              </w:rPr>
              <w:t>Pólvora (blackpowder)</w:t>
            </w:r>
          </w:p>
        </w:tc>
        <w:tc>
          <w:tcPr>
            <w:tcW w:w="1305" w:type="dxa"/>
          </w:tcPr>
          <w:p>
            <w:pPr/>
          </w:p>
        </w:tc>
        <w:tc>
          <w:tcPr>
            <w:tcW w:w="1384" w:type="dxa"/>
          </w:tcPr>
          <w:p>
            <w:pPr>
              <w:pStyle w:val="TableParagraph"/>
              <w:ind w:left="239" w:right="232" w:hanging="12"/>
              <w:jc w:val="both"/>
              <w:rPr>
                <w:sz w:val="20"/>
              </w:rPr>
            </w:pPr>
            <w:r>
              <w:rPr>
                <w:sz w:val="20"/>
              </w:rPr>
              <w:t>Propulsor, explosivo, iniciador.</w:t>
            </w:r>
          </w:p>
        </w:tc>
        <w:tc>
          <w:tcPr>
            <w:tcW w:w="1297" w:type="dxa"/>
          </w:tcPr>
          <w:p>
            <w:pPr/>
          </w:p>
        </w:tc>
        <w:tc>
          <w:tcPr>
            <w:tcW w:w="2909" w:type="dxa"/>
          </w:tcPr>
          <w:p>
            <w:pPr>
              <w:pStyle w:val="TableParagraph"/>
              <w:ind w:left="71" w:right="74"/>
              <w:jc w:val="center"/>
              <w:rPr>
                <w:sz w:val="20"/>
              </w:rPr>
            </w:pPr>
            <w:r>
              <w:rPr>
                <w:sz w:val="20"/>
              </w:rPr>
              <w:t>La base para todos los fuegos artificiales. Nitrato de potasio, carbón y azufre</w:t>
            </w:r>
          </w:p>
          <w:p>
            <w:pPr>
              <w:pStyle w:val="TableParagraph"/>
              <w:spacing w:line="228" w:lineRule="exact"/>
              <w:ind w:left="76" w:right="17"/>
              <w:jc w:val="center"/>
              <w:rPr>
                <w:sz w:val="20"/>
              </w:rPr>
            </w:pPr>
            <w:r>
              <w:rPr>
                <w:sz w:val="20"/>
              </w:rPr>
              <w:t>(75: 15: 10)</w:t>
            </w:r>
          </w:p>
        </w:tc>
      </w:tr>
      <w:tr>
        <w:trPr>
          <w:trHeight w:val="1389" w:hRule="exact"/>
        </w:trPr>
        <w:tc>
          <w:tcPr>
            <w:tcW w:w="2088" w:type="dxa"/>
          </w:tcPr>
          <w:p>
            <w:pPr>
              <w:pStyle w:val="TableParagraph"/>
              <w:spacing w:line="219" w:lineRule="exact"/>
              <w:ind w:left="47" w:right="47"/>
              <w:jc w:val="center"/>
              <w:rPr>
                <w:b/>
                <w:sz w:val="20"/>
              </w:rPr>
            </w:pPr>
            <w:r>
              <w:rPr>
                <w:b/>
                <w:sz w:val="20"/>
              </w:rPr>
              <w:t>Ácido bórico</w:t>
            </w:r>
          </w:p>
        </w:tc>
        <w:tc>
          <w:tcPr>
            <w:tcW w:w="1305" w:type="dxa"/>
          </w:tcPr>
          <w:p>
            <w:pPr>
              <w:pStyle w:val="TableParagraph"/>
              <w:spacing w:line="239" w:lineRule="exact"/>
              <w:ind w:left="46" w:right="45"/>
              <w:jc w:val="center"/>
              <w:rPr>
                <w:sz w:val="13"/>
              </w:rPr>
            </w:pPr>
            <w:r>
              <w:rPr>
                <w:sz w:val="20"/>
              </w:rPr>
              <w:t>H</w:t>
            </w:r>
            <w:r>
              <w:rPr>
                <w:position w:val="-2"/>
                <w:sz w:val="13"/>
              </w:rPr>
              <w:t>3</w:t>
            </w:r>
            <w:r>
              <w:rPr>
                <w:sz w:val="20"/>
              </w:rPr>
              <w:t>BO</w:t>
            </w:r>
            <w:r>
              <w:rPr>
                <w:position w:val="-2"/>
                <w:sz w:val="13"/>
              </w:rPr>
              <w:t>3</w:t>
            </w:r>
          </w:p>
        </w:tc>
        <w:tc>
          <w:tcPr>
            <w:tcW w:w="1384" w:type="dxa"/>
          </w:tcPr>
          <w:p>
            <w:pPr>
              <w:pStyle w:val="TableParagraph"/>
              <w:spacing w:line="223" w:lineRule="exact"/>
              <w:ind w:left="45" w:right="45"/>
              <w:jc w:val="center"/>
              <w:rPr>
                <w:sz w:val="20"/>
              </w:rPr>
            </w:pPr>
            <w:r>
              <w:rPr>
                <w:sz w:val="20"/>
              </w:rPr>
              <w:t>Neutralizador.</w:t>
            </w:r>
          </w:p>
        </w:tc>
        <w:tc>
          <w:tcPr>
            <w:tcW w:w="1297" w:type="dxa"/>
          </w:tcPr>
          <w:p>
            <w:pPr/>
          </w:p>
        </w:tc>
        <w:tc>
          <w:tcPr>
            <w:tcW w:w="2909" w:type="dxa"/>
          </w:tcPr>
          <w:p>
            <w:pPr>
              <w:pStyle w:val="TableParagraph"/>
              <w:ind w:left="131" w:right="132" w:firstLine="1"/>
              <w:jc w:val="center"/>
              <w:rPr>
                <w:sz w:val="20"/>
              </w:rPr>
            </w:pPr>
            <w:r>
              <w:rPr>
                <w:sz w:val="20"/>
              </w:rPr>
              <w:t>Este ácido suave se utiliza sobre todo en algunas composiciones que contienen aluminio para reducir sensibilidad.</w:t>
            </w:r>
          </w:p>
        </w:tc>
      </w:tr>
      <w:tr>
        <w:trPr>
          <w:trHeight w:val="700" w:hRule="exact"/>
        </w:trPr>
        <w:tc>
          <w:tcPr>
            <w:tcW w:w="2088" w:type="dxa"/>
          </w:tcPr>
          <w:p>
            <w:pPr>
              <w:pStyle w:val="TableParagraph"/>
              <w:spacing w:line="223" w:lineRule="exact"/>
              <w:ind w:left="47" w:right="47"/>
              <w:jc w:val="center"/>
              <w:rPr>
                <w:b/>
                <w:sz w:val="20"/>
              </w:rPr>
            </w:pPr>
            <w:r>
              <w:rPr>
                <w:b/>
                <w:sz w:val="20"/>
              </w:rPr>
              <w:t>Carbonato de calcio</w:t>
            </w:r>
          </w:p>
        </w:tc>
        <w:tc>
          <w:tcPr>
            <w:tcW w:w="1305" w:type="dxa"/>
          </w:tcPr>
          <w:p>
            <w:pPr>
              <w:pStyle w:val="TableParagraph"/>
              <w:spacing w:line="242" w:lineRule="exact"/>
              <w:ind w:left="50" w:right="45"/>
              <w:jc w:val="center"/>
              <w:rPr>
                <w:sz w:val="13"/>
              </w:rPr>
            </w:pPr>
            <w:r>
              <w:rPr>
                <w:sz w:val="20"/>
              </w:rPr>
              <w:t>CaCO</w:t>
            </w:r>
            <w:r>
              <w:rPr>
                <w:position w:val="-2"/>
                <w:sz w:val="13"/>
              </w:rPr>
              <w:t>3</w:t>
            </w:r>
          </w:p>
        </w:tc>
        <w:tc>
          <w:tcPr>
            <w:tcW w:w="1384" w:type="dxa"/>
          </w:tcPr>
          <w:p>
            <w:pPr>
              <w:pStyle w:val="TableParagraph"/>
              <w:spacing w:line="227" w:lineRule="exact"/>
              <w:ind w:left="45" w:right="45"/>
              <w:jc w:val="center"/>
              <w:rPr>
                <w:sz w:val="20"/>
              </w:rPr>
            </w:pPr>
            <w:r>
              <w:rPr>
                <w:sz w:val="20"/>
              </w:rPr>
              <w:t>Neutralizador.</w:t>
            </w:r>
          </w:p>
        </w:tc>
        <w:tc>
          <w:tcPr>
            <w:tcW w:w="1297" w:type="dxa"/>
          </w:tcPr>
          <w:p>
            <w:pPr/>
          </w:p>
        </w:tc>
        <w:tc>
          <w:tcPr>
            <w:tcW w:w="2909" w:type="dxa"/>
          </w:tcPr>
          <w:p>
            <w:pPr>
              <w:pStyle w:val="TableParagraph"/>
              <w:ind w:left="72" w:right="74"/>
              <w:jc w:val="center"/>
              <w:rPr>
                <w:sz w:val="20"/>
              </w:rPr>
            </w:pPr>
            <w:r>
              <w:rPr>
                <w:sz w:val="20"/>
              </w:rPr>
              <w:t>Un reductor de sensibilidad para las composiciones de clorato y de aluminio.</w:t>
            </w:r>
          </w:p>
        </w:tc>
      </w:tr>
      <w:tr>
        <w:trPr>
          <w:trHeight w:val="701" w:hRule="exact"/>
        </w:trPr>
        <w:tc>
          <w:tcPr>
            <w:tcW w:w="2088" w:type="dxa"/>
          </w:tcPr>
          <w:p>
            <w:pPr>
              <w:pStyle w:val="TableParagraph"/>
              <w:spacing w:line="223" w:lineRule="exact"/>
              <w:ind w:left="47" w:right="44"/>
              <w:jc w:val="center"/>
              <w:rPr>
                <w:b/>
                <w:sz w:val="20"/>
              </w:rPr>
            </w:pPr>
            <w:r>
              <w:rPr>
                <w:b/>
                <w:sz w:val="20"/>
              </w:rPr>
              <w:t>Oxalato de calcio</w:t>
            </w:r>
          </w:p>
        </w:tc>
        <w:tc>
          <w:tcPr>
            <w:tcW w:w="1305" w:type="dxa"/>
          </w:tcPr>
          <w:p>
            <w:pPr>
              <w:pStyle w:val="TableParagraph"/>
              <w:spacing w:line="243" w:lineRule="exact"/>
              <w:ind w:left="50" w:right="45"/>
              <w:jc w:val="center"/>
              <w:rPr>
                <w:sz w:val="13"/>
              </w:rPr>
            </w:pPr>
            <w:r>
              <w:rPr>
                <w:sz w:val="20"/>
              </w:rPr>
              <w:t>CaC</w:t>
            </w:r>
            <w:r>
              <w:rPr>
                <w:position w:val="-2"/>
                <w:sz w:val="13"/>
              </w:rPr>
              <w:t>2</w:t>
            </w:r>
            <w:r>
              <w:rPr>
                <w:sz w:val="20"/>
              </w:rPr>
              <w:t>O</w:t>
            </w:r>
            <w:r>
              <w:rPr>
                <w:position w:val="-2"/>
                <w:sz w:val="13"/>
              </w:rPr>
              <w:t>4</w:t>
            </w:r>
          </w:p>
        </w:tc>
        <w:tc>
          <w:tcPr>
            <w:tcW w:w="1384" w:type="dxa"/>
          </w:tcPr>
          <w:p>
            <w:pPr>
              <w:pStyle w:val="TableParagraph"/>
              <w:spacing w:line="228" w:lineRule="exact" w:before="2"/>
              <w:ind w:left="331" w:right="176" w:hanging="140"/>
              <w:rPr>
                <w:sz w:val="20"/>
              </w:rPr>
            </w:pPr>
            <w:r>
              <w:rPr>
                <w:sz w:val="20"/>
              </w:rPr>
              <w:t>Reforzador de color</w:t>
            </w:r>
          </w:p>
        </w:tc>
        <w:tc>
          <w:tcPr>
            <w:tcW w:w="1297" w:type="dxa"/>
          </w:tcPr>
          <w:p>
            <w:pPr/>
          </w:p>
        </w:tc>
        <w:tc>
          <w:tcPr>
            <w:tcW w:w="2909" w:type="dxa"/>
          </w:tcPr>
          <w:p>
            <w:pPr>
              <w:pStyle w:val="TableParagraph"/>
              <w:ind w:left="76" w:right="74"/>
              <w:jc w:val="center"/>
              <w:rPr>
                <w:sz w:val="20"/>
              </w:rPr>
            </w:pPr>
            <w:r>
              <w:rPr>
                <w:sz w:val="20"/>
              </w:rPr>
              <w:t>Mejora la saturación del color en composiciones con agentes colorantes de sales metálicas.</w:t>
            </w:r>
          </w:p>
        </w:tc>
      </w:tr>
      <w:tr>
        <w:trPr>
          <w:trHeight w:val="472" w:hRule="exact"/>
        </w:trPr>
        <w:tc>
          <w:tcPr>
            <w:tcW w:w="2088" w:type="dxa"/>
          </w:tcPr>
          <w:p>
            <w:pPr>
              <w:pStyle w:val="TableParagraph"/>
              <w:spacing w:line="223" w:lineRule="exact"/>
              <w:ind w:left="47" w:right="47"/>
              <w:jc w:val="center"/>
              <w:rPr>
                <w:b/>
                <w:sz w:val="20"/>
              </w:rPr>
            </w:pPr>
            <w:r>
              <w:rPr>
                <w:b/>
                <w:sz w:val="20"/>
              </w:rPr>
              <w:t>Silicato de calcio</w:t>
            </w:r>
          </w:p>
        </w:tc>
        <w:tc>
          <w:tcPr>
            <w:tcW w:w="1305" w:type="dxa"/>
          </w:tcPr>
          <w:p>
            <w:pPr>
              <w:pStyle w:val="TableParagraph"/>
              <w:spacing w:line="242" w:lineRule="exact"/>
              <w:ind w:left="50" w:right="45"/>
              <w:jc w:val="center"/>
              <w:rPr>
                <w:sz w:val="13"/>
              </w:rPr>
            </w:pPr>
            <w:r>
              <w:rPr>
                <w:sz w:val="20"/>
              </w:rPr>
              <w:t>CaSi</w:t>
            </w:r>
            <w:r>
              <w:rPr>
                <w:position w:val="-2"/>
                <w:sz w:val="13"/>
              </w:rPr>
              <w:t>2</w:t>
            </w:r>
          </w:p>
        </w:tc>
        <w:tc>
          <w:tcPr>
            <w:tcW w:w="1384" w:type="dxa"/>
          </w:tcPr>
          <w:p>
            <w:pPr/>
          </w:p>
        </w:tc>
        <w:tc>
          <w:tcPr>
            <w:tcW w:w="1297" w:type="dxa"/>
          </w:tcPr>
          <w:p>
            <w:pPr>
              <w:pStyle w:val="TableParagraph"/>
              <w:spacing w:line="228" w:lineRule="exact" w:before="2"/>
              <w:ind w:left="368" w:right="51" w:hanging="296"/>
              <w:rPr>
                <w:sz w:val="20"/>
              </w:rPr>
            </w:pPr>
            <w:r>
              <w:rPr>
                <w:sz w:val="20"/>
              </w:rPr>
              <w:t>Productor de humo.</w:t>
            </w:r>
          </w:p>
        </w:tc>
        <w:tc>
          <w:tcPr>
            <w:tcW w:w="2909" w:type="dxa"/>
          </w:tcPr>
          <w:p>
            <w:pPr/>
          </w:p>
        </w:tc>
      </w:tr>
      <w:tr>
        <w:trPr>
          <w:trHeight w:val="928" w:hRule="exact"/>
        </w:trPr>
        <w:tc>
          <w:tcPr>
            <w:tcW w:w="2088" w:type="dxa"/>
          </w:tcPr>
          <w:p>
            <w:pPr>
              <w:pStyle w:val="TableParagraph"/>
              <w:spacing w:line="242" w:lineRule="auto"/>
              <w:ind w:left="364" w:right="223" w:hanging="116"/>
              <w:rPr>
                <w:sz w:val="20"/>
              </w:rPr>
            </w:pPr>
            <w:r>
              <w:rPr>
                <w:b/>
                <w:sz w:val="20"/>
              </w:rPr>
              <w:t>Sulfato de calcio (</w:t>
            </w:r>
            <w:r>
              <w:rPr>
                <w:sz w:val="20"/>
              </w:rPr>
              <w:t>yeso de París)</w:t>
            </w:r>
          </w:p>
        </w:tc>
        <w:tc>
          <w:tcPr>
            <w:tcW w:w="1305" w:type="dxa"/>
          </w:tcPr>
          <w:p>
            <w:pPr>
              <w:pStyle w:val="TableParagraph"/>
              <w:spacing w:line="238" w:lineRule="exact"/>
              <w:ind w:left="50" w:right="45"/>
              <w:jc w:val="center"/>
              <w:rPr>
                <w:sz w:val="13"/>
              </w:rPr>
            </w:pPr>
            <w:r>
              <w:rPr>
                <w:sz w:val="20"/>
              </w:rPr>
              <w:t>CaCO</w:t>
            </w:r>
            <w:r>
              <w:rPr>
                <w:position w:val="-2"/>
                <w:sz w:val="13"/>
              </w:rPr>
              <w:t>4</w:t>
            </w:r>
          </w:p>
        </w:tc>
        <w:tc>
          <w:tcPr>
            <w:tcW w:w="1384" w:type="dxa"/>
          </w:tcPr>
          <w:p>
            <w:pPr>
              <w:pStyle w:val="TableParagraph"/>
              <w:spacing w:line="242" w:lineRule="auto"/>
              <w:ind w:left="163" w:right="148" w:firstLine="8"/>
              <w:rPr>
                <w:sz w:val="20"/>
              </w:rPr>
            </w:pPr>
            <w:r>
              <w:rPr>
                <w:sz w:val="20"/>
              </w:rPr>
              <w:t>Colorante y oxigenador.</w:t>
            </w:r>
          </w:p>
        </w:tc>
        <w:tc>
          <w:tcPr>
            <w:tcW w:w="1297" w:type="dxa"/>
          </w:tcPr>
          <w:p>
            <w:pPr>
              <w:pStyle w:val="TableParagraph"/>
              <w:spacing w:line="223" w:lineRule="exact"/>
              <w:ind w:left="51" w:right="51"/>
              <w:jc w:val="center"/>
              <w:rPr>
                <w:sz w:val="20"/>
              </w:rPr>
            </w:pPr>
            <w:r>
              <w:rPr>
                <w:sz w:val="20"/>
              </w:rPr>
              <w:t>Naranja, rojo</w:t>
            </w:r>
          </w:p>
        </w:tc>
        <w:tc>
          <w:tcPr>
            <w:tcW w:w="2909" w:type="dxa"/>
          </w:tcPr>
          <w:p>
            <w:pPr>
              <w:pStyle w:val="TableParagraph"/>
              <w:ind w:left="116" w:right="112" w:hanging="8"/>
              <w:jc w:val="center"/>
              <w:rPr>
                <w:sz w:val="20"/>
              </w:rPr>
            </w:pPr>
            <w:r>
              <w:rPr>
                <w:sz w:val="20"/>
              </w:rPr>
              <w:t>Un buen oxidante de alta temperatura y utilizado de vez en cuando en fórmulas para efecto estroboscopico.</w:t>
            </w:r>
          </w:p>
        </w:tc>
      </w:tr>
      <w:tr>
        <w:trPr>
          <w:trHeight w:val="472" w:hRule="exact"/>
        </w:trPr>
        <w:tc>
          <w:tcPr>
            <w:tcW w:w="2088" w:type="dxa"/>
          </w:tcPr>
          <w:p>
            <w:pPr>
              <w:pStyle w:val="TableParagraph"/>
              <w:spacing w:line="237" w:lineRule="auto"/>
              <w:ind w:left="736" w:right="190" w:hanging="533"/>
              <w:rPr>
                <w:b/>
                <w:sz w:val="20"/>
              </w:rPr>
            </w:pPr>
            <w:r>
              <w:rPr>
                <w:b/>
                <w:sz w:val="20"/>
              </w:rPr>
              <w:t>Carbón (negro de humo)</w:t>
            </w:r>
          </w:p>
        </w:tc>
        <w:tc>
          <w:tcPr>
            <w:tcW w:w="1305" w:type="dxa"/>
          </w:tcPr>
          <w:p>
            <w:pPr>
              <w:pStyle w:val="TableParagraph"/>
              <w:spacing w:line="227" w:lineRule="exact"/>
              <w:ind w:left="1"/>
              <w:jc w:val="center"/>
              <w:rPr>
                <w:sz w:val="20"/>
              </w:rPr>
            </w:pPr>
            <w:r>
              <w:rPr>
                <w:w w:val="99"/>
                <w:sz w:val="20"/>
              </w:rPr>
              <w:t>C</w:t>
            </w:r>
          </w:p>
        </w:tc>
        <w:tc>
          <w:tcPr>
            <w:tcW w:w="1384" w:type="dxa"/>
          </w:tcPr>
          <w:p>
            <w:pPr>
              <w:pStyle w:val="TableParagraph"/>
              <w:spacing w:line="227" w:lineRule="exact"/>
              <w:ind w:left="45" w:right="44"/>
              <w:jc w:val="center"/>
              <w:rPr>
                <w:sz w:val="20"/>
              </w:rPr>
            </w:pPr>
            <w:r>
              <w:rPr>
                <w:sz w:val="20"/>
              </w:rPr>
              <w:t>Combustible.</w:t>
            </w:r>
          </w:p>
        </w:tc>
        <w:tc>
          <w:tcPr>
            <w:tcW w:w="1297" w:type="dxa"/>
          </w:tcPr>
          <w:p>
            <w:pPr>
              <w:pStyle w:val="TableParagraph"/>
              <w:spacing w:line="228" w:lineRule="exact" w:before="2"/>
              <w:ind w:left="304" w:right="244" w:hanging="36"/>
              <w:rPr>
                <w:sz w:val="20"/>
              </w:rPr>
            </w:pPr>
            <w:r>
              <w:rPr>
                <w:sz w:val="20"/>
              </w:rPr>
              <w:t>Naranja, dorado.</w:t>
            </w:r>
          </w:p>
        </w:tc>
        <w:tc>
          <w:tcPr>
            <w:tcW w:w="2909" w:type="dxa"/>
          </w:tcPr>
          <w:p>
            <w:pPr>
              <w:pStyle w:val="TableParagraph"/>
              <w:spacing w:line="228" w:lineRule="exact" w:before="2"/>
              <w:ind w:left="72" w:right="51" w:firstLine="127"/>
              <w:rPr>
                <w:sz w:val="20"/>
              </w:rPr>
            </w:pPr>
            <w:r>
              <w:rPr>
                <w:sz w:val="20"/>
              </w:rPr>
              <w:t>Muy sucio trabajar con este, pero hace estrellas excelentes.</w:t>
            </w:r>
          </w:p>
        </w:tc>
      </w:tr>
      <w:tr>
        <w:trPr>
          <w:trHeight w:val="2077" w:hRule="exact"/>
        </w:trPr>
        <w:tc>
          <w:tcPr>
            <w:tcW w:w="2088" w:type="dxa"/>
          </w:tcPr>
          <w:p>
            <w:pPr>
              <w:pStyle w:val="TableParagraph"/>
              <w:spacing w:line="242" w:lineRule="auto"/>
              <w:ind w:left="808" w:right="131" w:hanging="657"/>
              <w:rPr>
                <w:b/>
                <w:sz w:val="20"/>
              </w:rPr>
            </w:pPr>
            <w:r>
              <w:rPr>
                <w:b/>
                <w:sz w:val="20"/>
              </w:rPr>
              <w:t>Carbón (carbón de leña)</w:t>
            </w:r>
          </w:p>
        </w:tc>
        <w:tc>
          <w:tcPr>
            <w:tcW w:w="1305" w:type="dxa"/>
          </w:tcPr>
          <w:p>
            <w:pPr>
              <w:pStyle w:val="TableParagraph"/>
              <w:spacing w:line="223" w:lineRule="exact"/>
              <w:ind w:left="1"/>
              <w:jc w:val="center"/>
              <w:rPr>
                <w:sz w:val="20"/>
              </w:rPr>
            </w:pPr>
            <w:r>
              <w:rPr>
                <w:w w:val="99"/>
                <w:sz w:val="20"/>
              </w:rPr>
              <w:t>C</w:t>
            </w: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spacing w:line="242" w:lineRule="auto"/>
              <w:ind w:left="304" w:right="244" w:hanging="36"/>
              <w:rPr>
                <w:sz w:val="20"/>
              </w:rPr>
            </w:pPr>
            <w:r>
              <w:rPr>
                <w:sz w:val="20"/>
              </w:rPr>
              <w:t>Naranja, dorado.</w:t>
            </w:r>
          </w:p>
        </w:tc>
        <w:tc>
          <w:tcPr>
            <w:tcW w:w="2909" w:type="dxa"/>
          </w:tcPr>
          <w:p>
            <w:pPr>
              <w:pStyle w:val="TableParagraph"/>
              <w:ind w:left="80" w:right="82" w:hanging="3"/>
              <w:jc w:val="center"/>
              <w:rPr>
                <w:sz w:val="20"/>
              </w:rPr>
            </w:pPr>
            <w:r>
              <w:rPr>
                <w:sz w:val="20"/>
              </w:rPr>
              <w:t>La fuente primaria del combustible en la pólvora. Hay una variedad de tipos de carbón de leña que dependen de la fuente de la madera o fibra. El tipo de carbón de leña puede tener un impacto dramático en la calidad y el funcionamiento de la pólvora.</w:t>
            </w:r>
          </w:p>
        </w:tc>
      </w:tr>
    </w:tbl>
    <w:p>
      <w:pPr>
        <w:spacing w:after="0"/>
        <w:jc w:val="center"/>
        <w:rPr>
          <w:sz w:val="20"/>
        </w:rPr>
        <w:sectPr>
          <w:pgSz w:w="12240" w:h="15840"/>
          <w:pgMar w:header="0" w:footer="1011" w:top="1420" w:bottom="1200" w:left="1520" w:right="15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2"/>
              <w:rPr>
                <w:b/>
                <w:sz w:val="19"/>
              </w:rPr>
            </w:pPr>
          </w:p>
          <w:p>
            <w:pPr>
              <w:pStyle w:val="TableParagraph"/>
              <w:ind w:left="604" w:right="375" w:hanging="208"/>
              <w:rPr>
                <w:b/>
                <w:sz w:val="20"/>
              </w:rPr>
            </w:pPr>
            <w:r>
              <w:rPr>
                <w:b/>
                <w:sz w:val="20"/>
              </w:rPr>
              <w:t>COMPUESTO QUÍMICO</w:t>
            </w:r>
          </w:p>
        </w:tc>
        <w:tc>
          <w:tcPr>
            <w:tcW w:w="1305" w:type="dxa"/>
          </w:tcPr>
          <w:p>
            <w:pPr>
              <w:pStyle w:val="TableParagraph"/>
              <w:rPr>
                <w:b/>
                <w:sz w:val="20"/>
              </w:rPr>
            </w:pPr>
          </w:p>
          <w:p>
            <w:pPr>
              <w:pStyle w:val="TableParagraph"/>
              <w:spacing w:before="1"/>
              <w:rPr>
                <w:b/>
                <w:sz w:val="21"/>
              </w:rPr>
            </w:pPr>
          </w:p>
          <w:p>
            <w:pPr>
              <w:pStyle w:val="TableParagraph"/>
              <w:ind w:left="45" w:right="45"/>
              <w:jc w:val="center"/>
              <w:rPr>
                <w:b/>
                <w:sz w:val="20"/>
              </w:rPr>
            </w:pPr>
            <w:r>
              <w:rPr>
                <w:b/>
                <w:sz w:val="20"/>
              </w:rPr>
              <w:t>FORMULA</w:t>
            </w:r>
          </w:p>
        </w:tc>
        <w:tc>
          <w:tcPr>
            <w:tcW w:w="1384" w:type="dxa"/>
          </w:tcPr>
          <w:p>
            <w:pPr>
              <w:pStyle w:val="TableParagraph"/>
              <w:rPr>
                <w:b/>
                <w:sz w:val="20"/>
              </w:rPr>
            </w:pPr>
          </w:p>
          <w:p>
            <w:pPr>
              <w:pStyle w:val="TableParagraph"/>
              <w:spacing w:before="1"/>
              <w:rPr>
                <w:b/>
                <w:sz w:val="21"/>
              </w:rPr>
            </w:pPr>
          </w:p>
          <w:p>
            <w:pPr>
              <w:pStyle w:val="TableParagraph"/>
              <w:ind w:left="39" w:right="45"/>
              <w:jc w:val="center"/>
              <w:rPr>
                <w:b/>
                <w:sz w:val="20"/>
              </w:rPr>
            </w:pPr>
            <w:r>
              <w:rPr>
                <w:b/>
                <w:sz w:val="20"/>
              </w:rPr>
              <w:t>PROPIEDAD</w:t>
            </w:r>
          </w:p>
        </w:tc>
        <w:tc>
          <w:tcPr>
            <w:tcW w:w="1297" w:type="dxa"/>
          </w:tcPr>
          <w:p>
            <w:pPr>
              <w:pStyle w:val="TableParagraph"/>
              <w:spacing w:before="2"/>
              <w:rPr>
                <w:b/>
                <w:sz w:val="19"/>
              </w:rPr>
            </w:pPr>
          </w:p>
          <w:p>
            <w:pPr>
              <w:pStyle w:val="TableParagraph"/>
              <w:ind w:left="240" w:right="207" w:hanging="12"/>
              <w:rPr>
                <w:b/>
                <w:sz w:val="20"/>
              </w:rPr>
            </w:pPr>
            <w:r>
              <w:rPr>
                <w:b/>
                <w:sz w:val="20"/>
              </w:rPr>
              <w:t>COLOR / EFECTO</w:t>
            </w:r>
          </w:p>
        </w:tc>
        <w:tc>
          <w:tcPr>
            <w:tcW w:w="2909" w:type="dxa"/>
          </w:tcPr>
          <w:p>
            <w:pPr>
              <w:pStyle w:val="TableParagraph"/>
              <w:rPr>
                <w:b/>
                <w:sz w:val="20"/>
              </w:rPr>
            </w:pPr>
          </w:p>
          <w:p>
            <w:pPr>
              <w:pStyle w:val="TableParagraph"/>
              <w:spacing w:before="4"/>
              <w:rPr>
                <w:b/>
                <w:sz w:val="19"/>
              </w:rPr>
            </w:pPr>
          </w:p>
          <w:p>
            <w:pPr>
              <w:pStyle w:val="TableParagraph"/>
              <w:ind w:left="671" w:right="193"/>
              <w:rPr>
                <w:b/>
                <w:sz w:val="20"/>
              </w:rPr>
            </w:pPr>
            <w:r>
              <w:rPr>
                <w:b/>
                <w:sz w:val="20"/>
              </w:rPr>
              <w:t>FORMA DE USO</w:t>
            </w:r>
          </w:p>
        </w:tc>
      </w:tr>
      <w:tr>
        <w:trPr>
          <w:trHeight w:val="932" w:hRule="exact"/>
        </w:trPr>
        <w:tc>
          <w:tcPr>
            <w:tcW w:w="2088" w:type="dxa"/>
          </w:tcPr>
          <w:p>
            <w:pPr>
              <w:pStyle w:val="TableParagraph"/>
              <w:spacing w:line="237" w:lineRule="auto"/>
              <w:ind w:left="675" w:right="201" w:hanging="460"/>
              <w:rPr>
                <w:b/>
                <w:sz w:val="20"/>
              </w:rPr>
            </w:pPr>
            <w:r>
              <w:rPr>
                <w:b/>
                <w:sz w:val="20"/>
              </w:rPr>
              <w:t>Carbón (polvo de carbón)</w:t>
            </w:r>
          </w:p>
        </w:tc>
        <w:tc>
          <w:tcPr>
            <w:tcW w:w="1305" w:type="dxa"/>
          </w:tcPr>
          <w:p>
            <w:pPr>
              <w:pStyle w:val="TableParagraph"/>
              <w:spacing w:line="227" w:lineRule="exact"/>
              <w:ind w:left="1"/>
              <w:jc w:val="center"/>
              <w:rPr>
                <w:sz w:val="20"/>
              </w:rPr>
            </w:pPr>
            <w:r>
              <w:rPr>
                <w:w w:val="99"/>
                <w:sz w:val="20"/>
              </w:rPr>
              <w:t>C</w:t>
            </w:r>
          </w:p>
        </w:tc>
        <w:tc>
          <w:tcPr>
            <w:tcW w:w="1384" w:type="dxa"/>
          </w:tcPr>
          <w:p>
            <w:pPr>
              <w:pStyle w:val="TableParagraph"/>
              <w:spacing w:line="227" w:lineRule="exact"/>
              <w:ind w:left="45" w:right="44"/>
              <w:jc w:val="center"/>
              <w:rPr>
                <w:sz w:val="20"/>
              </w:rPr>
            </w:pPr>
            <w:r>
              <w:rPr>
                <w:sz w:val="20"/>
              </w:rPr>
              <w:t>Combustible.</w:t>
            </w:r>
          </w:p>
        </w:tc>
        <w:tc>
          <w:tcPr>
            <w:tcW w:w="1297" w:type="dxa"/>
          </w:tcPr>
          <w:p>
            <w:pPr>
              <w:pStyle w:val="TableParagraph"/>
              <w:spacing w:line="228" w:lineRule="exact" w:before="2"/>
              <w:ind w:left="304" w:right="244" w:hanging="36"/>
              <w:rPr>
                <w:sz w:val="20"/>
              </w:rPr>
            </w:pPr>
            <w:r>
              <w:rPr>
                <w:sz w:val="20"/>
              </w:rPr>
              <w:t>Naranja, dorado.</w:t>
            </w:r>
          </w:p>
        </w:tc>
        <w:tc>
          <w:tcPr>
            <w:tcW w:w="2909" w:type="dxa"/>
          </w:tcPr>
          <w:p>
            <w:pPr>
              <w:pStyle w:val="TableParagraph"/>
              <w:ind w:left="100" w:right="98" w:firstLine="104"/>
              <w:jc w:val="both"/>
              <w:rPr>
                <w:sz w:val="20"/>
              </w:rPr>
            </w:pPr>
            <w:r>
              <w:rPr>
                <w:sz w:val="20"/>
              </w:rPr>
              <w:t>El polvo de carbón se utiliza en algunos países donde es barato y fácilmente disponible.</w:t>
            </w:r>
          </w:p>
        </w:tc>
      </w:tr>
      <w:tr>
        <w:trPr>
          <w:trHeight w:val="1161" w:hRule="exact"/>
        </w:trPr>
        <w:tc>
          <w:tcPr>
            <w:tcW w:w="2088" w:type="dxa"/>
          </w:tcPr>
          <w:p>
            <w:pPr>
              <w:pStyle w:val="TableParagraph"/>
              <w:spacing w:line="219" w:lineRule="exact"/>
              <w:ind w:left="47" w:right="47"/>
              <w:jc w:val="center"/>
              <w:rPr>
                <w:b/>
                <w:sz w:val="20"/>
              </w:rPr>
            </w:pPr>
            <w:r>
              <w:rPr>
                <w:b/>
                <w:sz w:val="20"/>
              </w:rPr>
              <w:t>Aceite de ricino</w:t>
            </w:r>
          </w:p>
        </w:tc>
        <w:tc>
          <w:tcPr>
            <w:tcW w:w="1305" w:type="dxa"/>
          </w:tcPr>
          <w:p>
            <w:pPr/>
          </w:p>
        </w:tc>
        <w:tc>
          <w:tcPr>
            <w:tcW w:w="1384" w:type="dxa"/>
          </w:tcPr>
          <w:p>
            <w:pPr>
              <w:pStyle w:val="TableParagraph"/>
              <w:spacing w:line="223" w:lineRule="exact"/>
              <w:ind w:left="45" w:right="44"/>
              <w:jc w:val="center"/>
              <w:rPr>
                <w:sz w:val="20"/>
              </w:rPr>
            </w:pPr>
            <w:r>
              <w:rPr>
                <w:sz w:val="20"/>
              </w:rPr>
              <w:t>Estabilizador.</w:t>
            </w:r>
          </w:p>
        </w:tc>
        <w:tc>
          <w:tcPr>
            <w:tcW w:w="1297" w:type="dxa"/>
          </w:tcPr>
          <w:p>
            <w:pPr/>
          </w:p>
        </w:tc>
        <w:tc>
          <w:tcPr>
            <w:tcW w:w="2909" w:type="dxa"/>
          </w:tcPr>
          <w:p>
            <w:pPr>
              <w:pStyle w:val="TableParagraph"/>
              <w:ind w:left="134" w:right="136"/>
              <w:jc w:val="center"/>
              <w:rPr>
                <w:sz w:val="20"/>
              </w:rPr>
            </w:pPr>
            <w:r>
              <w:rPr>
                <w:sz w:val="20"/>
              </w:rPr>
              <w:t>Usado para recubrir los metales sensibles para protegerlos durante el proceso, especialmente el magnesio.</w:t>
            </w:r>
          </w:p>
        </w:tc>
      </w:tr>
      <w:tr>
        <w:trPr>
          <w:trHeight w:val="468" w:hRule="exact"/>
        </w:trPr>
        <w:tc>
          <w:tcPr>
            <w:tcW w:w="2088" w:type="dxa"/>
          </w:tcPr>
          <w:p>
            <w:pPr>
              <w:pStyle w:val="TableParagraph"/>
              <w:spacing w:line="219" w:lineRule="exact"/>
              <w:ind w:left="47" w:right="45"/>
              <w:jc w:val="center"/>
              <w:rPr>
                <w:b/>
                <w:sz w:val="20"/>
              </w:rPr>
            </w:pPr>
            <w:r>
              <w:rPr>
                <w:b/>
                <w:sz w:val="20"/>
              </w:rPr>
              <w:t>Cloro</w:t>
            </w:r>
          </w:p>
        </w:tc>
        <w:tc>
          <w:tcPr>
            <w:tcW w:w="1305" w:type="dxa"/>
          </w:tcPr>
          <w:p>
            <w:pPr>
              <w:pStyle w:val="TableParagraph"/>
              <w:spacing w:line="223" w:lineRule="exact"/>
              <w:ind w:left="49" w:right="45"/>
              <w:jc w:val="center"/>
              <w:rPr>
                <w:sz w:val="20"/>
              </w:rPr>
            </w:pPr>
            <w:r>
              <w:rPr>
                <w:sz w:val="20"/>
              </w:rPr>
              <w:t>Cl</w:t>
            </w:r>
          </w:p>
        </w:tc>
        <w:tc>
          <w:tcPr>
            <w:tcW w:w="1384" w:type="dxa"/>
          </w:tcPr>
          <w:p>
            <w:pPr>
              <w:pStyle w:val="TableParagraph"/>
              <w:spacing w:line="242" w:lineRule="auto"/>
              <w:ind w:left="303" w:right="75" w:hanging="212"/>
              <w:rPr>
                <w:sz w:val="20"/>
              </w:rPr>
            </w:pPr>
            <w:r>
              <w:rPr>
                <w:sz w:val="20"/>
              </w:rPr>
              <w:t>Intensificador de color.</w:t>
            </w:r>
          </w:p>
        </w:tc>
        <w:tc>
          <w:tcPr>
            <w:tcW w:w="1297" w:type="dxa"/>
          </w:tcPr>
          <w:p>
            <w:pPr/>
          </w:p>
        </w:tc>
        <w:tc>
          <w:tcPr>
            <w:tcW w:w="2909" w:type="dxa"/>
          </w:tcPr>
          <w:p>
            <w:pPr/>
          </w:p>
        </w:tc>
      </w:tr>
      <w:tr>
        <w:trPr>
          <w:trHeight w:val="701" w:hRule="exact"/>
        </w:trPr>
        <w:tc>
          <w:tcPr>
            <w:tcW w:w="2088" w:type="dxa"/>
          </w:tcPr>
          <w:p>
            <w:pPr>
              <w:pStyle w:val="TableParagraph"/>
              <w:spacing w:line="228" w:lineRule="exact" w:before="2"/>
              <w:ind w:left="324" w:right="64" w:hanging="240"/>
              <w:rPr>
                <w:sz w:val="20"/>
              </w:rPr>
            </w:pPr>
            <w:r>
              <w:rPr>
                <w:sz w:val="20"/>
              </w:rPr>
              <w:t>Copper acetoarsenite (verde de París)</w:t>
            </w:r>
          </w:p>
        </w:tc>
        <w:tc>
          <w:tcPr>
            <w:tcW w:w="1305" w:type="dxa"/>
          </w:tcPr>
          <w:p>
            <w:pPr>
              <w:pStyle w:val="TableParagraph"/>
              <w:spacing w:line="225" w:lineRule="auto" w:before="8"/>
              <w:ind w:left="50" w:right="42"/>
              <w:jc w:val="center"/>
              <w:rPr>
                <w:sz w:val="13"/>
              </w:rPr>
            </w:pPr>
            <w:r>
              <w:rPr>
                <w:sz w:val="20"/>
              </w:rPr>
              <w:t>(CuO)</w:t>
            </w:r>
            <w:r>
              <w:rPr>
                <w:position w:val="-2"/>
                <w:sz w:val="13"/>
              </w:rPr>
              <w:t>3</w:t>
            </w:r>
            <w:r>
              <w:rPr>
                <w:sz w:val="20"/>
              </w:rPr>
              <w:t>As</w:t>
            </w:r>
            <w:r>
              <w:rPr>
                <w:position w:val="-2"/>
                <w:sz w:val="13"/>
              </w:rPr>
              <w:t>2 </w:t>
            </w:r>
            <w:r>
              <w:rPr>
                <w:sz w:val="20"/>
              </w:rPr>
              <w:t>O</w:t>
            </w:r>
            <w:r>
              <w:rPr>
                <w:position w:val="-2"/>
                <w:sz w:val="13"/>
              </w:rPr>
              <w:t>3</w:t>
            </w:r>
            <w:r>
              <w:rPr>
                <w:sz w:val="20"/>
              </w:rPr>
              <w:t>Cu (C</w:t>
            </w:r>
            <w:r>
              <w:rPr>
                <w:position w:val="-2"/>
                <w:sz w:val="13"/>
              </w:rPr>
              <w:t>2</w:t>
            </w:r>
            <w:r>
              <w:rPr>
                <w:sz w:val="20"/>
              </w:rPr>
              <w:t>H</w:t>
            </w:r>
            <w:r>
              <w:rPr>
                <w:position w:val="-2"/>
                <w:sz w:val="13"/>
              </w:rPr>
              <w:t>3</w:t>
            </w:r>
            <w:r>
              <w:rPr>
                <w:sz w:val="20"/>
              </w:rPr>
              <w:t>O</w:t>
            </w:r>
            <w:r>
              <w:rPr>
                <w:position w:val="-2"/>
                <w:sz w:val="13"/>
              </w:rPr>
              <w:t>2</w:t>
            </w:r>
            <w:r>
              <w:rPr>
                <w:sz w:val="20"/>
              </w:rPr>
              <w:t>)</w:t>
            </w:r>
            <w:r>
              <w:rPr>
                <w:position w:val="-2"/>
                <w:sz w:val="13"/>
              </w:rPr>
              <w:t>2</w:t>
            </w:r>
          </w:p>
        </w:tc>
        <w:tc>
          <w:tcPr>
            <w:tcW w:w="1384" w:type="dxa"/>
          </w:tcPr>
          <w:p>
            <w:pPr>
              <w:pStyle w:val="TableParagraph"/>
              <w:spacing w:line="227" w:lineRule="exact"/>
              <w:ind w:left="44" w:right="45"/>
              <w:jc w:val="center"/>
              <w:rPr>
                <w:sz w:val="20"/>
              </w:rPr>
            </w:pPr>
            <w:r>
              <w:rPr>
                <w:sz w:val="20"/>
              </w:rPr>
              <w:t>Colorante.</w:t>
            </w:r>
          </w:p>
        </w:tc>
        <w:tc>
          <w:tcPr>
            <w:tcW w:w="1297" w:type="dxa"/>
          </w:tcPr>
          <w:p>
            <w:pPr>
              <w:pStyle w:val="TableParagraph"/>
              <w:spacing w:line="227" w:lineRule="exact"/>
              <w:ind w:left="51" w:right="45"/>
              <w:jc w:val="center"/>
              <w:rPr>
                <w:sz w:val="20"/>
              </w:rPr>
            </w:pPr>
            <w:r>
              <w:rPr>
                <w:sz w:val="20"/>
              </w:rPr>
              <w:t>Azul.</w:t>
            </w:r>
          </w:p>
        </w:tc>
        <w:tc>
          <w:tcPr>
            <w:tcW w:w="2909" w:type="dxa"/>
          </w:tcPr>
          <w:p>
            <w:pPr>
              <w:pStyle w:val="TableParagraph"/>
              <w:ind w:left="191" w:right="195" w:firstLine="5"/>
              <w:jc w:val="center"/>
              <w:rPr>
                <w:sz w:val="20"/>
              </w:rPr>
            </w:pPr>
            <w:r>
              <w:rPr>
                <w:sz w:val="20"/>
              </w:rPr>
              <w:t>Rara vez usado debido a su alta toxicidad, pero crea uno de los mejores azules.</w:t>
            </w:r>
          </w:p>
        </w:tc>
      </w:tr>
      <w:tr>
        <w:trPr>
          <w:trHeight w:val="472" w:hRule="exact"/>
        </w:trPr>
        <w:tc>
          <w:tcPr>
            <w:tcW w:w="2088" w:type="dxa"/>
          </w:tcPr>
          <w:p>
            <w:pPr>
              <w:pStyle w:val="TableParagraph"/>
              <w:spacing w:line="223" w:lineRule="exact"/>
              <w:ind w:left="47" w:right="47"/>
              <w:jc w:val="center"/>
              <w:rPr>
                <w:b/>
                <w:sz w:val="20"/>
              </w:rPr>
            </w:pPr>
            <w:r>
              <w:rPr>
                <w:b/>
                <w:sz w:val="20"/>
              </w:rPr>
              <w:t>Carbonato de cobre</w:t>
            </w:r>
          </w:p>
        </w:tc>
        <w:tc>
          <w:tcPr>
            <w:tcW w:w="1305" w:type="dxa"/>
          </w:tcPr>
          <w:p>
            <w:pPr>
              <w:pStyle w:val="TableParagraph"/>
              <w:spacing w:line="242" w:lineRule="exact"/>
              <w:ind w:left="50" w:right="45"/>
              <w:jc w:val="center"/>
              <w:rPr>
                <w:sz w:val="13"/>
              </w:rPr>
            </w:pPr>
            <w:r>
              <w:rPr>
                <w:sz w:val="20"/>
              </w:rPr>
              <w:t>CuCO</w:t>
            </w:r>
            <w:r>
              <w:rPr>
                <w:position w:val="-2"/>
                <w:sz w:val="13"/>
              </w:rPr>
              <w:t>3</w:t>
            </w:r>
          </w:p>
        </w:tc>
        <w:tc>
          <w:tcPr>
            <w:tcW w:w="1384" w:type="dxa"/>
          </w:tcPr>
          <w:p>
            <w:pPr>
              <w:pStyle w:val="TableParagraph"/>
              <w:spacing w:line="227" w:lineRule="exact"/>
              <w:ind w:left="44" w:right="45"/>
              <w:jc w:val="center"/>
              <w:rPr>
                <w:sz w:val="20"/>
              </w:rPr>
            </w:pPr>
            <w:r>
              <w:rPr>
                <w:sz w:val="20"/>
              </w:rPr>
              <w:t>Colorante.</w:t>
            </w:r>
          </w:p>
        </w:tc>
        <w:tc>
          <w:tcPr>
            <w:tcW w:w="1297" w:type="dxa"/>
          </w:tcPr>
          <w:p>
            <w:pPr>
              <w:pStyle w:val="TableParagraph"/>
              <w:spacing w:line="227" w:lineRule="exact"/>
              <w:ind w:left="51" w:right="45"/>
              <w:jc w:val="center"/>
              <w:rPr>
                <w:sz w:val="20"/>
              </w:rPr>
            </w:pPr>
            <w:r>
              <w:rPr>
                <w:sz w:val="20"/>
              </w:rPr>
              <w:t>Azul.</w:t>
            </w:r>
          </w:p>
        </w:tc>
        <w:tc>
          <w:tcPr>
            <w:tcW w:w="2909" w:type="dxa"/>
          </w:tcPr>
          <w:p>
            <w:pPr>
              <w:pStyle w:val="TableParagraph"/>
              <w:spacing w:line="228" w:lineRule="exact" w:before="2"/>
              <w:ind w:left="483" w:right="232" w:hanging="236"/>
              <w:rPr>
                <w:sz w:val="20"/>
              </w:rPr>
            </w:pPr>
            <w:r>
              <w:rPr>
                <w:sz w:val="20"/>
              </w:rPr>
              <w:t>Usado frecuentemente con perclorato de amonio.</w:t>
            </w:r>
          </w:p>
        </w:tc>
      </w:tr>
      <w:tr>
        <w:trPr>
          <w:trHeight w:val="1160" w:hRule="exact"/>
        </w:trPr>
        <w:tc>
          <w:tcPr>
            <w:tcW w:w="2088" w:type="dxa"/>
          </w:tcPr>
          <w:p>
            <w:pPr>
              <w:pStyle w:val="TableParagraph"/>
              <w:spacing w:line="219" w:lineRule="exact"/>
              <w:ind w:left="47" w:right="42"/>
              <w:jc w:val="center"/>
              <w:rPr>
                <w:b/>
                <w:sz w:val="20"/>
              </w:rPr>
            </w:pPr>
            <w:r>
              <w:rPr>
                <w:b/>
                <w:sz w:val="20"/>
              </w:rPr>
              <w:t>Cloruro de cobre</w:t>
            </w:r>
          </w:p>
        </w:tc>
        <w:tc>
          <w:tcPr>
            <w:tcW w:w="1305" w:type="dxa"/>
          </w:tcPr>
          <w:p>
            <w:pPr>
              <w:pStyle w:val="TableParagraph"/>
              <w:spacing w:line="223" w:lineRule="exact"/>
              <w:ind w:left="50" w:right="45"/>
              <w:jc w:val="center"/>
              <w:rPr>
                <w:sz w:val="20"/>
              </w:rPr>
            </w:pPr>
            <w:r>
              <w:rPr>
                <w:sz w:val="20"/>
              </w:rPr>
              <w:t>CuCl</w:t>
            </w:r>
          </w:p>
        </w:tc>
        <w:tc>
          <w:tcPr>
            <w:tcW w:w="1384" w:type="dxa"/>
          </w:tcPr>
          <w:p>
            <w:pPr>
              <w:pStyle w:val="TableParagraph"/>
              <w:spacing w:line="223" w:lineRule="exact"/>
              <w:ind w:left="44" w:right="45"/>
              <w:jc w:val="center"/>
              <w:rPr>
                <w:sz w:val="20"/>
              </w:rPr>
            </w:pPr>
            <w:r>
              <w:rPr>
                <w:sz w:val="20"/>
              </w:rPr>
              <w:t>Colorante.</w:t>
            </w:r>
          </w:p>
        </w:tc>
        <w:tc>
          <w:tcPr>
            <w:tcW w:w="1297" w:type="dxa"/>
          </w:tcPr>
          <w:p>
            <w:pPr>
              <w:pStyle w:val="TableParagraph"/>
              <w:spacing w:line="223" w:lineRule="exact"/>
              <w:ind w:left="51" w:right="45"/>
              <w:jc w:val="center"/>
              <w:rPr>
                <w:sz w:val="20"/>
              </w:rPr>
            </w:pPr>
            <w:r>
              <w:rPr>
                <w:sz w:val="20"/>
              </w:rPr>
              <w:t>Azul.</w:t>
            </w:r>
          </w:p>
        </w:tc>
        <w:tc>
          <w:tcPr>
            <w:tcW w:w="2909" w:type="dxa"/>
          </w:tcPr>
          <w:p>
            <w:pPr>
              <w:pStyle w:val="TableParagraph"/>
              <w:ind w:left="87" w:right="88" w:hanging="3"/>
              <w:jc w:val="center"/>
              <w:rPr>
                <w:sz w:val="20"/>
              </w:rPr>
            </w:pPr>
            <w:r>
              <w:rPr>
                <w:sz w:val="20"/>
              </w:rPr>
              <w:t>El agente con llama azul más rico de todos, es usado con un gran número de oxidantes.</w:t>
            </w:r>
          </w:p>
          <w:p>
            <w:pPr>
              <w:pStyle w:val="TableParagraph"/>
              <w:spacing w:before="2"/>
              <w:ind w:left="73" w:right="74"/>
              <w:jc w:val="center"/>
              <w:rPr>
                <w:sz w:val="20"/>
              </w:rPr>
            </w:pPr>
            <w:r>
              <w:rPr>
                <w:sz w:val="20"/>
              </w:rPr>
              <w:t>Buenas características higroscópicas.</w:t>
            </w:r>
          </w:p>
        </w:tc>
      </w:tr>
      <w:tr>
        <w:trPr>
          <w:trHeight w:val="929" w:hRule="exact"/>
        </w:trPr>
        <w:tc>
          <w:tcPr>
            <w:tcW w:w="2088" w:type="dxa"/>
          </w:tcPr>
          <w:p>
            <w:pPr>
              <w:pStyle w:val="TableParagraph"/>
              <w:spacing w:line="219" w:lineRule="exact"/>
              <w:ind w:left="47" w:right="43"/>
              <w:jc w:val="center"/>
              <w:rPr>
                <w:b/>
                <w:sz w:val="20"/>
              </w:rPr>
            </w:pPr>
            <w:r>
              <w:rPr>
                <w:b/>
                <w:sz w:val="20"/>
              </w:rPr>
              <w:t>Cobre metálico</w:t>
            </w:r>
          </w:p>
        </w:tc>
        <w:tc>
          <w:tcPr>
            <w:tcW w:w="1305" w:type="dxa"/>
          </w:tcPr>
          <w:p>
            <w:pPr>
              <w:pStyle w:val="TableParagraph"/>
              <w:spacing w:line="223" w:lineRule="exact"/>
              <w:ind w:left="45" w:right="45"/>
              <w:jc w:val="center"/>
              <w:rPr>
                <w:sz w:val="20"/>
              </w:rPr>
            </w:pPr>
            <w:r>
              <w:rPr>
                <w:sz w:val="20"/>
              </w:rPr>
              <w:t>Cu</w:t>
            </w:r>
          </w:p>
        </w:tc>
        <w:tc>
          <w:tcPr>
            <w:tcW w:w="1384" w:type="dxa"/>
          </w:tcPr>
          <w:p>
            <w:pPr>
              <w:pStyle w:val="TableParagraph"/>
              <w:spacing w:line="223" w:lineRule="exact"/>
              <w:ind w:left="44" w:right="45"/>
              <w:jc w:val="center"/>
              <w:rPr>
                <w:sz w:val="20"/>
              </w:rPr>
            </w:pPr>
            <w:r>
              <w:rPr>
                <w:sz w:val="20"/>
              </w:rPr>
              <w:t>Colorante.</w:t>
            </w:r>
          </w:p>
        </w:tc>
        <w:tc>
          <w:tcPr>
            <w:tcW w:w="1297" w:type="dxa"/>
          </w:tcPr>
          <w:p>
            <w:pPr>
              <w:pStyle w:val="TableParagraph"/>
              <w:spacing w:line="223" w:lineRule="exact"/>
              <w:ind w:left="51" w:right="50"/>
              <w:jc w:val="center"/>
              <w:rPr>
                <w:sz w:val="20"/>
              </w:rPr>
            </w:pPr>
            <w:r>
              <w:rPr>
                <w:sz w:val="20"/>
              </w:rPr>
              <w:t>Azul, Verde.</w:t>
            </w:r>
          </w:p>
        </w:tc>
        <w:tc>
          <w:tcPr>
            <w:tcW w:w="2909" w:type="dxa"/>
          </w:tcPr>
          <w:p>
            <w:pPr>
              <w:pStyle w:val="TableParagraph"/>
              <w:ind w:left="176" w:right="178" w:firstLine="7"/>
              <w:jc w:val="center"/>
              <w:rPr>
                <w:sz w:val="20"/>
              </w:rPr>
            </w:pPr>
            <w:r>
              <w:rPr>
                <w:sz w:val="20"/>
              </w:rPr>
              <w:t>Utilizado raramente puesto que otros compuestos son más fáciles de trabajar y son más eficaces.</w:t>
            </w:r>
          </w:p>
        </w:tc>
      </w:tr>
      <w:tr>
        <w:trPr>
          <w:trHeight w:val="932" w:hRule="exact"/>
        </w:trPr>
        <w:tc>
          <w:tcPr>
            <w:tcW w:w="2088" w:type="dxa"/>
          </w:tcPr>
          <w:p>
            <w:pPr>
              <w:pStyle w:val="TableParagraph"/>
              <w:spacing w:line="223" w:lineRule="exact"/>
              <w:ind w:left="47" w:right="42"/>
              <w:jc w:val="center"/>
              <w:rPr>
                <w:b/>
                <w:sz w:val="20"/>
              </w:rPr>
            </w:pPr>
            <w:r>
              <w:rPr>
                <w:b/>
                <w:sz w:val="20"/>
              </w:rPr>
              <w:t>Oxicloruro de cobre</w:t>
            </w:r>
          </w:p>
        </w:tc>
        <w:tc>
          <w:tcPr>
            <w:tcW w:w="1305" w:type="dxa"/>
          </w:tcPr>
          <w:p>
            <w:pPr>
              <w:pStyle w:val="TableParagraph"/>
              <w:spacing w:line="249" w:lineRule="exact"/>
              <w:ind w:left="45" w:right="45"/>
              <w:jc w:val="center"/>
              <w:rPr>
                <w:rFonts w:ascii="Symbol" w:hAnsi="Symbol"/>
                <w:sz w:val="20"/>
              </w:rPr>
            </w:pPr>
            <w:r>
              <w:rPr>
                <w:sz w:val="20"/>
              </w:rPr>
              <w:t>3Cu(OH)</w:t>
            </w:r>
            <w:r>
              <w:rPr>
                <w:position w:val="-2"/>
                <w:sz w:val="13"/>
              </w:rPr>
              <w:t>2 </w:t>
            </w:r>
            <w:r>
              <w:rPr>
                <w:rFonts w:ascii="Symbol" w:hAnsi="Symbol"/>
                <w:sz w:val="20"/>
              </w:rPr>
              <w:t></w:t>
            </w:r>
          </w:p>
          <w:p>
            <w:pPr>
              <w:pStyle w:val="TableParagraph"/>
              <w:spacing w:line="237" w:lineRule="exact"/>
              <w:ind w:left="50" w:right="41"/>
              <w:jc w:val="center"/>
              <w:rPr>
                <w:sz w:val="13"/>
              </w:rPr>
            </w:pPr>
            <w:r>
              <w:rPr>
                <w:sz w:val="20"/>
              </w:rPr>
              <w:t>CuCl</w:t>
            </w:r>
            <w:r>
              <w:rPr>
                <w:position w:val="-2"/>
                <w:sz w:val="13"/>
              </w:rPr>
              <w:t>2</w:t>
            </w:r>
          </w:p>
        </w:tc>
        <w:tc>
          <w:tcPr>
            <w:tcW w:w="1384" w:type="dxa"/>
          </w:tcPr>
          <w:p>
            <w:pPr>
              <w:pStyle w:val="TableParagraph"/>
              <w:spacing w:line="228" w:lineRule="exact" w:before="2"/>
              <w:ind w:left="163" w:right="148" w:firstLine="8"/>
              <w:rPr>
                <w:sz w:val="20"/>
              </w:rPr>
            </w:pPr>
            <w:r>
              <w:rPr>
                <w:sz w:val="20"/>
              </w:rPr>
              <w:t>Colorante y oxigenador.</w:t>
            </w:r>
          </w:p>
        </w:tc>
        <w:tc>
          <w:tcPr>
            <w:tcW w:w="1297" w:type="dxa"/>
          </w:tcPr>
          <w:p>
            <w:pPr>
              <w:pStyle w:val="TableParagraph"/>
              <w:spacing w:line="227" w:lineRule="exact"/>
              <w:ind w:left="51" w:right="45"/>
              <w:jc w:val="center"/>
              <w:rPr>
                <w:sz w:val="20"/>
              </w:rPr>
            </w:pPr>
            <w:r>
              <w:rPr>
                <w:sz w:val="20"/>
              </w:rPr>
              <w:t>Azul.</w:t>
            </w:r>
          </w:p>
        </w:tc>
        <w:tc>
          <w:tcPr>
            <w:tcW w:w="2909" w:type="dxa"/>
          </w:tcPr>
          <w:p>
            <w:pPr>
              <w:pStyle w:val="TableParagraph"/>
              <w:ind w:left="92" w:right="94" w:firstLine="4"/>
              <w:jc w:val="center"/>
              <w:rPr>
                <w:sz w:val="20"/>
              </w:rPr>
            </w:pPr>
            <w:r>
              <w:rPr>
                <w:sz w:val="20"/>
              </w:rPr>
              <w:t>No utilizado mucho en fuegos artificiales modernos debido a la necesidad del cloruro del mercurio para resaltar el color.</w:t>
            </w:r>
          </w:p>
        </w:tc>
      </w:tr>
      <w:tr>
        <w:trPr>
          <w:trHeight w:val="468" w:hRule="exact"/>
        </w:trPr>
        <w:tc>
          <w:tcPr>
            <w:tcW w:w="2088" w:type="dxa"/>
          </w:tcPr>
          <w:p>
            <w:pPr>
              <w:pStyle w:val="TableParagraph"/>
              <w:spacing w:line="219" w:lineRule="exact"/>
              <w:ind w:left="47" w:right="46"/>
              <w:jc w:val="center"/>
              <w:rPr>
                <w:b/>
                <w:sz w:val="20"/>
              </w:rPr>
            </w:pPr>
            <w:r>
              <w:rPr>
                <w:b/>
                <w:sz w:val="20"/>
              </w:rPr>
              <w:t>Oxido de cobre</w:t>
            </w:r>
          </w:p>
        </w:tc>
        <w:tc>
          <w:tcPr>
            <w:tcW w:w="1305" w:type="dxa"/>
          </w:tcPr>
          <w:p>
            <w:pPr>
              <w:pStyle w:val="TableParagraph"/>
              <w:spacing w:line="223" w:lineRule="exact"/>
              <w:ind w:left="48" w:right="45"/>
              <w:jc w:val="center"/>
              <w:rPr>
                <w:sz w:val="20"/>
              </w:rPr>
            </w:pPr>
            <w:r>
              <w:rPr>
                <w:sz w:val="20"/>
              </w:rPr>
              <w:t>CuO</w:t>
            </w:r>
          </w:p>
        </w:tc>
        <w:tc>
          <w:tcPr>
            <w:tcW w:w="1384" w:type="dxa"/>
          </w:tcPr>
          <w:p>
            <w:pPr>
              <w:pStyle w:val="TableParagraph"/>
              <w:spacing w:line="242" w:lineRule="auto"/>
              <w:ind w:left="163" w:right="148" w:firstLine="8"/>
              <w:rPr>
                <w:sz w:val="20"/>
              </w:rPr>
            </w:pPr>
            <w:r>
              <w:rPr>
                <w:sz w:val="20"/>
              </w:rPr>
              <w:t>Colorante y oxigenador.</w:t>
            </w:r>
          </w:p>
        </w:tc>
        <w:tc>
          <w:tcPr>
            <w:tcW w:w="1297" w:type="dxa"/>
          </w:tcPr>
          <w:p>
            <w:pPr>
              <w:pStyle w:val="TableParagraph"/>
              <w:spacing w:line="223" w:lineRule="exact"/>
              <w:ind w:left="51" w:right="45"/>
              <w:jc w:val="center"/>
              <w:rPr>
                <w:sz w:val="20"/>
              </w:rPr>
            </w:pPr>
            <w:r>
              <w:rPr>
                <w:sz w:val="20"/>
              </w:rPr>
              <w:t>Azul.</w:t>
            </w:r>
          </w:p>
        </w:tc>
        <w:tc>
          <w:tcPr>
            <w:tcW w:w="2909" w:type="dxa"/>
          </w:tcPr>
          <w:p>
            <w:pPr/>
          </w:p>
        </w:tc>
      </w:tr>
      <w:tr>
        <w:trPr>
          <w:trHeight w:val="701" w:hRule="exact"/>
        </w:trPr>
        <w:tc>
          <w:tcPr>
            <w:tcW w:w="2088" w:type="dxa"/>
          </w:tcPr>
          <w:p>
            <w:pPr>
              <w:pStyle w:val="TableParagraph"/>
              <w:ind w:left="123" w:right="121" w:hanging="4"/>
              <w:jc w:val="center"/>
              <w:rPr>
                <w:b/>
                <w:sz w:val="20"/>
              </w:rPr>
            </w:pPr>
            <w:r>
              <w:rPr>
                <w:b/>
                <w:sz w:val="20"/>
              </w:rPr>
              <w:t>Sales de cobre (excepto clorato de cobre)</w:t>
            </w:r>
          </w:p>
        </w:tc>
        <w:tc>
          <w:tcPr>
            <w:tcW w:w="1305" w:type="dxa"/>
          </w:tcPr>
          <w:p>
            <w:pPr/>
          </w:p>
        </w:tc>
        <w:tc>
          <w:tcPr>
            <w:tcW w:w="1384" w:type="dxa"/>
          </w:tcPr>
          <w:p>
            <w:pPr>
              <w:pStyle w:val="TableParagraph"/>
              <w:spacing w:line="227" w:lineRule="exact"/>
              <w:ind w:left="44" w:right="45"/>
              <w:jc w:val="center"/>
              <w:rPr>
                <w:sz w:val="20"/>
              </w:rPr>
            </w:pPr>
            <w:r>
              <w:rPr>
                <w:sz w:val="20"/>
              </w:rPr>
              <w:t>Colorante.</w:t>
            </w:r>
          </w:p>
        </w:tc>
        <w:tc>
          <w:tcPr>
            <w:tcW w:w="1297" w:type="dxa"/>
          </w:tcPr>
          <w:p>
            <w:pPr>
              <w:pStyle w:val="TableParagraph"/>
              <w:spacing w:line="227" w:lineRule="exact"/>
              <w:ind w:left="51" w:right="45"/>
              <w:jc w:val="center"/>
              <w:rPr>
                <w:sz w:val="20"/>
              </w:rPr>
            </w:pPr>
            <w:r>
              <w:rPr>
                <w:sz w:val="20"/>
              </w:rPr>
              <w:t>Azul.</w:t>
            </w:r>
          </w:p>
        </w:tc>
        <w:tc>
          <w:tcPr>
            <w:tcW w:w="2909" w:type="dxa"/>
          </w:tcPr>
          <w:p>
            <w:pPr/>
          </w:p>
        </w:tc>
      </w:tr>
      <w:tr>
        <w:trPr>
          <w:trHeight w:val="1160" w:hRule="exact"/>
        </w:trPr>
        <w:tc>
          <w:tcPr>
            <w:tcW w:w="2088" w:type="dxa"/>
          </w:tcPr>
          <w:p>
            <w:pPr>
              <w:pStyle w:val="TableParagraph"/>
              <w:spacing w:line="237" w:lineRule="auto"/>
              <w:ind w:left="439" w:right="183" w:hanging="240"/>
              <w:rPr>
                <w:b/>
                <w:sz w:val="20"/>
              </w:rPr>
            </w:pPr>
            <w:r>
              <w:rPr>
                <w:b/>
                <w:sz w:val="20"/>
              </w:rPr>
              <w:t>Criolita (mástil de groenlandia)</w:t>
            </w:r>
          </w:p>
        </w:tc>
        <w:tc>
          <w:tcPr>
            <w:tcW w:w="1305" w:type="dxa"/>
          </w:tcPr>
          <w:p>
            <w:pPr>
              <w:pStyle w:val="TableParagraph"/>
              <w:spacing w:line="242" w:lineRule="exact"/>
              <w:ind w:left="50" w:right="41"/>
              <w:jc w:val="center"/>
              <w:rPr>
                <w:sz w:val="13"/>
              </w:rPr>
            </w:pPr>
            <w:r>
              <w:rPr>
                <w:sz w:val="20"/>
              </w:rPr>
              <w:t>Na</w:t>
            </w:r>
            <w:r>
              <w:rPr>
                <w:position w:val="-2"/>
                <w:sz w:val="13"/>
              </w:rPr>
              <w:t>3</w:t>
            </w:r>
            <w:r>
              <w:rPr>
                <w:sz w:val="20"/>
              </w:rPr>
              <w:t>AlF</w:t>
            </w:r>
            <w:r>
              <w:rPr>
                <w:position w:val="-2"/>
                <w:sz w:val="13"/>
              </w:rPr>
              <w:t>6</w:t>
            </w:r>
          </w:p>
        </w:tc>
        <w:tc>
          <w:tcPr>
            <w:tcW w:w="1384" w:type="dxa"/>
          </w:tcPr>
          <w:p>
            <w:pPr>
              <w:pStyle w:val="TableParagraph"/>
              <w:spacing w:line="227" w:lineRule="exact"/>
              <w:ind w:left="45" w:right="45"/>
              <w:jc w:val="center"/>
              <w:rPr>
                <w:sz w:val="20"/>
              </w:rPr>
            </w:pPr>
            <w:r>
              <w:rPr>
                <w:sz w:val="20"/>
              </w:rPr>
              <w:t>Colorante.</w:t>
            </w:r>
          </w:p>
        </w:tc>
        <w:tc>
          <w:tcPr>
            <w:tcW w:w="1297" w:type="dxa"/>
          </w:tcPr>
          <w:p>
            <w:pPr>
              <w:pStyle w:val="TableParagraph"/>
              <w:spacing w:line="227" w:lineRule="exact"/>
              <w:ind w:left="51" w:right="46"/>
              <w:jc w:val="center"/>
              <w:rPr>
                <w:sz w:val="20"/>
              </w:rPr>
            </w:pPr>
            <w:r>
              <w:rPr>
                <w:sz w:val="20"/>
              </w:rPr>
              <w:t>Amarillo</w:t>
            </w:r>
          </w:p>
        </w:tc>
        <w:tc>
          <w:tcPr>
            <w:tcW w:w="2909" w:type="dxa"/>
          </w:tcPr>
          <w:p>
            <w:pPr>
              <w:pStyle w:val="TableParagraph"/>
              <w:ind w:left="163" w:right="166" w:firstLine="1"/>
              <w:jc w:val="center"/>
              <w:rPr>
                <w:sz w:val="20"/>
              </w:rPr>
            </w:pPr>
            <w:r>
              <w:rPr>
                <w:sz w:val="20"/>
              </w:rPr>
              <w:t>Una sal del sodio que no absorbe el agua, haciéndolo ideal para el uso en composiciones de los fuegos artificiales.</w:t>
            </w:r>
          </w:p>
        </w:tc>
      </w:tr>
      <w:tr>
        <w:trPr>
          <w:trHeight w:val="720" w:hRule="exact"/>
        </w:trPr>
        <w:tc>
          <w:tcPr>
            <w:tcW w:w="2088" w:type="dxa"/>
          </w:tcPr>
          <w:p>
            <w:pPr>
              <w:pStyle w:val="TableParagraph"/>
              <w:rPr>
                <w:b/>
                <w:sz w:val="20"/>
              </w:rPr>
            </w:pPr>
          </w:p>
          <w:p>
            <w:pPr>
              <w:pStyle w:val="TableParagraph"/>
              <w:spacing w:before="1"/>
              <w:rPr>
                <w:b/>
                <w:sz w:val="21"/>
              </w:rPr>
            </w:pPr>
          </w:p>
          <w:p>
            <w:pPr>
              <w:pStyle w:val="TableParagraph"/>
              <w:ind w:left="46" w:right="47"/>
              <w:jc w:val="center"/>
              <w:rPr>
                <w:b/>
                <w:sz w:val="20"/>
              </w:rPr>
            </w:pPr>
            <w:r>
              <w:rPr>
                <w:b/>
                <w:sz w:val="20"/>
              </w:rPr>
              <w:t>Dextrina</w:t>
            </w:r>
          </w:p>
        </w:tc>
        <w:tc>
          <w:tcPr>
            <w:tcW w:w="1305" w:type="dxa"/>
          </w:tcPr>
          <w:p>
            <w:pPr>
              <w:pStyle w:val="TableParagraph"/>
              <w:spacing w:line="242" w:lineRule="exact"/>
              <w:ind w:left="50" w:right="45"/>
              <w:jc w:val="center"/>
              <w:rPr>
                <w:sz w:val="13"/>
              </w:rPr>
            </w:pPr>
            <w:r>
              <w:rPr>
                <w:sz w:val="20"/>
              </w:rPr>
              <w:t>(C</w:t>
            </w:r>
            <w:r>
              <w:rPr>
                <w:position w:val="-2"/>
                <w:sz w:val="13"/>
              </w:rPr>
              <w:t>6</w:t>
            </w:r>
            <w:r>
              <w:rPr>
                <w:sz w:val="20"/>
              </w:rPr>
              <w:t>H</w:t>
            </w:r>
            <w:r>
              <w:rPr>
                <w:position w:val="-2"/>
                <w:sz w:val="13"/>
              </w:rPr>
              <w:t>10</w:t>
            </w:r>
            <w:r>
              <w:rPr>
                <w:sz w:val="20"/>
              </w:rPr>
              <w:t>O</w:t>
            </w:r>
            <w:r>
              <w:rPr>
                <w:position w:val="-2"/>
                <w:sz w:val="13"/>
              </w:rPr>
              <w:t>5</w:t>
            </w:r>
            <w:r>
              <w:rPr>
                <w:sz w:val="20"/>
              </w:rPr>
              <w:t>)</w:t>
            </w:r>
            <w:r>
              <w:rPr>
                <w:position w:val="-2"/>
                <w:sz w:val="13"/>
              </w:rPr>
              <w:t>n</w:t>
            </w:r>
          </w:p>
        </w:tc>
        <w:tc>
          <w:tcPr>
            <w:tcW w:w="1384" w:type="dxa"/>
          </w:tcPr>
          <w:p>
            <w:pPr>
              <w:pStyle w:val="TableParagraph"/>
              <w:spacing w:line="227" w:lineRule="exact"/>
              <w:ind w:left="45" w:right="44"/>
              <w:jc w:val="center"/>
              <w:rPr>
                <w:sz w:val="20"/>
              </w:rPr>
            </w:pPr>
            <w:r>
              <w:rPr>
                <w:sz w:val="20"/>
              </w:rPr>
              <w:t>Combustible.</w:t>
            </w:r>
          </w:p>
        </w:tc>
        <w:tc>
          <w:tcPr>
            <w:tcW w:w="1297" w:type="dxa"/>
          </w:tcPr>
          <w:p>
            <w:pPr/>
          </w:p>
        </w:tc>
        <w:tc>
          <w:tcPr>
            <w:tcW w:w="2909" w:type="dxa"/>
          </w:tcPr>
          <w:p>
            <w:pPr>
              <w:pStyle w:val="TableParagraph"/>
              <w:spacing w:line="228" w:lineRule="exact" w:before="2"/>
              <w:ind w:left="348" w:right="331" w:firstLine="40"/>
              <w:rPr>
                <w:sz w:val="20"/>
              </w:rPr>
            </w:pPr>
            <w:r>
              <w:rPr>
                <w:sz w:val="20"/>
              </w:rPr>
              <w:t>Barato, fácil de utilizar y trabajar, soluble en agua</w:t>
            </w:r>
          </w:p>
        </w:tc>
      </w:tr>
      <w:tr>
        <w:trPr>
          <w:trHeight w:val="1160" w:hRule="exact"/>
        </w:trPr>
        <w:tc>
          <w:tcPr>
            <w:tcW w:w="2088" w:type="dxa"/>
          </w:tcPr>
          <w:p>
            <w:pPr>
              <w:pStyle w:val="TableParagraph"/>
              <w:spacing w:line="237" w:lineRule="auto"/>
              <w:ind w:left="784" w:right="103" w:hanging="661"/>
              <w:rPr>
                <w:b/>
                <w:sz w:val="20"/>
              </w:rPr>
            </w:pPr>
            <w:r>
              <w:rPr>
                <w:b/>
                <w:sz w:val="20"/>
              </w:rPr>
              <w:t>Ácido gálico (ácido 3,4,5-</w:t>
            </w:r>
          </w:p>
          <w:p>
            <w:pPr>
              <w:pStyle w:val="TableParagraph"/>
              <w:spacing w:before="2"/>
              <w:ind w:left="84"/>
              <w:rPr>
                <w:b/>
                <w:sz w:val="20"/>
              </w:rPr>
            </w:pPr>
            <w:r>
              <w:rPr>
                <w:b/>
                <w:sz w:val="20"/>
              </w:rPr>
              <w:t>trihydroxybenzoico)</w:t>
            </w:r>
          </w:p>
        </w:tc>
        <w:tc>
          <w:tcPr>
            <w:tcW w:w="1305" w:type="dxa"/>
          </w:tcPr>
          <w:p>
            <w:pPr>
              <w:pStyle w:val="TableParagraph"/>
              <w:spacing w:line="228" w:lineRule="exact" w:before="2"/>
              <w:ind w:left="372" w:right="295" w:hanging="52"/>
              <w:rPr>
                <w:sz w:val="20"/>
              </w:rPr>
            </w:pPr>
            <w:r>
              <w:rPr>
                <w:sz w:val="20"/>
              </w:rPr>
              <w:t>C</w:t>
            </w:r>
            <w:r>
              <w:rPr>
                <w:position w:val="-2"/>
                <w:sz w:val="13"/>
              </w:rPr>
              <w:t>7</w:t>
            </w:r>
            <w:r>
              <w:rPr>
                <w:sz w:val="20"/>
              </w:rPr>
              <w:t>H</w:t>
            </w:r>
            <w:r>
              <w:rPr>
                <w:position w:val="-2"/>
                <w:sz w:val="13"/>
              </w:rPr>
              <w:t>6</w:t>
            </w:r>
            <w:r>
              <w:rPr>
                <w:sz w:val="20"/>
              </w:rPr>
              <w:t>O</w:t>
            </w:r>
            <w:r>
              <w:rPr>
                <w:position w:val="-2"/>
                <w:sz w:val="13"/>
              </w:rPr>
              <w:t>5 </w:t>
            </w:r>
            <w:r>
              <w:rPr>
                <w:sz w:val="20"/>
              </w:rPr>
              <w:t>5·H</w:t>
            </w:r>
            <w:r>
              <w:rPr>
                <w:position w:val="-2"/>
                <w:sz w:val="13"/>
              </w:rPr>
              <w:t>2</w:t>
            </w:r>
            <w:r>
              <w:rPr>
                <w:sz w:val="20"/>
              </w:rPr>
              <w:t>O</w:t>
            </w:r>
          </w:p>
        </w:tc>
        <w:tc>
          <w:tcPr>
            <w:tcW w:w="1384" w:type="dxa"/>
          </w:tcPr>
          <w:p>
            <w:pPr>
              <w:pStyle w:val="TableParagraph"/>
              <w:spacing w:line="227" w:lineRule="exact"/>
              <w:ind w:left="45" w:right="44"/>
              <w:jc w:val="center"/>
              <w:rPr>
                <w:sz w:val="20"/>
              </w:rPr>
            </w:pPr>
            <w:r>
              <w:rPr>
                <w:sz w:val="20"/>
              </w:rPr>
              <w:t>Combustible.</w:t>
            </w:r>
          </w:p>
        </w:tc>
        <w:tc>
          <w:tcPr>
            <w:tcW w:w="1297" w:type="dxa"/>
          </w:tcPr>
          <w:p>
            <w:pPr>
              <w:pStyle w:val="TableParagraph"/>
              <w:spacing w:line="227" w:lineRule="exact"/>
              <w:ind w:left="51" w:right="45"/>
              <w:jc w:val="center"/>
              <w:rPr>
                <w:sz w:val="20"/>
              </w:rPr>
            </w:pPr>
            <w:r>
              <w:rPr>
                <w:sz w:val="20"/>
              </w:rPr>
              <w:t>Silbidos.</w:t>
            </w:r>
          </w:p>
        </w:tc>
        <w:tc>
          <w:tcPr>
            <w:tcW w:w="2909" w:type="dxa"/>
          </w:tcPr>
          <w:p>
            <w:pPr>
              <w:pStyle w:val="TableParagraph"/>
              <w:ind w:left="107" w:right="112" w:firstLine="4"/>
              <w:jc w:val="center"/>
              <w:rPr>
                <w:sz w:val="20"/>
              </w:rPr>
            </w:pPr>
            <w:r>
              <w:rPr>
                <w:sz w:val="20"/>
              </w:rPr>
              <w:t>Sensible al impacto y a la fricción si está combinado con clorato de potasio e incluso con perclorato de potasio. No es de uso frecuente.</w:t>
            </w:r>
          </w:p>
        </w:tc>
      </w:tr>
      <w:tr>
        <w:trPr>
          <w:trHeight w:val="929" w:hRule="exact"/>
        </w:trPr>
        <w:tc>
          <w:tcPr>
            <w:tcW w:w="2088" w:type="dxa"/>
          </w:tcPr>
          <w:p>
            <w:pPr>
              <w:pStyle w:val="TableParagraph"/>
              <w:ind w:left="84" w:right="81" w:hanging="4"/>
              <w:jc w:val="center"/>
              <w:rPr>
                <w:b/>
                <w:sz w:val="20"/>
              </w:rPr>
            </w:pPr>
            <w:r>
              <w:rPr>
                <w:b/>
                <w:sz w:val="20"/>
              </w:rPr>
              <w:t>Resinas de goma (resina del accroid, goma laca, goma de copal y goma roja)</w:t>
            </w:r>
          </w:p>
        </w:tc>
        <w:tc>
          <w:tcPr>
            <w:tcW w:w="1305" w:type="dxa"/>
          </w:tcPr>
          <w:p>
            <w:pPr/>
          </w:p>
        </w:tc>
        <w:tc>
          <w:tcPr>
            <w:tcW w:w="1384" w:type="dxa"/>
          </w:tcPr>
          <w:p>
            <w:pPr>
              <w:pStyle w:val="TableParagraph"/>
              <w:spacing w:line="227" w:lineRule="exact"/>
              <w:ind w:left="45" w:right="44"/>
              <w:jc w:val="center"/>
              <w:rPr>
                <w:sz w:val="20"/>
              </w:rPr>
            </w:pPr>
            <w:r>
              <w:rPr>
                <w:sz w:val="20"/>
              </w:rPr>
              <w:t>Combustible.</w:t>
            </w:r>
          </w:p>
        </w:tc>
        <w:tc>
          <w:tcPr>
            <w:tcW w:w="1297" w:type="dxa"/>
          </w:tcPr>
          <w:p>
            <w:pPr/>
          </w:p>
        </w:tc>
        <w:tc>
          <w:tcPr>
            <w:tcW w:w="2909" w:type="dxa"/>
          </w:tcPr>
          <w:p>
            <w:pPr>
              <w:pStyle w:val="TableParagraph"/>
              <w:ind w:left="72" w:right="74"/>
              <w:jc w:val="center"/>
              <w:rPr>
                <w:sz w:val="20"/>
              </w:rPr>
            </w:pPr>
            <w:r>
              <w:rPr>
                <w:sz w:val="20"/>
              </w:rPr>
              <w:t>Usada menos que la dextrina, pero trabaja bien para las mezclas específicas.</w:t>
            </w:r>
          </w:p>
        </w:tc>
      </w:tr>
    </w:tbl>
    <w:p>
      <w:pPr>
        <w:spacing w:after="0"/>
        <w:jc w:val="center"/>
        <w:rPr>
          <w:sz w:val="20"/>
        </w:rPr>
        <w:sectPr>
          <w:pgSz w:w="12240" w:h="15840"/>
          <w:pgMar w:header="0" w:footer="1011" w:top="1420" w:bottom="1200" w:left="1520" w:right="15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2"/>
              <w:rPr>
                <w:b/>
                <w:sz w:val="19"/>
              </w:rPr>
            </w:pPr>
          </w:p>
          <w:p>
            <w:pPr>
              <w:pStyle w:val="TableParagraph"/>
              <w:ind w:left="604" w:right="375" w:hanging="208"/>
              <w:rPr>
                <w:b/>
                <w:sz w:val="20"/>
              </w:rPr>
            </w:pPr>
            <w:r>
              <w:rPr>
                <w:b/>
                <w:sz w:val="20"/>
              </w:rPr>
              <w:t>COMPUESTO QUÍMICO</w:t>
            </w:r>
          </w:p>
        </w:tc>
        <w:tc>
          <w:tcPr>
            <w:tcW w:w="1305" w:type="dxa"/>
          </w:tcPr>
          <w:p>
            <w:pPr>
              <w:pStyle w:val="TableParagraph"/>
              <w:rPr>
                <w:b/>
                <w:sz w:val="20"/>
              </w:rPr>
            </w:pPr>
          </w:p>
          <w:p>
            <w:pPr>
              <w:pStyle w:val="TableParagraph"/>
              <w:spacing w:before="1"/>
              <w:rPr>
                <w:b/>
                <w:sz w:val="21"/>
              </w:rPr>
            </w:pPr>
          </w:p>
          <w:p>
            <w:pPr>
              <w:pStyle w:val="TableParagraph"/>
              <w:ind w:left="45" w:right="45"/>
              <w:jc w:val="center"/>
              <w:rPr>
                <w:b/>
                <w:sz w:val="20"/>
              </w:rPr>
            </w:pPr>
            <w:r>
              <w:rPr>
                <w:b/>
                <w:sz w:val="20"/>
              </w:rPr>
              <w:t>FORMULA</w:t>
            </w:r>
          </w:p>
        </w:tc>
        <w:tc>
          <w:tcPr>
            <w:tcW w:w="1384" w:type="dxa"/>
          </w:tcPr>
          <w:p>
            <w:pPr>
              <w:pStyle w:val="TableParagraph"/>
              <w:rPr>
                <w:b/>
                <w:sz w:val="20"/>
              </w:rPr>
            </w:pPr>
          </w:p>
          <w:p>
            <w:pPr>
              <w:pStyle w:val="TableParagraph"/>
              <w:spacing w:before="1"/>
              <w:rPr>
                <w:b/>
                <w:sz w:val="21"/>
              </w:rPr>
            </w:pPr>
          </w:p>
          <w:p>
            <w:pPr>
              <w:pStyle w:val="TableParagraph"/>
              <w:ind w:left="39" w:right="45"/>
              <w:jc w:val="center"/>
              <w:rPr>
                <w:b/>
                <w:sz w:val="20"/>
              </w:rPr>
            </w:pPr>
            <w:r>
              <w:rPr>
                <w:b/>
                <w:sz w:val="20"/>
              </w:rPr>
              <w:t>PROPIEDAD</w:t>
            </w:r>
          </w:p>
        </w:tc>
        <w:tc>
          <w:tcPr>
            <w:tcW w:w="1297" w:type="dxa"/>
          </w:tcPr>
          <w:p>
            <w:pPr>
              <w:pStyle w:val="TableParagraph"/>
              <w:spacing w:before="2"/>
              <w:rPr>
                <w:b/>
                <w:sz w:val="19"/>
              </w:rPr>
            </w:pPr>
          </w:p>
          <w:p>
            <w:pPr>
              <w:pStyle w:val="TableParagraph"/>
              <w:ind w:left="240" w:right="207" w:hanging="12"/>
              <w:rPr>
                <w:b/>
                <w:sz w:val="20"/>
              </w:rPr>
            </w:pPr>
            <w:r>
              <w:rPr>
                <w:b/>
                <w:sz w:val="20"/>
              </w:rPr>
              <w:t>COLOR / EFECTO</w:t>
            </w:r>
          </w:p>
        </w:tc>
        <w:tc>
          <w:tcPr>
            <w:tcW w:w="2909" w:type="dxa"/>
          </w:tcPr>
          <w:p>
            <w:pPr>
              <w:pStyle w:val="TableParagraph"/>
              <w:rPr>
                <w:b/>
                <w:sz w:val="20"/>
              </w:rPr>
            </w:pPr>
          </w:p>
          <w:p>
            <w:pPr>
              <w:pStyle w:val="TableParagraph"/>
              <w:spacing w:before="4"/>
              <w:rPr>
                <w:b/>
                <w:sz w:val="19"/>
              </w:rPr>
            </w:pPr>
          </w:p>
          <w:p>
            <w:pPr>
              <w:pStyle w:val="TableParagraph"/>
              <w:ind w:left="671" w:right="193"/>
              <w:rPr>
                <w:b/>
                <w:sz w:val="20"/>
              </w:rPr>
            </w:pPr>
            <w:r>
              <w:rPr>
                <w:b/>
                <w:sz w:val="20"/>
              </w:rPr>
              <w:t>FORMA DE USO</w:t>
            </w:r>
          </w:p>
        </w:tc>
      </w:tr>
      <w:tr>
        <w:trPr>
          <w:trHeight w:val="700" w:hRule="exact"/>
        </w:trPr>
        <w:tc>
          <w:tcPr>
            <w:tcW w:w="2088" w:type="dxa"/>
          </w:tcPr>
          <w:p>
            <w:pPr>
              <w:pStyle w:val="TableParagraph"/>
              <w:spacing w:line="223" w:lineRule="exact"/>
              <w:ind w:left="47" w:right="42"/>
              <w:jc w:val="center"/>
              <w:rPr>
                <w:b/>
                <w:sz w:val="20"/>
              </w:rPr>
            </w:pPr>
            <w:r>
              <w:rPr>
                <w:b/>
                <w:sz w:val="20"/>
              </w:rPr>
              <w:t>Hexaclorobenceno.</w:t>
            </w:r>
          </w:p>
        </w:tc>
        <w:tc>
          <w:tcPr>
            <w:tcW w:w="1305" w:type="dxa"/>
          </w:tcPr>
          <w:p>
            <w:pPr>
              <w:pStyle w:val="TableParagraph"/>
              <w:spacing w:line="242" w:lineRule="exact"/>
              <w:ind w:left="50" w:right="41"/>
              <w:jc w:val="center"/>
              <w:rPr>
                <w:sz w:val="13"/>
              </w:rPr>
            </w:pPr>
            <w:r>
              <w:rPr>
                <w:sz w:val="20"/>
              </w:rPr>
              <w:t>C</w:t>
            </w:r>
            <w:r>
              <w:rPr>
                <w:position w:val="-2"/>
                <w:sz w:val="13"/>
              </w:rPr>
              <w:t>6</w:t>
            </w:r>
            <w:r>
              <w:rPr>
                <w:sz w:val="20"/>
              </w:rPr>
              <w:t>Cl</w:t>
            </w:r>
            <w:r>
              <w:rPr>
                <w:position w:val="-2"/>
                <w:sz w:val="13"/>
              </w:rPr>
              <w:t>6</w:t>
            </w:r>
          </w:p>
        </w:tc>
        <w:tc>
          <w:tcPr>
            <w:tcW w:w="1384" w:type="dxa"/>
          </w:tcPr>
          <w:p>
            <w:pPr>
              <w:pStyle w:val="TableParagraph"/>
              <w:spacing w:line="228" w:lineRule="exact" w:before="2"/>
              <w:ind w:left="303" w:right="176" w:hanging="112"/>
              <w:rPr>
                <w:sz w:val="20"/>
              </w:rPr>
            </w:pPr>
            <w:r>
              <w:rPr>
                <w:sz w:val="20"/>
              </w:rPr>
              <w:t>Reforzador de color.</w:t>
            </w:r>
          </w:p>
        </w:tc>
        <w:tc>
          <w:tcPr>
            <w:tcW w:w="1297" w:type="dxa"/>
          </w:tcPr>
          <w:p>
            <w:pPr/>
          </w:p>
        </w:tc>
        <w:tc>
          <w:tcPr>
            <w:tcW w:w="2909" w:type="dxa"/>
          </w:tcPr>
          <w:p>
            <w:pPr>
              <w:pStyle w:val="TableParagraph"/>
              <w:ind w:left="73" w:right="74"/>
              <w:jc w:val="center"/>
              <w:rPr>
                <w:sz w:val="20"/>
              </w:rPr>
            </w:pPr>
            <w:r>
              <w:rPr>
                <w:sz w:val="20"/>
              </w:rPr>
              <w:t>Un donante de clorato que ha sido substituido por otros que son más eficientes.</w:t>
            </w:r>
          </w:p>
        </w:tc>
      </w:tr>
      <w:tr>
        <w:trPr>
          <w:trHeight w:val="720" w:hRule="exact"/>
        </w:trPr>
        <w:tc>
          <w:tcPr>
            <w:tcW w:w="2088" w:type="dxa"/>
          </w:tcPr>
          <w:p>
            <w:pPr>
              <w:pStyle w:val="TableParagraph"/>
              <w:rPr>
                <w:b/>
                <w:sz w:val="20"/>
              </w:rPr>
            </w:pPr>
          </w:p>
          <w:p>
            <w:pPr>
              <w:pStyle w:val="TableParagraph"/>
              <w:spacing w:before="1"/>
              <w:rPr>
                <w:b/>
                <w:sz w:val="21"/>
              </w:rPr>
            </w:pPr>
          </w:p>
          <w:p>
            <w:pPr>
              <w:pStyle w:val="TableParagraph"/>
              <w:ind w:left="47" w:right="43"/>
              <w:jc w:val="center"/>
              <w:rPr>
                <w:b/>
                <w:sz w:val="20"/>
              </w:rPr>
            </w:pPr>
            <w:r>
              <w:rPr>
                <w:b/>
                <w:sz w:val="20"/>
              </w:rPr>
              <w:t>Hexacloroetano</w:t>
            </w:r>
          </w:p>
        </w:tc>
        <w:tc>
          <w:tcPr>
            <w:tcW w:w="1305" w:type="dxa"/>
          </w:tcPr>
          <w:p>
            <w:pPr>
              <w:pStyle w:val="TableParagraph"/>
              <w:spacing w:line="242" w:lineRule="exact"/>
              <w:ind w:left="50" w:right="41"/>
              <w:jc w:val="center"/>
              <w:rPr>
                <w:sz w:val="13"/>
              </w:rPr>
            </w:pPr>
            <w:r>
              <w:rPr>
                <w:sz w:val="20"/>
              </w:rPr>
              <w:t>C</w:t>
            </w:r>
            <w:r>
              <w:rPr>
                <w:position w:val="-2"/>
                <w:sz w:val="13"/>
              </w:rPr>
              <w:t>2</w:t>
            </w:r>
            <w:r>
              <w:rPr>
                <w:sz w:val="20"/>
              </w:rPr>
              <w:t>Cl</w:t>
            </w:r>
            <w:r>
              <w:rPr>
                <w:position w:val="-2"/>
                <w:sz w:val="13"/>
              </w:rPr>
              <w:t>6</w:t>
            </w:r>
          </w:p>
        </w:tc>
        <w:tc>
          <w:tcPr>
            <w:tcW w:w="1384" w:type="dxa"/>
          </w:tcPr>
          <w:p>
            <w:pPr/>
          </w:p>
        </w:tc>
        <w:tc>
          <w:tcPr>
            <w:tcW w:w="1297" w:type="dxa"/>
          </w:tcPr>
          <w:p>
            <w:pPr>
              <w:pStyle w:val="TableParagraph"/>
              <w:spacing w:line="228" w:lineRule="exact" w:before="2"/>
              <w:ind w:left="368" w:right="51" w:hanging="296"/>
              <w:rPr>
                <w:sz w:val="20"/>
              </w:rPr>
            </w:pPr>
            <w:r>
              <w:rPr>
                <w:sz w:val="20"/>
              </w:rPr>
              <w:t>Productor de humo.</w:t>
            </w:r>
          </w:p>
        </w:tc>
        <w:tc>
          <w:tcPr>
            <w:tcW w:w="2909" w:type="dxa"/>
          </w:tcPr>
          <w:p>
            <w:pPr>
              <w:pStyle w:val="TableParagraph"/>
              <w:spacing w:line="228" w:lineRule="exact" w:before="2"/>
              <w:ind w:left="508" w:right="207" w:hanging="280"/>
              <w:rPr>
                <w:sz w:val="20"/>
              </w:rPr>
            </w:pPr>
            <w:r>
              <w:rPr>
                <w:sz w:val="20"/>
              </w:rPr>
              <w:t>Comúnmente utilizado para dispositivos militares.</w:t>
            </w:r>
          </w:p>
        </w:tc>
      </w:tr>
      <w:tr>
        <w:trPr>
          <w:trHeight w:val="472" w:hRule="exact"/>
        </w:trPr>
        <w:tc>
          <w:tcPr>
            <w:tcW w:w="2088" w:type="dxa"/>
          </w:tcPr>
          <w:p>
            <w:pPr>
              <w:pStyle w:val="TableParagraph"/>
              <w:spacing w:line="228" w:lineRule="exact" w:before="2"/>
              <w:ind w:left="539" w:right="64" w:hanging="472"/>
              <w:rPr>
                <w:sz w:val="20"/>
              </w:rPr>
            </w:pPr>
            <w:r>
              <w:rPr>
                <w:w w:val="95"/>
                <w:sz w:val="20"/>
              </w:rPr>
              <w:t>Hexametilentetramina </w:t>
            </w:r>
            <w:r>
              <w:rPr>
                <w:sz w:val="20"/>
              </w:rPr>
              <w:t>(hexamina)</w:t>
            </w:r>
          </w:p>
        </w:tc>
        <w:tc>
          <w:tcPr>
            <w:tcW w:w="1305" w:type="dxa"/>
          </w:tcPr>
          <w:p>
            <w:pPr>
              <w:pStyle w:val="TableParagraph"/>
              <w:spacing w:line="242" w:lineRule="exact"/>
              <w:ind w:left="46" w:right="45"/>
              <w:jc w:val="center"/>
              <w:rPr>
                <w:sz w:val="13"/>
              </w:rPr>
            </w:pPr>
            <w:r>
              <w:rPr>
                <w:sz w:val="20"/>
              </w:rPr>
              <w:t>(CH</w:t>
            </w:r>
            <w:r>
              <w:rPr>
                <w:position w:val="-2"/>
                <w:sz w:val="13"/>
              </w:rPr>
              <w:t>2</w:t>
            </w:r>
            <w:r>
              <w:rPr>
                <w:sz w:val="20"/>
              </w:rPr>
              <w:t>)</w:t>
            </w:r>
            <w:r>
              <w:rPr>
                <w:position w:val="-2"/>
                <w:sz w:val="13"/>
              </w:rPr>
              <w:t>6</w:t>
            </w:r>
            <w:r>
              <w:rPr>
                <w:sz w:val="20"/>
              </w:rPr>
              <w:t>N</w:t>
            </w:r>
            <w:r>
              <w:rPr>
                <w:position w:val="-2"/>
                <w:sz w:val="13"/>
              </w:rPr>
              <w:t>4</w:t>
            </w:r>
          </w:p>
        </w:tc>
        <w:tc>
          <w:tcPr>
            <w:tcW w:w="1384" w:type="dxa"/>
          </w:tcPr>
          <w:p>
            <w:pPr>
              <w:pStyle w:val="TableParagraph"/>
              <w:spacing w:line="228" w:lineRule="exact" w:before="2"/>
              <w:ind w:left="167" w:right="155" w:firstLine="24"/>
              <w:rPr>
                <w:sz w:val="20"/>
              </w:rPr>
            </w:pPr>
            <w:r>
              <w:rPr>
                <w:sz w:val="20"/>
              </w:rPr>
              <w:t>Reforzador de oxigeno.</w:t>
            </w:r>
          </w:p>
        </w:tc>
        <w:tc>
          <w:tcPr>
            <w:tcW w:w="1297" w:type="dxa"/>
          </w:tcPr>
          <w:p>
            <w:pPr>
              <w:pStyle w:val="TableParagraph"/>
              <w:spacing w:line="227" w:lineRule="exact"/>
              <w:ind w:left="51" w:right="49"/>
              <w:jc w:val="center"/>
              <w:rPr>
                <w:sz w:val="20"/>
              </w:rPr>
            </w:pPr>
            <w:r>
              <w:rPr>
                <w:sz w:val="20"/>
              </w:rPr>
              <w:t>Amarillo.</w:t>
            </w:r>
          </w:p>
        </w:tc>
        <w:tc>
          <w:tcPr>
            <w:tcW w:w="2909" w:type="dxa"/>
          </w:tcPr>
          <w:p>
            <w:pPr>
              <w:pStyle w:val="TableParagraph"/>
              <w:spacing w:line="227" w:lineRule="exact"/>
              <w:ind w:left="623" w:right="193"/>
              <w:rPr>
                <w:sz w:val="20"/>
              </w:rPr>
            </w:pPr>
            <w:r>
              <w:rPr>
                <w:sz w:val="20"/>
              </w:rPr>
              <w:t>Intensifica el color.</w:t>
            </w:r>
          </w:p>
        </w:tc>
      </w:tr>
      <w:tr>
        <w:trPr>
          <w:trHeight w:val="1848" w:hRule="exact"/>
        </w:trPr>
        <w:tc>
          <w:tcPr>
            <w:tcW w:w="2088" w:type="dxa"/>
          </w:tcPr>
          <w:p>
            <w:pPr>
              <w:pStyle w:val="TableParagraph"/>
              <w:spacing w:line="219" w:lineRule="exact"/>
              <w:ind w:left="47" w:right="45"/>
              <w:jc w:val="center"/>
              <w:rPr>
                <w:b/>
                <w:sz w:val="20"/>
              </w:rPr>
            </w:pPr>
            <w:r>
              <w:rPr>
                <w:b/>
                <w:sz w:val="20"/>
              </w:rPr>
              <w:t>Hierro</w:t>
            </w:r>
          </w:p>
        </w:tc>
        <w:tc>
          <w:tcPr>
            <w:tcW w:w="1305" w:type="dxa"/>
          </w:tcPr>
          <w:p>
            <w:pPr>
              <w:pStyle w:val="TableParagraph"/>
              <w:spacing w:line="223" w:lineRule="exact"/>
              <w:ind w:left="50" w:right="45"/>
              <w:jc w:val="center"/>
              <w:rPr>
                <w:sz w:val="20"/>
              </w:rPr>
            </w:pPr>
            <w:r>
              <w:rPr>
                <w:sz w:val="20"/>
              </w:rPr>
              <w:t>Fe</w:t>
            </w: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spacing w:line="223" w:lineRule="exact"/>
              <w:ind w:left="51" w:right="44"/>
              <w:jc w:val="center"/>
              <w:rPr>
                <w:sz w:val="20"/>
              </w:rPr>
            </w:pPr>
            <w:r>
              <w:rPr>
                <w:sz w:val="20"/>
              </w:rPr>
              <w:t>Plateado.</w:t>
            </w:r>
          </w:p>
        </w:tc>
        <w:tc>
          <w:tcPr>
            <w:tcW w:w="2909" w:type="dxa"/>
          </w:tcPr>
          <w:p>
            <w:pPr>
              <w:pStyle w:val="TableParagraph"/>
              <w:ind w:left="76" w:right="74"/>
              <w:jc w:val="center"/>
              <w:rPr>
                <w:sz w:val="20"/>
              </w:rPr>
            </w:pPr>
            <w:r>
              <w:rPr>
                <w:sz w:val="20"/>
              </w:rPr>
              <w:t>Las limaduras del metal son una de las más viejas fuentes de color en fuegos artificiales. El aceite de linaza se mezcla generalmente con él para cubrirlo y para protegerlo porque se esparcen las limaduras tan rápidamente.</w:t>
            </w:r>
          </w:p>
        </w:tc>
      </w:tr>
      <w:tr>
        <w:trPr>
          <w:trHeight w:val="700" w:hRule="exact"/>
        </w:trPr>
        <w:tc>
          <w:tcPr>
            <w:tcW w:w="2088" w:type="dxa"/>
          </w:tcPr>
          <w:p>
            <w:pPr>
              <w:pStyle w:val="TableParagraph"/>
              <w:spacing w:line="223" w:lineRule="exact"/>
              <w:ind w:left="47" w:right="42"/>
              <w:jc w:val="center"/>
              <w:rPr>
                <w:b/>
                <w:sz w:val="20"/>
              </w:rPr>
            </w:pPr>
            <w:r>
              <w:rPr>
                <w:b/>
                <w:sz w:val="20"/>
              </w:rPr>
              <w:t>Lactosa</w:t>
            </w:r>
          </w:p>
        </w:tc>
        <w:tc>
          <w:tcPr>
            <w:tcW w:w="1305" w:type="dxa"/>
          </w:tcPr>
          <w:p>
            <w:pPr>
              <w:pStyle w:val="TableParagraph"/>
              <w:spacing w:line="234" w:lineRule="exact"/>
              <w:ind w:left="42" w:right="45"/>
              <w:jc w:val="center"/>
              <w:rPr>
                <w:sz w:val="13"/>
              </w:rPr>
            </w:pPr>
            <w:r>
              <w:rPr>
                <w:position w:val="3"/>
                <w:sz w:val="20"/>
              </w:rPr>
              <w:t>C</w:t>
            </w:r>
            <w:r>
              <w:rPr>
                <w:sz w:val="13"/>
              </w:rPr>
              <w:t>12</w:t>
            </w:r>
            <w:r>
              <w:rPr>
                <w:position w:val="3"/>
                <w:sz w:val="20"/>
              </w:rPr>
              <w:t>H</w:t>
            </w:r>
            <w:r>
              <w:rPr>
                <w:sz w:val="13"/>
              </w:rPr>
              <w:t>22</w:t>
            </w:r>
            <w:r>
              <w:rPr>
                <w:position w:val="3"/>
                <w:sz w:val="20"/>
              </w:rPr>
              <w:t>O</w:t>
            </w:r>
            <w:r>
              <w:rPr>
                <w:sz w:val="13"/>
              </w:rPr>
              <w:t>11</w:t>
            </w:r>
          </w:p>
          <w:p>
            <w:pPr>
              <w:pStyle w:val="TableParagraph"/>
              <w:spacing w:line="236" w:lineRule="exact"/>
              <w:ind w:left="45" w:right="45"/>
              <w:jc w:val="center"/>
              <w:rPr>
                <w:sz w:val="20"/>
              </w:rPr>
            </w:pPr>
            <w:r>
              <w:rPr>
                <w:position w:val="-2"/>
                <w:sz w:val="13"/>
              </w:rPr>
              <w:t>·</w:t>
            </w:r>
            <w:r>
              <w:rPr>
                <w:sz w:val="20"/>
              </w:rPr>
              <w:t>H</w:t>
            </w:r>
            <w:r>
              <w:rPr>
                <w:position w:val="-2"/>
                <w:sz w:val="13"/>
              </w:rPr>
              <w:t>2</w:t>
            </w:r>
            <w:r>
              <w:rPr>
                <w:sz w:val="20"/>
              </w:rPr>
              <w:t>O</w:t>
            </w:r>
          </w:p>
        </w:tc>
        <w:tc>
          <w:tcPr>
            <w:tcW w:w="1384" w:type="dxa"/>
          </w:tcPr>
          <w:p>
            <w:pPr>
              <w:pStyle w:val="TableParagraph"/>
              <w:spacing w:line="227" w:lineRule="exact"/>
              <w:ind w:left="45" w:right="43"/>
              <w:jc w:val="center"/>
              <w:rPr>
                <w:sz w:val="20"/>
              </w:rPr>
            </w:pPr>
            <w:r>
              <w:rPr>
                <w:sz w:val="20"/>
              </w:rPr>
              <w:t>Combustible.</w:t>
            </w:r>
          </w:p>
        </w:tc>
        <w:tc>
          <w:tcPr>
            <w:tcW w:w="1297" w:type="dxa"/>
          </w:tcPr>
          <w:p>
            <w:pPr>
              <w:pStyle w:val="TableParagraph"/>
              <w:spacing w:line="228" w:lineRule="exact" w:before="2"/>
              <w:ind w:left="368" w:right="51" w:hanging="296"/>
              <w:rPr>
                <w:sz w:val="20"/>
              </w:rPr>
            </w:pPr>
            <w:r>
              <w:rPr>
                <w:sz w:val="20"/>
              </w:rPr>
              <w:t>Productor de humo.</w:t>
            </w:r>
          </w:p>
        </w:tc>
        <w:tc>
          <w:tcPr>
            <w:tcW w:w="2909" w:type="dxa"/>
          </w:tcPr>
          <w:p>
            <w:pPr>
              <w:pStyle w:val="TableParagraph"/>
              <w:ind w:left="228" w:right="225" w:hanging="1"/>
              <w:jc w:val="center"/>
              <w:rPr>
                <w:sz w:val="20"/>
              </w:rPr>
            </w:pPr>
            <w:r>
              <w:rPr>
                <w:sz w:val="20"/>
              </w:rPr>
              <w:t>Es un combustible barato y facil de usar en dispositivos para producir humo.</w:t>
            </w:r>
          </w:p>
        </w:tc>
      </w:tr>
      <w:tr>
        <w:trPr>
          <w:trHeight w:val="1161" w:hRule="exact"/>
        </w:trPr>
        <w:tc>
          <w:tcPr>
            <w:tcW w:w="2088" w:type="dxa"/>
          </w:tcPr>
          <w:p>
            <w:pPr>
              <w:pStyle w:val="TableParagraph"/>
              <w:spacing w:line="223" w:lineRule="exact"/>
              <w:ind w:left="47" w:right="42"/>
              <w:jc w:val="center"/>
              <w:rPr>
                <w:b/>
                <w:sz w:val="20"/>
              </w:rPr>
            </w:pPr>
            <w:r>
              <w:rPr>
                <w:b/>
                <w:sz w:val="20"/>
              </w:rPr>
              <w:t>Aceite de linaza</w:t>
            </w:r>
          </w:p>
        </w:tc>
        <w:tc>
          <w:tcPr>
            <w:tcW w:w="1305" w:type="dxa"/>
          </w:tcPr>
          <w:p>
            <w:pPr/>
          </w:p>
        </w:tc>
        <w:tc>
          <w:tcPr>
            <w:tcW w:w="1384" w:type="dxa"/>
          </w:tcPr>
          <w:p>
            <w:pPr>
              <w:pStyle w:val="TableParagraph"/>
              <w:spacing w:line="227" w:lineRule="exact"/>
              <w:ind w:left="45" w:right="44"/>
              <w:jc w:val="center"/>
              <w:rPr>
                <w:sz w:val="20"/>
              </w:rPr>
            </w:pPr>
            <w:r>
              <w:rPr>
                <w:sz w:val="20"/>
              </w:rPr>
              <w:t>Estabilizador.</w:t>
            </w:r>
          </w:p>
        </w:tc>
        <w:tc>
          <w:tcPr>
            <w:tcW w:w="1297" w:type="dxa"/>
          </w:tcPr>
          <w:p>
            <w:pPr/>
          </w:p>
        </w:tc>
        <w:tc>
          <w:tcPr>
            <w:tcW w:w="2909" w:type="dxa"/>
          </w:tcPr>
          <w:p>
            <w:pPr>
              <w:pStyle w:val="TableParagraph"/>
              <w:ind w:left="76" w:right="73"/>
              <w:jc w:val="center"/>
              <w:rPr>
                <w:sz w:val="20"/>
              </w:rPr>
            </w:pPr>
            <w:r>
              <w:rPr>
                <w:sz w:val="20"/>
              </w:rPr>
              <w:t>Como el aceite de ricino, es usado para cubrir los combustibles de metal para prevenir su oxidación y deterioración naturales.</w:t>
            </w:r>
          </w:p>
        </w:tc>
      </w:tr>
      <w:tr>
        <w:trPr>
          <w:trHeight w:val="1160" w:hRule="exact"/>
        </w:trPr>
        <w:tc>
          <w:tcPr>
            <w:tcW w:w="2088" w:type="dxa"/>
          </w:tcPr>
          <w:p>
            <w:pPr>
              <w:pStyle w:val="TableParagraph"/>
              <w:spacing w:line="223" w:lineRule="exact"/>
              <w:ind w:left="47" w:right="44"/>
              <w:jc w:val="center"/>
              <w:rPr>
                <w:b/>
                <w:sz w:val="20"/>
              </w:rPr>
            </w:pPr>
            <w:r>
              <w:rPr>
                <w:b/>
                <w:sz w:val="20"/>
              </w:rPr>
              <w:t>Carbonato de litio</w:t>
            </w:r>
          </w:p>
        </w:tc>
        <w:tc>
          <w:tcPr>
            <w:tcW w:w="1305" w:type="dxa"/>
          </w:tcPr>
          <w:p>
            <w:pPr>
              <w:pStyle w:val="TableParagraph"/>
              <w:spacing w:line="242" w:lineRule="exact"/>
              <w:ind w:left="50" w:right="45"/>
              <w:jc w:val="center"/>
              <w:rPr>
                <w:sz w:val="13"/>
              </w:rPr>
            </w:pPr>
            <w:r>
              <w:rPr>
                <w:sz w:val="20"/>
              </w:rPr>
              <w:t>Li</w:t>
            </w:r>
            <w:r>
              <w:rPr>
                <w:position w:val="-2"/>
                <w:sz w:val="13"/>
              </w:rPr>
              <w:t>2</w:t>
            </w:r>
            <w:r>
              <w:rPr>
                <w:sz w:val="20"/>
              </w:rPr>
              <w:t>CO</w:t>
            </w:r>
            <w:r>
              <w:rPr>
                <w:position w:val="-2"/>
                <w:sz w:val="13"/>
              </w:rPr>
              <w:t>3</w:t>
            </w:r>
          </w:p>
        </w:tc>
        <w:tc>
          <w:tcPr>
            <w:tcW w:w="1384" w:type="dxa"/>
          </w:tcPr>
          <w:p>
            <w:pPr>
              <w:pStyle w:val="TableParagraph"/>
              <w:spacing w:line="227" w:lineRule="exact"/>
              <w:ind w:left="44" w:right="45"/>
              <w:jc w:val="center"/>
              <w:rPr>
                <w:sz w:val="20"/>
              </w:rPr>
            </w:pPr>
            <w:r>
              <w:rPr>
                <w:sz w:val="20"/>
              </w:rPr>
              <w:t>Colorante.</w:t>
            </w:r>
          </w:p>
        </w:tc>
        <w:tc>
          <w:tcPr>
            <w:tcW w:w="1297" w:type="dxa"/>
          </w:tcPr>
          <w:p>
            <w:pPr>
              <w:pStyle w:val="TableParagraph"/>
              <w:spacing w:line="227" w:lineRule="exact"/>
              <w:ind w:left="50" w:right="51"/>
              <w:jc w:val="center"/>
              <w:rPr>
                <w:sz w:val="20"/>
              </w:rPr>
            </w:pPr>
            <w:r>
              <w:rPr>
                <w:sz w:val="20"/>
              </w:rPr>
              <w:t>Rojo.</w:t>
            </w:r>
          </w:p>
        </w:tc>
        <w:tc>
          <w:tcPr>
            <w:tcW w:w="2909" w:type="dxa"/>
          </w:tcPr>
          <w:p>
            <w:pPr>
              <w:pStyle w:val="TableParagraph"/>
              <w:ind w:left="76" w:right="74"/>
              <w:jc w:val="center"/>
              <w:rPr>
                <w:sz w:val="20"/>
              </w:rPr>
            </w:pPr>
            <w:r>
              <w:rPr>
                <w:sz w:val="20"/>
              </w:rPr>
              <w:t>Agente pobre del color, usado en algún sistema de efectos especiales pero substituido sobre todo por las sales del estroncio.</w:t>
            </w:r>
          </w:p>
        </w:tc>
      </w:tr>
      <w:tr>
        <w:trPr>
          <w:trHeight w:val="1392" w:hRule="exact"/>
        </w:trPr>
        <w:tc>
          <w:tcPr>
            <w:tcW w:w="2088" w:type="dxa"/>
          </w:tcPr>
          <w:p>
            <w:pPr>
              <w:pStyle w:val="TableParagraph"/>
              <w:spacing w:line="237" w:lineRule="auto"/>
              <w:ind w:left="499" w:right="497"/>
              <w:jc w:val="center"/>
              <w:rPr>
                <w:b/>
                <w:sz w:val="20"/>
              </w:rPr>
            </w:pPr>
            <w:r>
              <w:rPr>
                <w:b/>
                <w:sz w:val="20"/>
              </w:rPr>
              <w:t>Magnalium (aleación</w:t>
            </w:r>
          </w:p>
          <w:p>
            <w:pPr>
              <w:pStyle w:val="TableParagraph"/>
              <w:spacing w:before="3"/>
              <w:ind w:left="47" w:right="45"/>
              <w:jc w:val="center"/>
              <w:rPr>
                <w:b/>
                <w:sz w:val="20"/>
              </w:rPr>
            </w:pPr>
            <w:r>
              <w:rPr>
                <w:b/>
                <w:sz w:val="20"/>
              </w:rPr>
              <w:t>magnesio-aluminio)</w:t>
            </w:r>
          </w:p>
        </w:tc>
        <w:tc>
          <w:tcPr>
            <w:tcW w:w="1305" w:type="dxa"/>
          </w:tcPr>
          <w:p>
            <w:pPr>
              <w:pStyle w:val="TableParagraph"/>
              <w:spacing w:line="227" w:lineRule="exact"/>
              <w:ind w:left="44" w:right="45"/>
              <w:jc w:val="center"/>
              <w:rPr>
                <w:sz w:val="20"/>
              </w:rPr>
            </w:pPr>
            <w:r>
              <w:rPr>
                <w:sz w:val="20"/>
              </w:rPr>
              <w:t>MgAl</w:t>
            </w:r>
          </w:p>
        </w:tc>
        <w:tc>
          <w:tcPr>
            <w:tcW w:w="1384" w:type="dxa"/>
          </w:tcPr>
          <w:p>
            <w:pPr>
              <w:pStyle w:val="TableParagraph"/>
              <w:spacing w:line="227" w:lineRule="exact"/>
              <w:ind w:left="45" w:right="44"/>
              <w:jc w:val="center"/>
              <w:rPr>
                <w:sz w:val="20"/>
              </w:rPr>
            </w:pPr>
            <w:r>
              <w:rPr>
                <w:sz w:val="20"/>
              </w:rPr>
              <w:t>Combustible.</w:t>
            </w:r>
          </w:p>
        </w:tc>
        <w:tc>
          <w:tcPr>
            <w:tcW w:w="1297" w:type="dxa"/>
          </w:tcPr>
          <w:p>
            <w:pPr>
              <w:pStyle w:val="TableParagraph"/>
              <w:spacing w:line="228" w:lineRule="exact" w:before="2"/>
              <w:ind w:left="232" w:right="213" w:firstLine="76"/>
              <w:rPr>
                <w:sz w:val="20"/>
              </w:rPr>
            </w:pPr>
            <w:r>
              <w:rPr>
                <w:sz w:val="20"/>
              </w:rPr>
              <w:t>Blanco, plateado.</w:t>
            </w:r>
          </w:p>
        </w:tc>
        <w:tc>
          <w:tcPr>
            <w:tcW w:w="2909" w:type="dxa"/>
          </w:tcPr>
          <w:p>
            <w:pPr>
              <w:pStyle w:val="TableParagraph"/>
              <w:ind w:left="112" w:right="114"/>
              <w:jc w:val="center"/>
              <w:rPr>
                <w:sz w:val="20"/>
              </w:rPr>
            </w:pPr>
            <w:r>
              <w:rPr>
                <w:sz w:val="20"/>
              </w:rPr>
              <w:t>Una aleación más estable y menos costosa para sustituir al magnesio en algunas composiciones. Más fácil trabajar, mas seguro y menos caro.</w:t>
            </w:r>
          </w:p>
        </w:tc>
      </w:tr>
      <w:tr>
        <w:trPr>
          <w:trHeight w:val="1389" w:hRule="exact"/>
        </w:trPr>
        <w:tc>
          <w:tcPr>
            <w:tcW w:w="2088" w:type="dxa"/>
          </w:tcPr>
          <w:p>
            <w:pPr>
              <w:pStyle w:val="TableParagraph"/>
              <w:spacing w:line="219" w:lineRule="exact"/>
              <w:ind w:left="47" w:right="47"/>
              <w:jc w:val="center"/>
              <w:rPr>
                <w:b/>
                <w:sz w:val="20"/>
              </w:rPr>
            </w:pPr>
            <w:r>
              <w:rPr>
                <w:b/>
                <w:sz w:val="20"/>
              </w:rPr>
              <w:t>Magnesio</w:t>
            </w:r>
          </w:p>
        </w:tc>
        <w:tc>
          <w:tcPr>
            <w:tcW w:w="1305" w:type="dxa"/>
          </w:tcPr>
          <w:p>
            <w:pPr>
              <w:pStyle w:val="TableParagraph"/>
              <w:spacing w:line="223" w:lineRule="exact"/>
              <w:ind w:left="45" w:right="45"/>
              <w:jc w:val="center"/>
              <w:rPr>
                <w:sz w:val="20"/>
              </w:rPr>
            </w:pPr>
            <w:r>
              <w:rPr>
                <w:sz w:val="20"/>
              </w:rPr>
              <w:t>Mg</w:t>
            </w: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spacing w:line="223" w:lineRule="exact"/>
              <w:ind w:left="51" w:right="45"/>
              <w:jc w:val="center"/>
              <w:rPr>
                <w:sz w:val="20"/>
              </w:rPr>
            </w:pPr>
            <w:r>
              <w:rPr>
                <w:sz w:val="20"/>
              </w:rPr>
              <w:t>Blanco.</w:t>
            </w:r>
          </w:p>
        </w:tc>
        <w:tc>
          <w:tcPr>
            <w:tcW w:w="2909" w:type="dxa"/>
          </w:tcPr>
          <w:p>
            <w:pPr>
              <w:pStyle w:val="TableParagraph"/>
              <w:ind w:left="87" w:right="86"/>
              <w:jc w:val="center"/>
              <w:rPr>
                <w:sz w:val="20"/>
              </w:rPr>
            </w:pPr>
            <w:r>
              <w:rPr>
                <w:sz w:val="20"/>
              </w:rPr>
              <w:t>Usado para abrillantar algunos efectos y colores. Difícil de trabajar debido a la sensibilidad porque se quema a altas temperaturas, elimina cualquier otro color.</w:t>
            </w:r>
          </w:p>
        </w:tc>
      </w:tr>
      <w:tr>
        <w:trPr>
          <w:trHeight w:val="932" w:hRule="exact"/>
        </w:trPr>
        <w:tc>
          <w:tcPr>
            <w:tcW w:w="2088" w:type="dxa"/>
          </w:tcPr>
          <w:p>
            <w:pPr>
              <w:pStyle w:val="TableParagraph"/>
              <w:spacing w:line="237" w:lineRule="auto"/>
              <w:ind w:left="576" w:right="375" w:hanging="180"/>
              <w:rPr>
                <w:b/>
                <w:sz w:val="20"/>
              </w:rPr>
            </w:pPr>
            <w:r>
              <w:rPr>
                <w:b/>
                <w:sz w:val="20"/>
              </w:rPr>
              <w:t>Carbonato de magnesio</w:t>
            </w:r>
          </w:p>
        </w:tc>
        <w:tc>
          <w:tcPr>
            <w:tcW w:w="1305" w:type="dxa"/>
          </w:tcPr>
          <w:p>
            <w:pPr>
              <w:pStyle w:val="TableParagraph"/>
              <w:spacing w:line="242" w:lineRule="exact"/>
              <w:ind w:left="46" w:right="45"/>
              <w:jc w:val="center"/>
              <w:rPr>
                <w:sz w:val="13"/>
              </w:rPr>
            </w:pPr>
            <w:r>
              <w:rPr>
                <w:sz w:val="20"/>
              </w:rPr>
              <w:t>MgCO</w:t>
            </w:r>
            <w:r>
              <w:rPr>
                <w:position w:val="-2"/>
                <w:sz w:val="13"/>
              </w:rPr>
              <w:t>3</w:t>
            </w:r>
          </w:p>
        </w:tc>
        <w:tc>
          <w:tcPr>
            <w:tcW w:w="1384" w:type="dxa"/>
          </w:tcPr>
          <w:p>
            <w:pPr>
              <w:pStyle w:val="TableParagraph"/>
              <w:spacing w:line="227" w:lineRule="exact"/>
              <w:ind w:left="45" w:right="45"/>
              <w:jc w:val="center"/>
              <w:rPr>
                <w:sz w:val="20"/>
              </w:rPr>
            </w:pPr>
            <w:r>
              <w:rPr>
                <w:sz w:val="20"/>
              </w:rPr>
              <w:t>Neutralizador.</w:t>
            </w:r>
          </w:p>
        </w:tc>
        <w:tc>
          <w:tcPr>
            <w:tcW w:w="1297" w:type="dxa"/>
          </w:tcPr>
          <w:p>
            <w:pPr/>
          </w:p>
        </w:tc>
        <w:tc>
          <w:tcPr>
            <w:tcW w:w="2909" w:type="dxa"/>
          </w:tcPr>
          <w:p>
            <w:pPr>
              <w:pStyle w:val="TableParagraph"/>
              <w:ind w:left="83" w:right="83" w:hanging="3"/>
              <w:jc w:val="center"/>
              <w:rPr>
                <w:sz w:val="20"/>
              </w:rPr>
            </w:pPr>
            <w:r>
              <w:rPr>
                <w:sz w:val="20"/>
              </w:rPr>
              <w:t>Ayuda al clorato o perclorato de potasio a aumentar su</w:t>
            </w:r>
            <w:r>
              <w:rPr>
                <w:spacing w:val="-12"/>
                <w:sz w:val="20"/>
              </w:rPr>
              <w:t> </w:t>
            </w:r>
            <w:r>
              <w:rPr>
                <w:sz w:val="20"/>
              </w:rPr>
              <w:t>flujo. También utilizado en algunas formulaciones de</w:t>
            </w:r>
            <w:r>
              <w:rPr>
                <w:spacing w:val="-13"/>
                <w:sz w:val="20"/>
              </w:rPr>
              <w:t> </w:t>
            </w:r>
            <w:r>
              <w:rPr>
                <w:sz w:val="20"/>
              </w:rPr>
              <w:t>humo.</w:t>
            </w:r>
          </w:p>
        </w:tc>
      </w:tr>
      <w:tr>
        <w:trPr>
          <w:trHeight w:val="468" w:hRule="exact"/>
        </w:trPr>
        <w:tc>
          <w:tcPr>
            <w:tcW w:w="2088" w:type="dxa"/>
          </w:tcPr>
          <w:p>
            <w:pPr>
              <w:pStyle w:val="TableParagraph"/>
              <w:spacing w:line="242" w:lineRule="auto"/>
              <w:ind w:left="576" w:right="537" w:hanging="20"/>
              <w:rPr>
                <w:b/>
                <w:sz w:val="20"/>
              </w:rPr>
            </w:pPr>
            <w:r>
              <w:rPr>
                <w:b/>
                <w:sz w:val="20"/>
              </w:rPr>
              <w:t>Sulfato de magnesio</w:t>
            </w:r>
          </w:p>
        </w:tc>
        <w:tc>
          <w:tcPr>
            <w:tcW w:w="1305" w:type="dxa"/>
          </w:tcPr>
          <w:p>
            <w:pPr>
              <w:pStyle w:val="TableParagraph"/>
              <w:spacing w:line="238" w:lineRule="exact"/>
              <w:ind w:left="45" w:right="45"/>
              <w:jc w:val="center"/>
              <w:rPr>
                <w:sz w:val="13"/>
              </w:rPr>
            </w:pPr>
            <w:r>
              <w:rPr>
                <w:sz w:val="20"/>
              </w:rPr>
              <w:t>MnSO</w:t>
            </w:r>
            <w:r>
              <w:rPr>
                <w:position w:val="-2"/>
                <w:sz w:val="13"/>
              </w:rPr>
              <w:t>4</w:t>
            </w:r>
          </w:p>
        </w:tc>
        <w:tc>
          <w:tcPr>
            <w:tcW w:w="1384" w:type="dxa"/>
          </w:tcPr>
          <w:p>
            <w:pPr>
              <w:pStyle w:val="TableParagraph"/>
              <w:spacing w:line="223" w:lineRule="exact"/>
              <w:ind w:left="45" w:right="44"/>
              <w:jc w:val="center"/>
              <w:rPr>
                <w:sz w:val="20"/>
              </w:rPr>
            </w:pPr>
            <w:r>
              <w:rPr>
                <w:sz w:val="20"/>
              </w:rPr>
              <w:t>Oxigenador.</w:t>
            </w:r>
          </w:p>
        </w:tc>
        <w:tc>
          <w:tcPr>
            <w:tcW w:w="1297" w:type="dxa"/>
          </w:tcPr>
          <w:p>
            <w:pPr/>
          </w:p>
        </w:tc>
        <w:tc>
          <w:tcPr>
            <w:tcW w:w="2909" w:type="dxa"/>
          </w:tcPr>
          <w:p>
            <w:pPr/>
          </w:p>
        </w:tc>
      </w:tr>
      <w:tr>
        <w:trPr>
          <w:trHeight w:val="929" w:hRule="exact"/>
        </w:trPr>
        <w:tc>
          <w:tcPr>
            <w:tcW w:w="2088" w:type="dxa"/>
          </w:tcPr>
          <w:p>
            <w:pPr>
              <w:pStyle w:val="TableParagraph"/>
              <w:spacing w:line="237" w:lineRule="auto"/>
              <w:ind w:left="724" w:right="390" w:hanging="321"/>
              <w:rPr>
                <w:b/>
                <w:sz w:val="20"/>
              </w:rPr>
            </w:pPr>
            <w:r>
              <w:rPr>
                <w:b/>
                <w:sz w:val="20"/>
              </w:rPr>
              <w:t>Nitrocelulosa (lacas)</w:t>
            </w:r>
          </w:p>
        </w:tc>
        <w:tc>
          <w:tcPr>
            <w:tcW w:w="1305" w:type="dxa"/>
          </w:tcPr>
          <w:p>
            <w:pPr/>
          </w:p>
        </w:tc>
        <w:tc>
          <w:tcPr>
            <w:tcW w:w="1384" w:type="dxa"/>
          </w:tcPr>
          <w:p>
            <w:pPr>
              <w:pStyle w:val="TableParagraph"/>
              <w:spacing w:line="228" w:lineRule="exact" w:before="2"/>
              <w:ind w:left="331" w:right="313" w:firstLine="35"/>
              <w:rPr>
                <w:sz w:val="20"/>
              </w:rPr>
            </w:pPr>
            <w:r>
              <w:rPr>
                <w:sz w:val="20"/>
              </w:rPr>
              <w:t>Agente Ligante.</w:t>
            </w:r>
          </w:p>
        </w:tc>
        <w:tc>
          <w:tcPr>
            <w:tcW w:w="1297" w:type="dxa"/>
          </w:tcPr>
          <w:p>
            <w:pPr/>
          </w:p>
        </w:tc>
        <w:tc>
          <w:tcPr>
            <w:tcW w:w="2909" w:type="dxa"/>
          </w:tcPr>
          <w:p>
            <w:pPr>
              <w:pStyle w:val="TableParagraph"/>
              <w:ind w:left="137" w:right="136"/>
              <w:jc w:val="center"/>
              <w:rPr>
                <w:sz w:val="20"/>
              </w:rPr>
            </w:pPr>
            <w:r>
              <w:rPr>
                <w:sz w:val="20"/>
              </w:rPr>
              <w:t>Utilizada sobre todo en fusibles de seguridad, proporciona la impermeabilización.</w:t>
            </w:r>
          </w:p>
        </w:tc>
      </w:tr>
    </w:tbl>
    <w:p>
      <w:pPr>
        <w:spacing w:after="0"/>
        <w:jc w:val="center"/>
        <w:rPr>
          <w:sz w:val="20"/>
        </w:rPr>
        <w:sectPr>
          <w:pgSz w:w="12240" w:h="15840"/>
          <w:pgMar w:header="0" w:footer="1011" w:top="1420" w:bottom="1200" w:left="1520" w:right="15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2"/>
              <w:rPr>
                <w:b/>
                <w:sz w:val="19"/>
              </w:rPr>
            </w:pPr>
          </w:p>
          <w:p>
            <w:pPr>
              <w:pStyle w:val="TableParagraph"/>
              <w:ind w:left="604" w:right="375" w:hanging="208"/>
              <w:rPr>
                <w:b/>
                <w:sz w:val="20"/>
              </w:rPr>
            </w:pPr>
            <w:r>
              <w:rPr>
                <w:b/>
                <w:sz w:val="20"/>
              </w:rPr>
              <w:t>COMPUESTO QUÍMICO</w:t>
            </w:r>
          </w:p>
        </w:tc>
        <w:tc>
          <w:tcPr>
            <w:tcW w:w="1305" w:type="dxa"/>
          </w:tcPr>
          <w:p>
            <w:pPr>
              <w:pStyle w:val="TableParagraph"/>
              <w:rPr>
                <w:b/>
                <w:sz w:val="20"/>
              </w:rPr>
            </w:pPr>
          </w:p>
          <w:p>
            <w:pPr>
              <w:pStyle w:val="TableParagraph"/>
              <w:spacing w:before="1"/>
              <w:rPr>
                <w:b/>
                <w:sz w:val="21"/>
              </w:rPr>
            </w:pPr>
          </w:p>
          <w:p>
            <w:pPr>
              <w:pStyle w:val="TableParagraph"/>
              <w:ind w:left="45" w:right="45"/>
              <w:jc w:val="center"/>
              <w:rPr>
                <w:b/>
                <w:sz w:val="20"/>
              </w:rPr>
            </w:pPr>
            <w:r>
              <w:rPr>
                <w:b/>
                <w:sz w:val="20"/>
              </w:rPr>
              <w:t>FORMULA</w:t>
            </w:r>
          </w:p>
        </w:tc>
        <w:tc>
          <w:tcPr>
            <w:tcW w:w="1384" w:type="dxa"/>
          </w:tcPr>
          <w:p>
            <w:pPr>
              <w:pStyle w:val="TableParagraph"/>
              <w:rPr>
                <w:b/>
                <w:sz w:val="20"/>
              </w:rPr>
            </w:pPr>
          </w:p>
          <w:p>
            <w:pPr>
              <w:pStyle w:val="TableParagraph"/>
              <w:spacing w:before="1"/>
              <w:rPr>
                <w:b/>
                <w:sz w:val="21"/>
              </w:rPr>
            </w:pPr>
          </w:p>
          <w:p>
            <w:pPr>
              <w:pStyle w:val="TableParagraph"/>
              <w:ind w:left="91"/>
              <w:rPr>
                <w:b/>
                <w:sz w:val="20"/>
              </w:rPr>
            </w:pPr>
            <w:r>
              <w:rPr>
                <w:b/>
                <w:sz w:val="20"/>
              </w:rPr>
              <w:t>PROPIEDAD</w:t>
            </w:r>
          </w:p>
        </w:tc>
        <w:tc>
          <w:tcPr>
            <w:tcW w:w="1297" w:type="dxa"/>
          </w:tcPr>
          <w:p>
            <w:pPr>
              <w:pStyle w:val="TableParagraph"/>
              <w:spacing w:before="2"/>
              <w:rPr>
                <w:b/>
                <w:sz w:val="19"/>
              </w:rPr>
            </w:pPr>
          </w:p>
          <w:p>
            <w:pPr>
              <w:pStyle w:val="TableParagraph"/>
              <w:ind w:left="240" w:right="207" w:hanging="12"/>
              <w:rPr>
                <w:b/>
                <w:sz w:val="20"/>
              </w:rPr>
            </w:pPr>
            <w:r>
              <w:rPr>
                <w:b/>
                <w:sz w:val="20"/>
              </w:rPr>
              <w:t>COLOR / EFECTO</w:t>
            </w:r>
          </w:p>
        </w:tc>
        <w:tc>
          <w:tcPr>
            <w:tcW w:w="2909" w:type="dxa"/>
          </w:tcPr>
          <w:p>
            <w:pPr>
              <w:pStyle w:val="TableParagraph"/>
              <w:rPr>
                <w:b/>
                <w:sz w:val="20"/>
              </w:rPr>
            </w:pPr>
          </w:p>
          <w:p>
            <w:pPr>
              <w:pStyle w:val="TableParagraph"/>
              <w:spacing w:before="4"/>
              <w:rPr>
                <w:b/>
                <w:sz w:val="19"/>
              </w:rPr>
            </w:pPr>
          </w:p>
          <w:p>
            <w:pPr>
              <w:pStyle w:val="TableParagraph"/>
              <w:ind w:left="671" w:right="193"/>
              <w:rPr>
                <w:b/>
                <w:sz w:val="20"/>
              </w:rPr>
            </w:pPr>
            <w:r>
              <w:rPr>
                <w:b/>
                <w:sz w:val="20"/>
              </w:rPr>
              <w:t>FORMA DE USO</w:t>
            </w:r>
          </w:p>
        </w:tc>
      </w:tr>
      <w:tr>
        <w:trPr>
          <w:trHeight w:val="1161" w:hRule="exact"/>
        </w:trPr>
        <w:tc>
          <w:tcPr>
            <w:tcW w:w="2088" w:type="dxa"/>
          </w:tcPr>
          <w:p>
            <w:pPr>
              <w:pStyle w:val="TableParagraph"/>
              <w:spacing w:line="237" w:lineRule="auto"/>
              <w:ind w:left="579" w:right="203" w:hanging="356"/>
              <w:rPr>
                <w:b/>
                <w:sz w:val="20"/>
              </w:rPr>
            </w:pPr>
            <w:r>
              <w:rPr>
                <w:b/>
                <w:sz w:val="20"/>
              </w:rPr>
              <w:t>Jalea de petróleo (vaselina)</w:t>
            </w:r>
          </w:p>
        </w:tc>
        <w:tc>
          <w:tcPr>
            <w:tcW w:w="1305" w:type="dxa"/>
          </w:tcPr>
          <w:p>
            <w:pPr/>
          </w:p>
        </w:tc>
        <w:tc>
          <w:tcPr>
            <w:tcW w:w="1384" w:type="dxa"/>
          </w:tcPr>
          <w:p>
            <w:pPr>
              <w:pStyle w:val="TableParagraph"/>
              <w:spacing w:line="227" w:lineRule="exact"/>
              <w:ind w:left="87"/>
              <w:rPr>
                <w:sz w:val="20"/>
              </w:rPr>
            </w:pPr>
            <w:r>
              <w:rPr>
                <w:sz w:val="20"/>
              </w:rPr>
              <w:t>Estabilizador.</w:t>
            </w:r>
          </w:p>
        </w:tc>
        <w:tc>
          <w:tcPr>
            <w:tcW w:w="1297" w:type="dxa"/>
          </w:tcPr>
          <w:p>
            <w:pPr/>
          </w:p>
        </w:tc>
        <w:tc>
          <w:tcPr>
            <w:tcW w:w="2909" w:type="dxa"/>
          </w:tcPr>
          <w:p>
            <w:pPr>
              <w:pStyle w:val="TableParagraph"/>
              <w:ind w:left="128" w:right="122" w:hanging="3"/>
              <w:jc w:val="center"/>
              <w:rPr>
                <w:sz w:val="20"/>
              </w:rPr>
            </w:pPr>
            <w:r>
              <w:rPr>
                <w:sz w:val="20"/>
              </w:rPr>
              <w:t>Usada para proteger el hierro de los polvos de metal cubriéndolos con una película fina.</w:t>
            </w:r>
          </w:p>
        </w:tc>
      </w:tr>
      <w:tr>
        <w:trPr>
          <w:trHeight w:val="1620" w:hRule="exact"/>
        </w:trPr>
        <w:tc>
          <w:tcPr>
            <w:tcW w:w="2088" w:type="dxa"/>
          </w:tcPr>
          <w:p>
            <w:pPr>
              <w:pStyle w:val="TableParagraph"/>
              <w:spacing w:line="223" w:lineRule="exact"/>
              <w:ind w:left="47" w:right="47"/>
              <w:jc w:val="center"/>
              <w:rPr>
                <w:b/>
                <w:sz w:val="20"/>
              </w:rPr>
            </w:pPr>
            <w:r>
              <w:rPr>
                <w:b/>
                <w:sz w:val="20"/>
              </w:rPr>
              <w:t>Fósforo</w:t>
            </w:r>
          </w:p>
        </w:tc>
        <w:tc>
          <w:tcPr>
            <w:tcW w:w="1305" w:type="dxa"/>
          </w:tcPr>
          <w:p>
            <w:pPr>
              <w:pStyle w:val="TableParagraph"/>
              <w:spacing w:line="227" w:lineRule="exact"/>
              <w:ind w:left="6"/>
              <w:jc w:val="center"/>
              <w:rPr>
                <w:sz w:val="20"/>
              </w:rPr>
            </w:pPr>
            <w:r>
              <w:rPr>
                <w:w w:val="100"/>
                <w:sz w:val="20"/>
              </w:rPr>
              <w:t>P</w:t>
            </w:r>
          </w:p>
        </w:tc>
        <w:tc>
          <w:tcPr>
            <w:tcW w:w="1384" w:type="dxa"/>
          </w:tcPr>
          <w:p>
            <w:pPr>
              <w:pStyle w:val="TableParagraph"/>
              <w:spacing w:line="227" w:lineRule="exact"/>
              <w:ind w:left="103"/>
              <w:rPr>
                <w:sz w:val="20"/>
              </w:rPr>
            </w:pPr>
            <w:r>
              <w:rPr>
                <w:sz w:val="20"/>
              </w:rPr>
              <w:t>Combustible.</w:t>
            </w:r>
          </w:p>
        </w:tc>
        <w:tc>
          <w:tcPr>
            <w:tcW w:w="1297" w:type="dxa"/>
          </w:tcPr>
          <w:p>
            <w:pPr/>
          </w:p>
        </w:tc>
        <w:tc>
          <w:tcPr>
            <w:tcW w:w="2909" w:type="dxa"/>
          </w:tcPr>
          <w:p>
            <w:pPr>
              <w:pStyle w:val="TableParagraph"/>
              <w:ind w:left="87" w:right="86"/>
              <w:jc w:val="center"/>
              <w:rPr>
                <w:sz w:val="20"/>
              </w:rPr>
            </w:pPr>
            <w:r>
              <w:rPr>
                <w:sz w:val="20"/>
              </w:rPr>
              <w:t>Las composiciones de fósforo son muy sensibles al choque y a la fricción y al combinarla con otras fórmulas de pirotecnia pueden dar lugar a una explosión al contacto.</w:t>
            </w:r>
          </w:p>
        </w:tc>
      </w:tr>
      <w:tr>
        <w:trPr>
          <w:trHeight w:val="932" w:hRule="exact"/>
        </w:trPr>
        <w:tc>
          <w:tcPr>
            <w:tcW w:w="2088" w:type="dxa"/>
          </w:tcPr>
          <w:p>
            <w:pPr>
              <w:pStyle w:val="TableParagraph"/>
              <w:spacing w:line="223" w:lineRule="exact"/>
              <w:ind w:left="47" w:right="47"/>
              <w:jc w:val="center"/>
              <w:rPr>
                <w:b/>
                <w:sz w:val="20"/>
              </w:rPr>
            </w:pPr>
            <w:r>
              <w:rPr>
                <w:b/>
                <w:sz w:val="20"/>
              </w:rPr>
              <w:t>Fósforo (rojo)</w:t>
            </w:r>
          </w:p>
        </w:tc>
        <w:tc>
          <w:tcPr>
            <w:tcW w:w="1305" w:type="dxa"/>
          </w:tcPr>
          <w:p>
            <w:pPr>
              <w:pStyle w:val="TableParagraph"/>
              <w:spacing w:line="227" w:lineRule="exact"/>
              <w:ind w:left="6"/>
              <w:jc w:val="center"/>
              <w:rPr>
                <w:sz w:val="20"/>
              </w:rPr>
            </w:pPr>
            <w:r>
              <w:rPr>
                <w:w w:val="100"/>
                <w:sz w:val="20"/>
              </w:rPr>
              <w:t>P</w:t>
            </w:r>
          </w:p>
        </w:tc>
        <w:tc>
          <w:tcPr>
            <w:tcW w:w="1384" w:type="dxa"/>
          </w:tcPr>
          <w:p>
            <w:pPr>
              <w:pStyle w:val="TableParagraph"/>
              <w:spacing w:line="227" w:lineRule="exact"/>
              <w:ind w:left="103"/>
              <w:rPr>
                <w:sz w:val="20"/>
              </w:rPr>
            </w:pPr>
            <w:r>
              <w:rPr>
                <w:sz w:val="20"/>
              </w:rPr>
              <w:t>Combustible.</w:t>
            </w:r>
          </w:p>
        </w:tc>
        <w:tc>
          <w:tcPr>
            <w:tcW w:w="1297" w:type="dxa"/>
          </w:tcPr>
          <w:p>
            <w:pPr/>
          </w:p>
        </w:tc>
        <w:tc>
          <w:tcPr>
            <w:tcW w:w="2909" w:type="dxa"/>
          </w:tcPr>
          <w:p>
            <w:pPr>
              <w:pStyle w:val="TableParagraph"/>
              <w:ind w:left="75" w:right="74"/>
              <w:jc w:val="center"/>
              <w:rPr>
                <w:sz w:val="20"/>
              </w:rPr>
            </w:pPr>
            <w:r>
              <w:rPr>
                <w:sz w:val="20"/>
              </w:rPr>
              <w:t>Este fósforo se utiliza raramente en pirotecnia, a excepción de algunos usos especializados.</w:t>
            </w:r>
          </w:p>
        </w:tc>
      </w:tr>
      <w:tr>
        <w:trPr>
          <w:trHeight w:val="700" w:hRule="exact"/>
        </w:trPr>
        <w:tc>
          <w:tcPr>
            <w:tcW w:w="2088" w:type="dxa"/>
          </w:tcPr>
          <w:p>
            <w:pPr>
              <w:pStyle w:val="TableParagraph"/>
              <w:spacing w:line="219" w:lineRule="exact"/>
              <w:ind w:left="47" w:right="40"/>
              <w:jc w:val="center"/>
              <w:rPr>
                <w:b/>
                <w:sz w:val="20"/>
              </w:rPr>
            </w:pPr>
            <w:r>
              <w:rPr>
                <w:b/>
                <w:sz w:val="20"/>
              </w:rPr>
              <w:t>Poliéster</w:t>
            </w:r>
          </w:p>
        </w:tc>
        <w:tc>
          <w:tcPr>
            <w:tcW w:w="1305" w:type="dxa"/>
          </w:tcPr>
          <w:p>
            <w:pPr/>
          </w:p>
        </w:tc>
        <w:tc>
          <w:tcPr>
            <w:tcW w:w="1384" w:type="dxa"/>
          </w:tcPr>
          <w:p>
            <w:pPr>
              <w:pStyle w:val="TableParagraph"/>
              <w:spacing w:line="223" w:lineRule="exact"/>
              <w:ind w:left="87"/>
              <w:rPr>
                <w:sz w:val="20"/>
              </w:rPr>
            </w:pPr>
            <w:r>
              <w:rPr>
                <w:sz w:val="20"/>
              </w:rPr>
              <w:t>Estabilizador.</w:t>
            </w:r>
          </w:p>
        </w:tc>
        <w:tc>
          <w:tcPr>
            <w:tcW w:w="1297" w:type="dxa"/>
          </w:tcPr>
          <w:p>
            <w:pPr/>
          </w:p>
        </w:tc>
        <w:tc>
          <w:tcPr>
            <w:tcW w:w="2909" w:type="dxa"/>
          </w:tcPr>
          <w:p>
            <w:pPr>
              <w:pStyle w:val="TableParagraph"/>
              <w:ind w:left="336" w:right="169" w:hanging="148"/>
              <w:rPr>
                <w:sz w:val="20"/>
              </w:rPr>
            </w:pPr>
            <w:r>
              <w:rPr>
                <w:sz w:val="20"/>
              </w:rPr>
              <w:t>Usado como un protector de polvos metálicos, es mas eficiente que los aceites.</w:t>
            </w:r>
          </w:p>
        </w:tc>
      </w:tr>
      <w:tr>
        <w:trPr>
          <w:trHeight w:val="700" w:hRule="exact"/>
        </w:trPr>
        <w:tc>
          <w:tcPr>
            <w:tcW w:w="2088" w:type="dxa"/>
          </w:tcPr>
          <w:p>
            <w:pPr>
              <w:pStyle w:val="TableParagraph"/>
              <w:spacing w:line="242" w:lineRule="auto"/>
              <w:ind w:left="768" w:right="276" w:hanging="473"/>
              <w:rPr>
                <w:b/>
                <w:sz w:val="20"/>
              </w:rPr>
            </w:pPr>
            <w:r>
              <w:rPr>
                <w:b/>
                <w:sz w:val="20"/>
              </w:rPr>
              <w:t>Polivinilclorado (PVC)</w:t>
            </w:r>
          </w:p>
        </w:tc>
        <w:tc>
          <w:tcPr>
            <w:tcW w:w="1305" w:type="dxa"/>
          </w:tcPr>
          <w:p>
            <w:pPr>
              <w:pStyle w:val="TableParagraph"/>
              <w:spacing w:line="238" w:lineRule="exact"/>
              <w:ind w:left="50" w:right="45"/>
              <w:jc w:val="center"/>
              <w:rPr>
                <w:sz w:val="13"/>
              </w:rPr>
            </w:pPr>
            <w:r>
              <w:rPr>
                <w:sz w:val="20"/>
              </w:rPr>
              <w:t>(CH</w:t>
            </w:r>
            <w:r>
              <w:rPr>
                <w:position w:val="-2"/>
                <w:sz w:val="13"/>
              </w:rPr>
              <w:t>2</w:t>
            </w:r>
            <w:r>
              <w:rPr>
                <w:sz w:val="20"/>
              </w:rPr>
              <w:t>=CHCl)</w:t>
            </w:r>
            <w:r>
              <w:rPr>
                <w:position w:val="-2"/>
                <w:sz w:val="13"/>
              </w:rPr>
              <w:t>n</w:t>
            </w:r>
          </w:p>
        </w:tc>
        <w:tc>
          <w:tcPr>
            <w:tcW w:w="1384" w:type="dxa"/>
          </w:tcPr>
          <w:p>
            <w:pPr>
              <w:pStyle w:val="TableParagraph"/>
              <w:spacing w:line="242" w:lineRule="auto"/>
              <w:ind w:left="331" w:right="176" w:hanging="140"/>
              <w:rPr>
                <w:sz w:val="20"/>
              </w:rPr>
            </w:pPr>
            <w:r>
              <w:rPr>
                <w:sz w:val="20"/>
              </w:rPr>
              <w:t>Reforzador de color</w:t>
            </w:r>
          </w:p>
        </w:tc>
        <w:tc>
          <w:tcPr>
            <w:tcW w:w="1297" w:type="dxa"/>
          </w:tcPr>
          <w:p>
            <w:pPr/>
          </w:p>
        </w:tc>
        <w:tc>
          <w:tcPr>
            <w:tcW w:w="2909" w:type="dxa"/>
          </w:tcPr>
          <w:p>
            <w:pPr>
              <w:pStyle w:val="TableParagraph"/>
              <w:ind w:left="491" w:right="494" w:firstLine="5"/>
              <w:jc w:val="center"/>
              <w:rPr>
                <w:sz w:val="20"/>
              </w:rPr>
            </w:pPr>
            <w:r>
              <w:rPr>
                <w:sz w:val="20"/>
              </w:rPr>
              <w:t>Donante de cloratos, usualmente usado en colorantes verdes.</w:t>
            </w:r>
          </w:p>
        </w:tc>
      </w:tr>
      <w:tr>
        <w:trPr>
          <w:trHeight w:val="1161" w:hRule="exact"/>
        </w:trPr>
        <w:tc>
          <w:tcPr>
            <w:tcW w:w="2088" w:type="dxa"/>
          </w:tcPr>
          <w:p>
            <w:pPr>
              <w:pStyle w:val="TableParagraph"/>
              <w:spacing w:line="242" w:lineRule="auto"/>
              <w:ind w:left="656" w:right="428" w:hanging="213"/>
              <w:rPr>
                <w:b/>
                <w:sz w:val="20"/>
              </w:rPr>
            </w:pPr>
            <w:r>
              <w:rPr>
                <w:b/>
                <w:sz w:val="20"/>
              </w:rPr>
              <w:t>Benzoato de potasio.</w:t>
            </w:r>
          </w:p>
        </w:tc>
        <w:tc>
          <w:tcPr>
            <w:tcW w:w="1305" w:type="dxa"/>
          </w:tcPr>
          <w:p>
            <w:pPr>
              <w:pStyle w:val="TableParagraph"/>
              <w:spacing w:line="239" w:lineRule="exact"/>
              <w:ind w:left="46" w:right="45"/>
              <w:jc w:val="center"/>
              <w:rPr>
                <w:sz w:val="20"/>
              </w:rPr>
            </w:pPr>
            <w:r>
              <w:rPr>
                <w:sz w:val="20"/>
              </w:rPr>
              <w:t>C</w:t>
            </w:r>
            <w:r>
              <w:rPr>
                <w:position w:val="-2"/>
                <w:sz w:val="13"/>
              </w:rPr>
              <w:t>6</w:t>
            </w:r>
            <w:r>
              <w:rPr>
                <w:sz w:val="20"/>
              </w:rPr>
              <w:t>H</w:t>
            </w:r>
            <w:r>
              <w:rPr>
                <w:position w:val="-2"/>
                <w:sz w:val="13"/>
              </w:rPr>
              <w:t>5</w:t>
            </w:r>
            <w:r>
              <w:rPr>
                <w:sz w:val="20"/>
              </w:rPr>
              <w:t>CO</w:t>
            </w:r>
            <w:r>
              <w:rPr>
                <w:position w:val="-2"/>
                <w:sz w:val="13"/>
              </w:rPr>
              <w:t>2</w:t>
            </w:r>
            <w:r>
              <w:rPr>
                <w:sz w:val="20"/>
              </w:rPr>
              <w:t>K</w:t>
            </w:r>
          </w:p>
        </w:tc>
        <w:tc>
          <w:tcPr>
            <w:tcW w:w="1384" w:type="dxa"/>
          </w:tcPr>
          <w:p>
            <w:pPr>
              <w:pStyle w:val="TableParagraph"/>
              <w:spacing w:line="223" w:lineRule="exact"/>
              <w:ind w:left="103"/>
              <w:rPr>
                <w:sz w:val="20"/>
              </w:rPr>
            </w:pPr>
            <w:r>
              <w:rPr>
                <w:sz w:val="20"/>
              </w:rPr>
              <w:t>Combustible.</w:t>
            </w:r>
          </w:p>
        </w:tc>
        <w:tc>
          <w:tcPr>
            <w:tcW w:w="1297" w:type="dxa"/>
          </w:tcPr>
          <w:p>
            <w:pPr>
              <w:pStyle w:val="TableParagraph"/>
              <w:spacing w:line="223" w:lineRule="exact"/>
              <w:ind w:left="51" w:right="45"/>
              <w:jc w:val="center"/>
              <w:rPr>
                <w:sz w:val="20"/>
              </w:rPr>
            </w:pPr>
            <w:r>
              <w:rPr>
                <w:sz w:val="20"/>
              </w:rPr>
              <w:t>Silbidos.</w:t>
            </w:r>
          </w:p>
        </w:tc>
        <w:tc>
          <w:tcPr>
            <w:tcW w:w="2909" w:type="dxa"/>
          </w:tcPr>
          <w:p>
            <w:pPr>
              <w:pStyle w:val="TableParagraph"/>
              <w:ind w:left="80" w:right="84" w:firstLine="2"/>
              <w:jc w:val="center"/>
              <w:rPr>
                <w:sz w:val="20"/>
              </w:rPr>
            </w:pPr>
            <w:r>
              <w:rPr>
                <w:sz w:val="20"/>
              </w:rPr>
              <w:t>Uno del más comunes ingredientes en dispositivos de silbido. Requiere algunas condiciones especiales para mezclarse.</w:t>
            </w:r>
          </w:p>
        </w:tc>
      </w:tr>
      <w:tr>
        <w:trPr>
          <w:trHeight w:val="4149" w:hRule="exact"/>
        </w:trPr>
        <w:tc>
          <w:tcPr>
            <w:tcW w:w="2088" w:type="dxa"/>
          </w:tcPr>
          <w:p>
            <w:pPr>
              <w:pStyle w:val="TableParagraph"/>
              <w:spacing w:line="219" w:lineRule="exact"/>
              <w:ind w:left="47" w:right="44"/>
              <w:jc w:val="center"/>
              <w:rPr>
                <w:b/>
                <w:sz w:val="20"/>
              </w:rPr>
            </w:pPr>
            <w:r>
              <w:rPr>
                <w:b/>
                <w:sz w:val="20"/>
              </w:rPr>
              <w:t>Clorato de potasio</w:t>
            </w:r>
          </w:p>
        </w:tc>
        <w:tc>
          <w:tcPr>
            <w:tcW w:w="1305" w:type="dxa"/>
          </w:tcPr>
          <w:p>
            <w:pPr>
              <w:pStyle w:val="TableParagraph"/>
              <w:spacing w:line="238" w:lineRule="exact"/>
              <w:ind w:left="46" w:right="45"/>
              <w:jc w:val="center"/>
              <w:rPr>
                <w:sz w:val="13"/>
              </w:rPr>
            </w:pPr>
            <w:r>
              <w:rPr>
                <w:sz w:val="20"/>
              </w:rPr>
              <w:t>KClO</w:t>
            </w:r>
            <w:r>
              <w:rPr>
                <w:position w:val="-2"/>
                <w:sz w:val="13"/>
              </w:rPr>
              <w:t>3</w:t>
            </w:r>
          </w:p>
        </w:tc>
        <w:tc>
          <w:tcPr>
            <w:tcW w:w="1384" w:type="dxa"/>
          </w:tcPr>
          <w:p>
            <w:pPr>
              <w:pStyle w:val="TableParagraph"/>
              <w:spacing w:line="223" w:lineRule="exact"/>
              <w:ind w:left="143"/>
              <w:rPr>
                <w:sz w:val="20"/>
              </w:rPr>
            </w:pPr>
            <w:r>
              <w:rPr>
                <w:sz w:val="20"/>
              </w:rPr>
              <w:t>Oxigenador.</w:t>
            </w:r>
          </w:p>
        </w:tc>
        <w:tc>
          <w:tcPr>
            <w:tcW w:w="1297" w:type="dxa"/>
          </w:tcPr>
          <w:p>
            <w:pPr/>
          </w:p>
        </w:tc>
        <w:tc>
          <w:tcPr>
            <w:tcW w:w="2909" w:type="dxa"/>
          </w:tcPr>
          <w:p>
            <w:pPr>
              <w:pStyle w:val="TableParagraph"/>
              <w:ind w:left="72" w:right="71" w:hanging="4"/>
              <w:jc w:val="center"/>
              <w:rPr>
                <w:sz w:val="20"/>
              </w:rPr>
            </w:pPr>
            <w:r>
              <w:rPr>
                <w:sz w:val="20"/>
              </w:rPr>
              <w:t>Un donante importante de oxígeno, no obstante en presencia del sulfuro, las sales del amonio, y fósforo o cualquier acidez, crea un riesgo extremadamente alto de explosión al choque o a la fricción. Los fabricantes de algunos fuegos artificiales la utilizan para mejorar el funcionamiento de sus productos, especialmente los fusibles y algunas fórmulas de la bomba. Otros la utilizan porque cuesta menos y se obtiene más fácilmente.</w:t>
            </w:r>
          </w:p>
          <w:p>
            <w:pPr>
              <w:pStyle w:val="TableParagraph"/>
              <w:spacing w:line="242" w:lineRule="auto"/>
              <w:ind w:left="75" w:right="74"/>
              <w:jc w:val="center"/>
              <w:rPr>
                <w:sz w:val="20"/>
              </w:rPr>
            </w:pPr>
            <w:r>
              <w:rPr>
                <w:sz w:val="20"/>
              </w:rPr>
              <w:t>Prohibido en fuegos artificiales ingleses desde 1875.</w:t>
            </w:r>
          </w:p>
        </w:tc>
      </w:tr>
      <w:tr>
        <w:trPr>
          <w:trHeight w:val="700" w:hRule="exact"/>
        </w:trPr>
        <w:tc>
          <w:tcPr>
            <w:tcW w:w="2088" w:type="dxa"/>
          </w:tcPr>
          <w:p>
            <w:pPr>
              <w:pStyle w:val="TableParagraph"/>
              <w:spacing w:line="237" w:lineRule="auto"/>
              <w:ind w:left="656" w:right="383" w:hanging="257"/>
              <w:rPr>
                <w:b/>
                <w:sz w:val="20"/>
              </w:rPr>
            </w:pPr>
            <w:r>
              <w:rPr>
                <w:b/>
                <w:sz w:val="20"/>
              </w:rPr>
              <w:t>Dicromato de potasio.</w:t>
            </w:r>
          </w:p>
        </w:tc>
        <w:tc>
          <w:tcPr>
            <w:tcW w:w="1305" w:type="dxa"/>
          </w:tcPr>
          <w:p>
            <w:pPr>
              <w:pStyle w:val="TableParagraph"/>
              <w:spacing w:line="242" w:lineRule="exact"/>
              <w:ind w:left="50" w:right="45"/>
              <w:jc w:val="center"/>
              <w:rPr>
                <w:sz w:val="13"/>
              </w:rPr>
            </w:pPr>
            <w:r>
              <w:rPr>
                <w:sz w:val="20"/>
              </w:rPr>
              <w:t>K</w:t>
            </w:r>
            <w:r>
              <w:rPr>
                <w:position w:val="-2"/>
                <w:sz w:val="13"/>
              </w:rPr>
              <w:t>2</w:t>
            </w:r>
            <w:r>
              <w:rPr>
                <w:sz w:val="20"/>
              </w:rPr>
              <w:t>Cr</w:t>
            </w:r>
            <w:r>
              <w:rPr>
                <w:position w:val="-2"/>
                <w:sz w:val="13"/>
              </w:rPr>
              <w:t>2</w:t>
            </w:r>
            <w:r>
              <w:rPr>
                <w:sz w:val="20"/>
              </w:rPr>
              <w:t>O</w:t>
            </w:r>
            <w:r>
              <w:rPr>
                <w:position w:val="-2"/>
                <w:sz w:val="13"/>
              </w:rPr>
              <w:t>7</w:t>
            </w:r>
          </w:p>
        </w:tc>
        <w:tc>
          <w:tcPr>
            <w:tcW w:w="1384" w:type="dxa"/>
          </w:tcPr>
          <w:p>
            <w:pPr>
              <w:pStyle w:val="TableParagraph"/>
              <w:spacing w:line="227" w:lineRule="exact"/>
              <w:ind w:left="143"/>
              <w:rPr>
                <w:sz w:val="20"/>
              </w:rPr>
            </w:pPr>
            <w:r>
              <w:rPr>
                <w:sz w:val="20"/>
              </w:rPr>
              <w:t>Oxigenador.</w:t>
            </w:r>
          </w:p>
        </w:tc>
        <w:tc>
          <w:tcPr>
            <w:tcW w:w="1297" w:type="dxa"/>
          </w:tcPr>
          <w:p>
            <w:pPr/>
          </w:p>
        </w:tc>
        <w:tc>
          <w:tcPr>
            <w:tcW w:w="2909" w:type="dxa"/>
          </w:tcPr>
          <w:p>
            <w:pPr>
              <w:pStyle w:val="TableParagraph"/>
              <w:ind w:left="74" w:right="74"/>
              <w:jc w:val="center"/>
              <w:rPr>
                <w:sz w:val="20"/>
              </w:rPr>
            </w:pPr>
            <w:r>
              <w:rPr>
                <w:sz w:val="20"/>
              </w:rPr>
              <w:t>Encontrado generalmente con las composiciones de perclorato del potasio.</w:t>
            </w:r>
          </w:p>
        </w:tc>
      </w:tr>
      <w:tr>
        <w:trPr>
          <w:trHeight w:val="469" w:hRule="exact"/>
        </w:trPr>
        <w:tc>
          <w:tcPr>
            <w:tcW w:w="2088" w:type="dxa"/>
          </w:tcPr>
          <w:p>
            <w:pPr>
              <w:pStyle w:val="TableParagraph"/>
              <w:spacing w:line="237" w:lineRule="auto"/>
              <w:ind w:left="684" w:right="318" w:hanging="353"/>
              <w:rPr>
                <w:b/>
                <w:sz w:val="20"/>
              </w:rPr>
            </w:pPr>
            <w:r>
              <w:rPr>
                <w:b/>
                <w:sz w:val="20"/>
              </w:rPr>
              <w:t>Hidroftalato de potasio</w:t>
            </w:r>
          </w:p>
        </w:tc>
        <w:tc>
          <w:tcPr>
            <w:tcW w:w="1305" w:type="dxa"/>
          </w:tcPr>
          <w:p>
            <w:pPr/>
          </w:p>
        </w:tc>
        <w:tc>
          <w:tcPr>
            <w:tcW w:w="1384" w:type="dxa"/>
          </w:tcPr>
          <w:p>
            <w:pPr>
              <w:pStyle w:val="TableParagraph"/>
              <w:spacing w:line="227" w:lineRule="exact"/>
              <w:ind w:left="103"/>
              <w:rPr>
                <w:sz w:val="20"/>
              </w:rPr>
            </w:pPr>
            <w:r>
              <w:rPr>
                <w:sz w:val="20"/>
              </w:rPr>
              <w:t>Combustible.</w:t>
            </w:r>
          </w:p>
        </w:tc>
        <w:tc>
          <w:tcPr>
            <w:tcW w:w="1297" w:type="dxa"/>
          </w:tcPr>
          <w:p>
            <w:pPr>
              <w:pStyle w:val="TableParagraph"/>
              <w:spacing w:line="227" w:lineRule="exact"/>
              <w:ind w:left="51" w:right="49"/>
              <w:jc w:val="center"/>
              <w:rPr>
                <w:sz w:val="20"/>
              </w:rPr>
            </w:pPr>
            <w:r>
              <w:rPr>
                <w:sz w:val="20"/>
              </w:rPr>
              <w:t>Silbido</w:t>
            </w:r>
          </w:p>
        </w:tc>
        <w:tc>
          <w:tcPr>
            <w:tcW w:w="2909" w:type="dxa"/>
          </w:tcPr>
          <w:p>
            <w:pPr/>
          </w:p>
        </w:tc>
      </w:tr>
    </w:tbl>
    <w:p>
      <w:pPr>
        <w:spacing w:after="0"/>
        <w:sectPr>
          <w:pgSz w:w="12240" w:h="15840"/>
          <w:pgMar w:header="0" w:footer="1011" w:top="1420" w:bottom="1200" w:left="1520" w:right="15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2"/>
              <w:rPr>
                <w:b/>
                <w:sz w:val="19"/>
              </w:rPr>
            </w:pPr>
          </w:p>
          <w:p>
            <w:pPr>
              <w:pStyle w:val="TableParagraph"/>
              <w:ind w:left="604" w:right="375" w:hanging="208"/>
              <w:rPr>
                <w:b/>
                <w:sz w:val="20"/>
              </w:rPr>
            </w:pPr>
            <w:r>
              <w:rPr>
                <w:b/>
                <w:sz w:val="20"/>
              </w:rPr>
              <w:t>COMPUESTO QUÍMICO</w:t>
            </w:r>
          </w:p>
        </w:tc>
        <w:tc>
          <w:tcPr>
            <w:tcW w:w="1305" w:type="dxa"/>
          </w:tcPr>
          <w:p>
            <w:pPr>
              <w:pStyle w:val="TableParagraph"/>
              <w:rPr>
                <w:b/>
                <w:sz w:val="20"/>
              </w:rPr>
            </w:pPr>
          </w:p>
          <w:p>
            <w:pPr>
              <w:pStyle w:val="TableParagraph"/>
              <w:spacing w:before="1"/>
              <w:rPr>
                <w:b/>
                <w:sz w:val="21"/>
              </w:rPr>
            </w:pPr>
          </w:p>
          <w:p>
            <w:pPr>
              <w:pStyle w:val="TableParagraph"/>
              <w:ind w:left="45" w:right="45"/>
              <w:jc w:val="center"/>
              <w:rPr>
                <w:b/>
                <w:sz w:val="20"/>
              </w:rPr>
            </w:pPr>
            <w:r>
              <w:rPr>
                <w:b/>
                <w:sz w:val="20"/>
              </w:rPr>
              <w:t>FORMULA</w:t>
            </w:r>
          </w:p>
        </w:tc>
        <w:tc>
          <w:tcPr>
            <w:tcW w:w="1384" w:type="dxa"/>
          </w:tcPr>
          <w:p>
            <w:pPr>
              <w:pStyle w:val="TableParagraph"/>
              <w:rPr>
                <w:b/>
                <w:sz w:val="20"/>
              </w:rPr>
            </w:pPr>
          </w:p>
          <w:p>
            <w:pPr>
              <w:pStyle w:val="TableParagraph"/>
              <w:spacing w:before="1"/>
              <w:rPr>
                <w:b/>
                <w:sz w:val="21"/>
              </w:rPr>
            </w:pPr>
          </w:p>
          <w:p>
            <w:pPr>
              <w:pStyle w:val="TableParagraph"/>
              <w:ind w:left="39" w:right="45"/>
              <w:jc w:val="center"/>
              <w:rPr>
                <w:b/>
                <w:sz w:val="20"/>
              </w:rPr>
            </w:pPr>
            <w:r>
              <w:rPr>
                <w:b/>
                <w:sz w:val="20"/>
              </w:rPr>
              <w:t>PROPIEDAD</w:t>
            </w:r>
          </w:p>
        </w:tc>
        <w:tc>
          <w:tcPr>
            <w:tcW w:w="1297" w:type="dxa"/>
          </w:tcPr>
          <w:p>
            <w:pPr>
              <w:pStyle w:val="TableParagraph"/>
              <w:spacing w:before="2"/>
              <w:rPr>
                <w:b/>
                <w:sz w:val="19"/>
              </w:rPr>
            </w:pPr>
          </w:p>
          <w:p>
            <w:pPr>
              <w:pStyle w:val="TableParagraph"/>
              <w:ind w:left="240" w:right="207" w:hanging="12"/>
              <w:rPr>
                <w:b/>
                <w:sz w:val="20"/>
              </w:rPr>
            </w:pPr>
            <w:r>
              <w:rPr>
                <w:b/>
                <w:sz w:val="20"/>
              </w:rPr>
              <w:t>COLOR / EFECTO</w:t>
            </w:r>
          </w:p>
        </w:tc>
        <w:tc>
          <w:tcPr>
            <w:tcW w:w="2909" w:type="dxa"/>
          </w:tcPr>
          <w:p>
            <w:pPr>
              <w:pStyle w:val="TableParagraph"/>
              <w:rPr>
                <w:b/>
                <w:sz w:val="20"/>
              </w:rPr>
            </w:pPr>
          </w:p>
          <w:p>
            <w:pPr>
              <w:pStyle w:val="TableParagraph"/>
              <w:spacing w:before="4"/>
              <w:rPr>
                <w:b/>
                <w:sz w:val="19"/>
              </w:rPr>
            </w:pPr>
          </w:p>
          <w:p>
            <w:pPr>
              <w:pStyle w:val="TableParagraph"/>
              <w:ind w:left="671" w:right="193"/>
              <w:rPr>
                <w:b/>
                <w:sz w:val="20"/>
              </w:rPr>
            </w:pPr>
            <w:r>
              <w:rPr>
                <w:b/>
                <w:sz w:val="20"/>
              </w:rPr>
              <w:t>FORMA DE USO</w:t>
            </w:r>
          </w:p>
        </w:tc>
      </w:tr>
      <w:tr>
        <w:trPr>
          <w:trHeight w:val="932" w:hRule="exact"/>
        </w:trPr>
        <w:tc>
          <w:tcPr>
            <w:tcW w:w="2088" w:type="dxa"/>
          </w:tcPr>
          <w:p>
            <w:pPr>
              <w:pStyle w:val="TableParagraph"/>
              <w:spacing w:line="237" w:lineRule="auto"/>
              <w:ind w:left="679" w:right="173" w:hanging="492"/>
              <w:rPr>
                <w:b/>
                <w:sz w:val="20"/>
              </w:rPr>
            </w:pPr>
            <w:r>
              <w:rPr>
                <w:b/>
                <w:sz w:val="20"/>
              </w:rPr>
              <w:t>Nitrato de potasio (salitre)</w:t>
            </w:r>
          </w:p>
        </w:tc>
        <w:tc>
          <w:tcPr>
            <w:tcW w:w="1305" w:type="dxa"/>
          </w:tcPr>
          <w:p>
            <w:pPr>
              <w:pStyle w:val="TableParagraph"/>
              <w:spacing w:line="242" w:lineRule="exact"/>
              <w:ind w:left="46" w:right="45"/>
              <w:jc w:val="center"/>
              <w:rPr>
                <w:sz w:val="13"/>
              </w:rPr>
            </w:pPr>
            <w:r>
              <w:rPr>
                <w:sz w:val="20"/>
              </w:rPr>
              <w:t>KNO</w:t>
            </w:r>
            <w:r>
              <w:rPr>
                <w:position w:val="-2"/>
                <w:sz w:val="13"/>
              </w:rPr>
              <w:t>3</w:t>
            </w:r>
          </w:p>
        </w:tc>
        <w:tc>
          <w:tcPr>
            <w:tcW w:w="1384" w:type="dxa"/>
          </w:tcPr>
          <w:p>
            <w:pPr>
              <w:pStyle w:val="TableParagraph"/>
              <w:spacing w:line="227" w:lineRule="exact"/>
              <w:ind w:left="45" w:right="45"/>
              <w:jc w:val="center"/>
              <w:rPr>
                <w:sz w:val="20"/>
              </w:rPr>
            </w:pPr>
            <w:r>
              <w:rPr>
                <w:sz w:val="20"/>
              </w:rPr>
              <w:t>Oxigenador</w:t>
            </w:r>
          </w:p>
        </w:tc>
        <w:tc>
          <w:tcPr>
            <w:tcW w:w="1297" w:type="dxa"/>
          </w:tcPr>
          <w:p>
            <w:pPr/>
          </w:p>
        </w:tc>
        <w:tc>
          <w:tcPr>
            <w:tcW w:w="2909" w:type="dxa"/>
          </w:tcPr>
          <w:p>
            <w:pPr>
              <w:pStyle w:val="TableParagraph"/>
              <w:ind w:left="131" w:right="136"/>
              <w:jc w:val="center"/>
              <w:rPr>
                <w:sz w:val="20"/>
              </w:rPr>
            </w:pPr>
            <w:r>
              <w:rPr>
                <w:sz w:val="20"/>
              </w:rPr>
              <w:t>Un ingrediente básico de la pólvora y de un gran número de otras formulaciones químicas.</w:t>
            </w:r>
          </w:p>
        </w:tc>
      </w:tr>
      <w:tr>
        <w:trPr>
          <w:trHeight w:val="469" w:hRule="exact"/>
        </w:trPr>
        <w:tc>
          <w:tcPr>
            <w:tcW w:w="2088" w:type="dxa"/>
          </w:tcPr>
          <w:p>
            <w:pPr>
              <w:pStyle w:val="TableParagraph"/>
              <w:spacing w:line="219" w:lineRule="exact"/>
              <w:ind w:left="47" w:right="47"/>
              <w:jc w:val="center"/>
              <w:rPr>
                <w:b/>
                <w:sz w:val="20"/>
              </w:rPr>
            </w:pPr>
            <w:r>
              <w:rPr>
                <w:b/>
                <w:sz w:val="20"/>
              </w:rPr>
              <w:t>Benzoato de sodio</w:t>
            </w:r>
          </w:p>
        </w:tc>
        <w:tc>
          <w:tcPr>
            <w:tcW w:w="1305" w:type="dxa"/>
          </w:tcPr>
          <w:p>
            <w:pP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spacing w:line="223" w:lineRule="exact"/>
              <w:ind w:left="51" w:right="49"/>
              <w:jc w:val="center"/>
              <w:rPr>
                <w:sz w:val="20"/>
              </w:rPr>
            </w:pPr>
            <w:r>
              <w:rPr>
                <w:sz w:val="20"/>
              </w:rPr>
              <w:t>Silbido.</w:t>
            </w:r>
          </w:p>
        </w:tc>
        <w:tc>
          <w:tcPr>
            <w:tcW w:w="2909" w:type="dxa"/>
          </w:tcPr>
          <w:p>
            <w:pPr/>
          </w:p>
        </w:tc>
      </w:tr>
      <w:tr>
        <w:trPr>
          <w:trHeight w:val="472" w:hRule="exact"/>
        </w:trPr>
        <w:tc>
          <w:tcPr>
            <w:tcW w:w="2088" w:type="dxa"/>
          </w:tcPr>
          <w:p>
            <w:pPr>
              <w:pStyle w:val="TableParagraph"/>
              <w:spacing w:line="237" w:lineRule="auto"/>
              <w:ind w:left="684" w:right="428" w:hanging="241"/>
              <w:rPr>
                <w:b/>
                <w:sz w:val="20"/>
              </w:rPr>
            </w:pPr>
            <w:r>
              <w:rPr>
                <w:b/>
                <w:sz w:val="20"/>
              </w:rPr>
              <w:t>Benzoato de potasio</w:t>
            </w:r>
          </w:p>
        </w:tc>
        <w:tc>
          <w:tcPr>
            <w:tcW w:w="1305" w:type="dxa"/>
          </w:tcPr>
          <w:p>
            <w:pPr/>
          </w:p>
        </w:tc>
        <w:tc>
          <w:tcPr>
            <w:tcW w:w="1384" w:type="dxa"/>
          </w:tcPr>
          <w:p>
            <w:pPr>
              <w:pStyle w:val="TableParagraph"/>
              <w:spacing w:line="227" w:lineRule="exact"/>
              <w:ind w:left="45" w:right="43"/>
              <w:jc w:val="center"/>
              <w:rPr>
                <w:sz w:val="20"/>
              </w:rPr>
            </w:pPr>
            <w:r>
              <w:rPr>
                <w:sz w:val="20"/>
              </w:rPr>
              <w:t>Combustible.</w:t>
            </w:r>
          </w:p>
        </w:tc>
        <w:tc>
          <w:tcPr>
            <w:tcW w:w="1297" w:type="dxa"/>
          </w:tcPr>
          <w:p>
            <w:pPr>
              <w:pStyle w:val="TableParagraph"/>
              <w:spacing w:line="227" w:lineRule="exact"/>
              <w:ind w:left="51" w:right="49"/>
              <w:jc w:val="center"/>
              <w:rPr>
                <w:sz w:val="20"/>
              </w:rPr>
            </w:pPr>
            <w:r>
              <w:rPr>
                <w:sz w:val="20"/>
              </w:rPr>
              <w:t>Silbido.</w:t>
            </w:r>
          </w:p>
        </w:tc>
        <w:tc>
          <w:tcPr>
            <w:tcW w:w="2909" w:type="dxa"/>
          </w:tcPr>
          <w:p>
            <w:pPr/>
          </w:p>
        </w:tc>
      </w:tr>
      <w:tr>
        <w:trPr>
          <w:trHeight w:val="1389" w:hRule="exact"/>
        </w:trPr>
        <w:tc>
          <w:tcPr>
            <w:tcW w:w="2088" w:type="dxa"/>
          </w:tcPr>
          <w:p>
            <w:pPr>
              <w:pStyle w:val="TableParagraph"/>
              <w:spacing w:line="242" w:lineRule="auto"/>
              <w:ind w:left="684" w:right="383" w:hanging="285"/>
              <w:rPr>
                <w:b/>
                <w:sz w:val="20"/>
              </w:rPr>
            </w:pPr>
            <w:r>
              <w:rPr>
                <w:b/>
                <w:sz w:val="20"/>
              </w:rPr>
              <w:t>Perclorato de potasio</w:t>
            </w:r>
          </w:p>
        </w:tc>
        <w:tc>
          <w:tcPr>
            <w:tcW w:w="1305" w:type="dxa"/>
          </w:tcPr>
          <w:p>
            <w:pPr>
              <w:pStyle w:val="TableParagraph"/>
              <w:spacing w:line="238" w:lineRule="exact"/>
              <w:ind w:left="46" w:right="45"/>
              <w:jc w:val="center"/>
              <w:rPr>
                <w:sz w:val="13"/>
              </w:rPr>
            </w:pPr>
            <w:r>
              <w:rPr>
                <w:sz w:val="20"/>
              </w:rPr>
              <w:t>KClO</w:t>
            </w:r>
            <w:r>
              <w:rPr>
                <w:position w:val="-2"/>
                <w:sz w:val="13"/>
              </w:rPr>
              <w:t>4</w:t>
            </w:r>
          </w:p>
        </w:tc>
        <w:tc>
          <w:tcPr>
            <w:tcW w:w="1384" w:type="dxa"/>
          </w:tcPr>
          <w:p>
            <w:pPr>
              <w:pStyle w:val="TableParagraph"/>
              <w:spacing w:line="223" w:lineRule="exact"/>
              <w:ind w:left="45" w:right="44"/>
              <w:jc w:val="center"/>
              <w:rPr>
                <w:sz w:val="20"/>
              </w:rPr>
            </w:pPr>
            <w:r>
              <w:rPr>
                <w:sz w:val="20"/>
              </w:rPr>
              <w:t>Oxigenador.</w:t>
            </w:r>
          </w:p>
        </w:tc>
        <w:tc>
          <w:tcPr>
            <w:tcW w:w="1297" w:type="dxa"/>
          </w:tcPr>
          <w:p>
            <w:pPr/>
          </w:p>
        </w:tc>
        <w:tc>
          <w:tcPr>
            <w:tcW w:w="2909" w:type="dxa"/>
          </w:tcPr>
          <w:p>
            <w:pPr>
              <w:pStyle w:val="TableParagraph"/>
              <w:ind w:left="75" w:right="74"/>
              <w:jc w:val="center"/>
              <w:rPr>
                <w:sz w:val="20"/>
              </w:rPr>
            </w:pPr>
            <w:r>
              <w:rPr>
                <w:sz w:val="20"/>
              </w:rPr>
              <w:t>Es el oxidante primario usado en la mayoría de los fuegos artificiales debido a su funcionamiento y estabilidad excelentes.</w:t>
            </w:r>
          </w:p>
        </w:tc>
      </w:tr>
      <w:tr>
        <w:trPr>
          <w:trHeight w:val="700" w:hRule="exact"/>
        </w:trPr>
        <w:tc>
          <w:tcPr>
            <w:tcW w:w="2088" w:type="dxa"/>
          </w:tcPr>
          <w:p>
            <w:pPr>
              <w:pStyle w:val="TableParagraph"/>
              <w:spacing w:line="223" w:lineRule="exact"/>
              <w:ind w:left="47" w:right="44"/>
              <w:jc w:val="center"/>
              <w:rPr>
                <w:b/>
                <w:sz w:val="20"/>
              </w:rPr>
            </w:pPr>
            <w:r>
              <w:rPr>
                <w:b/>
                <w:sz w:val="20"/>
              </w:rPr>
              <w:t>Picrato de potasio</w:t>
            </w:r>
          </w:p>
        </w:tc>
        <w:tc>
          <w:tcPr>
            <w:tcW w:w="1305" w:type="dxa"/>
          </w:tcPr>
          <w:p>
            <w:pPr>
              <w:pStyle w:val="TableParagraph"/>
              <w:spacing w:line="228" w:lineRule="exact" w:before="2"/>
              <w:ind w:left="504" w:right="122" w:hanging="361"/>
              <w:rPr>
                <w:sz w:val="20"/>
              </w:rPr>
            </w:pPr>
            <w:r>
              <w:rPr>
                <w:sz w:val="20"/>
              </w:rPr>
              <w:t>C</w:t>
            </w:r>
            <w:r>
              <w:rPr>
                <w:position w:val="-2"/>
                <w:sz w:val="13"/>
              </w:rPr>
              <w:t>6</w:t>
            </w:r>
            <w:r>
              <w:rPr>
                <w:sz w:val="20"/>
              </w:rPr>
              <w:t>H</w:t>
            </w:r>
            <w:r>
              <w:rPr>
                <w:position w:val="-2"/>
                <w:sz w:val="13"/>
              </w:rPr>
              <w:t>2</w:t>
            </w:r>
            <w:r>
              <w:rPr>
                <w:sz w:val="20"/>
              </w:rPr>
              <w:t>(NO</w:t>
            </w:r>
            <w:r>
              <w:rPr>
                <w:position w:val="-2"/>
                <w:sz w:val="13"/>
              </w:rPr>
              <w:t>2</w:t>
            </w:r>
            <w:r>
              <w:rPr>
                <w:sz w:val="20"/>
              </w:rPr>
              <w:t>)</w:t>
            </w:r>
            <w:r>
              <w:rPr>
                <w:position w:val="-2"/>
                <w:sz w:val="13"/>
              </w:rPr>
              <w:t>3 </w:t>
            </w:r>
            <w:r>
              <w:rPr>
                <w:sz w:val="20"/>
              </w:rPr>
              <w:t>OK</w:t>
            </w:r>
          </w:p>
        </w:tc>
        <w:tc>
          <w:tcPr>
            <w:tcW w:w="1384" w:type="dxa"/>
          </w:tcPr>
          <w:p>
            <w:pPr>
              <w:pStyle w:val="TableParagraph"/>
              <w:spacing w:line="227" w:lineRule="exact"/>
              <w:ind w:left="45" w:right="44"/>
              <w:jc w:val="center"/>
              <w:rPr>
                <w:sz w:val="20"/>
              </w:rPr>
            </w:pPr>
            <w:r>
              <w:rPr>
                <w:sz w:val="20"/>
              </w:rPr>
              <w:t>Combustible.</w:t>
            </w:r>
          </w:p>
        </w:tc>
        <w:tc>
          <w:tcPr>
            <w:tcW w:w="1297" w:type="dxa"/>
          </w:tcPr>
          <w:p>
            <w:pPr>
              <w:pStyle w:val="TableParagraph"/>
              <w:spacing w:line="227" w:lineRule="exact"/>
              <w:ind w:left="51" w:right="49"/>
              <w:jc w:val="center"/>
              <w:rPr>
                <w:sz w:val="20"/>
              </w:rPr>
            </w:pPr>
            <w:r>
              <w:rPr>
                <w:sz w:val="20"/>
              </w:rPr>
              <w:t>Silbido.</w:t>
            </w:r>
          </w:p>
        </w:tc>
        <w:tc>
          <w:tcPr>
            <w:tcW w:w="2909" w:type="dxa"/>
          </w:tcPr>
          <w:p>
            <w:pPr>
              <w:pStyle w:val="TableParagraph"/>
              <w:ind w:left="76" w:right="76"/>
              <w:jc w:val="center"/>
              <w:rPr>
                <w:sz w:val="20"/>
              </w:rPr>
            </w:pPr>
            <w:r>
              <w:rPr>
                <w:sz w:val="20"/>
              </w:rPr>
              <w:t>Muy sensible al choque y a la fricción, usados muy raramente.</w:t>
            </w:r>
          </w:p>
        </w:tc>
      </w:tr>
      <w:tr>
        <w:trPr>
          <w:trHeight w:val="472" w:hRule="exact"/>
        </w:trPr>
        <w:tc>
          <w:tcPr>
            <w:tcW w:w="2088" w:type="dxa"/>
          </w:tcPr>
          <w:p>
            <w:pPr>
              <w:pStyle w:val="TableParagraph"/>
              <w:spacing w:line="223" w:lineRule="exact"/>
              <w:ind w:left="47" w:right="44"/>
              <w:jc w:val="center"/>
              <w:rPr>
                <w:b/>
                <w:sz w:val="20"/>
              </w:rPr>
            </w:pPr>
            <w:r>
              <w:rPr>
                <w:b/>
                <w:sz w:val="20"/>
              </w:rPr>
              <w:t>Sulfato de potasio</w:t>
            </w:r>
          </w:p>
        </w:tc>
        <w:tc>
          <w:tcPr>
            <w:tcW w:w="1305" w:type="dxa"/>
          </w:tcPr>
          <w:p>
            <w:pPr>
              <w:pStyle w:val="TableParagraph"/>
              <w:spacing w:line="242" w:lineRule="exact"/>
              <w:ind w:left="45" w:right="45"/>
              <w:jc w:val="center"/>
              <w:rPr>
                <w:sz w:val="13"/>
              </w:rPr>
            </w:pPr>
            <w:r>
              <w:rPr>
                <w:sz w:val="20"/>
              </w:rPr>
              <w:t>K</w:t>
            </w:r>
            <w:r>
              <w:rPr>
                <w:position w:val="-2"/>
                <w:sz w:val="13"/>
              </w:rPr>
              <w:t>2</w:t>
            </w:r>
            <w:r>
              <w:rPr>
                <w:sz w:val="20"/>
              </w:rPr>
              <w:t>SO</w:t>
            </w:r>
            <w:r>
              <w:rPr>
                <w:position w:val="-2"/>
                <w:sz w:val="13"/>
              </w:rPr>
              <w:t>4</w:t>
            </w:r>
          </w:p>
        </w:tc>
        <w:tc>
          <w:tcPr>
            <w:tcW w:w="1384" w:type="dxa"/>
          </w:tcPr>
          <w:p>
            <w:pPr>
              <w:pStyle w:val="TableParagraph"/>
              <w:spacing w:line="227" w:lineRule="exact"/>
              <w:ind w:left="45" w:right="45"/>
              <w:jc w:val="center"/>
              <w:rPr>
                <w:sz w:val="20"/>
              </w:rPr>
            </w:pPr>
            <w:r>
              <w:rPr>
                <w:sz w:val="20"/>
              </w:rPr>
              <w:t>Oxigenador</w:t>
            </w:r>
          </w:p>
        </w:tc>
        <w:tc>
          <w:tcPr>
            <w:tcW w:w="1297" w:type="dxa"/>
          </w:tcPr>
          <w:p>
            <w:pPr/>
          </w:p>
        </w:tc>
        <w:tc>
          <w:tcPr>
            <w:tcW w:w="2909" w:type="dxa"/>
          </w:tcPr>
          <w:p>
            <w:pPr>
              <w:pStyle w:val="TableParagraph"/>
              <w:spacing w:line="228" w:lineRule="exact" w:before="2"/>
              <w:ind w:left="351" w:right="328" w:firstLine="28"/>
              <w:rPr>
                <w:sz w:val="20"/>
              </w:rPr>
            </w:pPr>
            <w:r>
              <w:rPr>
                <w:sz w:val="20"/>
              </w:rPr>
              <w:t>Usado en formulas para efectos estroboscopicos.</w:t>
            </w:r>
          </w:p>
        </w:tc>
      </w:tr>
      <w:tr>
        <w:trPr>
          <w:trHeight w:val="929" w:hRule="exact"/>
        </w:trPr>
        <w:tc>
          <w:tcPr>
            <w:tcW w:w="2088" w:type="dxa"/>
          </w:tcPr>
          <w:p>
            <w:pPr>
              <w:pStyle w:val="TableParagraph"/>
              <w:spacing w:line="242" w:lineRule="auto"/>
              <w:ind w:left="776" w:right="293" w:hanging="465"/>
              <w:rPr>
                <w:b/>
                <w:sz w:val="20"/>
              </w:rPr>
            </w:pPr>
            <w:r>
              <w:rPr>
                <w:b/>
                <w:sz w:val="20"/>
              </w:rPr>
              <w:t>Bicarbonato de sodio</w:t>
            </w:r>
          </w:p>
        </w:tc>
        <w:tc>
          <w:tcPr>
            <w:tcW w:w="1305" w:type="dxa"/>
          </w:tcPr>
          <w:p>
            <w:pPr>
              <w:pStyle w:val="TableParagraph"/>
              <w:spacing w:line="238" w:lineRule="exact"/>
              <w:ind w:left="50" w:right="98"/>
              <w:jc w:val="center"/>
              <w:rPr>
                <w:sz w:val="13"/>
              </w:rPr>
            </w:pPr>
            <w:r>
              <w:rPr>
                <w:sz w:val="20"/>
              </w:rPr>
              <w:t>NaHCO</w:t>
            </w:r>
            <w:r>
              <w:rPr>
                <w:position w:val="-2"/>
                <w:sz w:val="13"/>
              </w:rPr>
              <w:t>3</w:t>
            </w:r>
          </w:p>
        </w:tc>
        <w:tc>
          <w:tcPr>
            <w:tcW w:w="1384" w:type="dxa"/>
          </w:tcPr>
          <w:p>
            <w:pPr>
              <w:pStyle w:val="TableParagraph"/>
              <w:spacing w:line="242" w:lineRule="auto"/>
              <w:ind w:left="79" w:right="65" w:firstLine="144"/>
              <w:rPr>
                <w:sz w:val="20"/>
              </w:rPr>
            </w:pPr>
            <w:r>
              <w:rPr>
                <w:sz w:val="20"/>
              </w:rPr>
              <w:t>Colorante, neutralizador.</w:t>
            </w:r>
          </w:p>
        </w:tc>
        <w:tc>
          <w:tcPr>
            <w:tcW w:w="1297" w:type="dxa"/>
          </w:tcPr>
          <w:p>
            <w:pPr>
              <w:pStyle w:val="TableParagraph"/>
              <w:spacing w:line="223" w:lineRule="exact"/>
              <w:ind w:left="51" w:right="46"/>
              <w:jc w:val="center"/>
              <w:rPr>
                <w:sz w:val="20"/>
              </w:rPr>
            </w:pPr>
            <w:r>
              <w:rPr>
                <w:sz w:val="20"/>
              </w:rPr>
              <w:t>Amarillo</w:t>
            </w:r>
          </w:p>
        </w:tc>
        <w:tc>
          <w:tcPr>
            <w:tcW w:w="2909" w:type="dxa"/>
          </w:tcPr>
          <w:p>
            <w:pPr>
              <w:pStyle w:val="TableParagraph"/>
              <w:ind w:left="303" w:right="309" w:firstLine="3"/>
              <w:jc w:val="center"/>
              <w:rPr>
                <w:sz w:val="20"/>
              </w:rPr>
            </w:pPr>
            <w:r>
              <w:rPr>
                <w:sz w:val="20"/>
              </w:rPr>
              <w:t>Es un agente colorante amarillo pobre. Retrasa</w:t>
            </w:r>
            <w:r>
              <w:rPr>
                <w:spacing w:val="-13"/>
                <w:sz w:val="20"/>
              </w:rPr>
              <w:t> </w:t>
            </w:r>
            <w:r>
              <w:rPr>
                <w:sz w:val="20"/>
              </w:rPr>
              <w:t>el brillo en algunas composiciones.</w:t>
            </w:r>
          </w:p>
        </w:tc>
      </w:tr>
      <w:tr>
        <w:trPr>
          <w:trHeight w:val="472" w:hRule="exact"/>
        </w:trPr>
        <w:tc>
          <w:tcPr>
            <w:tcW w:w="2088" w:type="dxa"/>
          </w:tcPr>
          <w:p>
            <w:pPr>
              <w:pStyle w:val="TableParagraph"/>
              <w:spacing w:line="223" w:lineRule="exact"/>
              <w:ind w:left="47" w:right="44"/>
              <w:jc w:val="center"/>
              <w:rPr>
                <w:b/>
                <w:sz w:val="20"/>
              </w:rPr>
            </w:pPr>
            <w:r>
              <w:rPr>
                <w:b/>
                <w:sz w:val="20"/>
              </w:rPr>
              <w:t>Nitrato de sodio</w:t>
            </w:r>
          </w:p>
        </w:tc>
        <w:tc>
          <w:tcPr>
            <w:tcW w:w="1305" w:type="dxa"/>
          </w:tcPr>
          <w:p>
            <w:pPr>
              <w:pStyle w:val="TableParagraph"/>
              <w:spacing w:line="242" w:lineRule="exact"/>
              <w:ind w:left="50" w:right="45"/>
              <w:jc w:val="center"/>
              <w:rPr>
                <w:sz w:val="13"/>
              </w:rPr>
            </w:pPr>
            <w:r>
              <w:rPr>
                <w:sz w:val="20"/>
              </w:rPr>
              <w:t>NaNO</w:t>
            </w:r>
            <w:r>
              <w:rPr>
                <w:position w:val="-2"/>
                <w:sz w:val="13"/>
              </w:rPr>
              <w:t>3</w:t>
            </w:r>
          </w:p>
        </w:tc>
        <w:tc>
          <w:tcPr>
            <w:tcW w:w="1384" w:type="dxa"/>
          </w:tcPr>
          <w:p>
            <w:pPr>
              <w:pStyle w:val="TableParagraph"/>
              <w:spacing w:line="227" w:lineRule="exact"/>
              <w:ind w:left="45" w:right="44"/>
              <w:jc w:val="center"/>
              <w:rPr>
                <w:sz w:val="20"/>
              </w:rPr>
            </w:pPr>
            <w:r>
              <w:rPr>
                <w:sz w:val="20"/>
              </w:rPr>
              <w:t>Oxigenador.</w:t>
            </w:r>
          </w:p>
        </w:tc>
        <w:tc>
          <w:tcPr>
            <w:tcW w:w="1297" w:type="dxa"/>
          </w:tcPr>
          <w:p>
            <w:pPr>
              <w:pStyle w:val="TableParagraph"/>
              <w:spacing w:line="227" w:lineRule="exact"/>
              <w:ind w:left="51" w:right="49"/>
              <w:jc w:val="center"/>
              <w:rPr>
                <w:sz w:val="20"/>
              </w:rPr>
            </w:pPr>
            <w:r>
              <w:rPr>
                <w:sz w:val="20"/>
              </w:rPr>
              <w:t>Amarillo.</w:t>
            </w:r>
          </w:p>
        </w:tc>
        <w:tc>
          <w:tcPr>
            <w:tcW w:w="2909" w:type="dxa"/>
          </w:tcPr>
          <w:p>
            <w:pPr>
              <w:pStyle w:val="TableParagraph"/>
              <w:spacing w:line="228" w:lineRule="exact" w:before="2"/>
              <w:ind w:left="103" w:right="87" w:firstLine="56"/>
              <w:rPr>
                <w:sz w:val="20"/>
              </w:rPr>
            </w:pPr>
            <w:r>
              <w:rPr>
                <w:sz w:val="20"/>
              </w:rPr>
              <w:t>Sustancia de gran capacidad giroscópica, raramente usada.</w:t>
            </w:r>
          </w:p>
        </w:tc>
      </w:tr>
      <w:tr>
        <w:trPr>
          <w:trHeight w:val="468" w:hRule="exact"/>
        </w:trPr>
        <w:tc>
          <w:tcPr>
            <w:tcW w:w="2088" w:type="dxa"/>
          </w:tcPr>
          <w:p>
            <w:pPr>
              <w:pStyle w:val="TableParagraph"/>
              <w:spacing w:line="219" w:lineRule="exact"/>
              <w:ind w:left="47" w:right="44"/>
              <w:jc w:val="center"/>
              <w:rPr>
                <w:b/>
                <w:sz w:val="20"/>
              </w:rPr>
            </w:pPr>
            <w:r>
              <w:rPr>
                <w:b/>
                <w:sz w:val="20"/>
              </w:rPr>
              <w:t>Oxalato de sodio</w:t>
            </w:r>
          </w:p>
        </w:tc>
        <w:tc>
          <w:tcPr>
            <w:tcW w:w="1305" w:type="dxa"/>
          </w:tcPr>
          <w:p>
            <w:pPr>
              <w:pStyle w:val="TableParagraph"/>
              <w:spacing w:line="238" w:lineRule="exact"/>
              <w:ind w:left="50" w:right="45"/>
              <w:jc w:val="center"/>
              <w:rPr>
                <w:sz w:val="13"/>
              </w:rPr>
            </w:pPr>
            <w:r>
              <w:rPr>
                <w:sz w:val="20"/>
              </w:rPr>
              <w:t>Na</w:t>
            </w:r>
            <w:r>
              <w:rPr>
                <w:position w:val="-2"/>
                <w:sz w:val="13"/>
              </w:rPr>
              <w:t>2</w:t>
            </w:r>
            <w:r>
              <w:rPr>
                <w:sz w:val="20"/>
              </w:rPr>
              <w:t>C</w:t>
            </w:r>
            <w:r>
              <w:rPr>
                <w:position w:val="-2"/>
                <w:sz w:val="13"/>
              </w:rPr>
              <w:t>2</w:t>
            </w:r>
            <w:r>
              <w:rPr>
                <w:sz w:val="20"/>
              </w:rPr>
              <w:t>O</w:t>
            </w:r>
            <w:r>
              <w:rPr>
                <w:position w:val="-2"/>
                <w:sz w:val="13"/>
              </w:rPr>
              <w:t>4</w:t>
            </w:r>
          </w:p>
        </w:tc>
        <w:tc>
          <w:tcPr>
            <w:tcW w:w="1384" w:type="dxa"/>
          </w:tcPr>
          <w:p>
            <w:pPr>
              <w:pStyle w:val="TableParagraph"/>
              <w:spacing w:line="223" w:lineRule="exact"/>
              <w:ind w:left="45" w:right="44"/>
              <w:jc w:val="center"/>
              <w:rPr>
                <w:sz w:val="20"/>
              </w:rPr>
            </w:pPr>
            <w:r>
              <w:rPr>
                <w:sz w:val="20"/>
              </w:rPr>
              <w:t>Oxigenador.</w:t>
            </w:r>
          </w:p>
        </w:tc>
        <w:tc>
          <w:tcPr>
            <w:tcW w:w="1297" w:type="dxa"/>
          </w:tcPr>
          <w:p>
            <w:pPr>
              <w:pStyle w:val="TableParagraph"/>
              <w:spacing w:line="242" w:lineRule="auto"/>
              <w:ind w:left="268" w:right="244" w:firstLine="16"/>
              <w:rPr>
                <w:sz w:val="20"/>
              </w:rPr>
            </w:pPr>
            <w:r>
              <w:rPr>
                <w:sz w:val="20"/>
              </w:rPr>
              <w:t>Amarillo brillante.</w:t>
            </w:r>
          </w:p>
        </w:tc>
        <w:tc>
          <w:tcPr>
            <w:tcW w:w="2909" w:type="dxa"/>
          </w:tcPr>
          <w:p>
            <w:pPr>
              <w:pStyle w:val="TableParagraph"/>
              <w:spacing w:line="242" w:lineRule="auto"/>
              <w:ind w:left="323" w:right="298" w:hanging="8"/>
              <w:rPr>
                <w:sz w:val="20"/>
              </w:rPr>
            </w:pPr>
            <w:r>
              <w:rPr>
                <w:sz w:val="20"/>
              </w:rPr>
              <w:t>Agente colorante amarillo tenue, agente retardador.</w:t>
            </w:r>
          </w:p>
        </w:tc>
      </w:tr>
      <w:tr>
        <w:trPr>
          <w:trHeight w:val="700" w:hRule="exact"/>
        </w:trPr>
        <w:tc>
          <w:tcPr>
            <w:tcW w:w="2088" w:type="dxa"/>
          </w:tcPr>
          <w:p>
            <w:pPr>
              <w:pStyle w:val="TableParagraph"/>
              <w:spacing w:line="223" w:lineRule="exact"/>
              <w:ind w:left="47" w:right="45"/>
              <w:jc w:val="center"/>
              <w:rPr>
                <w:b/>
                <w:sz w:val="20"/>
              </w:rPr>
            </w:pPr>
            <w:r>
              <w:rPr>
                <w:b/>
                <w:sz w:val="20"/>
              </w:rPr>
              <w:t>Silicato de sodio</w:t>
            </w:r>
          </w:p>
        </w:tc>
        <w:tc>
          <w:tcPr>
            <w:tcW w:w="1305" w:type="dxa"/>
          </w:tcPr>
          <w:p>
            <w:pPr>
              <w:pStyle w:val="TableParagraph"/>
              <w:spacing w:line="242" w:lineRule="exact"/>
              <w:ind w:left="50" w:right="41"/>
              <w:jc w:val="center"/>
              <w:rPr>
                <w:sz w:val="13"/>
              </w:rPr>
            </w:pPr>
            <w:r>
              <w:rPr>
                <w:sz w:val="20"/>
              </w:rPr>
              <w:t>Na</w:t>
            </w:r>
            <w:r>
              <w:rPr>
                <w:position w:val="-2"/>
                <w:sz w:val="13"/>
              </w:rPr>
              <w:t>2</w:t>
            </w:r>
            <w:r>
              <w:rPr>
                <w:sz w:val="20"/>
              </w:rPr>
              <w:t>O 2SiO</w:t>
            </w:r>
            <w:r>
              <w:rPr>
                <w:position w:val="-2"/>
                <w:sz w:val="13"/>
              </w:rPr>
              <w:t>2</w:t>
            </w:r>
          </w:p>
        </w:tc>
        <w:tc>
          <w:tcPr>
            <w:tcW w:w="1384" w:type="dxa"/>
          </w:tcPr>
          <w:p>
            <w:pPr>
              <w:pStyle w:val="TableParagraph"/>
              <w:spacing w:line="227" w:lineRule="exact"/>
              <w:ind w:left="45" w:right="45"/>
              <w:jc w:val="center"/>
              <w:rPr>
                <w:sz w:val="20"/>
              </w:rPr>
            </w:pPr>
            <w:r>
              <w:rPr>
                <w:sz w:val="20"/>
              </w:rPr>
              <w:t>Neutralizador.</w:t>
            </w:r>
          </w:p>
        </w:tc>
        <w:tc>
          <w:tcPr>
            <w:tcW w:w="1297" w:type="dxa"/>
          </w:tcPr>
          <w:p>
            <w:pPr/>
          </w:p>
        </w:tc>
        <w:tc>
          <w:tcPr>
            <w:tcW w:w="2909" w:type="dxa"/>
          </w:tcPr>
          <w:p>
            <w:pPr>
              <w:pStyle w:val="TableParagraph"/>
              <w:spacing w:line="228" w:lineRule="exact" w:before="2"/>
              <w:ind w:left="1043" w:right="350" w:hanging="680"/>
              <w:rPr>
                <w:sz w:val="20"/>
              </w:rPr>
            </w:pPr>
            <w:r>
              <w:rPr>
                <w:sz w:val="20"/>
              </w:rPr>
              <w:t>Su uso se limita a pocos artículos.</w:t>
            </w:r>
          </w:p>
        </w:tc>
      </w:tr>
      <w:tr>
        <w:trPr>
          <w:trHeight w:val="701" w:hRule="exact"/>
        </w:trPr>
        <w:tc>
          <w:tcPr>
            <w:tcW w:w="2088" w:type="dxa"/>
          </w:tcPr>
          <w:p>
            <w:pPr>
              <w:pStyle w:val="TableParagraph"/>
              <w:ind w:left="123" w:right="121" w:hanging="1"/>
              <w:jc w:val="center"/>
              <w:rPr>
                <w:b/>
                <w:sz w:val="20"/>
              </w:rPr>
            </w:pPr>
            <w:r>
              <w:rPr>
                <w:b/>
                <w:sz w:val="20"/>
              </w:rPr>
              <w:t>Sales de sodio (excepto clorato de sodio)</w:t>
            </w:r>
          </w:p>
        </w:tc>
        <w:tc>
          <w:tcPr>
            <w:tcW w:w="1305" w:type="dxa"/>
          </w:tcPr>
          <w:p>
            <w:pPr/>
          </w:p>
        </w:tc>
        <w:tc>
          <w:tcPr>
            <w:tcW w:w="1384" w:type="dxa"/>
          </w:tcPr>
          <w:p>
            <w:pPr>
              <w:pStyle w:val="TableParagraph"/>
              <w:spacing w:line="227" w:lineRule="exact"/>
              <w:ind w:left="44" w:right="45"/>
              <w:jc w:val="center"/>
              <w:rPr>
                <w:sz w:val="20"/>
              </w:rPr>
            </w:pPr>
            <w:r>
              <w:rPr>
                <w:sz w:val="20"/>
              </w:rPr>
              <w:t>Colorante.</w:t>
            </w:r>
          </w:p>
        </w:tc>
        <w:tc>
          <w:tcPr>
            <w:tcW w:w="1297" w:type="dxa"/>
          </w:tcPr>
          <w:p>
            <w:pPr>
              <w:pStyle w:val="TableParagraph"/>
              <w:spacing w:line="228" w:lineRule="exact" w:before="2"/>
              <w:ind w:left="268" w:right="244"/>
              <w:rPr>
                <w:sz w:val="20"/>
              </w:rPr>
            </w:pPr>
            <w:r>
              <w:rPr>
                <w:sz w:val="20"/>
              </w:rPr>
              <w:t>Naranja, amarillo.</w:t>
            </w:r>
          </w:p>
        </w:tc>
        <w:tc>
          <w:tcPr>
            <w:tcW w:w="2909" w:type="dxa"/>
          </w:tcPr>
          <w:p>
            <w:pPr>
              <w:pStyle w:val="TableParagraph"/>
              <w:ind w:left="80" w:right="82" w:hanging="1"/>
              <w:jc w:val="center"/>
              <w:rPr>
                <w:sz w:val="20"/>
              </w:rPr>
            </w:pPr>
            <w:r>
              <w:rPr>
                <w:sz w:val="20"/>
              </w:rPr>
              <w:t>Barato pero higroscópico, se utilizan a veces en lugar de las sales de potasio.</w:t>
            </w:r>
          </w:p>
        </w:tc>
      </w:tr>
      <w:tr>
        <w:trPr>
          <w:trHeight w:val="700" w:hRule="exact"/>
        </w:trPr>
        <w:tc>
          <w:tcPr>
            <w:tcW w:w="2088" w:type="dxa"/>
          </w:tcPr>
          <w:p>
            <w:pPr>
              <w:pStyle w:val="TableParagraph"/>
              <w:spacing w:line="223" w:lineRule="exact"/>
              <w:ind w:left="47" w:right="44"/>
              <w:jc w:val="center"/>
              <w:rPr>
                <w:b/>
                <w:sz w:val="20"/>
              </w:rPr>
            </w:pPr>
            <w:r>
              <w:rPr>
                <w:b/>
                <w:sz w:val="20"/>
              </w:rPr>
              <w:t>Sulfato de sodio</w:t>
            </w:r>
          </w:p>
        </w:tc>
        <w:tc>
          <w:tcPr>
            <w:tcW w:w="1305" w:type="dxa"/>
          </w:tcPr>
          <w:p>
            <w:pPr>
              <w:pStyle w:val="TableParagraph"/>
              <w:spacing w:line="242" w:lineRule="exact"/>
              <w:ind w:left="46" w:right="45"/>
              <w:jc w:val="center"/>
              <w:rPr>
                <w:sz w:val="13"/>
              </w:rPr>
            </w:pPr>
            <w:r>
              <w:rPr>
                <w:sz w:val="20"/>
              </w:rPr>
              <w:t>Na</w:t>
            </w:r>
            <w:r>
              <w:rPr>
                <w:position w:val="-2"/>
                <w:sz w:val="13"/>
              </w:rPr>
              <w:t>2</w:t>
            </w:r>
            <w:r>
              <w:rPr>
                <w:sz w:val="20"/>
              </w:rPr>
              <w:t>SO</w:t>
            </w:r>
            <w:r>
              <w:rPr>
                <w:position w:val="-2"/>
                <w:sz w:val="13"/>
              </w:rPr>
              <w:t>4</w:t>
            </w:r>
          </w:p>
        </w:tc>
        <w:tc>
          <w:tcPr>
            <w:tcW w:w="1384" w:type="dxa"/>
          </w:tcPr>
          <w:p>
            <w:pPr>
              <w:pStyle w:val="TableParagraph"/>
              <w:spacing w:line="228" w:lineRule="exact" w:before="2"/>
              <w:ind w:left="191" w:right="175" w:firstLine="32"/>
              <w:rPr>
                <w:sz w:val="20"/>
              </w:rPr>
            </w:pPr>
            <w:r>
              <w:rPr>
                <w:sz w:val="20"/>
              </w:rPr>
              <w:t>Colorante, oxigenador</w:t>
            </w:r>
          </w:p>
        </w:tc>
        <w:tc>
          <w:tcPr>
            <w:tcW w:w="1297" w:type="dxa"/>
          </w:tcPr>
          <w:p>
            <w:pPr>
              <w:pStyle w:val="TableParagraph"/>
              <w:spacing w:line="227" w:lineRule="exact"/>
              <w:ind w:left="51" w:right="49"/>
              <w:jc w:val="center"/>
              <w:rPr>
                <w:sz w:val="20"/>
              </w:rPr>
            </w:pPr>
            <w:r>
              <w:rPr>
                <w:sz w:val="20"/>
              </w:rPr>
              <w:t>Amarillo.</w:t>
            </w:r>
          </w:p>
        </w:tc>
        <w:tc>
          <w:tcPr>
            <w:tcW w:w="2909" w:type="dxa"/>
          </w:tcPr>
          <w:p>
            <w:pPr>
              <w:pStyle w:val="TableParagraph"/>
              <w:ind w:left="427" w:right="425" w:firstLine="1"/>
              <w:jc w:val="center"/>
              <w:rPr>
                <w:sz w:val="20"/>
              </w:rPr>
            </w:pPr>
            <w:r>
              <w:rPr>
                <w:sz w:val="20"/>
              </w:rPr>
              <w:t>Usado en luces estroboscopicas colora amarillo.</w:t>
            </w:r>
          </w:p>
        </w:tc>
      </w:tr>
      <w:tr>
        <w:trPr>
          <w:trHeight w:val="700" w:hRule="exact"/>
        </w:trPr>
        <w:tc>
          <w:tcPr>
            <w:tcW w:w="2088" w:type="dxa"/>
          </w:tcPr>
          <w:p>
            <w:pPr>
              <w:pStyle w:val="TableParagraph"/>
              <w:spacing w:line="223" w:lineRule="exact"/>
              <w:ind w:left="47" w:right="47"/>
              <w:jc w:val="center"/>
              <w:rPr>
                <w:b/>
                <w:sz w:val="20"/>
              </w:rPr>
            </w:pPr>
            <w:r>
              <w:rPr>
                <w:b/>
                <w:sz w:val="20"/>
              </w:rPr>
              <w:t>Almidón</w:t>
            </w:r>
          </w:p>
        </w:tc>
        <w:tc>
          <w:tcPr>
            <w:tcW w:w="1305" w:type="dxa"/>
          </w:tcPr>
          <w:p>
            <w:pPr>
              <w:pStyle w:val="TableParagraph"/>
              <w:spacing w:line="242" w:lineRule="exact"/>
              <w:ind w:left="50" w:right="45"/>
              <w:jc w:val="center"/>
              <w:rPr>
                <w:sz w:val="13"/>
              </w:rPr>
            </w:pPr>
            <w:r>
              <w:rPr>
                <w:sz w:val="20"/>
              </w:rPr>
              <w:t>(C</w:t>
            </w:r>
            <w:r>
              <w:rPr>
                <w:position w:val="-2"/>
                <w:sz w:val="13"/>
              </w:rPr>
              <w:t>6</w:t>
            </w:r>
            <w:r>
              <w:rPr>
                <w:sz w:val="20"/>
              </w:rPr>
              <w:t>H</w:t>
            </w:r>
            <w:r>
              <w:rPr>
                <w:position w:val="-2"/>
                <w:sz w:val="13"/>
              </w:rPr>
              <w:t>10</w:t>
            </w:r>
            <w:r>
              <w:rPr>
                <w:sz w:val="20"/>
              </w:rPr>
              <w:t>O</w:t>
            </w:r>
            <w:r>
              <w:rPr>
                <w:position w:val="-2"/>
                <w:sz w:val="13"/>
              </w:rPr>
              <w:t>5</w:t>
            </w:r>
            <w:r>
              <w:rPr>
                <w:sz w:val="20"/>
              </w:rPr>
              <w:t>)</w:t>
            </w:r>
            <w:r>
              <w:rPr>
                <w:position w:val="-2"/>
                <w:sz w:val="13"/>
              </w:rPr>
              <w:t>n</w:t>
            </w:r>
          </w:p>
        </w:tc>
        <w:tc>
          <w:tcPr>
            <w:tcW w:w="1384" w:type="dxa"/>
          </w:tcPr>
          <w:p>
            <w:pPr>
              <w:pStyle w:val="TableParagraph"/>
              <w:spacing w:line="228" w:lineRule="exact" w:before="2"/>
              <w:ind w:left="331" w:right="113" w:hanging="200"/>
              <w:rPr>
                <w:sz w:val="20"/>
              </w:rPr>
            </w:pPr>
            <w:r>
              <w:rPr>
                <w:sz w:val="20"/>
              </w:rPr>
              <w:t>Combustible Ligante.</w:t>
            </w:r>
          </w:p>
        </w:tc>
        <w:tc>
          <w:tcPr>
            <w:tcW w:w="1297" w:type="dxa"/>
          </w:tcPr>
          <w:p>
            <w:pPr/>
          </w:p>
        </w:tc>
        <w:tc>
          <w:tcPr>
            <w:tcW w:w="2909" w:type="dxa"/>
          </w:tcPr>
          <w:p>
            <w:pPr>
              <w:pStyle w:val="TableParagraph"/>
              <w:ind w:left="134" w:right="136"/>
              <w:jc w:val="center"/>
              <w:rPr>
                <w:sz w:val="20"/>
              </w:rPr>
            </w:pPr>
            <w:r>
              <w:rPr>
                <w:sz w:val="20"/>
              </w:rPr>
              <w:t>Liga algunas composiciones de la estrella y reduce la velocidad de reacción.</w:t>
            </w:r>
          </w:p>
        </w:tc>
      </w:tr>
      <w:tr>
        <w:trPr>
          <w:trHeight w:val="932" w:hRule="exact"/>
        </w:trPr>
        <w:tc>
          <w:tcPr>
            <w:tcW w:w="2088" w:type="dxa"/>
          </w:tcPr>
          <w:p>
            <w:pPr>
              <w:pStyle w:val="TableParagraph"/>
              <w:spacing w:line="237" w:lineRule="auto"/>
              <w:ind w:left="567" w:right="248" w:hanging="300"/>
              <w:rPr>
                <w:b/>
                <w:sz w:val="20"/>
              </w:rPr>
            </w:pPr>
            <w:r>
              <w:rPr>
                <w:b/>
                <w:sz w:val="20"/>
              </w:rPr>
              <w:t>Estearina (ácido esteárico)</w:t>
            </w:r>
          </w:p>
        </w:tc>
        <w:tc>
          <w:tcPr>
            <w:tcW w:w="1305" w:type="dxa"/>
          </w:tcPr>
          <w:p>
            <w:pPr/>
          </w:p>
        </w:tc>
        <w:tc>
          <w:tcPr>
            <w:tcW w:w="1384" w:type="dxa"/>
          </w:tcPr>
          <w:p>
            <w:pPr>
              <w:pStyle w:val="TableParagraph"/>
              <w:spacing w:line="227" w:lineRule="exact"/>
              <w:ind w:left="45" w:right="44"/>
              <w:jc w:val="center"/>
              <w:rPr>
                <w:sz w:val="20"/>
              </w:rPr>
            </w:pPr>
            <w:r>
              <w:rPr>
                <w:sz w:val="20"/>
              </w:rPr>
              <w:t>Combustible.</w:t>
            </w:r>
          </w:p>
        </w:tc>
        <w:tc>
          <w:tcPr>
            <w:tcW w:w="1297" w:type="dxa"/>
          </w:tcPr>
          <w:p>
            <w:pPr/>
          </w:p>
        </w:tc>
        <w:tc>
          <w:tcPr>
            <w:tcW w:w="2909" w:type="dxa"/>
          </w:tcPr>
          <w:p>
            <w:pPr>
              <w:pStyle w:val="TableParagraph"/>
              <w:ind w:left="137" w:right="136"/>
              <w:jc w:val="center"/>
              <w:rPr>
                <w:sz w:val="20"/>
              </w:rPr>
            </w:pPr>
            <w:r>
              <w:rPr>
                <w:sz w:val="20"/>
              </w:rPr>
              <w:t>Alarga las llamas y reduce cierta sensibilidad de la fricción en algunas composiciones.</w:t>
            </w:r>
          </w:p>
        </w:tc>
      </w:tr>
      <w:tr>
        <w:trPr>
          <w:trHeight w:val="700" w:hRule="exact"/>
        </w:trPr>
        <w:tc>
          <w:tcPr>
            <w:tcW w:w="2088" w:type="dxa"/>
          </w:tcPr>
          <w:p>
            <w:pPr>
              <w:pStyle w:val="TableParagraph"/>
              <w:spacing w:line="242" w:lineRule="auto"/>
              <w:ind w:left="592" w:right="375" w:hanging="196"/>
              <w:rPr>
                <w:b/>
                <w:sz w:val="20"/>
              </w:rPr>
            </w:pPr>
            <w:r>
              <w:rPr>
                <w:b/>
                <w:sz w:val="20"/>
              </w:rPr>
              <w:t>Carbonato de estroncio</w:t>
            </w:r>
          </w:p>
        </w:tc>
        <w:tc>
          <w:tcPr>
            <w:tcW w:w="1305" w:type="dxa"/>
          </w:tcPr>
          <w:p>
            <w:pPr>
              <w:pStyle w:val="TableParagraph"/>
              <w:spacing w:line="238" w:lineRule="exact"/>
              <w:ind w:left="50" w:right="45"/>
              <w:jc w:val="center"/>
              <w:rPr>
                <w:sz w:val="13"/>
              </w:rPr>
            </w:pPr>
            <w:r>
              <w:rPr>
                <w:sz w:val="20"/>
              </w:rPr>
              <w:t>SrCO</w:t>
            </w:r>
            <w:r>
              <w:rPr>
                <w:position w:val="-2"/>
                <w:sz w:val="13"/>
              </w:rPr>
              <w:t>3</w:t>
            </w:r>
          </w:p>
        </w:tc>
        <w:tc>
          <w:tcPr>
            <w:tcW w:w="1384" w:type="dxa"/>
          </w:tcPr>
          <w:p>
            <w:pPr>
              <w:pStyle w:val="TableParagraph"/>
              <w:spacing w:line="242" w:lineRule="auto"/>
              <w:ind w:left="203" w:right="186" w:firstLine="20"/>
              <w:rPr>
                <w:sz w:val="20"/>
              </w:rPr>
            </w:pPr>
            <w:r>
              <w:rPr>
                <w:sz w:val="20"/>
              </w:rPr>
              <w:t>Colorante, retardante.</w:t>
            </w:r>
          </w:p>
        </w:tc>
        <w:tc>
          <w:tcPr>
            <w:tcW w:w="1297" w:type="dxa"/>
          </w:tcPr>
          <w:p>
            <w:pPr>
              <w:pStyle w:val="TableParagraph"/>
              <w:spacing w:line="223" w:lineRule="exact"/>
              <w:ind w:left="50" w:right="51"/>
              <w:jc w:val="center"/>
              <w:rPr>
                <w:sz w:val="20"/>
              </w:rPr>
            </w:pPr>
            <w:r>
              <w:rPr>
                <w:sz w:val="20"/>
              </w:rPr>
              <w:t>Rojo.</w:t>
            </w:r>
          </w:p>
        </w:tc>
        <w:tc>
          <w:tcPr>
            <w:tcW w:w="2909" w:type="dxa"/>
          </w:tcPr>
          <w:p>
            <w:pPr>
              <w:pStyle w:val="TableParagraph"/>
              <w:ind w:left="151" w:right="150" w:hanging="5"/>
              <w:jc w:val="center"/>
              <w:rPr>
                <w:sz w:val="20"/>
              </w:rPr>
            </w:pPr>
            <w:r>
              <w:rPr>
                <w:sz w:val="20"/>
              </w:rPr>
              <w:t>Produce un rojo </w:t>
            </w:r>
            <w:r>
              <w:rPr>
                <w:spacing w:val="-3"/>
                <w:sz w:val="20"/>
              </w:rPr>
              <w:t>muy </w:t>
            </w:r>
            <w:r>
              <w:rPr>
                <w:sz w:val="20"/>
              </w:rPr>
              <w:t>bueno, es usado para retardar algunas reacciones de</w:t>
            </w:r>
            <w:r>
              <w:rPr>
                <w:spacing w:val="-17"/>
                <w:sz w:val="20"/>
              </w:rPr>
              <w:t> </w:t>
            </w:r>
            <w:r>
              <w:rPr>
                <w:sz w:val="20"/>
              </w:rPr>
              <w:t>flama.</w:t>
            </w:r>
          </w:p>
        </w:tc>
      </w:tr>
      <w:tr>
        <w:trPr>
          <w:trHeight w:val="1385" w:hRule="exact"/>
        </w:trPr>
        <w:tc>
          <w:tcPr>
            <w:tcW w:w="2088" w:type="dxa"/>
          </w:tcPr>
          <w:p>
            <w:pPr>
              <w:pStyle w:val="TableParagraph"/>
              <w:spacing w:line="219" w:lineRule="exact"/>
              <w:ind w:left="47" w:right="47"/>
              <w:jc w:val="center"/>
              <w:rPr>
                <w:b/>
                <w:sz w:val="20"/>
              </w:rPr>
            </w:pPr>
            <w:r>
              <w:rPr>
                <w:b/>
                <w:sz w:val="20"/>
              </w:rPr>
              <w:t>Nitrato de estroncio.</w:t>
            </w:r>
          </w:p>
        </w:tc>
        <w:tc>
          <w:tcPr>
            <w:tcW w:w="1305" w:type="dxa"/>
          </w:tcPr>
          <w:p>
            <w:pPr>
              <w:pStyle w:val="TableParagraph"/>
              <w:spacing w:line="238" w:lineRule="exact"/>
              <w:ind w:left="50" w:right="45"/>
              <w:jc w:val="center"/>
              <w:rPr>
                <w:sz w:val="13"/>
              </w:rPr>
            </w:pPr>
            <w:r>
              <w:rPr>
                <w:sz w:val="20"/>
              </w:rPr>
              <w:t>Sr(NO</w:t>
            </w:r>
            <w:r>
              <w:rPr>
                <w:position w:val="-2"/>
                <w:sz w:val="13"/>
              </w:rPr>
              <w:t>3</w:t>
            </w:r>
            <w:r>
              <w:rPr>
                <w:sz w:val="20"/>
              </w:rPr>
              <w:t>)</w:t>
            </w:r>
            <w:r>
              <w:rPr>
                <w:position w:val="-2"/>
                <w:sz w:val="13"/>
              </w:rPr>
              <w:t>2</w:t>
            </w:r>
          </w:p>
        </w:tc>
        <w:tc>
          <w:tcPr>
            <w:tcW w:w="1384" w:type="dxa"/>
          </w:tcPr>
          <w:p>
            <w:pPr>
              <w:pStyle w:val="TableParagraph"/>
              <w:spacing w:line="242" w:lineRule="auto"/>
              <w:ind w:left="167" w:right="155" w:firstLine="56"/>
              <w:rPr>
                <w:sz w:val="20"/>
              </w:rPr>
            </w:pPr>
            <w:r>
              <w:rPr>
                <w:sz w:val="20"/>
              </w:rPr>
              <w:t>Colorante, oxigenante.</w:t>
            </w:r>
          </w:p>
        </w:tc>
        <w:tc>
          <w:tcPr>
            <w:tcW w:w="1297" w:type="dxa"/>
          </w:tcPr>
          <w:p>
            <w:pPr>
              <w:pStyle w:val="TableParagraph"/>
              <w:spacing w:line="223" w:lineRule="exact"/>
              <w:ind w:left="50" w:right="51"/>
              <w:jc w:val="center"/>
              <w:rPr>
                <w:sz w:val="20"/>
              </w:rPr>
            </w:pPr>
            <w:r>
              <w:rPr>
                <w:sz w:val="20"/>
              </w:rPr>
              <w:t>Rojo</w:t>
            </w:r>
          </w:p>
        </w:tc>
        <w:tc>
          <w:tcPr>
            <w:tcW w:w="2909" w:type="dxa"/>
          </w:tcPr>
          <w:p>
            <w:pPr>
              <w:pStyle w:val="TableParagraph"/>
              <w:ind w:left="72" w:right="70" w:hanging="1"/>
              <w:jc w:val="center"/>
              <w:rPr>
                <w:sz w:val="20"/>
              </w:rPr>
            </w:pPr>
            <w:r>
              <w:rPr>
                <w:sz w:val="20"/>
              </w:rPr>
              <w:t>Utilizado en las llamaradas de camino (fusibles) y muchas otras composiciones rojas debido al rojo excelente, especialmente en conjunto con combustibles de metal.</w:t>
            </w:r>
          </w:p>
        </w:tc>
      </w:tr>
    </w:tbl>
    <w:p>
      <w:pPr>
        <w:spacing w:after="0"/>
        <w:jc w:val="center"/>
        <w:rPr>
          <w:sz w:val="20"/>
        </w:rPr>
        <w:sectPr>
          <w:footerReference w:type="default" r:id="rId67"/>
          <w:pgSz w:w="12240" w:h="15840"/>
          <w:pgMar w:footer="1011" w:header="0" w:top="1420" w:bottom="1200" w:left="1520" w:right="15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88"/>
        <w:gridCol w:w="1305"/>
        <w:gridCol w:w="1384"/>
        <w:gridCol w:w="1297"/>
        <w:gridCol w:w="2909"/>
      </w:tblGrid>
      <w:tr>
        <w:trPr>
          <w:trHeight w:val="720" w:hRule="exact"/>
        </w:trPr>
        <w:tc>
          <w:tcPr>
            <w:tcW w:w="2088" w:type="dxa"/>
          </w:tcPr>
          <w:p>
            <w:pPr>
              <w:pStyle w:val="TableParagraph"/>
              <w:spacing w:before="2"/>
              <w:rPr>
                <w:b/>
                <w:sz w:val="19"/>
              </w:rPr>
            </w:pPr>
          </w:p>
          <w:p>
            <w:pPr>
              <w:pStyle w:val="TableParagraph"/>
              <w:ind w:left="604" w:right="375" w:hanging="208"/>
              <w:rPr>
                <w:b/>
                <w:sz w:val="20"/>
              </w:rPr>
            </w:pPr>
            <w:r>
              <w:rPr>
                <w:b/>
                <w:sz w:val="20"/>
              </w:rPr>
              <w:t>COMPUESTO QUÍMICO</w:t>
            </w:r>
          </w:p>
        </w:tc>
        <w:tc>
          <w:tcPr>
            <w:tcW w:w="1305" w:type="dxa"/>
          </w:tcPr>
          <w:p>
            <w:pPr>
              <w:pStyle w:val="TableParagraph"/>
              <w:rPr>
                <w:b/>
                <w:sz w:val="20"/>
              </w:rPr>
            </w:pPr>
          </w:p>
          <w:p>
            <w:pPr>
              <w:pStyle w:val="TableParagraph"/>
              <w:spacing w:before="1"/>
              <w:rPr>
                <w:b/>
                <w:sz w:val="21"/>
              </w:rPr>
            </w:pPr>
          </w:p>
          <w:p>
            <w:pPr>
              <w:pStyle w:val="TableParagraph"/>
              <w:ind w:left="45" w:right="45"/>
              <w:jc w:val="center"/>
              <w:rPr>
                <w:b/>
                <w:sz w:val="20"/>
              </w:rPr>
            </w:pPr>
            <w:r>
              <w:rPr>
                <w:b/>
                <w:sz w:val="20"/>
              </w:rPr>
              <w:t>FORMULA</w:t>
            </w:r>
          </w:p>
        </w:tc>
        <w:tc>
          <w:tcPr>
            <w:tcW w:w="1384" w:type="dxa"/>
          </w:tcPr>
          <w:p>
            <w:pPr>
              <w:pStyle w:val="TableParagraph"/>
              <w:rPr>
                <w:b/>
                <w:sz w:val="20"/>
              </w:rPr>
            </w:pPr>
          </w:p>
          <w:p>
            <w:pPr>
              <w:pStyle w:val="TableParagraph"/>
              <w:spacing w:before="1"/>
              <w:rPr>
                <w:b/>
                <w:sz w:val="21"/>
              </w:rPr>
            </w:pPr>
          </w:p>
          <w:p>
            <w:pPr>
              <w:pStyle w:val="TableParagraph"/>
              <w:ind w:left="39" w:right="45"/>
              <w:jc w:val="center"/>
              <w:rPr>
                <w:b/>
                <w:sz w:val="20"/>
              </w:rPr>
            </w:pPr>
            <w:r>
              <w:rPr>
                <w:b/>
                <w:sz w:val="20"/>
              </w:rPr>
              <w:t>PROPIEDAD</w:t>
            </w:r>
          </w:p>
        </w:tc>
        <w:tc>
          <w:tcPr>
            <w:tcW w:w="1297" w:type="dxa"/>
          </w:tcPr>
          <w:p>
            <w:pPr>
              <w:pStyle w:val="TableParagraph"/>
              <w:spacing w:before="2"/>
              <w:rPr>
                <w:b/>
                <w:sz w:val="19"/>
              </w:rPr>
            </w:pPr>
          </w:p>
          <w:p>
            <w:pPr>
              <w:pStyle w:val="TableParagraph"/>
              <w:ind w:left="240" w:right="207" w:hanging="12"/>
              <w:rPr>
                <w:b/>
                <w:sz w:val="20"/>
              </w:rPr>
            </w:pPr>
            <w:r>
              <w:rPr>
                <w:b/>
                <w:sz w:val="20"/>
              </w:rPr>
              <w:t>COLOR / EFECTO</w:t>
            </w:r>
          </w:p>
        </w:tc>
        <w:tc>
          <w:tcPr>
            <w:tcW w:w="2909" w:type="dxa"/>
          </w:tcPr>
          <w:p>
            <w:pPr>
              <w:pStyle w:val="TableParagraph"/>
              <w:rPr>
                <w:b/>
                <w:sz w:val="20"/>
              </w:rPr>
            </w:pPr>
          </w:p>
          <w:p>
            <w:pPr>
              <w:pStyle w:val="TableParagraph"/>
              <w:spacing w:before="4"/>
              <w:rPr>
                <w:b/>
                <w:sz w:val="19"/>
              </w:rPr>
            </w:pPr>
          </w:p>
          <w:p>
            <w:pPr>
              <w:pStyle w:val="TableParagraph"/>
              <w:ind w:left="671" w:right="193"/>
              <w:rPr>
                <w:b/>
                <w:sz w:val="20"/>
              </w:rPr>
            </w:pPr>
            <w:r>
              <w:rPr>
                <w:b/>
                <w:sz w:val="20"/>
              </w:rPr>
              <w:t>FORMA DE USO</w:t>
            </w:r>
          </w:p>
        </w:tc>
      </w:tr>
      <w:tr>
        <w:trPr>
          <w:trHeight w:val="700" w:hRule="exact"/>
        </w:trPr>
        <w:tc>
          <w:tcPr>
            <w:tcW w:w="2088" w:type="dxa"/>
          </w:tcPr>
          <w:p>
            <w:pPr>
              <w:pStyle w:val="TableParagraph"/>
              <w:spacing w:line="237" w:lineRule="auto"/>
              <w:ind w:left="592" w:right="510" w:hanging="65"/>
              <w:rPr>
                <w:b/>
                <w:sz w:val="20"/>
              </w:rPr>
            </w:pPr>
            <w:r>
              <w:rPr>
                <w:b/>
                <w:sz w:val="20"/>
              </w:rPr>
              <w:t>Oxalato de estroncio</w:t>
            </w:r>
          </w:p>
        </w:tc>
        <w:tc>
          <w:tcPr>
            <w:tcW w:w="1305" w:type="dxa"/>
          </w:tcPr>
          <w:p>
            <w:pPr>
              <w:pStyle w:val="TableParagraph"/>
              <w:spacing w:line="242" w:lineRule="exact"/>
              <w:ind w:left="48" w:right="45"/>
              <w:jc w:val="center"/>
              <w:rPr>
                <w:sz w:val="20"/>
              </w:rPr>
            </w:pPr>
            <w:r>
              <w:rPr>
                <w:sz w:val="20"/>
              </w:rPr>
              <w:t>SrC</w:t>
            </w:r>
            <w:r>
              <w:rPr>
                <w:position w:val="-2"/>
                <w:sz w:val="13"/>
              </w:rPr>
              <w:t>2</w:t>
            </w:r>
            <w:r>
              <w:rPr>
                <w:sz w:val="20"/>
              </w:rPr>
              <w:t>O</w:t>
            </w:r>
            <w:r>
              <w:rPr>
                <w:position w:val="-2"/>
                <w:sz w:val="13"/>
              </w:rPr>
              <w:t>4·</w:t>
            </w:r>
            <w:r>
              <w:rPr>
                <w:sz w:val="20"/>
              </w:rPr>
              <w:t>H</w:t>
            </w:r>
            <w:r>
              <w:rPr>
                <w:position w:val="-2"/>
                <w:sz w:val="13"/>
              </w:rPr>
              <w:t>2</w:t>
            </w:r>
            <w:r>
              <w:rPr>
                <w:sz w:val="20"/>
              </w:rPr>
              <w:t>O</w:t>
            </w:r>
          </w:p>
        </w:tc>
        <w:tc>
          <w:tcPr>
            <w:tcW w:w="1384" w:type="dxa"/>
          </w:tcPr>
          <w:p>
            <w:pPr>
              <w:pStyle w:val="TableParagraph"/>
              <w:ind w:left="87" w:right="84" w:hanging="4"/>
              <w:jc w:val="center"/>
              <w:rPr>
                <w:sz w:val="20"/>
              </w:rPr>
            </w:pPr>
            <w:r>
              <w:rPr>
                <w:sz w:val="20"/>
              </w:rPr>
              <w:t>Colorante, retardante, neutralizante.</w:t>
            </w:r>
          </w:p>
        </w:tc>
        <w:tc>
          <w:tcPr>
            <w:tcW w:w="1297" w:type="dxa"/>
          </w:tcPr>
          <w:p>
            <w:pPr>
              <w:pStyle w:val="TableParagraph"/>
              <w:spacing w:line="228" w:lineRule="exact" w:before="2"/>
              <w:ind w:left="68" w:right="44" w:firstLine="344"/>
              <w:rPr>
                <w:sz w:val="20"/>
              </w:rPr>
            </w:pPr>
            <w:r>
              <w:rPr>
                <w:sz w:val="20"/>
              </w:rPr>
              <w:t>Rojo, abrillantador.</w:t>
            </w:r>
          </w:p>
        </w:tc>
        <w:tc>
          <w:tcPr>
            <w:tcW w:w="2909" w:type="dxa"/>
          </w:tcPr>
          <w:p>
            <w:pPr>
              <w:pStyle w:val="TableParagraph"/>
              <w:ind w:left="228" w:right="224" w:hanging="4"/>
              <w:jc w:val="center"/>
              <w:rPr>
                <w:sz w:val="20"/>
              </w:rPr>
            </w:pPr>
            <w:r>
              <w:rPr>
                <w:sz w:val="20"/>
              </w:rPr>
              <w:t>Colorante rojo, pero la humedad lo reduce en gran medida.</w:t>
            </w:r>
          </w:p>
        </w:tc>
      </w:tr>
      <w:tr>
        <w:trPr>
          <w:trHeight w:val="700" w:hRule="exact"/>
        </w:trPr>
        <w:tc>
          <w:tcPr>
            <w:tcW w:w="2088" w:type="dxa"/>
          </w:tcPr>
          <w:p>
            <w:pPr>
              <w:pStyle w:val="TableParagraph"/>
              <w:ind w:left="123" w:right="121" w:hanging="2"/>
              <w:jc w:val="center"/>
              <w:rPr>
                <w:b/>
                <w:sz w:val="20"/>
              </w:rPr>
            </w:pPr>
            <w:r>
              <w:rPr>
                <w:b/>
                <w:sz w:val="20"/>
              </w:rPr>
              <w:t>Sales de estroncio (excepto clorato de estroncio)</w:t>
            </w:r>
          </w:p>
        </w:tc>
        <w:tc>
          <w:tcPr>
            <w:tcW w:w="1305" w:type="dxa"/>
          </w:tcPr>
          <w:p>
            <w:pPr>
              <w:pStyle w:val="TableParagraph"/>
              <w:spacing w:line="242" w:lineRule="exact"/>
              <w:ind w:left="48" w:right="45"/>
              <w:jc w:val="center"/>
              <w:rPr>
                <w:sz w:val="20"/>
              </w:rPr>
            </w:pPr>
            <w:r>
              <w:rPr>
                <w:sz w:val="20"/>
              </w:rPr>
              <w:t>SrC</w:t>
            </w:r>
            <w:r>
              <w:rPr>
                <w:position w:val="-2"/>
                <w:sz w:val="13"/>
              </w:rPr>
              <w:t>2</w:t>
            </w:r>
            <w:r>
              <w:rPr>
                <w:sz w:val="20"/>
              </w:rPr>
              <w:t>O</w:t>
            </w:r>
            <w:r>
              <w:rPr>
                <w:position w:val="-2"/>
                <w:sz w:val="13"/>
              </w:rPr>
              <w:t>4·</w:t>
            </w:r>
            <w:r>
              <w:rPr>
                <w:sz w:val="20"/>
              </w:rPr>
              <w:t>H</w:t>
            </w:r>
            <w:r>
              <w:rPr>
                <w:position w:val="-2"/>
                <w:sz w:val="13"/>
              </w:rPr>
              <w:t>2</w:t>
            </w:r>
            <w:r>
              <w:rPr>
                <w:sz w:val="20"/>
              </w:rPr>
              <w:t>O</w:t>
            </w:r>
          </w:p>
        </w:tc>
        <w:tc>
          <w:tcPr>
            <w:tcW w:w="1384" w:type="dxa"/>
          </w:tcPr>
          <w:p>
            <w:pPr>
              <w:pStyle w:val="TableParagraph"/>
              <w:spacing w:line="227" w:lineRule="exact"/>
              <w:ind w:left="44" w:right="45"/>
              <w:jc w:val="center"/>
              <w:rPr>
                <w:sz w:val="20"/>
              </w:rPr>
            </w:pPr>
            <w:r>
              <w:rPr>
                <w:sz w:val="20"/>
              </w:rPr>
              <w:t>Colorante.</w:t>
            </w:r>
          </w:p>
        </w:tc>
        <w:tc>
          <w:tcPr>
            <w:tcW w:w="1297" w:type="dxa"/>
          </w:tcPr>
          <w:p>
            <w:pPr>
              <w:pStyle w:val="TableParagraph"/>
              <w:spacing w:line="227" w:lineRule="exact"/>
              <w:ind w:left="50" w:right="51"/>
              <w:jc w:val="center"/>
              <w:rPr>
                <w:sz w:val="20"/>
              </w:rPr>
            </w:pPr>
            <w:r>
              <w:rPr>
                <w:sz w:val="20"/>
              </w:rPr>
              <w:t>Rojo</w:t>
            </w:r>
          </w:p>
        </w:tc>
        <w:tc>
          <w:tcPr>
            <w:tcW w:w="2909" w:type="dxa"/>
          </w:tcPr>
          <w:p>
            <w:pPr/>
          </w:p>
        </w:tc>
      </w:tr>
      <w:tr>
        <w:trPr>
          <w:trHeight w:val="472" w:hRule="exact"/>
        </w:trPr>
        <w:tc>
          <w:tcPr>
            <w:tcW w:w="2088" w:type="dxa"/>
          </w:tcPr>
          <w:p>
            <w:pPr>
              <w:pStyle w:val="TableParagraph"/>
              <w:spacing w:line="223" w:lineRule="exact"/>
              <w:ind w:left="47" w:right="44"/>
              <w:jc w:val="center"/>
              <w:rPr>
                <w:b/>
                <w:sz w:val="20"/>
              </w:rPr>
            </w:pPr>
            <w:r>
              <w:rPr>
                <w:b/>
                <w:sz w:val="20"/>
              </w:rPr>
              <w:t>Sulfato de estroncio</w:t>
            </w:r>
          </w:p>
        </w:tc>
        <w:tc>
          <w:tcPr>
            <w:tcW w:w="1305" w:type="dxa"/>
          </w:tcPr>
          <w:p>
            <w:pPr>
              <w:pStyle w:val="TableParagraph"/>
              <w:spacing w:line="242" w:lineRule="exact"/>
              <w:ind w:left="46" w:right="45"/>
              <w:jc w:val="center"/>
              <w:rPr>
                <w:sz w:val="13"/>
              </w:rPr>
            </w:pPr>
            <w:r>
              <w:rPr>
                <w:sz w:val="20"/>
              </w:rPr>
              <w:t>SrSO</w:t>
            </w:r>
            <w:r>
              <w:rPr>
                <w:position w:val="-2"/>
                <w:sz w:val="13"/>
              </w:rPr>
              <w:t>4</w:t>
            </w:r>
          </w:p>
        </w:tc>
        <w:tc>
          <w:tcPr>
            <w:tcW w:w="1384" w:type="dxa"/>
          </w:tcPr>
          <w:p>
            <w:pPr>
              <w:pStyle w:val="TableParagraph"/>
              <w:spacing w:line="228" w:lineRule="exact" w:before="2"/>
              <w:ind w:left="163" w:right="148" w:firstLine="60"/>
              <w:rPr>
                <w:sz w:val="20"/>
              </w:rPr>
            </w:pPr>
            <w:r>
              <w:rPr>
                <w:sz w:val="20"/>
              </w:rPr>
              <w:t>Colorante, oxigenador.</w:t>
            </w:r>
          </w:p>
        </w:tc>
        <w:tc>
          <w:tcPr>
            <w:tcW w:w="1297" w:type="dxa"/>
          </w:tcPr>
          <w:p>
            <w:pPr>
              <w:pStyle w:val="TableParagraph"/>
              <w:spacing w:line="227" w:lineRule="exact"/>
              <w:ind w:left="50" w:right="51"/>
              <w:jc w:val="center"/>
              <w:rPr>
                <w:sz w:val="20"/>
              </w:rPr>
            </w:pPr>
            <w:r>
              <w:rPr>
                <w:sz w:val="20"/>
              </w:rPr>
              <w:t>Rojo.</w:t>
            </w:r>
          </w:p>
        </w:tc>
        <w:tc>
          <w:tcPr>
            <w:tcW w:w="2909" w:type="dxa"/>
          </w:tcPr>
          <w:p>
            <w:pPr>
              <w:pStyle w:val="TableParagraph"/>
              <w:spacing w:line="228" w:lineRule="exact" w:before="2"/>
              <w:ind w:left="87" w:right="70" w:firstLine="24"/>
              <w:rPr>
                <w:sz w:val="20"/>
              </w:rPr>
            </w:pPr>
            <w:r>
              <w:rPr>
                <w:sz w:val="20"/>
              </w:rPr>
              <w:t>Un ingrediente útil en mezclas rojas para uso estroboscópico.</w:t>
            </w:r>
          </w:p>
        </w:tc>
      </w:tr>
      <w:tr>
        <w:trPr>
          <w:trHeight w:val="468" w:hRule="exact"/>
        </w:trPr>
        <w:tc>
          <w:tcPr>
            <w:tcW w:w="2088" w:type="dxa"/>
          </w:tcPr>
          <w:p>
            <w:pPr>
              <w:pStyle w:val="TableParagraph"/>
              <w:spacing w:line="219" w:lineRule="exact"/>
              <w:ind w:left="47" w:right="41"/>
              <w:jc w:val="center"/>
              <w:rPr>
                <w:b/>
                <w:sz w:val="20"/>
              </w:rPr>
            </w:pPr>
            <w:r>
              <w:rPr>
                <w:b/>
                <w:sz w:val="20"/>
              </w:rPr>
              <w:t>Sucrosa (sacarosa)</w:t>
            </w:r>
          </w:p>
        </w:tc>
        <w:tc>
          <w:tcPr>
            <w:tcW w:w="1305" w:type="dxa"/>
          </w:tcPr>
          <w:p>
            <w:pPr>
              <w:pStyle w:val="TableParagraph"/>
              <w:spacing w:line="240" w:lineRule="exact"/>
              <w:ind w:left="42" w:right="45"/>
              <w:jc w:val="center"/>
              <w:rPr>
                <w:sz w:val="13"/>
              </w:rPr>
            </w:pPr>
            <w:r>
              <w:rPr>
                <w:position w:val="3"/>
                <w:sz w:val="20"/>
              </w:rPr>
              <w:t>C</w:t>
            </w:r>
            <w:r>
              <w:rPr>
                <w:sz w:val="13"/>
              </w:rPr>
              <w:t>12</w:t>
            </w:r>
            <w:r>
              <w:rPr>
                <w:position w:val="3"/>
                <w:sz w:val="20"/>
              </w:rPr>
              <w:t>H</w:t>
            </w:r>
            <w:r>
              <w:rPr>
                <w:sz w:val="13"/>
              </w:rPr>
              <w:t>22</w:t>
            </w:r>
            <w:r>
              <w:rPr>
                <w:position w:val="3"/>
                <w:sz w:val="20"/>
              </w:rPr>
              <w:t>O</w:t>
            </w:r>
            <w:r>
              <w:rPr>
                <w:sz w:val="13"/>
              </w:rPr>
              <w:t>11</w:t>
            </w: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spacing w:line="242" w:lineRule="auto"/>
              <w:ind w:left="368" w:right="51" w:hanging="296"/>
              <w:rPr>
                <w:sz w:val="20"/>
              </w:rPr>
            </w:pPr>
            <w:r>
              <w:rPr>
                <w:sz w:val="20"/>
              </w:rPr>
              <w:t>Productor de humo.</w:t>
            </w:r>
          </w:p>
        </w:tc>
        <w:tc>
          <w:tcPr>
            <w:tcW w:w="2909" w:type="dxa"/>
          </w:tcPr>
          <w:p>
            <w:pPr/>
          </w:p>
        </w:tc>
      </w:tr>
      <w:tr>
        <w:trPr>
          <w:trHeight w:val="2312" w:hRule="exact"/>
        </w:trPr>
        <w:tc>
          <w:tcPr>
            <w:tcW w:w="2088" w:type="dxa"/>
          </w:tcPr>
          <w:p>
            <w:pPr>
              <w:pStyle w:val="TableParagraph"/>
              <w:spacing w:line="223" w:lineRule="exact"/>
              <w:ind w:left="45" w:right="47"/>
              <w:jc w:val="center"/>
              <w:rPr>
                <w:b/>
                <w:sz w:val="20"/>
              </w:rPr>
            </w:pPr>
            <w:r>
              <w:rPr>
                <w:b/>
                <w:sz w:val="20"/>
              </w:rPr>
              <w:t>Azufre</w:t>
            </w:r>
          </w:p>
        </w:tc>
        <w:tc>
          <w:tcPr>
            <w:tcW w:w="1305" w:type="dxa"/>
          </w:tcPr>
          <w:p>
            <w:pPr>
              <w:pStyle w:val="TableParagraph"/>
              <w:spacing w:line="227" w:lineRule="exact"/>
              <w:ind w:left="6"/>
              <w:jc w:val="center"/>
              <w:rPr>
                <w:sz w:val="20"/>
              </w:rPr>
            </w:pPr>
            <w:r>
              <w:rPr>
                <w:w w:val="100"/>
                <w:sz w:val="20"/>
              </w:rPr>
              <w:t>S</w:t>
            </w:r>
          </w:p>
        </w:tc>
        <w:tc>
          <w:tcPr>
            <w:tcW w:w="1384" w:type="dxa"/>
          </w:tcPr>
          <w:p>
            <w:pPr>
              <w:pStyle w:val="TableParagraph"/>
              <w:spacing w:line="227" w:lineRule="exact"/>
              <w:ind w:left="45" w:right="44"/>
              <w:jc w:val="center"/>
              <w:rPr>
                <w:sz w:val="20"/>
              </w:rPr>
            </w:pPr>
            <w:r>
              <w:rPr>
                <w:sz w:val="20"/>
              </w:rPr>
              <w:t>Combustible.</w:t>
            </w:r>
          </w:p>
        </w:tc>
        <w:tc>
          <w:tcPr>
            <w:tcW w:w="1297" w:type="dxa"/>
          </w:tcPr>
          <w:p>
            <w:pPr/>
          </w:p>
        </w:tc>
        <w:tc>
          <w:tcPr>
            <w:tcW w:w="2909" w:type="dxa"/>
          </w:tcPr>
          <w:p>
            <w:pPr>
              <w:pStyle w:val="TableParagraph"/>
              <w:ind w:left="128" w:right="125" w:hanging="2"/>
              <w:jc w:val="center"/>
              <w:rPr>
                <w:sz w:val="20"/>
              </w:rPr>
            </w:pPr>
            <w:r>
              <w:rPr>
                <w:sz w:val="20"/>
              </w:rPr>
              <w:t>Uno de los ingredientes básicos para los fuegos artificiales. Las flores del sulfuro son demasiado ácidas por lo que necesitan un estabilizador. El sulfuro y los cloratos o fosfatos son extremadamente sensibles a choque y fricción. Utilizado sobre todo con los nitratos.</w:t>
            </w:r>
          </w:p>
        </w:tc>
      </w:tr>
      <w:tr>
        <w:trPr>
          <w:trHeight w:val="1161" w:hRule="exact"/>
        </w:trPr>
        <w:tc>
          <w:tcPr>
            <w:tcW w:w="2088" w:type="dxa"/>
          </w:tcPr>
          <w:p>
            <w:pPr>
              <w:pStyle w:val="TableParagraph"/>
              <w:spacing w:line="219" w:lineRule="exact"/>
              <w:ind w:left="47" w:right="47"/>
              <w:jc w:val="center"/>
              <w:rPr>
                <w:b/>
                <w:sz w:val="20"/>
              </w:rPr>
            </w:pPr>
            <w:r>
              <w:rPr>
                <w:b/>
                <w:sz w:val="20"/>
              </w:rPr>
              <w:t>Titanio</w:t>
            </w:r>
          </w:p>
        </w:tc>
        <w:tc>
          <w:tcPr>
            <w:tcW w:w="1305" w:type="dxa"/>
          </w:tcPr>
          <w:p>
            <w:pPr>
              <w:pStyle w:val="TableParagraph"/>
              <w:spacing w:line="223" w:lineRule="exact"/>
              <w:ind w:left="47" w:right="45"/>
              <w:jc w:val="center"/>
              <w:rPr>
                <w:sz w:val="20"/>
              </w:rPr>
            </w:pPr>
            <w:r>
              <w:rPr>
                <w:sz w:val="20"/>
              </w:rPr>
              <w:t>Ti</w:t>
            </w: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spacing w:line="223" w:lineRule="exact"/>
              <w:ind w:left="51" w:right="45"/>
              <w:jc w:val="center"/>
              <w:rPr>
                <w:sz w:val="20"/>
              </w:rPr>
            </w:pPr>
            <w:r>
              <w:rPr>
                <w:sz w:val="20"/>
              </w:rPr>
              <w:t>Plateado.</w:t>
            </w:r>
          </w:p>
        </w:tc>
        <w:tc>
          <w:tcPr>
            <w:tcW w:w="2909" w:type="dxa"/>
          </w:tcPr>
          <w:p>
            <w:pPr>
              <w:pStyle w:val="TableParagraph"/>
              <w:ind w:left="163" w:right="164" w:firstLine="2"/>
              <w:jc w:val="center"/>
              <w:rPr>
                <w:sz w:val="20"/>
              </w:rPr>
            </w:pPr>
            <w:r>
              <w:rPr>
                <w:sz w:val="20"/>
              </w:rPr>
              <w:t>El titanio en escama o polvo se agrega a menudo a las formulaciones para agregar chispas plata-azules. Agrega poder en la detonación.</w:t>
            </w:r>
          </w:p>
        </w:tc>
      </w:tr>
      <w:tr>
        <w:trPr>
          <w:trHeight w:val="1621" w:hRule="exact"/>
        </w:trPr>
        <w:tc>
          <w:tcPr>
            <w:tcW w:w="2088" w:type="dxa"/>
          </w:tcPr>
          <w:p>
            <w:pPr>
              <w:pStyle w:val="TableParagraph"/>
              <w:spacing w:line="219" w:lineRule="exact"/>
              <w:ind w:left="47" w:right="44"/>
              <w:jc w:val="center"/>
              <w:rPr>
                <w:b/>
                <w:sz w:val="20"/>
              </w:rPr>
            </w:pPr>
            <w:r>
              <w:rPr>
                <w:b/>
                <w:sz w:val="20"/>
              </w:rPr>
              <w:t>Zinc</w:t>
            </w:r>
          </w:p>
        </w:tc>
        <w:tc>
          <w:tcPr>
            <w:tcW w:w="1305" w:type="dxa"/>
          </w:tcPr>
          <w:p>
            <w:pPr>
              <w:pStyle w:val="TableParagraph"/>
              <w:spacing w:line="223" w:lineRule="exact"/>
              <w:ind w:left="50" w:right="45"/>
              <w:jc w:val="center"/>
              <w:rPr>
                <w:sz w:val="20"/>
              </w:rPr>
            </w:pPr>
            <w:r>
              <w:rPr>
                <w:sz w:val="20"/>
              </w:rPr>
              <w:t>Zn</w:t>
            </w:r>
          </w:p>
        </w:tc>
        <w:tc>
          <w:tcPr>
            <w:tcW w:w="1384" w:type="dxa"/>
          </w:tcPr>
          <w:p>
            <w:pPr>
              <w:pStyle w:val="TableParagraph"/>
              <w:spacing w:line="242" w:lineRule="auto"/>
              <w:ind w:left="247" w:right="90" w:hanging="148"/>
              <w:rPr>
                <w:sz w:val="20"/>
              </w:rPr>
            </w:pPr>
            <w:r>
              <w:rPr>
                <w:sz w:val="20"/>
              </w:rPr>
              <w:t>Combustible, colorante.</w:t>
            </w:r>
          </w:p>
        </w:tc>
        <w:tc>
          <w:tcPr>
            <w:tcW w:w="1297" w:type="dxa"/>
          </w:tcPr>
          <w:p>
            <w:pPr>
              <w:pStyle w:val="TableParagraph"/>
              <w:ind w:left="80" w:right="80" w:firstLine="5"/>
              <w:jc w:val="center"/>
              <w:rPr>
                <w:sz w:val="20"/>
              </w:rPr>
            </w:pPr>
            <w:r>
              <w:rPr>
                <w:sz w:val="20"/>
              </w:rPr>
              <w:t>Verde y productor de humo.</w:t>
            </w:r>
          </w:p>
        </w:tc>
        <w:tc>
          <w:tcPr>
            <w:tcW w:w="2909" w:type="dxa"/>
          </w:tcPr>
          <w:p>
            <w:pPr>
              <w:pStyle w:val="TableParagraph"/>
              <w:spacing w:line="242" w:lineRule="auto"/>
              <w:ind w:left="70" w:right="74"/>
              <w:jc w:val="center"/>
              <w:rPr>
                <w:sz w:val="20"/>
              </w:rPr>
            </w:pPr>
            <w:r>
              <w:rPr>
                <w:sz w:val="20"/>
              </w:rPr>
              <w:t>Sensible a la humedad y a la combustión espontánea.</w:t>
            </w:r>
          </w:p>
          <w:p>
            <w:pPr>
              <w:pStyle w:val="TableParagraph"/>
              <w:ind w:left="54" w:right="52"/>
              <w:jc w:val="center"/>
              <w:rPr>
                <w:sz w:val="20"/>
              </w:rPr>
            </w:pPr>
            <w:r>
              <w:rPr>
                <w:sz w:val="20"/>
              </w:rPr>
              <w:t>Raramente utilizado más como combustible primario pero utilizado a veces como combustible secundario del realce.</w:t>
            </w:r>
          </w:p>
        </w:tc>
      </w:tr>
      <w:tr>
        <w:trPr>
          <w:trHeight w:val="696" w:hRule="exact"/>
        </w:trPr>
        <w:tc>
          <w:tcPr>
            <w:tcW w:w="2088" w:type="dxa"/>
          </w:tcPr>
          <w:p>
            <w:pPr>
              <w:pStyle w:val="TableParagraph"/>
              <w:spacing w:line="219" w:lineRule="exact"/>
              <w:ind w:left="47" w:right="42"/>
              <w:jc w:val="center"/>
              <w:rPr>
                <w:b/>
                <w:sz w:val="20"/>
              </w:rPr>
            </w:pPr>
            <w:r>
              <w:rPr>
                <w:b/>
                <w:sz w:val="20"/>
              </w:rPr>
              <w:t>Oxido de zinc</w:t>
            </w:r>
          </w:p>
        </w:tc>
        <w:tc>
          <w:tcPr>
            <w:tcW w:w="1305" w:type="dxa"/>
          </w:tcPr>
          <w:p>
            <w:pPr>
              <w:pStyle w:val="TableParagraph"/>
              <w:spacing w:line="223" w:lineRule="exact"/>
              <w:ind w:left="50" w:right="43"/>
              <w:jc w:val="center"/>
              <w:rPr>
                <w:sz w:val="20"/>
              </w:rPr>
            </w:pPr>
            <w:r>
              <w:rPr>
                <w:sz w:val="20"/>
              </w:rPr>
              <w:t>ZnO</w:t>
            </w:r>
          </w:p>
        </w:tc>
        <w:tc>
          <w:tcPr>
            <w:tcW w:w="1384" w:type="dxa"/>
          </w:tcPr>
          <w:p>
            <w:pPr>
              <w:pStyle w:val="TableParagraph"/>
              <w:spacing w:line="223" w:lineRule="exact"/>
              <w:ind w:left="45" w:right="44"/>
              <w:jc w:val="center"/>
              <w:rPr>
                <w:sz w:val="20"/>
              </w:rPr>
            </w:pPr>
            <w:r>
              <w:rPr>
                <w:sz w:val="20"/>
              </w:rPr>
              <w:t>Combustible</w:t>
            </w:r>
          </w:p>
        </w:tc>
        <w:tc>
          <w:tcPr>
            <w:tcW w:w="1297" w:type="dxa"/>
          </w:tcPr>
          <w:p>
            <w:pPr>
              <w:pStyle w:val="TableParagraph"/>
              <w:ind w:left="320" w:right="51" w:hanging="248"/>
              <w:rPr>
                <w:sz w:val="20"/>
              </w:rPr>
            </w:pPr>
            <w:r>
              <w:rPr>
                <w:sz w:val="20"/>
              </w:rPr>
              <w:t>Productor de humo y llamas.</w:t>
            </w:r>
          </w:p>
        </w:tc>
        <w:tc>
          <w:tcPr>
            <w:tcW w:w="2909" w:type="dxa"/>
          </w:tcPr>
          <w:p>
            <w:pPr>
              <w:pStyle w:val="TableParagraph"/>
              <w:spacing w:line="242" w:lineRule="auto"/>
              <w:ind w:left="651" w:right="115" w:hanging="520"/>
              <w:rPr>
                <w:sz w:val="20"/>
              </w:rPr>
            </w:pPr>
            <w:r>
              <w:rPr>
                <w:sz w:val="20"/>
              </w:rPr>
              <w:t>Usado en viejos productos de fuegos artificiales.</w:t>
            </w:r>
          </w:p>
        </w:tc>
      </w:tr>
    </w:tbl>
    <w:p>
      <w:pPr>
        <w:spacing w:line="267" w:lineRule="exact" w:before="0"/>
        <w:ind w:left="1508" w:right="0" w:firstLine="0"/>
        <w:jc w:val="left"/>
        <w:rPr>
          <w:rFonts w:ascii="Calibri" w:hAnsi="Calibri"/>
          <w:sz w:val="22"/>
        </w:rPr>
      </w:pPr>
      <w:r>
        <w:rPr>
          <w:rFonts w:ascii="Calibri" w:hAnsi="Calibri"/>
          <w:sz w:val="22"/>
        </w:rPr>
        <w:t>Tabla A1. Principales sustancias químicas usadas por los pirotécnicos.</w:t>
      </w:r>
    </w:p>
    <w:p>
      <w:pPr>
        <w:spacing w:after="0" w:line="267" w:lineRule="exact"/>
        <w:jc w:val="left"/>
        <w:rPr>
          <w:rFonts w:ascii="Calibri" w:hAnsi="Calibri"/>
          <w:sz w:val="22"/>
        </w:rPr>
        <w:sectPr>
          <w:footerReference w:type="default" r:id="rId68"/>
          <w:pgSz w:w="12240" w:h="15840"/>
          <w:pgMar w:footer="1011" w:header="0" w:top="1420" w:bottom="1200" w:left="1520" w:right="1520"/>
          <w:pgNumType w:start="101"/>
        </w:sectPr>
      </w:pPr>
    </w:p>
    <w:p>
      <w:pPr>
        <w:pStyle w:val="Heading2"/>
        <w:spacing w:line="720" w:lineRule="auto"/>
        <w:ind w:right="2305"/>
      </w:pPr>
      <w:r>
        <w:rPr/>
        <w:t>Anexo 2. Análisis de ciclo de vida del cohetón pirotécnico OBJETIVO.</w:t>
      </w:r>
    </w:p>
    <w:p>
      <w:pPr>
        <w:pStyle w:val="BodyText"/>
        <w:spacing w:line="360" w:lineRule="auto" w:before="20"/>
        <w:ind w:left="100" w:right="106"/>
        <w:jc w:val="both"/>
      </w:pPr>
      <w:r>
        <w:rPr/>
        <w:t>El presente análisis de ciclo de vida, tiene por objeto identificar las características económicas y sociales en el proceso de producción de cohetón pirotécnico, identificar las etapas críticas en su elaboración y las operaciones unitarias en donde se presenten deficiencias que puedan producir riesgos económicos, sociales, o ambientales.</w:t>
      </w:r>
    </w:p>
    <w:p>
      <w:pPr>
        <w:pStyle w:val="BodyText"/>
      </w:pPr>
    </w:p>
    <w:p>
      <w:pPr>
        <w:pStyle w:val="BodyText"/>
        <w:spacing w:line="360" w:lineRule="auto" w:before="142"/>
        <w:ind w:left="100" w:right="103"/>
        <w:jc w:val="both"/>
      </w:pPr>
      <w:r>
        <w:rPr/>
        <w:t>El ACV servirá para la búsqueda de métodos de elaboración más seguros y eficaces, el conocimiento profundo de los costos a lo largo el proceso y del manejo de los materiales permitirá establecer los parámetros de trabajo necesarios para mejorar la seguridad en la producción de cohetón pirotécnico.</w:t>
      </w:r>
    </w:p>
    <w:p>
      <w:pPr>
        <w:pStyle w:val="BodyText"/>
      </w:pPr>
    </w:p>
    <w:p>
      <w:pPr>
        <w:pStyle w:val="BodyText"/>
        <w:spacing w:line="360" w:lineRule="auto" w:before="142"/>
        <w:ind w:left="100" w:right="102"/>
        <w:jc w:val="both"/>
      </w:pPr>
      <w:r>
        <w:rPr/>
        <w:t>Los resultados obtenidos serán en beneficio del taller pirotécnico del cual se obtuvieron los datos y podrá trascender como ejemplo de labor para la comunidad de San Mateo Tlalchichilpan.</w:t>
      </w:r>
    </w:p>
    <w:p>
      <w:pPr>
        <w:pStyle w:val="BodyText"/>
      </w:pPr>
    </w:p>
    <w:p>
      <w:pPr>
        <w:pStyle w:val="BodyText"/>
        <w:spacing w:line="360" w:lineRule="auto" w:before="142"/>
        <w:ind w:left="100" w:right="100"/>
        <w:jc w:val="both"/>
      </w:pPr>
      <w:r>
        <w:rPr/>
        <w:t>Con los datos recabados se espera lograr emitir las recomendaciones necesarias para mejorar la labor de los trabajadores del arte pirotécnico estableciendo como base de partida la si es redituable la fabricación de esta clase en particular de artificios pirotécnicos.</w:t>
      </w:r>
    </w:p>
    <w:p>
      <w:pPr>
        <w:pStyle w:val="BodyText"/>
      </w:pPr>
    </w:p>
    <w:p>
      <w:pPr>
        <w:pStyle w:val="BodyText"/>
      </w:pPr>
    </w:p>
    <w:p>
      <w:pPr>
        <w:pStyle w:val="BodyText"/>
        <w:spacing w:before="2"/>
      </w:pPr>
    </w:p>
    <w:p>
      <w:pPr>
        <w:pStyle w:val="Heading2"/>
        <w:spacing w:before="0"/>
        <w:jc w:val="both"/>
      </w:pPr>
      <w:r>
        <w:rPr/>
        <w:t>ALCANCE.</w:t>
      </w:r>
    </w:p>
    <w:p>
      <w:pPr>
        <w:pStyle w:val="BodyText"/>
        <w:rPr>
          <w:b/>
        </w:rPr>
      </w:pPr>
    </w:p>
    <w:p>
      <w:pPr>
        <w:pStyle w:val="BodyText"/>
        <w:spacing w:before="4"/>
        <w:rPr>
          <w:b/>
        </w:rPr>
      </w:pPr>
    </w:p>
    <w:p>
      <w:pPr>
        <w:pStyle w:val="BodyText"/>
        <w:spacing w:line="357" w:lineRule="auto"/>
        <w:ind w:left="100" w:right="108"/>
        <w:jc w:val="both"/>
      </w:pPr>
      <w:r>
        <w:rPr/>
        <w:t>El cohetón pirotécnico es el artificio de mayor fabricación en el Estado de México, un solo taller fabrica cerca de 6000 unidades al mes en temporada de alto consumo,  por  lo cual se  elaborará el análisis  de ciclo  de vida  de  este producto</w:t>
      </w:r>
    </w:p>
    <w:p>
      <w:pPr>
        <w:spacing w:after="0" w:line="357" w:lineRule="auto"/>
        <w:jc w:val="both"/>
        <w:sectPr>
          <w:pgSz w:w="12240" w:h="15840"/>
          <w:pgMar w:header="0" w:footer="1011" w:top="1360" w:bottom="1260" w:left="1600" w:right="1600"/>
        </w:sectPr>
      </w:pPr>
    </w:p>
    <w:p>
      <w:pPr>
        <w:pStyle w:val="BodyText"/>
        <w:spacing w:line="362" w:lineRule="auto" w:before="55"/>
        <w:ind w:left="100" w:right="128"/>
        <w:jc w:val="both"/>
      </w:pPr>
      <w:r>
        <w:rPr/>
        <w:t>pirotécnico que se ha convertido en parte fundamental de las tradiciones religiosas en el país, sin descartar los usados durante festejos cívicos o sociales.</w:t>
      </w:r>
    </w:p>
    <w:p>
      <w:pPr>
        <w:pStyle w:val="BodyText"/>
      </w:pPr>
    </w:p>
    <w:p>
      <w:pPr>
        <w:pStyle w:val="BodyText"/>
        <w:spacing w:line="360" w:lineRule="auto" w:before="139"/>
        <w:ind w:left="100" w:right="125"/>
        <w:jc w:val="both"/>
      </w:pPr>
      <w:r>
        <w:rPr/>
        <w:t>Para esta investigación se realizará un análisis de la producción en un polvorín de permiso general en orden, registrado por la SEDENA, ubicado en la comunidad de San Mateo Tlalchichilpan, municipio de Almoloya de Juárez, Estado de México.</w:t>
      </w:r>
    </w:p>
    <w:p>
      <w:pPr>
        <w:pStyle w:val="BodyText"/>
      </w:pPr>
    </w:p>
    <w:p>
      <w:pPr>
        <w:pStyle w:val="BodyText"/>
        <w:spacing w:line="360" w:lineRule="auto" w:before="142"/>
        <w:ind w:left="100" w:right="114"/>
        <w:jc w:val="both"/>
      </w:pPr>
      <w:r>
        <w:rPr/>
        <w:t>Será delimitado al producto hasta su disposición en la zona de venta del polvorín, ya que es un material que no requiere permisos específicos para su quema, por lo ello detectar la ubicación de sus desperdicios varía en el uso del producto, si fue usado en procesiones, en iglesias o en lugares específicos.</w:t>
      </w:r>
    </w:p>
    <w:p>
      <w:pPr>
        <w:pStyle w:val="BodyText"/>
      </w:pPr>
    </w:p>
    <w:p>
      <w:pPr>
        <w:pStyle w:val="BodyText"/>
        <w:spacing w:line="360" w:lineRule="auto" w:before="142"/>
        <w:ind w:left="100" w:right="122"/>
        <w:jc w:val="both"/>
      </w:pPr>
      <w:r>
        <w:rPr/>
        <w:t>El estudio será delimitado para la producción del mes de noviembre de 2011, los costos de los materiales que se utilizan son los expuestos por la casa proveedora de la asociación de pirotécnicos de San Mateo Tlalchichilpan. La información del proceso de elaboración fue descrita por el maestro pirotécnico, sin embargo no cuenta con registro escrito de la producción, únicamente del consumo de los materiales ya que es lo que le solicitan en la SEDENA como requisito para la compra de material controlado.</w:t>
      </w:r>
    </w:p>
    <w:p>
      <w:pPr>
        <w:pStyle w:val="BodyText"/>
      </w:pPr>
    </w:p>
    <w:p>
      <w:pPr>
        <w:pStyle w:val="BodyText"/>
        <w:spacing w:line="360" w:lineRule="auto" w:before="142"/>
        <w:ind w:left="100" w:right="127"/>
        <w:jc w:val="both"/>
      </w:pPr>
      <w:r>
        <w:rPr/>
        <w:t>Existe una limitante en cuanto a las cantidades de producción, ya que el pirotécnico pesa los productos antes de la primer operación unitaria inicial en cada fase de la elaboración, sin embargo no realiza la contabilización de las salidas del proceso, no se tiene el control de cuanto material se pierde durante dichas operaciones unitarias a lo largo de todo el proceso.</w:t>
      </w:r>
    </w:p>
    <w:p>
      <w:pPr>
        <w:spacing w:after="0" w:line="360" w:lineRule="auto"/>
        <w:jc w:val="both"/>
        <w:sectPr>
          <w:pgSz w:w="12240" w:h="15840"/>
          <w:pgMar w:header="0" w:footer="1011" w:top="1360" w:bottom="1260" w:left="1600" w:right="1580"/>
        </w:sectPr>
      </w:pPr>
    </w:p>
    <w:p>
      <w:pPr>
        <w:pStyle w:val="Heading2"/>
        <w:jc w:val="both"/>
      </w:pPr>
      <w:r>
        <w:rPr/>
        <w:t>Descripción del taller de elaboración.</w:t>
      </w:r>
    </w:p>
    <w:p>
      <w:pPr>
        <w:pStyle w:val="BodyText"/>
        <w:rPr>
          <w:b/>
        </w:rPr>
      </w:pPr>
    </w:p>
    <w:p>
      <w:pPr>
        <w:pStyle w:val="BodyText"/>
        <w:spacing w:before="3"/>
        <w:rPr>
          <w:b/>
        </w:rPr>
      </w:pPr>
    </w:p>
    <w:p>
      <w:pPr>
        <w:pStyle w:val="BodyText"/>
        <w:spacing w:line="360" w:lineRule="auto" w:before="1"/>
        <w:ind w:left="100" w:right="104"/>
        <w:jc w:val="both"/>
      </w:pPr>
      <w:r>
        <w:rPr/>
        <w:t>Polvorín ubicado en san Mateo Tlalchichilpan, presenta un terreno de 100 m x 100m con colindancias al norte con una calle secundaria, cruzando dicha calle existe un terreno de cultivo de maíz, con una brecha para evitar que el agua de riego invada la calle.</w:t>
      </w:r>
    </w:p>
    <w:p>
      <w:pPr>
        <w:pStyle w:val="BodyText"/>
      </w:pPr>
    </w:p>
    <w:p>
      <w:pPr>
        <w:pStyle w:val="BodyText"/>
        <w:spacing w:line="360" w:lineRule="auto" w:before="142"/>
        <w:ind w:left="100" w:right="105"/>
        <w:jc w:val="both"/>
      </w:pPr>
      <w:r>
        <w:rPr/>
        <w:t>Al este y al sur con terrenos de cultivo de maíz, en el primero de ellos (el de la zona este) separado por un pequeño camino de terracería, en este lugar existe una zona de hundimientos, presumiblemente con presencia de agua subterránea. En el de la zona sur la colindancia es directa entre el taller y el cultivo de</w:t>
      </w:r>
      <w:r>
        <w:rPr>
          <w:spacing w:val="-46"/>
        </w:rPr>
        <w:t> </w:t>
      </w:r>
      <w:r>
        <w:rPr/>
        <w:t>maíz.</w:t>
      </w:r>
    </w:p>
    <w:p>
      <w:pPr>
        <w:pStyle w:val="BodyText"/>
      </w:pPr>
    </w:p>
    <w:p>
      <w:pPr>
        <w:pStyle w:val="BodyText"/>
        <w:spacing w:line="360" w:lineRule="auto" w:before="142"/>
        <w:ind w:left="100" w:right="109"/>
        <w:jc w:val="both"/>
      </w:pPr>
      <w:r>
        <w:rPr/>
        <w:t>Al oeste limita con un terreno abandonado por dos años, presenta vestigios de de cultivo, sin embargo en la actualidad está cubierto con pasto y flores del tipo “mirasol”.</w:t>
      </w:r>
    </w:p>
    <w:p>
      <w:pPr>
        <w:spacing w:after="0" w:line="360" w:lineRule="auto"/>
        <w:jc w:val="both"/>
        <w:sectPr>
          <w:pgSz w:w="12240" w:h="15840"/>
          <w:pgMar w:header="0" w:footer="1011" w:top="1360" w:bottom="1260" w:left="1600" w:right="1600"/>
        </w:sectPr>
      </w:pPr>
    </w:p>
    <w:p>
      <w:pPr>
        <w:pStyle w:val="BodyText"/>
        <w:ind w:left="485"/>
        <w:rPr>
          <w:sz w:val="20"/>
        </w:rPr>
      </w:pPr>
      <w:r>
        <w:rPr>
          <w:sz w:val="20"/>
        </w:rPr>
        <w:drawing>
          <wp:inline distT="0" distB="0" distL="0" distR="0">
            <wp:extent cx="4974113" cy="3934682"/>
            <wp:effectExtent l="0" t="0" r="0" b="0"/>
            <wp:docPr id="127" name="image44.png" descr=""/>
            <wp:cNvGraphicFramePr>
              <a:graphicFrameLocks noChangeAspect="1"/>
            </wp:cNvGraphicFramePr>
            <a:graphic>
              <a:graphicData uri="http://schemas.openxmlformats.org/drawingml/2006/picture">
                <pic:pic>
                  <pic:nvPicPr>
                    <pic:cNvPr id="128" name="image44.png"/>
                    <pic:cNvPicPr/>
                  </pic:nvPicPr>
                  <pic:blipFill>
                    <a:blip r:embed="rId69" cstate="print"/>
                    <a:stretch>
                      <a:fillRect/>
                    </a:stretch>
                  </pic:blipFill>
                  <pic:spPr>
                    <a:xfrm>
                      <a:off x="0" y="0"/>
                      <a:ext cx="4974113" cy="3934682"/>
                    </a:xfrm>
                    <a:prstGeom prst="rect">
                      <a:avLst/>
                    </a:prstGeom>
                  </pic:spPr>
                </pic:pic>
              </a:graphicData>
            </a:graphic>
          </wp:inline>
        </w:drawing>
      </w:r>
      <w:r>
        <w:rPr>
          <w:sz w:val="20"/>
        </w:rPr>
      </w:r>
    </w:p>
    <w:p>
      <w:pPr>
        <w:pStyle w:val="BodyText"/>
        <w:rPr>
          <w:sz w:val="20"/>
        </w:rPr>
      </w:pPr>
    </w:p>
    <w:p>
      <w:pPr>
        <w:pStyle w:val="BodyText"/>
        <w:spacing w:before="6"/>
        <w:rPr>
          <w:sz w:val="25"/>
        </w:rPr>
      </w:pPr>
      <w:r>
        <w:rPr/>
        <w:drawing>
          <wp:anchor distT="0" distB="0" distL="0" distR="0" allowOverlap="1" layoutInCell="1" locked="0" behindDoc="0" simplePos="0" relativeHeight="1912">
            <wp:simplePos x="0" y="0"/>
            <wp:positionH relativeFrom="page">
              <wp:posOffset>2349754</wp:posOffset>
            </wp:positionH>
            <wp:positionV relativeFrom="paragraph">
              <wp:posOffset>211467</wp:posOffset>
            </wp:positionV>
            <wp:extent cx="3070505" cy="2761488"/>
            <wp:effectExtent l="0" t="0" r="0" b="0"/>
            <wp:wrapTopAndBottom/>
            <wp:docPr id="129" name="image45.png" descr=""/>
            <wp:cNvGraphicFramePr>
              <a:graphicFrameLocks noChangeAspect="1"/>
            </wp:cNvGraphicFramePr>
            <a:graphic>
              <a:graphicData uri="http://schemas.openxmlformats.org/drawingml/2006/picture">
                <pic:pic>
                  <pic:nvPicPr>
                    <pic:cNvPr id="130" name="image45.png"/>
                    <pic:cNvPicPr/>
                  </pic:nvPicPr>
                  <pic:blipFill>
                    <a:blip r:embed="rId70" cstate="print"/>
                    <a:stretch>
                      <a:fillRect/>
                    </a:stretch>
                  </pic:blipFill>
                  <pic:spPr>
                    <a:xfrm>
                      <a:off x="0" y="0"/>
                      <a:ext cx="3070505" cy="2761488"/>
                    </a:xfrm>
                    <a:prstGeom prst="rect">
                      <a:avLst/>
                    </a:prstGeom>
                  </pic:spPr>
                </pic:pic>
              </a:graphicData>
            </a:graphic>
          </wp:anchor>
        </w:drawing>
      </w:r>
    </w:p>
    <w:p>
      <w:pPr>
        <w:spacing w:before="109"/>
        <w:ind w:left="2601" w:right="0" w:firstLine="0"/>
        <w:jc w:val="left"/>
        <w:rPr>
          <w:sz w:val="20"/>
        </w:rPr>
      </w:pPr>
      <w:r>
        <w:rPr>
          <w:sz w:val="20"/>
        </w:rPr>
        <w:t>Figura A1. Croquis de la zona de trabajo</w:t>
      </w:r>
    </w:p>
    <w:p>
      <w:pPr>
        <w:spacing w:after="0"/>
        <w:jc w:val="left"/>
        <w:rPr>
          <w:sz w:val="20"/>
        </w:rPr>
        <w:sectPr>
          <w:pgSz w:w="12240" w:h="15840"/>
          <w:pgMar w:header="0" w:footer="1011" w:top="1420" w:bottom="1260" w:left="1720" w:right="1720"/>
        </w:sectPr>
      </w:pPr>
    </w:p>
    <w:p>
      <w:pPr>
        <w:pStyle w:val="Heading2"/>
        <w:ind w:left="220"/>
        <w:jc w:val="both"/>
      </w:pPr>
      <w:r>
        <w:rPr/>
        <w:t>Descripción del proceso:</w:t>
      </w:r>
    </w:p>
    <w:p>
      <w:pPr>
        <w:pStyle w:val="BodyText"/>
        <w:rPr>
          <w:b/>
        </w:rPr>
      </w:pPr>
    </w:p>
    <w:p>
      <w:pPr>
        <w:pStyle w:val="BodyText"/>
        <w:spacing w:before="11"/>
        <w:rPr>
          <w:b/>
          <w:sz w:val="23"/>
        </w:rPr>
      </w:pPr>
    </w:p>
    <w:p>
      <w:pPr>
        <w:spacing w:before="0"/>
        <w:ind w:left="220" w:right="0" w:firstLine="0"/>
        <w:jc w:val="both"/>
        <w:rPr>
          <w:b/>
          <w:sz w:val="24"/>
        </w:rPr>
      </w:pPr>
      <w:r>
        <w:rPr>
          <w:b/>
          <w:sz w:val="24"/>
        </w:rPr>
        <w:t>Fase I. Elaboración del impulsor.</w:t>
      </w:r>
    </w:p>
    <w:p>
      <w:pPr>
        <w:pStyle w:val="BodyText"/>
        <w:rPr>
          <w:b/>
        </w:rPr>
      </w:pPr>
    </w:p>
    <w:p>
      <w:pPr>
        <w:pStyle w:val="BodyText"/>
        <w:spacing w:before="4"/>
        <w:rPr>
          <w:b/>
        </w:rPr>
      </w:pPr>
    </w:p>
    <w:p>
      <w:pPr>
        <w:pStyle w:val="BodyText"/>
        <w:spacing w:line="360" w:lineRule="auto"/>
        <w:ind w:left="220" w:right="225"/>
        <w:jc w:val="both"/>
      </w:pPr>
      <w:r>
        <w:rPr/>
        <w:t>Consiste en la producción de la pólvora y la preparación de los tubos con el material impulsor, esta fase se divide en dos etapas, la etapa de preparación de pólvora, donde se necesitan tres componentes químicos los cuales son carbón, nitrato de potasio y azufre, y la etapa de fabricación del impulsor, se forma la tobera de salida de presión usando barro comprimiéndolo dentro del tubo de cartón, en el que se coloca la pólvora elaborada y se compacta dentro de dicho tubo.</w:t>
      </w:r>
    </w:p>
    <w:p>
      <w:pPr>
        <w:pStyle w:val="BodyText"/>
        <w:rPr>
          <w:sz w:val="20"/>
        </w:rPr>
      </w:pPr>
    </w:p>
    <w:p>
      <w:pPr>
        <w:pStyle w:val="BodyText"/>
        <w:spacing w:before="5"/>
        <w:rPr>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21"/>
        <w:gridCol w:w="3036"/>
        <w:gridCol w:w="3502"/>
      </w:tblGrid>
      <w:tr>
        <w:trPr>
          <w:trHeight w:val="288" w:hRule="exact"/>
        </w:trPr>
        <w:tc>
          <w:tcPr>
            <w:tcW w:w="2521" w:type="dxa"/>
          </w:tcPr>
          <w:p>
            <w:pPr>
              <w:pStyle w:val="TableParagraph"/>
              <w:spacing w:line="271" w:lineRule="exact"/>
              <w:ind w:left="909" w:right="909"/>
              <w:jc w:val="center"/>
              <w:rPr>
                <w:b/>
                <w:sz w:val="24"/>
              </w:rPr>
            </w:pPr>
            <w:r>
              <w:rPr>
                <w:b/>
                <w:sz w:val="24"/>
              </w:rPr>
              <w:t>Etapa</w:t>
            </w:r>
          </w:p>
        </w:tc>
        <w:tc>
          <w:tcPr>
            <w:tcW w:w="3036" w:type="dxa"/>
          </w:tcPr>
          <w:p>
            <w:pPr>
              <w:pStyle w:val="TableParagraph"/>
              <w:spacing w:line="271" w:lineRule="exact"/>
              <w:ind w:left="251"/>
              <w:rPr>
                <w:b/>
                <w:sz w:val="24"/>
              </w:rPr>
            </w:pPr>
            <w:r>
              <w:rPr>
                <w:b/>
                <w:sz w:val="24"/>
              </w:rPr>
              <w:t>Operaciones unitarias</w:t>
            </w:r>
          </w:p>
        </w:tc>
        <w:tc>
          <w:tcPr>
            <w:tcW w:w="3502" w:type="dxa"/>
          </w:tcPr>
          <w:p>
            <w:pPr>
              <w:pStyle w:val="TableParagraph"/>
              <w:spacing w:line="271" w:lineRule="exact"/>
              <w:ind w:left="1060"/>
              <w:rPr>
                <w:b/>
                <w:sz w:val="24"/>
              </w:rPr>
            </w:pPr>
            <w:r>
              <w:rPr>
                <w:b/>
                <w:sz w:val="24"/>
              </w:rPr>
              <w:t>Descripción</w:t>
            </w:r>
          </w:p>
        </w:tc>
      </w:tr>
      <w:tr>
        <w:trPr>
          <w:trHeight w:val="836" w:hRule="exact"/>
        </w:trPr>
        <w:tc>
          <w:tcPr>
            <w:tcW w:w="2521" w:type="dxa"/>
            <w:vMerge w:val="restart"/>
          </w:tcPr>
          <w:p>
            <w:pPr>
              <w:pStyle w:val="TableParagraph"/>
              <w:ind w:left="104" w:right="27"/>
              <w:rPr>
                <w:sz w:val="24"/>
              </w:rPr>
            </w:pPr>
            <w:r>
              <w:rPr>
                <w:sz w:val="24"/>
              </w:rPr>
              <w:t>Etapa I. Fabricación de Pólvora</w:t>
            </w:r>
          </w:p>
        </w:tc>
        <w:tc>
          <w:tcPr>
            <w:tcW w:w="3036" w:type="dxa"/>
          </w:tcPr>
          <w:p>
            <w:pPr>
              <w:pStyle w:val="TableParagraph"/>
              <w:spacing w:line="271" w:lineRule="exact"/>
              <w:ind w:left="104"/>
              <w:rPr>
                <w:sz w:val="24"/>
              </w:rPr>
            </w:pPr>
            <w:r>
              <w:rPr>
                <w:sz w:val="24"/>
              </w:rPr>
              <w:t>Molienda</w:t>
            </w:r>
          </w:p>
        </w:tc>
        <w:tc>
          <w:tcPr>
            <w:tcW w:w="3502" w:type="dxa"/>
          </w:tcPr>
          <w:p>
            <w:pPr>
              <w:pStyle w:val="TableParagraph"/>
              <w:ind w:left="104" w:right="107"/>
              <w:jc w:val="both"/>
              <w:rPr>
                <w:sz w:val="24"/>
              </w:rPr>
            </w:pPr>
            <w:r>
              <w:rPr>
                <w:sz w:val="24"/>
              </w:rPr>
              <w:t>Se pulveriza en un molino de bolas carbón y nitrato de potasio.</w:t>
            </w:r>
          </w:p>
        </w:tc>
      </w:tr>
      <w:tr>
        <w:trPr>
          <w:trHeight w:val="564" w:hRule="exact"/>
        </w:trPr>
        <w:tc>
          <w:tcPr>
            <w:tcW w:w="2521" w:type="dxa"/>
            <w:vMerge/>
          </w:tcPr>
          <w:p>
            <w:pPr/>
          </w:p>
        </w:tc>
        <w:tc>
          <w:tcPr>
            <w:tcW w:w="3036" w:type="dxa"/>
          </w:tcPr>
          <w:p>
            <w:pPr>
              <w:pStyle w:val="TableParagraph"/>
              <w:spacing w:line="275" w:lineRule="exact"/>
              <w:ind w:left="104"/>
              <w:rPr>
                <w:sz w:val="24"/>
              </w:rPr>
            </w:pPr>
            <w:r>
              <w:rPr>
                <w:sz w:val="24"/>
              </w:rPr>
              <w:t>Mezclado</w:t>
            </w:r>
          </w:p>
        </w:tc>
        <w:tc>
          <w:tcPr>
            <w:tcW w:w="3502" w:type="dxa"/>
          </w:tcPr>
          <w:p>
            <w:pPr>
              <w:pStyle w:val="TableParagraph"/>
              <w:ind w:left="104"/>
              <w:rPr>
                <w:sz w:val="24"/>
              </w:rPr>
            </w:pPr>
            <w:r>
              <w:rPr>
                <w:sz w:val="24"/>
              </w:rPr>
              <w:t>El producto de la molienda se mezcla con azufre en polvo</w:t>
            </w:r>
          </w:p>
        </w:tc>
      </w:tr>
      <w:tr>
        <w:trPr>
          <w:trHeight w:val="836" w:hRule="exact"/>
        </w:trPr>
        <w:tc>
          <w:tcPr>
            <w:tcW w:w="2521" w:type="dxa"/>
            <w:vMerge/>
          </w:tcPr>
          <w:p>
            <w:pPr/>
          </w:p>
        </w:tc>
        <w:tc>
          <w:tcPr>
            <w:tcW w:w="3036" w:type="dxa"/>
          </w:tcPr>
          <w:p>
            <w:pPr>
              <w:pStyle w:val="TableParagraph"/>
              <w:spacing w:line="271" w:lineRule="exact"/>
              <w:ind w:left="104"/>
              <w:rPr>
                <w:sz w:val="24"/>
              </w:rPr>
            </w:pPr>
            <w:r>
              <w:rPr>
                <w:sz w:val="24"/>
              </w:rPr>
              <w:t>Tamizado</w:t>
            </w:r>
          </w:p>
        </w:tc>
        <w:tc>
          <w:tcPr>
            <w:tcW w:w="3502" w:type="dxa"/>
          </w:tcPr>
          <w:p>
            <w:pPr>
              <w:pStyle w:val="TableParagraph"/>
              <w:ind w:left="104" w:right="108"/>
              <w:jc w:val="both"/>
              <w:rPr>
                <w:sz w:val="24"/>
              </w:rPr>
            </w:pPr>
            <w:r>
              <w:rPr>
                <w:sz w:val="24"/>
              </w:rPr>
              <w:t>Se tamiza la mezcla a fin de obtener tamaños de partícula homogéneos</w:t>
            </w:r>
          </w:p>
        </w:tc>
      </w:tr>
      <w:tr>
        <w:trPr>
          <w:trHeight w:val="1393" w:hRule="exact"/>
        </w:trPr>
        <w:tc>
          <w:tcPr>
            <w:tcW w:w="2521" w:type="dxa"/>
            <w:vMerge w:val="restart"/>
          </w:tcPr>
          <w:p>
            <w:pPr>
              <w:pStyle w:val="TableParagraph"/>
              <w:ind w:left="104" w:right="27"/>
              <w:rPr>
                <w:sz w:val="24"/>
              </w:rPr>
            </w:pPr>
            <w:r>
              <w:rPr>
                <w:sz w:val="24"/>
              </w:rPr>
              <w:t>Etapa II. Fabricación de impulsor</w:t>
            </w:r>
          </w:p>
        </w:tc>
        <w:tc>
          <w:tcPr>
            <w:tcW w:w="3036" w:type="dxa"/>
          </w:tcPr>
          <w:p>
            <w:pPr>
              <w:pStyle w:val="TableParagraph"/>
              <w:spacing w:line="275" w:lineRule="exact"/>
              <w:ind w:left="104"/>
              <w:rPr>
                <w:sz w:val="24"/>
              </w:rPr>
            </w:pPr>
            <w:r>
              <w:rPr>
                <w:sz w:val="24"/>
              </w:rPr>
              <w:t>Entaquetado</w:t>
            </w:r>
          </w:p>
        </w:tc>
        <w:tc>
          <w:tcPr>
            <w:tcW w:w="3502" w:type="dxa"/>
          </w:tcPr>
          <w:p>
            <w:pPr>
              <w:pStyle w:val="TableParagraph"/>
              <w:tabs>
                <w:tab w:pos="1264" w:val="left" w:leader="none"/>
                <w:tab w:pos="2824" w:val="left" w:leader="none"/>
              </w:tabs>
              <w:ind w:left="104" w:right="105"/>
              <w:jc w:val="both"/>
              <w:rPr>
                <w:sz w:val="24"/>
              </w:rPr>
            </w:pPr>
            <w:r>
              <w:rPr>
                <w:sz w:val="24"/>
              </w:rPr>
              <w:t>Se</w:t>
              <w:tab/>
              <w:t>coloca</w:t>
              <w:tab/>
              <w:t>barro comprimiéndose con martilleo, formando la tobera donde se coloca la mecha y se libera la presión del</w:t>
            </w:r>
            <w:r>
              <w:rPr>
                <w:spacing w:val="-13"/>
                <w:sz w:val="24"/>
              </w:rPr>
              <w:t> </w:t>
            </w:r>
            <w:r>
              <w:rPr>
                <w:sz w:val="24"/>
              </w:rPr>
              <w:t>sistema.</w:t>
            </w:r>
          </w:p>
        </w:tc>
      </w:tr>
      <w:tr>
        <w:trPr>
          <w:trHeight w:val="1668" w:hRule="exact"/>
        </w:trPr>
        <w:tc>
          <w:tcPr>
            <w:tcW w:w="2521" w:type="dxa"/>
            <w:vMerge/>
          </w:tcPr>
          <w:p>
            <w:pPr/>
          </w:p>
        </w:tc>
        <w:tc>
          <w:tcPr>
            <w:tcW w:w="3036" w:type="dxa"/>
          </w:tcPr>
          <w:p>
            <w:pPr>
              <w:pStyle w:val="TableParagraph"/>
              <w:spacing w:line="271" w:lineRule="exact"/>
              <w:ind w:left="104"/>
              <w:rPr>
                <w:sz w:val="24"/>
              </w:rPr>
            </w:pPr>
            <w:r>
              <w:rPr>
                <w:sz w:val="24"/>
              </w:rPr>
              <w:t>Llenado</w:t>
            </w:r>
          </w:p>
        </w:tc>
        <w:tc>
          <w:tcPr>
            <w:tcW w:w="3502" w:type="dxa"/>
          </w:tcPr>
          <w:p>
            <w:pPr>
              <w:pStyle w:val="TableParagraph"/>
              <w:ind w:left="104" w:right="107"/>
              <w:jc w:val="both"/>
              <w:rPr>
                <w:sz w:val="24"/>
              </w:rPr>
            </w:pPr>
            <w:r>
              <w:rPr>
                <w:sz w:val="24"/>
              </w:rPr>
              <w:t>Se llenan los tubos de pólvora y se compacta golpeándola con un martillo haciendo la forma de la tobera de salida  de presión donde se colocará la</w:t>
            </w:r>
            <w:r>
              <w:rPr>
                <w:spacing w:val="-8"/>
                <w:sz w:val="24"/>
              </w:rPr>
              <w:t> </w:t>
            </w:r>
            <w:r>
              <w:rPr>
                <w:sz w:val="24"/>
              </w:rPr>
              <w:t>mecha</w:t>
            </w:r>
          </w:p>
        </w:tc>
      </w:tr>
    </w:tbl>
    <w:p>
      <w:pPr>
        <w:spacing w:line="226" w:lineRule="exact" w:before="0"/>
        <w:ind w:left="2509" w:right="0" w:firstLine="0"/>
        <w:jc w:val="left"/>
        <w:rPr>
          <w:sz w:val="20"/>
        </w:rPr>
      </w:pPr>
      <w:r>
        <w:rPr>
          <w:sz w:val="20"/>
        </w:rPr>
        <w:t>Tabla A2. Etapas en elaboración de impulsores.</w:t>
      </w:r>
    </w:p>
    <w:p>
      <w:pPr>
        <w:spacing w:after="0" w:line="226" w:lineRule="exact"/>
        <w:jc w:val="left"/>
        <w:rPr>
          <w:sz w:val="20"/>
        </w:rPr>
        <w:sectPr>
          <w:pgSz w:w="12240" w:h="15840"/>
          <w:pgMar w:header="0" w:footer="1011" w:top="1360" w:bottom="1260" w:left="1480" w:right="1480"/>
        </w:sectPr>
      </w:pPr>
    </w:p>
    <w:p>
      <w:pPr>
        <w:pStyle w:val="BodyText"/>
        <w:ind w:left="725"/>
        <w:rPr>
          <w:sz w:val="20"/>
        </w:rPr>
      </w:pPr>
      <w:r>
        <w:rPr>
          <w:sz w:val="20"/>
        </w:rPr>
        <w:drawing>
          <wp:inline distT="0" distB="0" distL="0" distR="0">
            <wp:extent cx="4760177" cy="3447288"/>
            <wp:effectExtent l="0" t="0" r="0" b="0"/>
            <wp:docPr id="131" name="image46.png" descr=""/>
            <wp:cNvGraphicFramePr>
              <a:graphicFrameLocks noChangeAspect="1"/>
            </wp:cNvGraphicFramePr>
            <a:graphic>
              <a:graphicData uri="http://schemas.openxmlformats.org/drawingml/2006/picture">
                <pic:pic>
                  <pic:nvPicPr>
                    <pic:cNvPr id="132" name="image46.png"/>
                    <pic:cNvPicPr/>
                  </pic:nvPicPr>
                  <pic:blipFill>
                    <a:blip r:embed="rId71" cstate="print"/>
                    <a:stretch>
                      <a:fillRect/>
                    </a:stretch>
                  </pic:blipFill>
                  <pic:spPr>
                    <a:xfrm>
                      <a:off x="0" y="0"/>
                      <a:ext cx="4760177" cy="3447288"/>
                    </a:xfrm>
                    <a:prstGeom prst="rect">
                      <a:avLst/>
                    </a:prstGeom>
                  </pic:spPr>
                </pic:pic>
              </a:graphicData>
            </a:graphic>
          </wp:inline>
        </w:drawing>
      </w:r>
      <w:r>
        <w:rPr>
          <w:sz w:val="20"/>
        </w:rPr>
      </w:r>
    </w:p>
    <w:p>
      <w:pPr>
        <w:spacing w:before="133"/>
        <w:ind w:left="469" w:right="470" w:firstLine="0"/>
        <w:jc w:val="center"/>
        <w:rPr>
          <w:sz w:val="20"/>
        </w:rPr>
      </w:pPr>
      <w:r>
        <w:rPr>
          <w:sz w:val="20"/>
        </w:rPr>
        <w:t>Figura A2. Diagrama de elaboración del impulsor.</w:t>
      </w:r>
    </w:p>
    <w:p>
      <w:pPr>
        <w:pStyle w:val="BodyText"/>
        <w:rPr>
          <w:sz w:val="20"/>
        </w:rPr>
      </w:pPr>
    </w:p>
    <w:p>
      <w:pPr>
        <w:pStyle w:val="BodyText"/>
        <w:rPr>
          <w:sz w:val="20"/>
        </w:rPr>
      </w:pPr>
    </w:p>
    <w:p>
      <w:pPr>
        <w:pStyle w:val="BodyText"/>
        <w:rPr>
          <w:sz w:val="20"/>
        </w:rPr>
      </w:pPr>
    </w:p>
    <w:p>
      <w:pPr>
        <w:pStyle w:val="BodyText"/>
        <w:spacing w:before="9"/>
        <w:rPr>
          <w:sz w:val="18"/>
        </w:rPr>
      </w:pPr>
      <w:r>
        <w:rPr/>
        <w:pict>
          <v:group style="position:absolute;margin-left:88.136002pt;margin-top:12.793778pt;width:435.3pt;height:273pt;mso-position-horizontal-relative:page;mso-position-vertical-relative:paragraph;z-index:1936;mso-wrap-distance-left:0;mso-wrap-distance-right:0" coordorigin="1763,256" coordsize="8706,5460">
            <v:shape style="position:absolute;left:1763;top:256;width:5325;height:5460" type="#_x0000_t75" stroked="false">
              <v:imagedata r:id="rId72" o:title=""/>
            </v:shape>
            <v:shape style="position:absolute;left:7118;top:256;width:3350;height:5459" type="#_x0000_t75" stroked="false">
              <v:imagedata r:id="rId73" o:title=""/>
            </v:shape>
            <w10:wrap type="topAndBottom"/>
          </v:group>
        </w:pict>
      </w:r>
    </w:p>
    <w:p>
      <w:pPr>
        <w:spacing w:before="109"/>
        <w:ind w:left="469" w:right="473" w:firstLine="0"/>
        <w:jc w:val="center"/>
        <w:rPr>
          <w:sz w:val="20"/>
        </w:rPr>
      </w:pPr>
      <w:r>
        <w:rPr>
          <w:sz w:val="20"/>
        </w:rPr>
        <w:t>Figura A3. Barril de elaboración de pólvora (molino de bolas) y compactación de material.</w:t>
      </w:r>
    </w:p>
    <w:p>
      <w:pPr>
        <w:spacing w:after="0"/>
        <w:jc w:val="center"/>
        <w:rPr>
          <w:sz w:val="20"/>
        </w:rPr>
        <w:sectPr>
          <w:pgSz w:w="12240" w:h="15840"/>
          <w:pgMar w:header="0" w:footer="1011" w:top="1420" w:bottom="1260" w:left="1660" w:right="1660"/>
        </w:sectPr>
      </w:pPr>
    </w:p>
    <w:p>
      <w:pPr>
        <w:pStyle w:val="Heading2"/>
        <w:ind w:left="220"/>
        <w:jc w:val="both"/>
      </w:pPr>
      <w:r>
        <w:rPr/>
        <w:t>Fase II. Elaboración del efecto.</w:t>
      </w:r>
    </w:p>
    <w:p>
      <w:pPr>
        <w:pStyle w:val="BodyText"/>
        <w:rPr>
          <w:b/>
        </w:rPr>
      </w:pPr>
    </w:p>
    <w:p>
      <w:pPr>
        <w:pStyle w:val="BodyText"/>
        <w:spacing w:before="3"/>
        <w:rPr>
          <w:b/>
        </w:rPr>
      </w:pPr>
    </w:p>
    <w:p>
      <w:pPr>
        <w:pStyle w:val="BodyText"/>
        <w:spacing w:line="357" w:lineRule="auto" w:before="1"/>
        <w:ind w:left="220" w:right="219"/>
        <w:jc w:val="both"/>
      </w:pPr>
      <w:r>
        <w:rPr/>
        <w:t>El efecto en un cohetón es una parte complementaria del cartucho, el cual  contiene los materiales necesarios para emitir el sonido estruendoso característico de estos artificios, para su elaboración se necesitan cuatro componentes químicos (Sb, Al, S, KClO</w:t>
      </w:r>
      <w:r>
        <w:rPr>
          <w:position w:val="-2"/>
          <w:sz w:val="16"/>
        </w:rPr>
        <w:t>3</w:t>
      </w:r>
      <w:r>
        <w:rPr/>
        <w:t>), un cartucho prefabricado de cartón, este consta de un tubo cerrado por un extremo, para realizar este cierre se deforma uno de los</w:t>
      </w:r>
      <w:r>
        <w:rPr>
          <w:spacing w:val="-33"/>
        </w:rPr>
        <w:t> </w:t>
      </w:r>
      <w:r>
        <w:rPr/>
        <w:t>extremos.</w:t>
      </w:r>
    </w:p>
    <w:p>
      <w:pPr>
        <w:pStyle w:val="BodyText"/>
      </w:pPr>
    </w:p>
    <w:p>
      <w:pPr>
        <w:pStyle w:val="BodyText"/>
        <w:spacing w:line="360" w:lineRule="auto" w:before="144"/>
        <w:ind w:left="220" w:right="218"/>
        <w:jc w:val="both"/>
      </w:pPr>
      <w:r>
        <w:rPr/>
        <w:t>Para esta fase se necesitan dos etapas, en la primera se tamizan por separado cada componente químico y se mezclan entre sí, tamizándolos nuevamente, y en la segunda se deforma el tubo para la formación del cartucho de cartón y se llena con los químicos de la primer etapa.</w:t>
      </w:r>
    </w:p>
    <w:p>
      <w:pPr>
        <w:pStyle w:val="BodyText"/>
        <w:rPr>
          <w:sz w:val="20"/>
        </w:rPr>
      </w:pPr>
    </w:p>
    <w:p>
      <w:pPr>
        <w:pStyle w:val="BodyText"/>
        <w:rPr>
          <w:sz w:val="20"/>
        </w:rPr>
      </w:pPr>
    </w:p>
    <w:p>
      <w:pPr>
        <w:pStyle w:val="BodyText"/>
        <w:rPr>
          <w:sz w:val="20"/>
        </w:rPr>
      </w:pPr>
    </w:p>
    <w:p>
      <w:pPr>
        <w:pStyle w:val="BodyText"/>
        <w:spacing w:before="3"/>
        <w:rPr>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49"/>
        <w:gridCol w:w="3057"/>
        <w:gridCol w:w="3453"/>
      </w:tblGrid>
      <w:tr>
        <w:trPr>
          <w:trHeight w:val="288" w:hRule="exact"/>
        </w:trPr>
        <w:tc>
          <w:tcPr>
            <w:tcW w:w="2549" w:type="dxa"/>
          </w:tcPr>
          <w:p>
            <w:pPr>
              <w:pStyle w:val="TableParagraph"/>
              <w:spacing w:line="271" w:lineRule="exact"/>
              <w:ind w:left="924" w:right="923"/>
              <w:jc w:val="center"/>
              <w:rPr>
                <w:b/>
                <w:sz w:val="24"/>
              </w:rPr>
            </w:pPr>
            <w:r>
              <w:rPr>
                <w:b/>
                <w:sz w:val="24"/>
              </w:rPr>
              <w:t>Etapa</w:t>
            </w:r>
          </w:p>
        </w:tc>
        <w:tc>
          <w:tcPr>
            <w:tcW w:w="3057" w:type="dxa"/>
          </w:tcPr>
          <w:p>
            <w:pPr>
              <w:pStyle w:val="TableParagraph"/>
              <w:spacing w:line="271" w:lineRule="exact"/>
              <w:ind w:left="263"/>
              <w:rPr>
                <w:b/>
                <w:sz w:val="24"/>
              </w:rPr>
            </w:pPr>
            <w:r>
              <w:rPr>
                <w:b/>
                <w:sz w:val="24"/>
              </w:rPr>
              <w:t>Operaciones unitarias</w:t>
            </w:r>
          </w:p>
        </w:tc>
        <w:tc>
          <w:tcPr>
            <w:tcW w:w="3453" w:type="dxa"/>
          </w:tcPr>
          <w:p>
            <w:pPr>
              <w:pStyle w:val="TableParagraph"/>
              <w:spacing w:line="271" w:lineRule="exact"/>
              <w:ind w:left="1032"/>
              <w:rPr>
                <w:b/>
                <w:sz w:val="24"/>
              </w:rPr>
            </w:pPr>
            <w:r>
              <w:rPr>
                <w:b/>
                <w:sz w:val="24"/>
              </w:rPr>
              <w:t>Descripción</w:t>
            </w:r>
          </w:p>
        </w:tc>
      </w:tr>
      <w:tr>
        <w:trPr>
          <w:trHeight w:val="836" w:hRule="exact"/>
        </w:trPr>
        <w:tc>
          <w:tcPr>
            <w:tcW w:w="2549" w:type="dxa"/>
            <w:vMerge w:val="restart"/>
          </w:tcPr>
          <w:p>
            <w:pPr>
              <w:pStyle w:val="TableParagraph"/>
              <w:ind w:left="104" w:right="2"/>
              <w:rPr>
                <w:sz w:val="24"/>
              </w:rPr>
            </w:pPr>
            <w:r>
              <w:rPr>
                <w:sz w:val="24"/>
              </w:rPr>
              <w:t>Etapa I. Preparación de la mezcla.</w:t>
            </w:r>
          </w:p>
        </w:tc>
        <w:tc>
          <w:tcPr>
            <w:tcW w:w="3057" w:type="dxa"/>
          </w:tcPr>
          <w:p>
            <w:pPr>
              <w:pStyle w:val="TableParagraph"/>
              <w:spacing w:line="271" w:lineRule="exact"/>
              <w:ind w:left="103"/>
              <w:rPr>
                <w:sz w:val="24"/>
              </w:rPr>
            </w:pPr>
            <w:r>
              <w:rPr>
                <w:sz w:val="24"/>
              </w:rPr>
              <w:t>Tamizado</w:t>
            </w:r>
          </w:p>
        </w:tc>
        <w:tc>
          <w:tcPr>
            <w:tcW w:w="3453" w:type="dxa"/>
          </w:tcPr>
          <w:p>
            <w:pPr>
              <w:pStyle w:val="TableParagraph"/>
              <w:ind w:left="104" w:right="109"/>
              <w:jc w:val="both"/>
              <w:rPr>
                <w:sz w:val="24"/>
              </w:rPr>
            </w:pPr>
            <w:r>
              <w:rPr>
                <w:sz w:val="24"/>
              </w:rPr>
              <w:t>Cada componente se tamiza por separado, para obtener polvo fino de cada material.</w:t>
            </w:r>
          </w:p>
        </w:tc>
      </w:tr>
      <w:tr>
        <w:trPr>
          <w:trHeight w:val="1116" w:hRule="exact"/>
        </w:trPr>
        <w:tc>
          <w:tcPr>
            <w:tcW w:w="2549" w:type="dxa"/>
            <w:vMerge/>
          </w:tcPr>
          <w:p>
            <w:pPr/>
          </w:p>
        </w:tc>
        <w:tc>
          <w:tcPr>
            <w:tcW w:w="3057" w:type="dxa"/>
          </w:tcPr>
          <w:p>
            <w:pPr>
              <w:pStyle w:val="TableParagraph"/>
              <w:spacing w:line="275" w:lineRule="exact"/>
              <w:ind w:left="103"/>
              <w:rPr>
                <w:sz w:val="24"/>
              </w:rPr>
            </w:pPr>
            <w:r>
              <w:rPr>
                <w:sz w:val="24"/>
              </w:rPr>
              <w:t>Mezclado</w:t>
            </w:r>
          </w:p>
        </w:tc>
        <w:tc>
          <w:tcPr>
            <w:tcW w:w="3453" w:type="dxa"/>
          </w:tcPr>
          <w:p>
            <w:pPr>
              <w:pStyle w:val="TableParagraph"/>
              <w:ind w:left="104" w:right="107"/>
              <w:jc w:val="both"/>
              <w:rPr>
                <w:sz w:val="24"/>
              </w:rPr>
            </w:pPr>
            <w:r>
              <w:rPr>
                <w:sz w:val="24"/>
              </w:rPr>
              <w:t>Utilizando un tamiz limpio se colocan los cuatro materiales y se realiza un nuevo tamizado</w:t>
            </w:r>
          </w:p>
        </w:tc>
      </w:tr>
      <w:tr>
        <w:trPr>
          <w:trHeight w:val="1668" w:hRule="exact"/>
        </w:trPr>
        <w:tc>
          <w:tcPr>
            <w:tcW w:w="2549" w:type="dxa"/>
          </w:tcPr>
          <w:p>
            <w:pPr>
              <w:pStyle w:val="TableParagraph"/>
              <w:ind w:left="104" w:right="2"/>
              <w:rPr>
                <w:sz w:val="24"/>
              </w:rPr>
            </w:pPr>
            <w:r>
              <w:rPr>
                <w:sz w:val="24"/>
              </w:rPr>
              <w:t>Etapa II. Elaboración del efecto.</w:t>
            </w:r>
          </w:p>
        </w:tc>
        <w:tc>
          <w:tcPr>
            <w:tcW w:w="3057" w:type="dxa"/>
          </w:tcPr>
          <w:p>
            <w:pPr>
              <w:pStyle w:val="TableParagraph"/>
              <w:spacing w:line="271" w:lineRule="exact"/>
              <w:ind w:left="103"/>
              <w:rPr>
                <w:sz w:val="24"/>
              </w:rPr>
            </w:pPr>
            <w:r>
              <w:rPr>
                <w:sz w:val="24"/>
              </w:rPr>
              <w:t>Llenado del cartucho</w:t>
            </w:r>
          </w:p>
        </w:tc>
        <w:tc>
          <w:tcPr>
            <w:tcW w:w="3453" w:type="dxa"/>
          </w:tcPr>
          <w:p>
            <w:pPr>
              <w:pStyle w:val="TableParagraph"/>
              <w:tabs>
                <w:tab w:pos="2268" w:val="left" w:leader="none"/>
              </w:tabs>
              <w:ind w:left="104" w:right="108"/>
              <w:jc w:val="both"/>
              <w:rPr>
                <w:sz w:val="24"/>
              </w:rPr>
            </w:pPr>
            <w:r>
              <w:rPr>
                <w:sz w:val="24"/>
              </w:rPr>
              <w:t>Se llenan los cartuchos con la mezcla</w:t>
              <w:tab/>
            </w:r>
            <w:r>
              <w:rPr>
                <w:spacing w:val="-1"/>
                <w:sz w:val="24"/>
              </w:rPr>
              <w:t>explosiva, </w:t>
            </w:r>
            <w:r>
              <w:rPr>
                <w:sz w:val="24"/>
              </w:rPr>
              <w:t>manteniendo el debido cuidado ya que es un material altamente sensible a impactos o</w:t>
            </w:r>
            <w:r>
              <w:rPr>
                <w:spacing w:val="-11"/>
                <w:sz w:val="24"/>
              </w:rPr>
              <w:t> </w:t>
            </w:r>
            <w:r>
              <w:rPr>
                <w:sz w:val="24"/>
              </w:rPr>
              <w:t>fricción.</w:t>
            </w:r>
          </w:p>
        </w:tc>
      </w:tr>
    </w:tbl>
    <w:p>
      <w:pPr>
        <w:spacing w:line="226" w:lineRule="exact" w:before="0"/>
        <w:ind w:left="2669" w:right="0" w:firstLine="0"/>
        <w:jc w:val="left"/>
        <w:rPr>
          <w:sz w:val="20"/>
        </w:rPr>
      </w:pPr>
      <w:r>
        <w:rPr>
          <w:sz w:val="20"/>
        </w:rPr>
        <w:t>Tabla A3. Etapas en elaboración de efectos.</w:t>
      </w:r>
    </w:p>
    <w:p>
      <w:pPr>
        <w:spacing w:after="0" w:line="226" w:lineRule="exact"/>
        <w:jc w:val="left"/>
        <w:rPr>
          <w:sz w:val="20"/>
        </w:rPr>
        <w:sectPr>
          <w:pgSz w:w="12240" w:h="15840"/>
          <w:pgMar w:header="0" w:footer="1011" w:top="1360" w:bottom="1260" w:left="1480" w:right="1480"/>
        </w:sectPr>
      </w:pPr>
    </w:p>
    <w:p>
      <w:pPr>
        <w:pStyle w:val="BodyText"/>
        <w:ind w:left="356"/>
        <w:rPr>
          <w:sz w:val="20"/>
        </w:rPr>
      </w:pPr>
      <w:r>
        <w:rPr>
          <w:sz w:val="20"/>
        </w:rPr>
        <w:drawing>
          <wp:inline distT="0" distB="0" distL="0" distR="0">
            <wp:extent cx="5135156" cy="3154679"/>
            <wp:effectExtent l="0" t="0" r="0" b="0"/>
            <wp:docPr id="133" name="image49.png" descr=""/>
            <wp:cNvGraphicFramePr>
              <a:graphicFrameLocks noChangeAspect="1"/>
            </wp:cNvGraphicFramePr>
            <a:graphic>
              <a:graphicData uri="http://schemas.openxmlformats.org/drawingml/2006/picture">
                <pic:pic>
                  <pic:nvPicPr>
                    <pic:cNvPr id="134" name="image49.png"/>
                    <pic:cNvPicPr/>
                  </pic:nvPicPr>
                  <pic:blipFill>
                    <a:blip r:embed="rId74" cstate="print"/>
                    <a:stretch>
                      <a:fillRect/>
                    </a:stretch>
                  </pic:blipFill>
                  <pic:spPr>
                    <a:xfrm>
                      <a:off x="0" y="0"/>
                      <a:ext cx="5135156" cy="3154679"/>
                    </a:xfrm>
                    <a:prstGeom prst="rect">
                      <a:avLst/>
                    </a:prstGeom>
                  </pic:spPr>
                </pic:pic>
              </a:graphicData>
            </a:graphic>
          </wp:inline>
        </w:drawing>
      </w:r>
      <w:r>
        <w:rPr>
          <w:sz w:val="20"/>
        </w:rPr>
      </w:r>
    </w:p>
    <w:p>
      <w:pPr>
        <w:spacing w:before="138"/>
        <w:ind w:left="1870" w:right="1874" w:firstLine="0"/>
        <w:jc w:val="center"/>
        <w:rPr>
          <w:sz w:val="20"/>
        </w:rPr>
      </w:pPr>
      <w:r>
        <w:rPr>
          <w:sz w:val="20"/>
        </w:rPr>
        <w:t>Figura A4. Diagrama de elaboración del efecto.</w:t>
      </w:r>
    </w:p>
    <w:p>
      <w:pPr>
        <w:pStyle w:val="BodyText"/>
        <w:rPr>
          <w:sz w:val="20"/>
        </w:rPr>
      </w:pPr>
    </w:p>
    <w:p>
      <w:pPr>
        <w:pStyle w:val="BodyText"/>
        <w:spacing w:before="9"/>
        <w:rPr>
          <w:sz w:val="16"/>
        </w:rPr>
      </w:pPr>
      <w:r>
        <w:rPr/>
        <w:drawing>
          <wp:anchor distT="0" distB="0" distL="0" distR="0" allowOverlap="1" layoutInCell="1" locked="0" behindDoc="0" simplePos="0" relativeHeight="1960">
            <wp:simplePos x="0" y="0"/>
            <wp:positionH relativeFrom="page">
              <wp:posOffset>1447800</wp:posOffset>
            </wp:positionH>
            <wp:positionV relativeFrom="paragraph">
              <wp:posOffset>147470</wp:posOffset>
            </wp:positionV>
            <wp:extent cx="4917440" cy="3688079"/>
            <wp:effectExtent l="0" t="0" r="0" b="0"/>
            <wp:wrapTopAndBottom/>
            <wp:docPr id="135" name="image50.jpeg" descr=""/>
            <wp:cNvGraphicFramePr>
              <a:graphicFrameLocks noChangeAspect="1"/>
            </wp:cNvGraphicFramePr>
            <a:graphic>
              <a:graphicData uri="http://schemas.openxmlformats.org/drawingml/2006/picture">
                <pic:pic>
                  <pic:nvPicPr>
                    <pic:cNvPr id="136" name="image50.jpeg"/>
                    <pic:cNvPicPr/>
                  </pic:nvPicPr>
                  <pic:blipFill>
                    <a:blip r:embed="rId75" cstate="print"/>
                    <a:stretch>
                      <a:fillRect/>
                    </a:stretch>
                  </pic:blipFill>
                  <pic:spPr>
                    <a:xfrm>
                      <a:off x="0" y="0"/>
                      <a:ext cx="4917440" cy="3688079"/>
                    </a:xfrm>
                    <a:prstGeom prst="rect">
                      <a:avLst/>
                    </a:prstGeom>
                  </pic:spPr>
                </pic:pic>
              </a:graphicData>
            </a:graphic>
          </wp:anchor>
        </w:drawing>
      </w:r>
    </w:p>
    <w:p>
      <w:pPr>
        <w:spacing w:before="60"/>
        <w:ind w:left="1870" w:right="1875" w:firstLine="0"/>
        <w:jc w:val="center"/>
        <w:rPr>
          <w:sz w:val="20"/>
        </w:rPr>
      </w:pPr>
      <w:r>
        <w:rPr>
          <w:sz w:val="20"/>
        </w:rPr>
        <w:t>Figura A5. Cuarto de elaboración de cohetón pirotécnico</w:t>
      </w:r>
    </w:p>
    <w:p>
      <w:pPr>
        <w:spacing w:after="0"/>
        <w:jc w:val="center"/>
        <w:rPr>
          <w:sz w:val="20"/>
        </w:rPr>
        <w:sectPr>
          <w:pgSz w:w="12240" w:h="15840"/>
          <w:pgMar w:header="0" w:footer="1011" w:top="1420" w:bottom="1260" w:left="1720" w:right="1720"/>
        </w:sectPr>
      </w:pPr>
    </w:p>
    <w:p>
      <w:pPr>
        <w:pStyle w:val="Heading2"/>
        <w:ind w:left="220"/>
        <w:jc w:val="both"/>
      </w:pPr>
      <w:r>
        <w:rPr/>
        <w:t>Fase III. Elaboración de mechas.</w:t>
      </w:r>
    </w:p>
    <w:p>
      <w:pPr>
        <w:pStyle w:val="BodyText"/>
        <w:rPr>
          <w:b/>
        </w:rPr>
      </w:pPr>
    </w:p>
    <w:p>
      <w:pPr>
        <w:pStyle w:val="BodyText"/>
        <w:spacing w:before="3"/>
        <w:rPr>
          <w:b/>
        </w:rPr>
      </w:pPr>
    </w:p>
    <w:p>
      <w:pPr>
        <w:pStyle w:val="BodyText"/>
        <w:spacing w:line="360" w:lineRule="auto" w:before="1"/>
        <w:ind w:left="220" w:right="221"/>
        <w:jc w:val="both"/>
      </w:pPr>
      <w:r>
        <w:rPr/>
        <w:t>Durante esta fase del trabajo se fabrica el sistema de encendido de los cohetones, el propio pirotécnico fabrica las mechas, constituidas de pólvora negra, esta fase consta de una sola etapa, ya que se utiliza parte de la misma pólvora fabricada para la constitución de los impulsores, adicionalmente se utiliza hilo de algodón, goma laca y alcohol.</w:t>
      </w:r>
    </w:p>
    <w:p>
      <w:pPr>
        <w:pStyle w:val="BodyText"/>
        <w:rPr>
          <w:sz w:val="20"/>
        </w:rPr>
      </w:pPr>
    </w:p>
    <w:p>
      <w:pPr>
        <w:pStyle w:val="BodyText"/>
        <w:spacing w:before="5"/>
        <w:rPr>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29"/>
        <w:gridCol w:w="3053"/>
        <w:gridCol w:w="3477"/>
      </w:tblGrid>
      <w:tr>
        <w:trPr>
          <w:trHeight w:val="240" w:hRule="exact"/>
        </w:trPr>
        <w:tc>
          <w:tcPr>
            <w:tcW w:w="2529" w:type="dxa"/>
          </w:tcPr>
          <w:p>
            <w:pPr>
              <w:pStyle w:val="TableParagraph"/>
              <w:spacing w:line="226" w:lineRule="exact"/>
              <w:ind w:left="969" w:right="967"/>
              <w:jc w:val="center"/>
              <w:rPr>
                <w:b/>
                <w:sz w:val="20"/>
              </w:rPr>
            </w:pPr>
            <w:r>
              <w:rPr>
                <w:b/>
                <w:sz w:val="20"/>
              </w:rPr>
              <w:t>Etapa</w:t>
            </w:r>
          </w:p>
        </w:tc>
        <w:tc>
          <w:tcPr>
            <w:tcW w:w="3053" w:type="dxa"/>
          </w:tcPr>
          <w:p>
            <w:pPr>
              <w:pStyle w:val="TableParagraph"/>
              <w:spacing w:line="226" w:lineRule="exact"/>
              <w:ind w:left="471"/>
              <w:rPr>
                <w:b/>
                <w:sz w:val="20"/>
              </w:rPr>
            </w:pPr>
            <w:r>
              <w:rPr>
                <w:b/>
                <w:sz w:val="20"/>
              </w:rPr>
              <w:t>Operaciones unitarias</w:t>
            </w:r>
          </w:p>
        </w:tc>
        <w:tc>
          <w:tcPr>
            <w:tcW w:w="3477" w:type="dxa"/>
          </w:tcPr>
          <w:p>
            <w:pPr>
              <w:pStyle w:val="TableParagraph"/>
              <w:spacing w:line="226" w:lineRule="exact"/>
              <w:ind w:left="1142" w:right="1142"/>
              <w:jc w:val="center"/>
              <w:rPr>
                <w:b/>
                <w:sz w:val="20"/>
              </w:rPr>
            </w:pPr>
            <w:r>
              <w:rPr>
                <w:b/>
                <w:sz w:val="20"/>
              </w:rPr>
              <w:t>Descripción</w:t>
            </w:r>
          </w:p>
        </w:tc>
      </w:tr>
      <w:tr>
        <w:trPr>
          <w:trHeight w:val="933" w:hRule="exact"/>
        </w:trPr>
        <w:tc>
          <w:tcPr>
            <w:tcW w:w="2529" w:type="dxa"/>
            <w:vMerge w:val="restart"/>
          </w:tcPr>
          <w:p>
            <w:pPr>
              <w:pStyle w:val="TableParagraph"/>
              <w:ind w:left="104"/>
              <w:rPr>
                <w:sz w:val="20"/>
              </w:rPr>
            </w:pPr>
            <w:r>
              <w:rPr>
                <w:sz w:val="20"/>
              </w:rPr>
              <w:t>Etapa I. Elaboración de mechas.</w:t>
            </w:r>
          </w:p>
        </w:tc>
        <w:tc>
          <w:tcPr>
            <w:tcW w:w="3053" w:type="dxa"/>
          </w:tcPr>
          <w:p>
            <w:pPr>
              <w:pStyle w:val="TableParagraph"/>
              <w:ind w:left="107"/>
              <w:rPr>
                <w:sz w:val="20"/>
              </w:rPr>
            </w:pPr>
            <w:r>
              <w:rPr>
                <w:sz w:val="20"/>
              </w:rPr>
              <w:t>Humedecer</w:t>
            </w:r>
          </w:p>
        </w:tc>
        <w:tc>
          <w:tcPr>
            <w:tcW w:w="3477" w:type="dxa"/>
          </w:tcPr>
          <w:p>
            <w:pPr>
              <w:pStyle w:val="TableParagraph"/>
              <w:ind w:left="104" w:right="103"/>
              <w:jc w:val="both"/>
              <w:rPr>
                <w:sz w:val="20"/>
              </w:rPr>
            </w:pPr>
            <w:r>
              <w:rPr>
                <w:sz w:val="20"/>
              </w:rPr>
              <w:t>Se humedece el hilo con una  mezcla de goma laca disuelta en solvente para que adhiera la pólvora del siguiente</w:t>
            </w:r>
            <w:r>
              <w:rPr>
                <w:spacing w:val="-10"/>
                <w:sz w:val="20"/>
              </w:rPr>
              <w:t> </w:t>
            </w:r>
            <w:r>
              <w:rPr>
                <w:sz w:val="20"/>
              </w:rPr>
              <w:t>proceso.</w:t>
            </w:r>
          </w:p>
        </w:tc>
      </w:tr>
      <w:tr>
        <w:trPr>
          <w:trHeight w:val="1388" w:hRule="exact"/>
        </w:trPr>
        <w:tc>
          <w:tcPr>
            <w:tcW w:w="2529" w:type="dxa"/>
            <w:vMerge/>
          </w:tcPr>
          <w:p>
            <w:pPr/>
          </w:p>
        </w:tc>
        <w:tc>
          <w:tcPr>
            <w:tcW w:w="3053" w:type="dxa"/>
          </w:tcPr>
          <w:p>
            <w:pPr>
              <w:pStyle w:val="TableParagraph"/>
              <w:spacing w:line="226" w:lineRule="exact"/>
              <w:ind w:left="107"/>
              <w:rPr>
                <w:sz w:val="20"/>
              </w:rPr>
            </w:pPr>
            <w:r>
              <w:rPr>
                <w:sz w:val="20"/>
              </w:rPr>
              <w:t>Mezclado</w:t>
            </w:r>
          </w:p>
        </w:tc>
        <w:tc>
          <w:tcPr>
            <w:tcW w:w="3477" w:type="dxa"/>
          </w:tcPr>
          <w:p>
            <w:pPr>
              <w:pStyle w:val="TableParagraph"/>
              <w:ind w:left="104" w:right="103"/>
              <w:jc w:val="both"/>
              <w:rPr>
                <w:sz w:val="20"/>
              </w:rPr>
            </w:pPr>
            <w:r>
              <w:rPr>
                <w:sz w:val="20"/>
              </w:rPr>
              <w:t>Se mezcla lentamente el hilo con la pólvora para que quede perfectamente impregnada en el hilo y se coloca extendida para que no se una la mecha ya que al secarse se puede</w:t>
            </w:r>
            <w:r>
              <w:rPr>
                <w:spacing w:val="-6"/>
                <w:sz w:val="20"/>
              </w:rPr>
              <w:t> </w:t>
            </w:r>
            <w:r>
              <w:rPr>
                <w:sz w:val="20"/>
              </w:rPr>
              <w:t>pegar.</w:t>
            </w:r>
          </w:p>
        </w:tc>
      </w:tr>
      <w:tr>
        <w:trPr>
          <w:trHeight w:val="704" w:hRule="exact"/>
        </w:trPr>
        <w:tc>
          <w:tcPr>
            <w:tcW w:w="2529" w:type="dxa"/>
            <w:vMerge/>
          </w:tcPr>
          <w:p>
            <w:pPr/>
          </w:p>
        </w:tc>
        <w:tc>
          <w:tcPr>
            <w:tcW w:w="3053" w:type="dxa"/>
          </w:tcPr>
          <w:p>
            <w:pPr>
              <w:pStyle w:val="TableParagraph"/>
              <w:ind w:left="107"/>
              <w:rPr>
                <w:sz w:val="20"/>
              </w:rPr>
            </w:pPr>
            <w:r>
              <w:rPr>
                <w:sz w:val="20"/>
              </w:rPr>
              <w:t>Secado</w:t>
            </w:r>
          </w:p>
        </w:tc>
        <w:tc>
          <w:tcPr>
            <w:tcW w:w="3477" w:type="dxa"/>
          </w:tcPr>
          <w:p>
            <w:pPr>
              <w:pStyle w:val="TableParagraph"/>
              <w:ind w:left="104" w:right="105"/>
              <w:jc w:val="both"/>
              <w:rPr>
                <w:sz w:val="20"/>
              </w:rPr>
            </w:pPr>
            <w:r>
              <w:rPr>
                <w:sz w:val="20"/>
              </w:rPr>
              <w:t>Los hilos impregnados de pólvora se dejan secar al sol, y una vez seco el material queda constituida la mecha.</w:t>
            </w:r>
          </w:p>
        </w:tc>
      </w:tr>
    </w:tbl>
    <w:p>
      <w:pPr>
        <w:spacing w:line="226" w:lineRule="exact" w:before="0"/>
        <w:ind w:left="2463" w:right="2470" w:firstLine="0"/>
        <w:jc w:val="center"/>
        <w:rPr>
          <w:sz w:val="20"/>
        </w:rPr>
      </w:pPr>
      <w:r>
        <w:rPr>
          <w:sz w:val="20"/>
        </w:rPr>
        <w:t>Tabla A4. Etapas en elaboración de mechas.</w:t>
      </w:r>
    </w:p>
    <w:p>
      <w:pPr>
        <w:pStyle w:val="BodyText"/>
        <w:rPr>
          <w:sz w:val="20"/>
        </w:rPr>
      </w:pPr>
    </w:p>
    <w:p>
      <w:pPr>
        <w:pStyle w:val="BodyText"/>
        <w:spacing w:before="7"/>
        <w:rPr>
          <w:sz w:val="22"/>
        </w:rPr>
      </w:pPr>
      <w:r>
        <w:rPr/>
        <w:drawing>
          <wp:anchor distT="0" distB="0" distL="0" distR="0" allowOverlap="1" layoutInCell="1" locked="0" behindDoc="0" simplePos="0" relativeHeight="1984">
            <wp:simplePos x="0" y="0"/>
            <wp:positionH relativeFrom="page">
              <wp:posOffset>1281175</wp:posOffset>
            </wp:positionH>
            <wp:positionV relativeFrom="paragraph">
              <wp:posOffset>189888</wp:posOffset>
            </wp:positionV>
            <wp:extent cx="5205921" cy="2798064"/>
            <wp:effectExtent l="0" t="0" r="0" b="0"/>
            <wp:wrapTopAndBottom/>
            <wp:docPr id="139" name="image51.png" descr=""/>
            <wp:cNvGraphicFramePr>
              <a:graphicFrameLocks noChangeAspect="1"/>
            </wp:cNvGraphicFramePr>
            <a:graphic>
              <a:graphicData uri="http://schemas.openxmlformats.org/drawingml/2006/picture">
                <pic:pic>
                  <pic:nvPicPr>
                    <pic:cNvPr id="140" name="image51.png"/>
                    <pic:cNvPicPr/>
                  </pic:nvPicPr>
                  <pic:blipFill>
                    <a:blip r:embed="rId77" cstate="print"/>
                    <a:stretch>
                      <a:fillRect/>
                    </a:stretch>
                  </pic:blipFill>
                  <pic:spPr>
                    <a:xfrm>
                      <a:off x="0" y="0"/>
                      <a:ext cx="5205921" cy="2798064"/>
                    </a:xfrm>
                    <a:prstGeom prst="rect">
                      <a:avLst/>
                    </a:prstGeom>
                  </pic:spPr>
                </pic:pic>
              </a:graphicData>
            </a:graphic>
          </wp:anchor>
        </w:drawing>
      </w:r>
    </w:p>
    <w:p>
      <w:pPr>
        <w:spacing w:before="110"/>
        <w:ind w:left="2466" w:right="2470" w:firstLine="0"/>
        <w:jc w:val="center"/>
        <w:rPr>
          <w:sz w:val="20"/>
        </w:rPr>
      </w:pPr>
      <w:r>
        <w:rPr>
          <w:sz w:val="20"/>
        </w:rPr>
        <w:t>Figura A6. Diagrama de elaboración de mechas.</w:t>
      </w:r>
    </w:p>
    <w:p>
      <w:pPr>
        <w:spacing w:after="0"/>
        <w:jc w:val="center"/>
        <w:rPr>
          <w:sz w:val="20"/>
        </w:rPr>
        <w:sectPr>
          <w:footerReference w:type="default" r:id="rId76"/>
          <w:pgSz w:w="12240" w:h="15840"/>
          <w:pgMar w:footer="1071" w:header="0" w:top="1360" w:bottom="1260" w:left="1480" w:right="1480"/>
        </w:sectPr>
      </w:pPr>
    </w:p>
    <w:p>
      <w:pPr>
        <w:pStyle w:val="Heading2"/>
        <w:ind w:left="220"/>
        <w:jc w:val="both"/>
      </w:pPr>
      <w:r>
        <w:rPr/>
        <w:t>Fase IV. Armado del cohetón.</w:t>
      </w:r>
    </w:p>
    <w:p>
      <w:pPr>
        <w:pStyle w:val="BodyText"/>
        <w:rPr>
          <w:b/>
        </w:rPr>
      </w:pPr>
    </w:p>
    <w:p>
      <w:pPr>
        <w:pStyle w:val="BodyText"/>
        <w:spacing w:before="3"/>
        <w:rPr>
          <w:b/>
        </w:rPr>
      </w:pPr>
    </w:p>
    <w:p>
      <w:pPr>
        <w:pStyle w:val="BodyText"/>
        <w:spacing w:line="360" w:lineRule="auto" w:before="1"/>
        <w:ind w:left="220" w:right="229"/>
        <w:jc w:val="both"/>
      </w:pPr>
      <w:r>
        <w:rPr/>
        <w:t>Fase final de la construcción de cohetones, en esta se conjunta lo elaborado en las fases anteriores y se coloca listo para su venta, se realiza en dos etapas, la primera es la unión de el impulsor con el efecto, para conformar el cuerpo del cohetón, se coloca la mecha y se amarra a la vara y la segunda etapa es la correspondiente al conteo de piezas, separación por “gruesas” y</w:t>
      </w:r>
      <w:r>
        <w:rPr>
          <w:spacing w:val="-44"/>
        </w:rPr>
        <w:t> </w:t>
      </w:r>
      <w:r>
        <w:rPr/>
        <w:t>almacenamiento.</w:t>
      </w:r>
    </w:p>
    <w:p>
      <w:pPr>
        <w:pStyle w:val="BodyText"/>
        <w:rPr>
          <w:sz w:val="20"/>
        </w:rPr>
      </w:pPr>
    </w:p>
    <w:p>
      <w:pPr>
        <w:pStyle w:val="BodyText"/>
        <w:spacing w:before="5"/>
        <w:rPr>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93"/>
        <w:gridCol w:w="2897"/>
        <w:gridCol w:w="3469"/>
      </w:tblGrid>
      <w:tr>
        <w:trPr>
          <w:trHeight w:val="240" w:hRule="exact"/>
        </w:trPr>
        <w:tc>
          <w:tcPr>
            <w:tcW w:w="2693" w:type="dxa"/>
          </w:tcPr>
          <w:p>
            <w:pPr>
              <w:pStyle w:val="TableParagraph"/>
              <w:spacing w:line="226" w:lineRule="exact"/>
              <w:ind w:left="1049" w:right="1050"/>
              <w:jc w:val="center"/>
              <w:rPr>
                <w:b/>
                <w:sz w:val="20"/>
              </w:rPr>
            </w:pPr>
            <w:r>
              <w:rPr>
                <w:b/>
                <w:sz w:val="20"/>
              </w:rPr>
              <w:t>Etapa</w:t>
            </w:r>
          </w:p>
        </w:tc>
        <w:tc>
          <w:tcPr>
            <w:tcW w:w="2897" w:type="dxa"/>
          </w:tcPr>
          <w:p>
            <w:pPr>
              <w:pStyle w:val="TableParagraph"/>
              <w:spacing w:line="226" w:lineRule="exact"/>
              <w:ind w:left="391"/>
              <w:rPr>
                <w:b/>
                <w:sz w:val="20"/>
              </w:rPr>
            </w:pPr>
            <w:r>
              <w:rPr>
                <w:b/>
                <w:sz w:val="20"/>
              </w:rPr>
              <w:t>Operaciones unitarias</w:t>
            </w:r>
          </w:p>
        </w:tc>
        <w:tc>
          <w:tcPr>
            <w:tcW w:w="3469" w:type="dxa"/>
          </w:tcPr>
          <w:p>
            <w:pPr>
              <w:pStyle w:val="TableParagraph"/>
              <w:spacing w:line="226" w:lineRule="exact"/>
              <w:ind w:left="1160"/>
              <w:rPr>
                <w:b/>
                <w:sz w:val="20"/>
              </w:rPr>
            </w:pPr>
            <w:r>
              <w:rPr>
                <w:b/>
                <w:sz w:val="20"/>
              </w:rPr>
              <w:t>Descripción</w:t>
            </w:r>
          </w:p>
        </w:tc>
      </w:tr>
      <w:tr>
        <w:trPr>
          <w:trHeight w:val="1853" w:hRule="exact"/>
        </w:trPr>
        <w:tc>
          <w:tcPr>
            <w:tcW w:w="2693" w:type="dxa"/>
          </w:tcPr>
          <w:p>
            <w:pPr>
              <w:pStyle w:val="TableParagraph"/>
              <w:tabs>
                <w:tab w:pos="935" w:val="left" w:leader="none"/>
                <w:tab w:pos="1354" w:val="left" w:leader="none"/>
                <w:tab w:pos="2357" w:val="left" w:leader="none"/>
              </w:tabs>
              <w:ind w:left="104" w:right="102"/>
              <w:rPr>
                <w:sz w:val="20"/>
              </w:rPr>
            </w:pPr>
            <w:r>
              <w:rPr>
                <w:sz w:val="20"/>
              </w:rPr>
              <w:t>Etapa</w:t>
              <w:tab/>
              <w:t>I.</w:t>
              <w:tab/>
              <w:t>Armado</w:t>
              <w:tab/>
              <w:t>de cohetón</w:t>
            </w:r>
          </w:p>
        </w:tc>
        <w:tc>
          <w:tcPr>
            <w:tcW w:w="2897" w:type="dxa"/>
          </w:tcPr>
          <w:p>
            <w:pPr>
              <w:pStyle w:val="TableParagraph"/>
              <w:ind w:left="103"/>
              <w:rPr>
                <w:sz w:val="20"/>
              </w:rPr>
            </w:pPr>
            <w:r>
              <w:rPr>
                <w:sz w:val="20"/>
              </w:rPr>
              <w:t>Armado</w:t>
            </w:r>
          </w:p>
        </w:tc>
        <w:tc>
          <w:tcPr>
            <w:tcW w:w="3469" w:type="dxa"/>
          </w:tcPr>
          <w:p>
            <w:pPr>
              <w:pStyle w:val="TableParagraph"/>
              <w:ind w:left="108" w:right="99"/>
              <w:jc w:val="both"/>
              <w:rPr>
                <w:sz w:val="20"/>
              </w:rPr>
            </w:pPr>
            <w:r>
              <w:rPr>
                <w:sz w:val="20"/>
              </w:rPr>
              <w:t>Se une utilizando pegamento blanco rebajado con agua el impulsor y el efecto, posteriormente se coloca la mecha en la tobera del impulsor formando el cuerpo del cohetón. Una vez terminado esto se amarra  la vara de madera y finaliza la construcción.</w:t>
            </w:r>
          </w:p>
        </w:tc>
      </w:tr>
      <w:tr>
        <w:trPr>
          <w:trHeight w:val="1620" w:hRule="exact"/>
        </w:trPr>
        <w:tc>
          <w:tcPr>
            <w:tcW w:w="2693" w:type="dxa"/>
          </w:tcPr>
          <w:p>
            <w:pPr>
              <w:pStyle w:val="TableParagraph"/>
              <w:tabs>
                <w:tab w:pos="911" w:val="left" w:leader="none"/>
                <w:tab w:pos="1362" w:val="left" w:leader="none"/>
                <w:tab w:pos="2477" w:val="left" w:leader="none"/>
              </w:tabs>
              <w:spacing w:line="242" w:lineRule="auto"/>
              <w:ind w:left="104" w:right="105"/>
              <w:rPr>
                <w:sz w:val="20"/>
              </w:rPr>
            </w:pPr>
            <w:r>
              <w:rPr>
                <w:sz w:val="20"/>
              </w:rPr>
              <w:t>Etapa</w:t>
              <w:tab/>
              <w:t>II.</w:t>
              <w:tab/>
              <w:t>Embalaje</w:t>
              <w:tab/>
              <w:t>y almacenamiento</w:t>
            </w:r>
          </w:p>
        </w:tc>
        <w:tc>
          <w:tcPr>
            <w:tcW w:w="2897" w:type="dxa"/>
          </w:tcPr>
          <w:p>
            <w:pPr>
              <w:pStyle w:val="TableParagraph"/>
              <w:spacing w:line="226" w:lineRule="exact"/>
              <w:ind w:left="103"/>
              <w:rPr>
                <w:sz w:val="20"/>
              </w:rPr>
            </w:pPr>
            <w:r>
              <w:rPr>
                <w:sz w:val="20"/>
              </w:rPr>
              <w:t>Embalaje</w:t>
            </w:r>
          </w:p>
        </w:tc>
        <w:tc>
          <w:tcPr>
            <w:tcW w:w="3469" w:type="dxa"/>
          </w:tcPr>
          <w:p>
            <w:pPr>
              <w:pStyle w:val="TableParagraph"/>
              <w:ind w:left="108" w:right="102"/>
              <w:jc w:val="both"/>
              <w:rPr>
                <w:sz w:val="20"/>
              </w:rPr>
            </w:pPr>
            <w:r>
              <w:rPr>
                <w:sz w:val="20"/>
              </w:rPr>
              <w:t>Se cuentan 144 cohetones los cuales llaman “Gruesa” y se envuelve el cuerpo de estos con papel estraza, con ello se protegen los artificios y posteriormente se colocan para su almacenamiento y venta.</w:t>
            </w:r>
          </w:p>
        </w:tc>
      </w:tr>
    </w:tbl>
    <w:p>
      <w:pPr>
        <w:spacing w:line="226" w:lineRule="exact" w:before="0"/>
        <w:ind w:left="2466" w:right="2469" w:firstLine="0"/>
        <w:jc w:val="center"/>
        <w:rPr>
          <w:sz w:val="20"/>
        </w:rPr>
      </w:pPr>
      <w:r>
        <w:rPr/>
        <w:drawing>
          <wp:anchor distT="0" distB="0" distL="0" distR="0" allowOverlap="1" layoutInCell="1" locked="0" behindDoc="0" simplePos="0" relativeHeight="2008">
            <wp:simplePos x="0" y="0"/>
            <wp:positionH relativeFrom="page">
              <wp:posOffset>1543050</wp:posOffset>
            </wp:positionH>
            <wp:positionV relativeFrom="paragraph">
              <wp:posOffset>218059</wp:posOffset>
            </wp:positionV>
            <wp:extent cx="4684367" cy="2770632"/>
            <wp:effectExtent l="0" t="0" r="0" b="0"/>
            <wp:wrapTopAndBottom/>
            <wp:docPr id="143" name="image52.png" descr=""/>
            <wp:cNvGraphicFramePr>
              <a:graphicFrameLocks noChangeAspect="1"/>
            </wp:cNvGraphicFramePr>
            <a:graphic>
              <a:graphicData uri="http://schemas.openxmlformats.org/drawingml/2006/picture">
                <pic:pic>
                  <pic:nvPicPr>
                    <pic:cNvPr id="144" name="image52.png"/>
                    <pic:cNvPicPr/>
                  </pic:nvPicPr>
                  <pic:blipFill>
                    <a:blip r:embed="rId79" cstate="print"/>
                    <a:stretch>
                      <a:fillRect/>
                    </a:stretch>
                  </pic:blipFill>
                  <pic:spPr>
                    <a:xfrm>
                      <a:off x="0" y="0"/>
                      <a:ext cx="4684367" cy="2770632"/>
                    </a:xfrm>
                    <a:prstGeom prst="rect">
                      <a:avLst/>
                    </a:prstGeom>
                  </pic:spPr>
                </pic:pic>
              </a:graphicData>
            </a:graphic>
          </wp:anchor>
        </w:drawing>
      </w:r>
      <w:r>
        <w:rPr>
          <w:sz w:val="20"/>
        </w:rPr>
        <w:t>Tabla A5. Etapas de armado de cohetón.</w:t>
      </w:r>
    </w:p>
    <w:p>
      <w:pPr>
        <w:spacing w:before="110"/>
        <w:ind w:left="2466" w:right="2465" w:firstLine="0"/>
        <w:jc w:val="center"/>
        <w:rPr>
          <w:sz w:val="20"/>
        </w:rPr>
      </w:pPr>
      <w:r>
        <w:rPr>
          <w:sz w:val="20"/>
        </w:rPr>
        <w:t>Figura A7. Diagrama de armado del cohetón.</w:t>
      </w:r>
    </w:p>
    <w:p>
      <w:pPr>
        <w:spacing w:after="0"/>
        <w:jc w:val="center"/>
        <w:rPr>
          <w:sz w:val="20"/>
        </w:rPr>
        <w:sectPr>
          <w:footerReference w:type="default" r:id="rId78"/>
          <w:pgSz w:w="12240" w:h="15840"/>
          <w:pgMar w:footer="1071" w:header="0" w:top="1360" w:bottom="1260" w:left="1480" w:right="1480"/>
          <w:pgNumType w:start="111"/>
        </w:sectPr>
      </w:pPr>
    </w:p>
    <w:p>
      <w:pPr>
        <w:pStyle w:val="Heading2"/>
        <w:ind w:right="9"/>
      </w:pPr>
      <w:r>
        <w:rPr/>
        <w:t>DESCRIPCION DE INVENTARIOS</w:t>
      </w:r>
    </w:p>
    <w:p>
      <w:pPr>
        <w:pStyle w:val="BodyText"/>
        <w:rPr>
          <w:b/>
        </w:rPr>
      </w:pPr>
    </w:p>
    <w:p>
      <w:pPr>
        <w:pStyle w:val="BodyText"/>
        <w:spacing w:before="3"/>
        <w:rPr>
          <w:b/>
        </w:rPr>
      </w:pPr>
    </w:p>
    <w:p>
      <w:pPr>
        <w:pStyle w:val="BodyText"/>
        <w:spacing w:line="362" w:lineRule="auto" w:before="1"/>
        <w:ind w:left="100" w:right="9"/>
      </w:pPr>
      <w:r>
        <w:rPr/>
        <w:t>El proceso de elaboración presenta tres características económicas primordiales: los productos inertes, los productos químicos y los gastos de personal.</w:t>
      </w:r>
    </w:p>
    <w:p>
      <w:pPr>
        <w:pStyle w:val="BodyText"/>
      </w:pPr>
    </w:p>
    <w:p>
      <w:pPr>
        <w:pStyle w:val="BodyText"/>
        <w:spacing w:before="140"/>
        <w:ind w:left="809" w:right="9"/>
      </w:pPr>
      <w:r>
        <w:rPr/>
        <w:t>En cuanto a los productos inertes, se obtuvieron los siguientes datos.</w:t>
      </w:r>
    </w:p>
    <w:p>
      <w:pPr>
        <w:pStyle w:val="BodyText"/>
        <w:rPr>
          <w:sz w:val="20"/>
        </w:rPr>
      </w:pPr>
    </w:p>
    <w:p>
      <w:pPr>
        <w:pStyle w:val="BodyText"/>
        <w:spacing w:before="1"/>
        <w:rPr>
          <w:sz w:val="28"/>
        </w:rPr>
      </w:pPr>
    </w:p>
    <w:tbl>
      <w:tblPr>
        <w:tblW w:w="0" w:type="auto"/>
        <w:jc w:val="left"/>
        <w:tblInd w:w="18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1"/>
        <w:gridCol w:w="1200"/>
        <w:gridCol w:w="1200"/>
        <w:gridCol w:w="1741"/>
      </w:tblGrid>
      <w:tr>
        <w:trPr>
          <w:trHeight w:val="544" w:hRule="exact"/>
        </w:trPr>
        <w:tc>
          <w:tcPr>
            <w:tcW w:w="1201" w:type="dxa"/>
          </w:tcPr>
          <w:p>
            <w:pPr>
              <w:pStyle w:val="TableParagraph"/>
              <w:spacing w:before="2"/>
              <w:rPr>
                <w:sz w:val="23"/>
              </w:rPr>
            </w:pPr>
          </w:p>
          <w:p>
            <w:pPr>
              <w:pStyle w:val="TableParagraph"/>
              <w:ind w:left="63" w:right="62"/>
              <w:jc w:val="center"/>
              <w:rPr>
                <w:rFonts w:ascii="Calibri"/>
                <w:b/>
                <w:sz w:val="22"/>
              </w:rPr>
            </w:pPr>
            <w:r>
              <w:rPr>
                <w:rFonts w:ascii="Calibri"/>
                <w:b/>
                <w:sz w:val="22"/>
              </w:rPr>
              <w:t>Material</w:t>
            </w:r>
          </w:p>
        </w:tc>
        <w:tc>
          <w:tcPr>
            <w:tcW w:w="1200" w:type="dxa"/>
          </w:tcPr>
          <w:p>
            <w:pPr>
              <w:pStyle w:val="TableParagraph"/>
              <w:spacing w:before="2"/>
              <w:rPr>
                <w:sz w:val="23"/>
              </w:rPr>
            </w:pPr>
          </w:p>
          <w:p>
            <w:pPr>
              <w:pStyle w:val="TableParagraph"/>
              <w:ind w:left="188" w:right="111"/>
              <w:rPr>
                <w:rFonts w:ascii="Calibri"/>
                <w:b/>
                <w:sz w:val="22"/>
              </w:rPr>
            </w:pPr>
            <w:r>
              <w:rPr>
                <w:rFonts w:ascii="Calibri"/>
                <w:b/>
                <w:sz w:val="22"/>
              </w:rPr>
              <w:t>Costo ($)</w:t>
            </w:r>
          </w:p>
        </w:tc>
        <w:tc>
          <w:tcPr>
            <w:tcW w:w="1200" w:type="dxa"/>
          </w:tcPr>
          <w:p>
            <w:pPr>
              <w:pStyle w:val="TableParagraph"/>
              <w:spacing w:before="2"/>
              <w:rPr>
                <w:sz w:val="23"/>
              </w:rPr>
            </w:pPr>
          </w:p>
          <w:p>
            <w:pPr>
              <w:pStyle w:val="TableParagraph"/>
              <w:ind w:left="188"/>
              <w:rPr>
                <w:rFonts w:ascii="Calibri"/>
                <w:b/>
                <w:sz w:val="22"/>
              </w:rPr>
            </w:pPr>
            <w:r>
              <w:rPr>
                <w:rFonts w:ascii="Calibri"/>
                <w:b/>
                <w:sz w:val="22"/>
              </w:rPr>
              <w:t>Cantidad</w:t>
            </w:r>
          </w:p>
        </w:tc>
        <w:tc>
          <w:tcPr>
            <w:tcW w:w="1741" w:type="dxa"/>
          </w:tcPr>
          <w:p>
            <w:pPr>
              <w:pStyle w:val="TableParagraph"/>
              <w:ind w:left="744" w:right="175" w:hanging="552"/>
              <w:rPr>
                <w:rFonts w:ascii="Calibri"/>
                <w:b/>
                <w:sz w:val="22"/>
              </w:rPr>
            </w:pPr>
            <w:r>
              <w:rPr>
                <w:rFonts w:ascii="Calibri"/>
                <w:b/>
                <w:sz w:val="22"/>
              </w:rPr>
              <w:t>Precio unitario ($)</w:t>
            </w:r>
          </w:p>
        </w:tc>
      </w:tr>
      <w:tr>
        <w:trPr>
          <w:trHeight w:val="312" w:hRule="exact"/>
        </w:trPr>
        <w:tc>
          <w:tcPr>
            <w:tcW w:w="1201" w:type="dxa"/>
          </w:tcPr>
          <w:p>
            <w:pPr>
              <w:pStyle w:val="TableParagraph"/>
              <w:spacing w:before="34"/>
              <w:ind w:left="63" w:right="63"/>
              <w:jc w:val="center"/>
              <w:rPr>
                <w:rFonts w:ascii="Calibri"/>
                <w:sz w:val="22"/>
              </w:rPr>
            </w:pPr>
            <w:r>
              <w:rPr>
                <w:rFonts w:ascii="Calibri"/>
                <w:sz w:val="22"/>
              </w:rPr>
              <w:t>Varas</w:t>
            </w:r>
          </w:p>
        </w:tc>
        <w:tc>
          <w:tcPr>
            <w:tcW w:w="1200" w:type="dxa"/>
          </w:tcPr>
          <w:p>
            <w:pPr>
              <w:pStyle w:val="TableParagraph"/>
              <w:spacing w:before="34"/>
              <w:ind w:right="63"/>
              <w:jc w:val="right"/>
              <w:rPr>
                <w:rFonts w:ascii="Calibri"/>
                <w:sz w:val="22"/>
              </w:rPr>
            </w:pPr>
            <w:r>
              <w:rPr>
                <w:rFonts w:ascii="Calibri"/>
                <w:sz w:val="22"/>
              </w:rPr>
              <w:t>50</w:t>
            </w:r>
          </w:p>
        </w:tc>
        <w:tc>
          <w:tcPr>
            <w:tcW w:w="1200" w:type="dxa"/>
          </w:tcPr>
          <w:p>
            <w:pPr>
              <w:pStyle w:val="TableParagraph"/>
              <w:spacing w:before="34"/>
              <w:ind w:right="63"/>
              <w:jc w:val="right"/>
              <w:rPr>
                <w:rFonts w:ascii="Calibri"/>
                <w:sz w:val="22"/>
              </w:rPr>
            </w:pPr>
            <w:r>
              <w:rPr>
                <w:rFonts w:ascii="Calibri"/>
                <w:sz w:val="22"/>
              </w:rPr>
              <w:t>144</w:t>
            </w:r>
          </w:p>
        </w:tc>
        <w:tc>
          <w:tcPr>
            <w:tcW w:w="1741" w:type="dxa"/>
          </w:tcPr>
          <w:p>
            <w:pPr>
              <w:pStyle w:val="TableParagraph"/>
              <w:spacing w:before="34"/>
              <w:ind w:right="58"/>
              <w:jc w:val="right"/>
              <w:rPr>
                <w:rFonts w:ascii="Calibri"/>
                <w:sz w:val="22"/>
              </w:rPr>
            </w:pPr>
            <w:r>
              <w:rPr>
                <w:rFonts w:ascii="Calibri"/>
                <w:sz w:val="22"/>
              </w:rPr>
              <w:t>0.347222222</w:t>
            </w:r>
          </w:p>
        </w:tc>
      </w:tr>
      <w:tr>
        <w:trPr>
          <w:trHeight w:val="308" w:hRule="exact"/>
        </w:trPr>
        <w:tc>
          <w:tcPr>
            <w:tcW w:w="1201" w:type="dxa"/>
          </w:tcPr>
          <w:p>
            <w:pPr>
              <w:pStyle w:val="TableParagraph"/>
              <w:spacing w:before="31"/>
              <w:ind w:left="63" w:right="63"/>
              <w:jc w:val="center"/>
              <w:rPr>
                <w:rFonts w:ascii="Calibri"/>
                <w:sz w:val="22"/>
              </w:rPr>
            </w:pPr>
            <w:r>
              <w:rPr>
                <w:rFonts w:ascii="Calibri"/>
                <w:sz w:val="22"/>
              </w:rPr>
              <w:t>Tubo</w:t>
            </w:r>
          </w:p>
        </w:tc>
        <w:tc>
          <w:tcPr>
            <w:tcW w:w="1200" w:type="dxa"/>
          </w:tcPr>
          <w:p>
            <w:pPr>
              <w:pStyle w:val="TableParagraph"/>
              <w:spacing w:before="31"/>
              <w:ind w:right="62"/>
              <w:jc w:val="right"/>
              <w:rPr>
                <w:rFonts w:ascii="Calibri"/>
                <w:sz w:val="22"/>
              </w:rPr>
            </w:pPr>
            <w:r>
              <w:rPr>
                <w:rFonts w:ascii="Calibri"/>
                <w:sz w:val="22"/>
              </w:rPr>
              <w:t>310</w:t>
            </w:r>
          </w:p>
        </w:tc>
        <w:tc>
          <w:tcPr>
            <w:tcW w:w="1200" w:type="dxa"/>
          </w:tcPr>
          <w:p>
            <w:pPr>
              <w:pStyle w:val="TableParagraph"/>
              <w:spacing w:before="31"/>
              <w:ind w:right="63"/>
              <w:jc w:val="right"/>
              <w:rPr>
                <w:rFonts w:ascii="Calibri"/>
                <w:sz w:val="22"/>
              </w:rPr>
            </w:pPr>
            <w:r>
              <w:rPr>
                <w:rFonts w:ascii="Calibri"/>
                <w:sz w:val="22"/>
              </w:rPr>
              <w:t>1000</w:t>
            </w:r>
          </w:p>
        </w:tc>
        <w:tc>
          <w:tcPr>
            <w:tcW w:w="1741" w:type="dxa"/>
          </w:tcPr>
          <w:p>
            <w:pPr>
              <w:pStyle w:val="TableParagraph"/>
              <w:spacing w:before="31"/>
              <w:ind w:right="62"/>
              <w:jc w:val="right"/>
              <w:rPr>
                <w:rFonts w:ascii="Calibri"/>
                <w:sz w:val="22"/>
              </w:rPr>
            </w:pPr>
            <w:r>
              <w:rPr>
                <w:rFonts w:ascii="Calibri"/>
                <w:sz w:val="22"/>
              </w:rPr>
              <w:t>0.31</w:t>
            </w:r>
          </w:p>
        </w:tc>
      </w:tr>
      <w:tr>
        <w:trPr>
          <w:trHeight w:val="312" w:hRule="exact"/>
        </w:trPr>
        <w:tc>
          <w:tcPr>
            <w:tcW w:w="1201" w:type="dxa"/>
          </w:tcPr>
          <w:p>
            <w:pPr>
              <w:pStyle w:val="TableParagraph"/>
              <w:spacing w:before="34"/>
              <w:ind w:left="63" w:right="63"/>
              <w:jc w:val="center"/>
              <w:rPr>
                <w:rFonts w:ascii="Calibri"/>
                <w:sz w:val="22"/>
              </w:rPr>
            </w:pPr>
            <w:r>
              <w:rPr>
                <w:rFonts w:ascii="Calibri"/>
                <w:sz w:val="22"/>
              </w:rPr>
              <w:t>Cartucho</w:t>
            </w:r>
          </w:p>
        </w:tc>
        <w:tc>
          <w:tcPr>
            <w:tcW w:w="1200" w:type="dxa"/>
          </w:tcPr>
          <w:p>
            <w:pPr>
              <w:pStyle w:val="TableParagraph"/>
              <w:spacing w:before="34"/>
              <w:ind w:right="63"/>
              <w:jc w:val="right"/>
              <w:rPr>
                <w:rFonts w:ascii="Calibri"/>
                <w:sz w:val="22"/>
              </w:rPr>
            </w:pPr>
            <w:r>
              <w:rPr>
                <w:rFonts w:ascii="Calibri"/>
                <w:sz w:val="22"/>
              </w:rPr>
              <w:t>35</w:t>
            </w:r>
          </w:p>
        </w:tc>
        <w:tc>
          <w:tcPr>
            <w:tcW w:w="1200" w:type="dxa"/>
          </w:tcPr>
          <w:p>
            <w:pPr>
              <w:pStyle w:val="TableParagraph"/>
              <w:spacing w:before="34"/>
              <w:ind w:right="63"/>
              <w:jc w:val="right"/>
              <w:rPr>
                <w:rFonts w:ascii="Calibri"/>
                <w:sz w:val="22"/>
              </w:rPr>
            </w:pPr>
            <w:r>
              <w:rPr>
                <w:rFonts w:ascii="Calibri"/>
                <w:sz w:val="22"/>
              </w:rPr>
              <w:t>144</w:t>
            </w:r>
          </w:p>
        </w:tc>
        <w:tc>
          <w:tcPr>
            <w:tcW w:w="1741" w:type="dxa"/>
          </w:tcPr>
          <w:p>
            <w:pPr>
              <w:pStyle w:val="TableParagraph"/>
              <w:spacing w:before="34"/>
              <w:ind w:right="58"/>
              <w:jc w:val="right"/>
              <w:rPr>
                <w:rFonts w:ascii="Calibri"/>
                <w:sz w:val="22"/>
              </w:rPr>
            </w:pPr>
            <w:r>
              <w:rPr>
                <w:rFonts w:ascii="Calibri"/>
                <w:sz w:val="22"/>
              </w:rPr>
              <w:t>0.243055556</w:t>
            </w:r>
          </w:p>
        </w:tc>
      </w:tr>
      <w:tr>
        <w:trPr>
          <w:trHeight w:val="308" w:hRule="exact"/>
        </w:trPr>
        <w:tc>
          <w:tcPr>
            <w:tcW w:w="1201" w:type="dxa"/>
          </w:tcPr>
          <w:p>
            <w:pPr>
              <w:pStyle w:val="TableParagraph"/>
              <w:spacing w:before="30"/>
              <w:ind w:left="63" w:right="66"/>
              <w:jc w:val="center"/>
              <w:rPr>
                <w:rFonts w:ascii="Calibri"/>
                <w:sz w:val="22"/>
              </w:rPr>
            </w:pPr>
            <w:r>
              <w:rPr>
                <w:rFonts w:ascii="Calibri"/>
                <w:sz w:val="22"/>
              </w:rPr>
              <w:t>Pegamento</w:t>
            </w:r>
          </w:p>
        </w:tc>
        <w:tc>
          <w:tcPr>
            <w:tcW w:w="1200" w:type="dxa"/>
          </w:tcPr>
          <w:p>
            <w:pPr>
              <w:pStyle w:val="TableParagraph"/>
              <w:spacing w:before="30"/>
              <w:ind w:right="63"/>
              <w:jc w:val="right"/>
              <w:rPr>
                <w:rFonts w:ascii="Calibri"/>
                <w:sz w:val="22"/>
              </w:rPr>
            </w:pPr>
            <w:r>
              <w:rPr>
                <w:rFonts w:ascii="Calibri"/>
                <w:sz w:val="22"/>
              </w:rPr>
              <w:t>18</w:t>
            </w:r>
          </w:p>
        </w:tc>
        <w:tc>
          <w:tcPr>
            <w:tcW w:w="1200" w:type="dxa"/>
          </w:tcPr>
          <w:p>
            <w:pPr>
              <w:pStyle w:val="TableParagraph"/>
              <w:spacing w:before="30"/>
              <w:ind w:right="60"/>
              <w:jc w:val="right"/>
              <w:rPr>
                <w:rFonts w:ascii="Calibri"/>
                <w:sz w:val="22"/>
              </w:rPr>
            </w:pPr>
            <w:r>
              <w:rPr>
                <w:rFonts w:ascii="Calibri"/>
                <w:sz w:val="22"/>
              </w:rPr>
              <w:t>1lt</w:t>
            </w:r>
          </w:p>
        </w:tc>
        <w:tc>
          <w:tcPr>
            <w:tcW w:w="1741" w:type="dxa"/>
          </w:tcPr>
          <w:p>
            <w:pPr>
              <w:pStyle w:val="TableParagraph"/>
              <w:spacing w:before="30"/>
              <w:ind w:right="58"/>
              <w:jc w:val="right"/>
              <w:rPr>
                <w:rFonts w:ascii="Calibri"/>
                <w:sz w:val="22"/>
              </w:rPr>
            </w:pPr>
            <w:r>
              <w:rPr>
                <w:rFonts w:ascii="Calibri"/>
                <w:sz w:val="22"/>
              </w:rPr>
              <w:t>0.0125</w:t>
            </w:r>
          </w:p>
        </w:tc>
      </w:tr>
      <w:tr>
        <w:trPr>
          <w:trHeight w:val="312" w:hRule="exact"/>
        </w:trPr>
        <w:tc>
          <w:tcPr>
            <w:tcW w:w="1201" w:type="dxa"/>
          </w:tcPr>
          <w:p>
            <w:pPr>
              <w:pStyle w:val="TableParagraph"/>
              <w:spacing w:before="34"/>
              <w:ind w:left="63" w:right="61"/>
              <w:jc w:val="center"/>
              <w:rPr>
                <w:rFonts w:ascii="Calibri"/>
                <w:sz w:val="22"/>
              </w:rPr>
            </w:pPr>
            <w:r>
              <w:rPr>
                <w:rFonts w:ascii="Calibri"/>
                <w:sz w:val="22"/>
              </w:rPr>
              <w:t>Hilo</w:t>
            </w:r>
          </w:p>
        </w:tc>
        <w:tc>
          <w:tcPr>
            <w:tcW w:w="1200" w:type="dxa"/>
          </w:tcPr>
          <w:p>
            <w:pPr>
              <w:pStyle w:val="TableParagraph"/>
              <w:spacing w:before="34"/>
              <w:ind w:right="63"/>
              <w:jc w:val="right"/>
              <w:rPr>
                <w:rFonts w:ascii="Calibri"/>
                <w:sz w:val="22"/>
              </w:rPr>
            </w:pPr>
            <w:r>
              <w:rPr>
                <w:rFonts w:ascii="Calibri"/>
                <w:sz w:val="22"/>
              </w:rPr>
              <w:t>70</w:t>
            </w:r>
          </w:p>
        </w:tc>
        <w:tc>
          <w:tcPr>
            <w:tcW w:w="1200" w:type="dxa"/>
          </w:tcPr>
          <w:p>
            <w:pPr>
              <w:pStyle w:val="TableParagraph"/>
              <w:spacing w:before="34"/>
              <w:ind w:right="61"/>
              <w:jc w:val="right"/>
              <w:rPr>
                <w:rFonts w:ascii="Calibri"/>
                <w:sz w:val="22"/>
              </w:rPr>
            </w:pPr>
            <w:r>
              <w:rPr>
                <w:rFonts w:ascii="Calibri"/>
                <w:sz w:val="22"/>
              </w:rPr>
              <w:t>288 c</w:t>
            </w:r>
          </w:p>
        </w:tc>
        <w:tc>
          <w:tcPr>
            <w:tcW w:w="1741" w:type="dxa"/>
          </w:tcPr>
          <w:p>
            <w:pPr>
              <w:pStyle w:val="TableParagraph"/>
              <w:spacing w:before="34"/>
              <w:ind w:right="58"/>
              <w:jc w:val="right"/>
              <w:rPr>
                <w:rFonts w:ascii="Calibri"/>
                <w:sz w:val="22"/>
              </w:rPr>
            </w:pPr>
            <w:r>
              <w:rPr>
                <w:rFonts w:ascii="Calibri"/>
                <w:sz w:val="22"/>
              </w:rPr>
              <w:t>0.243055556</w:t>
            </w:r>
          </w:p>
        </w:tc>
      </w:tr>
      <w:tr>
        <w:trPr>
          <w:trHeight w:val="312" w:hRule="exact"/>
        </w:trPr>
        <w:tc>
          <w:tcPr>
            <w:tcW w:w="3601" w:type="dxa"/>
            <w:gridSpan w:val="3"/>
            <w:tcBorders>
              <w:left w:val="nil"/>
              <w:bottom w:val="nil"/>
            </w:tcBorders>
          </w:tcPr>
          <w:p>
            <w:pPr>
              <w:pStyle w:val="TableParagraph"/>
              <w:spacing w:before="30"/>
              <w:ind w:right="300"/>
              <w:jc w:val="right"/>
              <w:rPr>
                <w:rFonts w:ascii="Calibri"/>
                <w:b/>
                <w:sz w:val="22"/>
              </w:rPr>
            </w:pPr>
            <w:r>
              <w:rPr>
                <w:rFonts w:ascii="Calibri"/>
                <w:b/>
                <w:sz w:val="22"/>
              </w:rPr>
              <w:t>TOTAL</w:t>
            </w:r>
          </w:p>
        </w:tc>
        <w:tc>
          <w:tcPr>
            <w:tcW w:w="1741" w:type="dxa"/>
          </w:tcPr>
          <w:p>
            <w:pPr>
              <w:pStyle w:val="TableParagraph"/>
              <w:spacing w:before="30"/>
              <w:ind w:right="58"/>
              <w:jc w:val="right"/>
              <w:rPr>
                <w:rFonts w:ascii="Calibri"/>
                <w:sz w:val="22"/>
              </w:rPr>
            </w:pPr>
            <w:r>
              <w:rPr>
                <w:rFonts w:ascii="Calibri"/>
                <w:sz w:val="22"/>
              </w:rPr>
              <w:t>1.155833333</w:t>
            </w:r>
          </w:p>
        </w:tc>
      </w:tr>
    </w:tbl>
    <w:p>
      <w:pPr>
        <w:pStyle w:val="BodyText"/>
        <w:spacing w:before="1"/>
        <w:rPr>
          <w:sz w:val="23"/>
        </w:rPr>
      </w:pPr>
    </w:p>
    <w:p>
      <w:pPr>
        <w:spacing w:before="75"/>
        <w:ind w:left="3145" w:right="9" w:firstLine="0"/>
        <w:jc w:val="left"/>
        <w:rPr>
          <w:sz w:val="20"/>
        </w:rPr>
      </w:pPr>
      <w:r>
        <w:rPr>
          <w:sz w:val="20"/>
        </w:rPr>
        <w:t>Tabla A6. Costos de productos inertes.</w:t>
      </w:r>
    </w:p>
    <w:p>
      <w:pPr>
        <w:pStyle w:val="BodyText"/>
        <w:rPr>
          <w:sz w:val="20"/>
        </w:rPr>
      </w:pPr>
    </w:p>
    <w:p>
      <w:pPr>
        <w:pStyle w:val="BodyText"/>
        <w:spacing w:before="3"/>
        <w:rPr>
          <w:sz w:val="26"/>
        </w:rPr>
      </w:pPr>
    </w:p>
    <w:p>
      <w:pPr>
        <w:pStyle w:val="BodyText"/>
        <w:spacing w:line="357" w:lineRule="auto" w:before="1"/>
        <w:ind w:left="100" w:right="9"/>
      </w:pPr>
      <w:r>
        <w:rPr/>
        <w:t>Los costos relacionados con las sustancias químicas utilizadas en los procesos de elaboración de cohetón son los siguientes:</w:t>
      </w:r>
    </w:p>
    <w:p>
      <w:pPr>
        <w:pStyle w:val="BodyText"/>
        <w:rPr>
          <w:sz w:val="20"/>
        </w:rPr>
      </w:pPr>
    </w:p>
    <w:p>
      <w:pPr>
        <w:pStyle w:val="BodyText"/>
        <w:spacing w:before="7"/>
        <w:rPr>
          <w:sz w:val="16"/>
        </w:rPr>
      </w:pPr>
    </w:p>
    <w:tbl>
      <w:tblPr>
        <w:tblW w:w="0" w:type="auto"/>
        <w:jc w:val="left"/>
        <w:tblInd w:w="196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1"/>
        <w:gridCol w:w="1200"/>
        <w:gridCol w:w="1381"/>
        <w:gridCol w:w="1320"/>
      </w:tblGrid>
      <w:tr>
        <w:trPr>
          <w:trHeight w:val="549" w:hRule="exact"/>
        </w:trPr>
        <w:tc>
          <w:tcPr>
            <w:tcW w:w="1201" w:type="dxa"/>
          </w:tcPr>
          <w:p>
            <w:pPr>
              <w:pStyle w:val="TableParagraph"/>
              <w:spacing w:before="6"/>
              <w:rPr>
                <w:sz w:val="23"/>
              </w:rPr>
            </w:pPr>
          </w:p>
          <w:p>
            <w:pPr>
              <w:pStyle w:val="TableParagraph"/>
              <w:ind w:left="63" w:right="62"/>
              <w:jc w:val="center"/>
              <w:rPr>
                <w:rFonts w:ascii="Calibri"/>
                <w:b/>
                <w:sz w:val="22"/>
              </w:rPr>
            </w:pPr>
            <w:r>
              <w:rPr>
                <w:rFonts w:ascii="Calibri"/>
                <w:b/>
                <w:sz w:val="22"/>
              </w:rPr>
              <w:t>Material</w:t>
            </w:r>
          </w:p>
        </w:tc>
        <w:tc>
          <w:tcPr>
            <w:tcW w:w="1200" w:type="dxa"/>
          </w:tcPr>
          <w:p>
            <w:pPr>
              <w:pStyle w:val="TableParagraph"/>
              <w:spacing w:before="6"/>
              <w:rPr>
                <w:sz w:val="23"/>
              </w:rPr>
            </w:pPr>
          </w:p>
          <w:p>
            <w:pPr>
              <w:pStyle w:val="TableParagraph"/>
              <w:ind w:left="188" w:right="111"/>
              <w:rPr>
                <w:rFonts w:ascii="Calibri"/>
                <w:b/>
                <w:sz w:val="22"/>
              </w:rPr>
            </w:pPr>
            <w:r>
              <w:rPr>
                <w:rFonts w:ascii="Calibri"/>
                <w:b/>
                <w:sz w:val="22"/>
              </w:rPr>
              <w:t>Costo ($)</w:t>
            </w:r>
          </w:p>
        </w:tc>
        <w:tc>
          <w:tcPr>
            <w:tcW w:w="1381" w:type="dxa"/>
          </w:tcPr>
          <w:p>
            <w:pPr>
              <w:pStyle w:val="TableParagraph"/>
              <w:spacing w:before="6"/>
              <w:rPr>
                <w:sz w:val="23"/>
              </w:rPr>
            </w:pPr>
          </w:p>
          <w:p>
            <w:pPr>
              <w:pStyle w:val="TableParagraph"/>
              <w:ind w:right="75"/>
              <w:jc w:val="right"/>
              <w:rPr>
                <w:rFonts w:ascii="Calibri"/>
                <w:b/>
                <w:sz w:val="22"/>
              </w:rPr>
            </w:pPr>
            <w:r>
              <w:rPr>
                <w:rFonts w:ascii="Calibri"/>
                <w:b/>
                <w:sz w:val="22"/>
              </w:rPr>
              <w:t>Cantidad (kg)</w:t>
            </w:r>
          </w:p>
        </w:tc>
        <w:tc>
          <w:tcPr>
            <w:tcW w:w="1320" w:type="dxa"/>
          </w:tcPr>
          <w:p>
            <w:pPr>
              <w:pStyle w:val="TableParagraph"/>
              <w:spacing w:before="2"/>
              <w:ind w:left="551" w:right="170" w:hanging="364"/>
              <w:rPr>
                <w:rFonts w:ascii="Calibri"/>
                <w:b/>
                <w:sz w:val="22"/>
              </w:rPr>
            </w:pPr>
            <w:r>
              <w:rPr>
                <w:rFonts w:ascii="Calibri"/>
                <w:b/>
                <w:sz w:val="22"/>
              </w:rPr>
              <w:t>Precio por kg</w:t>
            </w:r>
          </w:p>
        </w:tc>
      </w:tr>
      <w:tr>
        <w:trPr>
          <w:trHeight w:val="312" w:hRule="exact"/>
        </w:trPr>
        <w:tc>
          <w:tcPr>
            <w:tcW w:w="1201" w:type="dxa"/>
          </w:tcPr>
          <w:p>
            <w:pPr>
              <w:pStyle w:val="TableParagraph"/>
              <w:spacing w:before="34"/>
              <w:ind w:left="63" w:right="65"/>
              <w:jc w:val="center"/>
              <w:rPr>
                <w:rFonts w:ascii="Calibri"/>
                <w:sz w:val="22"/>
              </w:rPr>
            </w:pPr>
            <w:r>
              <w:rPr>
                <w:rFonts w:ascii="Calibri"/>
                <w:sz w:val="22"/>
              </w:rPr>
              <w:t>Clorato</w:t>
            </w:r>
          </w:p>
        </w:tc>
        <w:tc>
          <w:tcPr>
            <w:tcW w:w="1200" w:type="dxa"/>
          </w:tcPr>
          <w:p>
            <w:pPr>
              <w:pStyle w:val="TableParagraph"/>
              <w:spacing w:before="34"/>
              <w:ind w:right="62"/>
              <w:jc w:val="right"/>
              <w:rPr>
                <w:rFonts w:ascii="Calibri"/>
                <w:sz w:val="22"/>
              </w:rPr>
            </w:pPr>
            <w:r>
              <w:rPr>
                <w:rFonts w:ascii="Calibri"/>
                <w:sz w:val="22"/>
              </w:rPr>
              <w:t>1800</w:t>
            </w:r>
          </w:p>
        </w:tc>
        <w:tc>
          <w:tcPr>
            <w:tcW w:w="1381" w:type="dxa"/>
          </w:tcPr>
          <w:p>
            <w:pPr>
              <w:pStyle w:val="TableParagraph"/>
              <w:spacing w:before="34"/>
              <w:ind w:right="62"/>
              <w:jc w:val="right"/>
              <w:rPr>
                <w:rFonts w:ascii="Calibri"/>
                <w:sz w:val="22"/>
              </w:rPr>
            </w:pPr>
            <w:r>
              <w:rPr>
                <w:rFonts w:ascii="Calibri"/>
                <w:sz w:val="22"/>
              </w:rPr>
              <w:t>50</w:t>
            </w:r>
          </w:p>
        </w:tc>
        <w:tc>
          <w:tcPr>
            <w:tcW w:w="1320" w:type="dxa"/>
          </w:tcPr>
          <w:p>
            <w:pPr>
              <w:pStyle w:val="TableParagraph"/>
              <w:spacing w:before="34"/>
              <w:ind w:right="62"/>
              <w:jc w:val="right"/>
              <w:rPr>
                <w:rFonts w:ascii="Calibri"/>
                <w:sz w:val="22"/>
              </w:rPr>
            </w:pPr>
            <w:r>
              <w:rPr>
                <w:rFonts w:ascii="Calibri"/>
                <w:sz w:val="22"/>
              </w:rPr>
              <w:t>36</w:t>
            </w:r>
          </w:p>
        </w:tc>
      </w:tr>
      <w:tr>
        <w:trPr>
          <w:trHeight w:val="308" w:hRule="exact"/>
        </w:trPr>
        <w:tc>
          <w:tcPr>
            <w:tcW w:w="1201" w:type="dxa"/>
          </w:tcPr>
          <w:p>
            <w:pPr>
              <w:pStyle w:val="TableParagraph"/>
              <w:spacing w:before="30"/>
              <w:ind w:left="63" w:right="63"/>
              <w:jc w:val="center"/>
              <w:rPr>
                <w:rFonts w:ascii="Calibri"/>
                <w:sz w:val="22"/>
              </w:rPr>
            </w:pPr>
            <w:r>
              <w:rPr>
                <w:rFonts w:ascii="Calibri"/>
                <w:sz w:val="22"/>
              </w:rPr>
              <w:t>Azufre</w:t>
            </w:r>
          </w:p>
        </w:tc>
        <w:tc>
          <w:tcPr>
            <w:tcW w:w="1200" w:type="dxa"/>
          </w:tcPr>
          <w:p>
            <w:pPr>
              <w:pStyle w:val="TableParagraph"/>
              <w:spacing w:before="30"/>
              <w:ind w:right="63"/>
              <w:jc w:val="right"/>
              <w:rPr>
                <w:rFonts w:ascii="Calibri"/>
                <w:sz w:val="22"/>
              </w:rPr>
            </w:pPr>
            <w:r>
              <w:rPr>
                <w:rFonts w:ascii="Calibri"/>
                <w:sz w:val="22"/>
              </w:rPr>
              <w:t>12</w:t>
            </w:r>
          </w:p>
        </w:tc>
        <w:tc>
          <w:tcPr>
            <w:tcW w:w="1381" w:type="dxa"/>
          </w:tcPr>
          <w:p>
            <w:pPr>
              <w:pStyle w:val="TableParagraph"/>
              <w:spacing w:before="30"/>
              <w:ind w:right="62"/>
              <w:jc w:val="right"/>
              <w:rPr>
                <w:rFonts w:ascii="Calibri"/>
                <w:sz w:val="22"/>
              </w:rPr>
            </w:pPr>
            <w:r>
              <w:rPr>
                <w:rFonts w:ascii="Calibri"/>
                <w:sz w:val="22"/>
              </w:rPr>
              <w:t>1</w:t>
            </w:r>
          </w:p>
        </w:tc>
        <w:tc>
          <w:tcPr>
            <w:tcW w:w="1320" w:type="dxa"/>
          </w:tcPr>
          <w:p>
            <w:pPr>
              <w:pStyle w:val="TableParagraph"/>
              <w:spacing w:before="30"/>
              <w:ind w:right="62"/>
              <w:jc w:val="right"/>
              <w:rPr>
                <w:rFonts w:ascii="Calibri"/>
                <w:sz w:val="22"/>
              </w:rPr>
            </w:pPr>
            <w:r>
              <w:rPr>
                <w:rFonts w:ascii="Calibri"/>
                <w:sz w:val="22"/>
              </w:rPr>
              <w:t>12</w:t>
            </w:r>
          </w:p>
        </w:tc>
      </w:tr>
      <w:tr>
        <w:trPr>
          <w:trHeight w:val="312" w:hRule="exact"/>
        </w:trPr>
        <w:tc>
          <w:tcPr>
            <w:tcW w:w="1201" w:type="dxa"/>
          </w:tcPr>
          <w:p>
            <w:pPr>
              <w:pStyle w:val="TableParagraph"/>
              <w:spacing w:before="34"/>
              <w:ind w:left="63" w:right="66"/>
              <w:jc w:val="center"/>
              <w:rPr>
                <w:rFonts w:ascii="Calibri" w:hAnsi="Calibri"/>
                <w:sz w:val="22"/>
              </w:rPr>
            </w:pPr>
            <w:r>
              <w:rPr>
                <w:rFonts w:ascii="Calibri" w:hAnsi="Calibri"/>
                <w:sz w:val="22"/>
              </w:rPr>
              <w:t>Carbón</w:t>
            </w:r>
          </w:p>
        </w:tc>
        <w:tc>
          <w:tcPr>
            <w:tcW w:w="1200" w:type="dxa"/>
          </w:tcPr>
          <w:p>
            <w:pPr>
              <w:pStyle w:val="TableParagraph"/>
              <w:spacing w:before="34"/>
              <w:ind w:right="63"/>
              <w:jc w:val="right"/>
              <w:rPr>
                <w:rFonts w:ascii="Calibri"/>
                <w:sz w:val="22"/>
              </w:rPr>
            </w:pPr>
            <w:r>
              <w:rPr>
                <w:rFonts w:ascii="Calibri"/>
                <w:sz w:val="22"/>
              </w:rPr>
              <w:t>75</w:t>
            </w:r>
          </w:p>
        </w:tc>
        <w:tc>
          <w:tcPr>
            <w:tcW w:w="1381" w:type="dxa"/>
          </w:tcPr>
          <w:p>
            <w:pPr>
              <w:pStyle w:val="TableParagraph"/>
              <w:spacing w:before="34"/>
              <w:ind w:right="62"/>
              <w:jc w:val="right"/>
              <w:rPr>
                <w:rFonts w:ascii="Calibri"/>
                <w:sz w:val="22"/>
              </w:rPr>
            </w:pPr>
            <w:r>
              <w:rPr>
                <w:rFonts w:ascii="Calibri"/>
                <w:sz w:val="22"/>
              </w:rPr>
              <w:t>8</w:t>
            </w:r>
          </w:p>
        </w:tc>
        <w:tc>
          <w:tcPr>
            <w:tcW w:w="1320" w:type="dxa"/>
          </w:tcPr>
          <w:p>
            <w:pPr>
              <w:pStyle w:val="TableParagraph"/>
              <w:spacing w:before="34"/>
              <w:ind w:right="57"/>
              <w:jc w:val="right"/>
              <w:rPr>
                <w:rFonts w:ascii="Calibri"/>
                <w:sz w:val="22"/>
              </w:rPr>
            </w:pPr>
            <w:r>
              <w:rPr>
                <w:rFonts w:ascii="Calibri"/>
                <w:sz w:val="22"/>
              </w:rPr>
              <w:t>9.375</w:t>
            </w:r>
          </w:p>
        </w:tc>
      </w:tr>
      <w:tr>
        <w:trPr>
          <w:trHeight w:val="308" w:hRule="exact"/>
        </w:trPr>
        <w:tc>
          <w:tcPr>
            <w:tcW w:w="1201" w:type="dxa"/>
          </w:tcPr>
          <w:p>
            <w:pPr>
              <w:pStyle w:val="TableParagraph"/>
              <w:spacing w:before="30"/>
              <w:ind w:left="63" w:right="57"/>
              <w:jc w:val="center"/>
              <w:rPr>
                <w:rFonts w:ascii="Calibri"/>
                <w:sz w:val="22"/>
              </w:rPr>
            </w:pPr>
            <w:r>
              <w:rPr>
                <w:rFonts w:ascii="Calibri"/>
                <w:sz w:val="22"/>
              </w:rPr>
              <w:t>Antimonio</w:t>
            </w:r>
          </w:p>
        </w:tc>
        <w:tc>
          <w:tcPr>
            <w:tcW w:w="1200" w:type="dxa"/>
          </w:tcPr>
          <w:p>
            <w:pPr>
              <w:pStyle w:val="TableParagraph"/>
              <w:spacing w:before="30"/>
              <w:ind w:right="63"/>
              <w:jc w:val="right"/>
              <w:rPr>
                <w:rFonts w:ascii="Calibri"/>
                <w:sz w:val="22"/>
              </w:rPr>
            </w:pPr>
            <w:r>
              <w:rPr>
                <w:rFonts w:ascii="Calibri"/>
                <w:sz w:val="22"/>
              </w:rPr>
              <w:t>20</w:t>
            </w:r>
          </w:p>
        </w:tc>
        <w:tc>
          <w:tcPr>
            <w:tcW w:w="1381" w:type="dxa"/>
          </w:tcPr>
          <w:p>
            <w:pPr>
              <w:pStyle w:val="TableParagraph"/>
              <w:spacing w:before="30"/>
              <w:ind w:right="62"/>
              <w:jc w:val="right"/>
              <w:rPr>
                <w:rFonts w:ascii="Calibri"/>
                <w:sz w:val="22"/>
              </w:rPr>
            </w:pPr>
            <w:r>
              <w:rPr>
                <w:rFonts w:ascii="Calibri"/>
                <w:sz w:val="22"/>
              </w:rPr>
              <w:t>1</w:t>
            </w:r>
          </w:p>
        </w:tc>
        <w:tc>
          <w:tcPr>
            <w:tcW w:w="1320" w:type="dxa"/>
          </w:tcPr>
          <w:p>
            <w:pPr>
              <w:pStyle w:val="TableParagraph"/>
              <w:spacing w:before="30"/>
              <w:ind w:right="62"/>
              <w:jc w:val="right"/>
              <w:rPr>
                <w:rFonts w:ascii="Calibri"/>
                <w:sz w:val="22"/>
              </w:rPr>
            </w:pPr>
            <w:r>
              <w:rPr>
                <w:rFonts w:ascii="Calibri"/>
                <w:sz w:val="22"/>
              </w:rPr>
              <w:t>20</w:t>
            </w:r>
          </w:p>
        </w:tc>
      </w:tr>
      <w:tr>
        <w:trPr>
          <w:trHeight w:val="312" w:hRule="exact"/>
        </w:trPr>
        <w:tc>
          <w:tcPr>
            <w:tcW w:w="1201" w:type="dxa"/>
          </w:tcPr>
          <w:p>
            <w:pPr>
              <w:pStyle w:val="TableParagraph"/>
              <w:spacing w:before="34"/>
              <w:ind w:left="63" w:right="61"/>
              <w:jc w:val="center"/>
              <w:rPr>
                <w:rFonts w:ascii="Calibri"/>
                <w:sz w:val="22"/>
              </w:rPr>
            </w:pPr>
            <w:r>
              <w:rPr>
                <w:rFonts w:ascii="Calibri"/>
                <w:sz w:val="22"/>
              </w:rPr>
              <w:t>Aluminio</w:t>
            </w:r>
          </w:p>
        </w:tc>
        <w:tc>
          <w:tcPr>
            <w:tcW w:w="1200" w:type="dxa"/>
          </w:tcPr>
          <w:p>
            <w:pPr>
              <w:pStyle w:val="TableParagraph"/>
              <w:spacing w:before="34"/>
              <w:ind w:right="63"/>
              <w:jc w:val="right"/>
              <w:rPr>
                <w:rFonts w:ascii="Calibri"/>
                <w:sz w:val="22"/>
              </w:rPr>
            </w:pPr>
            <w:r>
              <w:rPr>
                <w:rFonts w:ascii="Calibri"/>
                <w:sz w:val="22"/>
              </w:rPr>
              <w:t>175</w:t>
            </w:r>
          </w:p>
        </w:tc>
        <w:tc>
          <w:tcPr>
            <w:tcW w:w="1381" w:type="dxa"/>
          </w:tcPr>
          <w:p>
            <w:pPr>
              <w:pStyle w:val="TableParagraph"/>
              <w:spacing w:before="34"/>
              <w:ind w:right="62"/>
              <w:jc w:val="right"/>
              <w:rPr>
                <w:rFonts w:ascii="Calibri"/>
                <w:sz w:val="22"/>
              </w:rPr>
            </w:pPr>
            <w:r>
              <w:rPr>
                <w:rFonts w:ascii="Calibri"/>
                <w:sz w:val="22"/>
              </w:rPr>
              <w:t>1</w:t>
            </w:r>
          </w:p>
        </w:tc>
        <w:tc>
          <w:tcPr>
            <w:tcW w:w="1320" w:type="dxa"/>
          </w:tcPr>
          <w:p>
            <w:pPr>
              <w:pStyle w:val="TableParagraph"/>
              <w:spacing w:before="34"/>
              <w:ind w:right="62"/>
              <w:jc w:val="right"/>
              <w:rPr>
                <w:rFonts w:ascii="Calibri"/>
                <w:sz w:val="22"/>
              </w:rPr>
            </w:pPr>
            <w:r>
              <w:rPr>
                <w:rFonts w:ascii="Calibri"/>
                <w:sz w:val="22"/>
              </w:rPr>
              <w:t>175</w:t>
            </w:r>
          </w:p>
        </w:tc>
      </w:tr>
      <w:tr>
        <w:trPr>
          <w:trHeight w:val="308" w:hRule="exact"/>
        </w:trPr>
        <w:tc>
          <w:tcPr>
            <w:tcW w:w="1201" w:type="dxa"/>
          </w:tcPr>
          <w:p>
            <w:pPr>
              <w:pStyle w:val="TableParagraph"/>
              <w:spacing w:before="30"/>
              <w:ind w:left="63" w:right="61"/>
              <w:jc w:val="center"/>
              <w:rPr>
                <w:rFonts w:ascii="Calibri"/>
                <w:sz w:val="22"/>
              </w:rPr>
            </w:pPr>
            <w:r>
              <w:rPr>
                <w:rFonts w:ascii="Calibri"/>
                <w:sz w:val="22"/>
              </w:rPr>
              <w:t>Nitrato</w:t>
            </w:r>
          </w:p>
        </w:tc>
        <w:tc>
          <w:tcPr>
            <w:tcW w:w="1200" w:type="dxa"/>
          </w:tcPr>
          <w:p>
            <w:pPr>
              <w:pStyle w:val="TableParagraph"/>
              <w:spacing w:before="30"/>
              <w:ind w:right="63"/>
              <w:jc w:val="right"/>
              <w:rPr>
                <w:rFonts w:ascii="Calibri"/>
                <w:sz w:val="22"/>
              </w:rPr>
            </w:pPr>
            <w:r>
              <w:rPr>
                <w:rFonts w:ascii="Calibri"/>
                <w:sz w:val="22"/>
              </w:rPr>
              <w:t>500</w:t>
            </w:r>
          </w:p>
        </w:tc>
        <w:tc>
          <w:tcPr>
            <w:tcW w:w="1381" w:type="dxa"/>
          </w:tcPr>
          <w:p>
            <w:pPr>
              <w:pStyle w:val="TableParagraph"/>
              <w:spacing w:before="30"/>
              <w:ind w:right="62"/>
              <w:jc w:val="right"/>
              <w:rPr>
                <w:rFonts w:ascii="Calibri"/>
                <w:sz w:val="22"/>
              </w:rPr>
            </w:pPr>
            <w:r>
              <w:rPr>
                <w:rFonts w:ascii="Calibri"/>
                <w:sz w:val="22"/>
              </w:rPr>
              <w:t>25</w:t>
            </w:r>
          </w:p>
        </w:tc>
        <w:tc>
          <w:tcPr>
            <w:tcW w:w="1320" w:type="dxa"/>
          </w:tcPr>
          <w:p>
            <w:pPr>
              <w:pStyle w:val="TableParagraph"/>
              <w:spacing w:before="30"/>
              <w:ind w:right="62"/>
              <w:jc w:val="right"/>
              <w:rPr>
                <w:rFonts w:ascii="Calibri"/>
                <w:sz w:val="22"/>
              </w:rPr>
            </w:pPr>
            <w:r>
              <w:rPr>
                <w:rFonts w:ascii="Calibri"/>
                <w:sz w:val="22"/>
              </w:rPr>
              <w:t>20</w:t>
            </w:r>
          </w:p>
        </w:tc>
      </w:tr>
    </w:tbl>
    <w:p>
      <w:pPr>
        <w:pStyle w:val="BodyText"/>
        <w:spacing w:before="5"/>
        <w:rPr>
          <w:sz w:val="23"/>
        </w:rPr>
      </w:pPr>
    </w:p>
    <w:p>
      <w:pPr>
        <w:spacing w:before="75"/>
        <w:ind w:left="2657" w:right="9" w:firstLine="0"/>
        <w:jc w:val="left"/>
        <w:rPr>
          <w:sz w:val="20"/>
        </w:rPr>
      </w:pPr>
      <w:r>
        <w:rPr>
          <w:sz w:val="20"/>
        </w:rPr>
        <w:t>Tabla A7. Costos de sustancias químicas.</w:t>
      </w:r>
    </w:p>
    <w:p>
      <w:pPr>
        <w:pStyle w:val="BodyText"/>
        <w:rPr>
          <w:sz w:val="20"/>
        </w:rPr>
      </w:pPr>
    </w:p>
    <w:p>
      <w:pPr>
        <w:pStyle w:val="BodyText"/>
        <w:spacing w:before="3"/>
        <w:rPr>
          <w:sz w:val="26"/>
        </w:rPr>
      </w:pPr>
    </w:p>
    <w:p>
      <w:pPr>
        <w:pStyle w:val="BodyText"/>
        <w:spacing w:line="360" w:lineRule="auto"/>
        <w:ind w:left="100" w:right="103"/>
        <w:jc w:val="both"/>
      </w:pPr>
      <w:r>
        <w:rPr/>
        <w:t>Para la elaboración de la pólvora se fabrica por tandas, y se utilizan tres componentes químicos, las perdidas según el productor son despreciables, sin embargo las instalaciones presentan restos de material impregnados en las paredes  del  cuarto  de  molienda.  En  cada  lote  de  elaboración  de  pólvora  se</w:t>
      </w:r>
    </w:p>
    <w:p>
      <w:pPr>
        <w:spacing w:after="0" w:line="360" w:lineRule="auto"/>
        <w:jc w:val="both"/>
        <w:sectPr>
          <w:pgSz w:w="12240" w:h="15840"/>
          <w:pgMar w:header="0" w:footer="1071" w:top="1360" w:bottom="1260" w:left="1600" w:right="1600"/>
        </w:sectPr>
      </w:pPr>
    </w:p>
    <w:p>
      <w:pPr>
        <w:pStyle w:val="BodyText"/>
        <w:spacing w:line="362" w:lineRule="auto" w:before="55"/>
        <w:ind w:left="100" w:right="9"/>
      </w:pPr>
      <w:r>
        <w:rPr/>
        <w:t>producen 18.75 kg al día (despreciando las mermas), obteniendo los siguientes datos económicos:</w:t>
      </w:r>
    </w:p>
    <w:p>
      <w:pPr>
        <w:pStyle w:val="BodyText"/>
        <w:rPr>
          <w:sz w:val="20"/>
        </w:rPr>
      </w:pPr>
    </w:p>
    <w:p>
      <w:pPr>
        <w:pStyle w:val="BodyText"/>
        <w:spacing w:before="2"/>
        <w:rPr>
          <w:sz w:val="16"/>
        </w:rPr>
      </w:pPr>
    </w:p>
    <w:tbl>
      <w:tblPr>
        <w:tblW w:w="0" w:type="auto"/>
        <w:jc w:val="left"/>
        <w:tblInd w:w="20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1"/>
        <w:gridCol w:w="1200"/>
        <w:gridCol w:w="1401"/>
        <w:gridCol w:w="1200"/>
      </w:tblGrid>
      <w:tr>
        <w:trPr>
          <w:trHeight w:val="548" w:hRule="exact"/>
        </w:trPr>
        <w:tc>
          <w:tcPr>
            <w:tcW w:w="1201" w:type="dxa"/>
          </w:tcPr>
          <w:p>
            <w:pPr>
              <w:pStyle w:val="TableParagraph"/>
              <w:spacing w:before="2"/>
              <w:rPr>
                <w:sz w:val="23"/>
              </w:rPr>
            </w:pPr>
          </w:p>
          <w:p>
            <w:pPr>
              <w:pStyle w:val="TableParagraph"/>
              <w:ind w:left="63" w:right="62"/>
              <w:jc w:val="center"/>
              <w:rPr>
                <w:rFonts w:ascii="Calibri"/>
                <w:b/>
                <w:sz w:val="22"/>
              </w:rPr>
            </w:pPr>
            <w:r>
              <w:rPr>
                <w:rFonts w:ascii="Calibri"/>
                <w:b/>
                <w:sz w:val="22"/>
              </w:rPr>
              <w:t>Material</w:t>
            </w:r>
          </w:p>
        </w:tc>
        <w:tc>
          <w:tcPr>
            <w:tcW w:w="1200" w:type="dxa"/>
          </w:tcPr>
          <w:p>
            <w:pPr>
              <w:pStyle w:val="TableParagraph"/>
              <w:ind w:left="343" w:right="111" w:hanging="217"/>
              <w:rPr>
                <w:rFonts w:ascii="Calibri"/>
                <w:b/>
                <w:sz w:val="22"/>
              </w:rPr>
            </w:pPr>
            <w:r>
              <w:rPr>
                <w:rFonts w:ascii="Calibri"/>
                <w:b/>
                <w:sz w:val="22"/>
              </w:rPr>
              <w:t>Precio por kg ($)</w:t>
            </w:r>
          </w:p>
        </w:tc>
        <w:tc>
          <w:tcPr>
            <w:tcW w:w="1401" w:type="dxa"/>
          </w:tcPr>
          <w:p>
            <w:pPr>
              <w:pStyle w:val="TableParagraph"/>
              <w:spacing w:before="2"/>
              <w:rPr>
                <w:sz w:val="23"/>
              </w:rPr>
            </w:pPr>
          </w:p>
          <w:p>
            <w:pPr>
              <w:pStyle w:val="TableParagraph"/>
              <w:ind w:right="87"/>
              <w:jc w:val="right"/>
              <w:rPr>
                <w:rFonts w:ascii="Calibri"/>
                <w:b/>
                <w:sz w:val="22"/>
              </w:rPr>
            </w:pPr>
            <w:r>
              <w:rPr>
                <w:rFonts w:ascii="Calibri"/>
                <w:b/>
                <w:sz w:val="22"/>
              </w:rPr>
              <w:t>Cantidad (kg)</w:t>
            </w:r>
          </w:p>
        </w:tc>
        <w:tc>
          <w:tcPr>
            <w:tcW w:w="1200" w:type="dxa"/>
          </w:tcPr>
          <w:p>
            <w:pPr>
              <w:pStyle w:val="TableParagraph"/>
              <w:spacing w:before="2"/>
              <w:rPr>
                <w:sz w:val="23"/>
              </w:rPr>
            </w:pPr>
          </w:p>
          <w:p>
            <w:pPr>
              <w:pStyle w:val="TableParagraph"/>
              <w:ind w:left="163"/>
              <w:rPr>
                <w:rFonts w:ascii="Calibri"/>
                <w:b/>
                <w:sz w:val="22"/>
              </w:rPr>
            </w:pPr>
            <w:r>
              <w:rPr>
                <w:rFonts w:ascii="Calibri"/>
                <w:b/>
                <w:sz w:val="22"/>
              </w:rPr>
              <w:t>Precio ($)</w:t>
            </w:r>
          </w:p>
        </w:tc>
      </w:tr>
      <w:tr>
        <w:trPr>
          <w:trHeight w:val="308" w:hRule="exact"/>
        </w:trPr>
        <w:tc>
          <w:tcPr>
            <w:tcW w:w="1201" w:type="dxa"/>
          </w:tcPr>
          <w:p>
            <w:pPr>
              <w:pStyle w:val="TableParagraph"/>
              <w:spacing w:before="30"/>
              <w:ind w:left="63" w:right="61"/>
              <w:jc w:val="center"/>
              <w:rPr>
                <w:rFonts w:ascii="Calibri" w:hAnsi="Calibri"/>
                <w:sz w:val="22"/>
              </w:rPr>
            </w:pPr>
            <w:r>
              <w:rPr>
                <w:rFonts w:ascii="Calibri" w:hAnsi="Calibri"/>
                <w:sz w:val="22"/>
              </w:rPr>
              <w:t>Carbón</w:t>
            </w:r>
          </w:p>
        </w:tc>
        <w:tc>
          <w:tcPr>
            <w:tcW w:w="1200" w:type="dxa"/>
          </w:tcPr>
          <w:p>
            <w:pPr>
              <w:pStyle w:val="TableParagraph"/>
              <w:spacing w:before="30"/>
              <w:ind w:right="58"/>
              <w:jc w:val="right"/>
              <w:rPr>
                <w:rFonts w:ascii="Calibri"/>
                <w:sz w:val="22"/>
              </w:rPr>
            </w:pPr>
            <w:r>
              <w:rPr>
                <w:rFonts w:ascii="Calibri"/>
                <w:sz w:val="22"/>
              </w:rPr>
              <w:t>9.375</w:t>
            </w:r>
          </w:p>
        </w:tc>
        <w:tc>
          <w:tcPr>
            <w:tcW w:w="1401" w:type="dxa"/>
          </w:tcPr>
          <w:p>
            <w:pPr>
              <w:pStyle w:val="TableParagraph"/>
              <w:spacing w:before="30"/>
              <w:ind w:right="62"/>
              <w:jc w:val="right"/>
              <w:rPr>
                <w:rFonts w:ascii="Calibri"/>
                <w:sz w:val="22"/>
              </w:rPr>
            </w:pPr>
            <w:r>
              <w:rPr>
                <w:rFonts w:ascii="Calibri"/>
                <w:sz w:val="22"/>
              </w:rPr>
              <w:t>6</w:t>
            </w:r>
          </w:p>
        </w:tc>
        <w:tc>
          <w:tcPr>
            <w:tcW w:w="1200" w:type="dxa"/>
          </w:tcPr>
          <w:p>
            <w:pPr>
              <w:pStyle w:val="TableParagraph"/>
              <w:spacing w:before="30"/>
              <w:ind w:right="57"/>
              <w:jc w:val="right"/>
              <w:rPr>
                <w:rFonts w:ascii="Calibri"/>
                <w:sz w:val="22"/>
              </w:rPr>
            </w:pPr>
            <w:r>
              <w:rPr>
                <w:rFonts w:ascii="Calibri"/>
                <w:sz w:val="22"/>
              </w:rPr>
              <w:t>56.25</w:t>
            </w:r>
          </w:p>
        </w:tc>
      </w:tr>
      <w:tr>
        <w:trPr>
          <w:trHeight w:val="312" w:hRule="exact"/>
        </w:trPr>
        <w:tc>
          <w:tcPr>
            <w:tcW w:w="1201" w:type="dxa"/>
          </w:tcPr>
          <w:p>
            <w:pPr>
              <w:pStyle w:val="TableParagraph"/>
              <w:spacing w:before="30"/>
              <w:ind w:left="63" w:right="61"/>
              <w:jc w:val="center"/>
              <w:rPr>
                <w:rFonts w:ascii="Calibri"/>
                <w:sz w:val="22"/>
              </w:rPr>
            </w:pPr>
            <w:r>
              <w:rPr>
                <w:rFonts w:ascii="Calibri"/>
                <w:sz w:val="22"/>
              </w:rPr>
              <w:t>Nitrato</w:t>
            </w:r>
          </w:p>
        </w:tc>
        <w:tc>
          <w:tcPr>
            <w:tcW w:w="1200" w:type="dxa"/>
          </w:tcPr>
          <w:p>
            <w:pPr>
              <w:pStyle w:val="TableParagraph"/>
              <w:spacing w:before="30"/>
              <w:ind w:right="63"/>
              <w:jc w:val="right"/>
              <w:rPr>
                <w:rFonts w:ascii="Calibri"/>
                <w:sz w:val="22"/>
              </w:rPr>
            </w:pPr>
            <w:r>
              <w:rPr>
                <w:rFonts w:ascii="Calibri"/>
                <w:sz w:val="22"/>
              </w:rPr>
              <w:t>20</w:t>
            </w:r>
          </w:p>
        </w:tc>
        <w:tc>
          <w:tcPr>
            <w:tcW w:w="1401" w:type="dxa"/>
          </w:tcPr>
          <w:p>
            <w:pPr>
              <w:pStyle w:val="TableParagraph"/>
              <w:spacing w:before="30"/>
              <w:ind w:right="62"/>
              <w:jc w:val="right"/>
              <w:rPr>
                <w:rFonts w:ascii="Calibri"/>
                <w:sz w:val="22"/>
              </w:rPr>
            </w:pPr>
            <w:r>
              <w:rPr>
                <w:rFonts w:ascii="Calibri"/>
                <w:sz w:val="22"/>
              </w:rPr>
              <w:t>12</w:t>
            </w:r>
          </w:p>
        </w:tc>
        <w:tc>
          <w:tcPr>
            <w:tcW w:w="1200" w:type="dxa"/>
          </w:tcPr>
          <w:p>
            <w:pPr>
              <w:pStyle w:val="TableParagraph"/>
              <w:spacing w:before="30"/>
              <w:ind w:right="62"/>
              <w:jc w:val="right"/>
              <w:rPr>
                <w:rFonts w:ascii="Calibri"/>
                <w:sz w:val="22"/>
              </w:rPr>
            </w:pPr>
            <w:r>
              <w:rPr>
                <w:rFonts w:ascii="Calibri"/>
                <w:sz w:val="22"/>
              </w:rPr>
              <w:t>240</w:t>
            </w:r>
          </w:p>
        </w:tc>
      </w:tr>
      <w:tr>
        <w:trPr>
          <w:trHeight w:val="308" w:hRule="exact"/>
        </w:trPr>
        <w:tc>
          <w:tcPr>
            <w:tcW w:w="1201" w:type="dxa"/>
          </w:tcPr>
          <w:p>
            <w:pPr>
              <w:pStyle w:val="TableParagraph"/>
              <w:spacing w:before="30"/>
              <w:ind w:left="63" w:right="63"/>
              <w:jc w:val="center"/>
              <w:rPr>
                <w:rFonts w:ascii="Calibri"/>
                <w:sz w:val="22"/>
              </w:rPr>
            </w:pPr>
            <w:r>
              <w:rPr>
                <w:rFonts w:ascii="Calibri"/>
                <w:sz w:val="22"/>
              </w:rPr>
              <w:t>Azufre</w:t>
            </w:r>
          </w:p>
        </w:tc>
        <w:tc>
          <w:tcPr>
            <w:tcW w:w="1200" w:type="dxa"/>
          </w:tcPr>
          <w:p>
            <w:pPr>
              <w:pStyle w:val="TableParagraph"/>
              <w:spacing w:before="30"/>
              <w:ind w:right="63"/>
              <w:jc w:val="right"/>
              <w:rPr>
                <w:rFonts w:ascii="Calibri"/>
                <w:sz w:val="22"/>
              </w:rPr>
            </w:pPr>
            <w:r>
              <w:rPr>
                <w:rFonts w:ascii="Calibri"/>
                <w:sz w:val="22"/>
              </w:rPr>
              <w:t>12</w:t>
            </w:r>
          </w:p>
        </w:tc>
        <w:tc>
          <w:tcPr>
            <w:tcW w:w="1401" w:type="dxa"/>
          </w:tcPr>
          <w:p>
            <w:pPr>
              <w:pStyle w:val="TableParagraph"/>
              <w:spacing w:before="30"/>
              <w:ind w:right="62"/>
              <w:jc w:val="right"/>
              <w:rPr>
                <w:rFonts w:ascii="Calibri"/>
                <w:sz w:val="22"/>
              </w:rPr>
            </w:pPr>
            <w:r>
              <w:rPr>
                <w:rFonts w:ascii="Calibri"/>
                <w:sz w:val="22"/>
              </w:rPr>
              <w:t>0.75</w:t>
            </w:r>
          </w:p>
        </w:tc>
        <w:tc>
          <w:tcPr>
            <w:tcW w:w="1200" w:type="dxa"/>
          </w:tcPr>
          <w:p>
            <w:pPr>
              <w:pStyle w:val="TableParagraph"/>
              <w:spacing w:before="30"/>
              <w:ind w:right="62"/>
              <w:jc w:val="right"/>
              <w:rPr>
                <w:rFonts w:ascii="Calibri"/>
                <w:sz w:val="22"/>
              </w:rPr>
            </w:pPr>
            <w:r>
              <w:rPr>
                <w:rFonts w:ascii="Calibri"/>
                <w:sz w:val="22"/>
              </w:rPr>
              <w:t>9</w:t>
            </w:r>
          </w:p>
        </w:tc>
      </w:tr>
      <w:tr>
        <w:trPr>
          <w:trHeight w:val="312" w:hRule="exact"/>
        </w:trPr>
        <w:tc>
          <w:tcPr>
            <w:tcW w:w="2401" w:type="dxa"/>
            <w:gridSpan w:val="2"/>
            <w:tcBorders>
              <w:left w:val="nil"/>
              <w:bottom w:val="nil"/>
            </w:tcBorders>
          </w:tcPr>
          <w:p>
            <w:pPr>
              <w:pStyle w:val="TableParagraph"/>
              <w:spacing w:before="30"/>
              <w:ind w:left="1504"/>
              <w:rPr>
                <w:rFonts w:ascii="Calibri"/>
                <w:b/>
                <w:sz w:val="22"/>
              </w:rPr>
            </w:pPr>
            <w:r>
              <w:rPr>
                <w:rFonts w:ascii="Calibri"/>
                <w:b/>
                <w:sz w:val="22"/>
              </w:rPr>
              <w:t>TOTAL</w:t>
            </w:r>
          </w:p>
        </w:tc>
        <w:tc>
          <w:tcPr>
            <w:tcW w:w="1401" w:type="dxa"/>
          </w:tcPr>
          <w:p>
            <w:pPr>
              <w:pStyle w:val="TableParagraph"/>
              <w:spacing w:before="30"/>
              <w:ind w:right="58"/>
              <w:jc w:val="right"/>
              <w:rPr>
                <w:rFonts w:ascii="Calibri"/>
                <w:sz w:val="22"/>
              </w:rPr>
            </w:pPr>
            <w:r>
              <w:rPr>
                <w:rFonts w:ascii="Calibri"/>
                <w:sz w:val="22"/>
              </w:rPr>
              <w:t>18.75</w:t>
            </w:r>
          </w:p>
        </w:tc>
        <w:tc>
          <w:tcPr>
            <w:tcW w:w="1200" w:type="dxa"/>
          </w:tcPr>
          <w:p>
            <w:pPr>
              <w:pStyle w:val="TableParagraph"/>
              <w:spacing w:before="30"/>
              <w:ind w:right="57"/>
              <w:jc w:val="right"/>
              <w:rPr>
                <w:rFonts w:ascii="Calibri"/>
                <w:sz w:val="22"/>
              </w:rPr>
            </w:pPr>
            <w:r>
              <w:rPr>
                <w:rFonts w:ascii="Calibri"/>
                <w:sz w:val="22"/>
              </w:rPr>
              <w:t>305.25</w:t>
            </w:r>
          </w:p>
        </w:tc>
      </w:tr>
      <w:tr>
        <w:trPr>
          <w:trHeight w:val="312" w:hRule="exact"/>
        </w:trPr>
        <w:tc>
          <w:tcPr>
            <w:tcW w:w="3802" w:type="dxa"/>
            <w:gridSpan w:val="3"/>
            <w:tcBorders>
              <w:top w:val="nil"/>
              <w:left w:val="nil"/>
              <w:bottom w:val="nil"/>
            </w:tcBorders>
          </w:tcPr>
          <w:p>
            <w:pPr>
              <w:pStyle w:val="TableParagraph"/>
              <w:spacing w:before="34"/>
              <w:ind w:left="2505"/>
              <w:rPr>
                <w:rFonts w:ascii="Calibri"/>
                <w:b/>
                <w:sz w:val="22"/>
              </w:rPr>
            </w:pPr>
            <w:r>
              <w:rPr>
                <w:rFonts w:ascii="Calibri"/>
                <w:b/>
                <w:sz w:val="22"/>
              </w:rPr>
              <w:t>Precio por kg</w:t>
            </w:r>
          </w:p>
        </w:tc>
        <w:tc>
          <w:tcPr>
            <w:tcW w:w="1200" w:type="dxa"/>
          </w:tcPr>
          <w:p>
            <w:pPr>
              <w:pStyle w:val="TableParagraph"/>
              <w:spacing w:before="30"/>
              <w:ind w:right="57"/>
              <w:jc w:val="right"/>
              <w:rPr>
                <w:rFonts w:ascii="Calibri"/>
                <w:sz w:val="22"/>
              </w:rPr>
            </w:pPr>
            <w:r>
              <w:rPr>
                <w:rFonts w:ascii="Calibri"/>
                <w:sz w:val="22"/>
              </w:rPr>
              <w:t>16.28</w:t>
            </w:r>
          </w:p>
        </w:tc>
      </w:tr>
    </w:tbl>
    <w:p>
      <w:pPr>
        <w:pStyle w:val="BodyText"/>
        <w:spacing w:before="1"/>
        <w:rPr>
          <w:sz w:val="23"/>
        </w:rPr>
      </w:pPr>
    </w:p>
    <w:p>
      <w:pPr>
        <w:spacing w:before="75"/>
        <w:ind w:left="678" w:right="679" w:firstLine="0"/>
        <w:jc w:val="center"/>
        <w:rPr>
          <w:sz w:val="20"/>
        </w:rPr>
      </w:pPr>
      <w:r>
        <w:rPr>
          <w:sz w:val="20"/>
        </w:rPr>
        <w:t>Tabla A8. Costos de mermas.</w:t>
      </w:r>
    </w:p>
    <w:p>
      <w:pPr>
        <w:pStyle w:val="BodyText"/>
        <w:rPr>
          <w:sz w:val="20"/>
        </w:rPr>
      </w:pPr>
    </w:p>
    <w:p>
      <w:pPr>
        <w:pStyle w:val="BodyText"/>
        <w:spacing w:before="11"/>
        <w:rPr>
          <w:sz w:val="25"/>
        </w:rPr>
      </w:pPr>
    </w:p>
    <w:p>
      <w:pPr>
        <w:pStyle w:val="BodyText"/>
        <w:spacing w:line="360" w:lineRule="auto"/>
        <w:ind w:left="100" w:right="105"/>
        <w:jc w:val="both"/>
      </w:pPr>
      <w:r>
        <w:rPr/>
        <w:t>En cuanto a la elaboración del efecto de trueno, se utilizan materiales de forma más controlada, la producción es menor ya que son componentes altamente reactivos y a mayores cantidades el riesgo de accidente incrementa, por ello solamente se producen 7 kilogramos por lote de producción, bajo los siguientes datos:</w:t>
      </w:r>
    </w:p>
    <w:p>
      <w:pPr>
        <w:pStyle w:val="BodyText"/>
        <w:rPr>
          <w:sz w:val="20"/>
        </w:rPr>
      </w:pPr>
    </w:p>
    <w:p>
      <w:pPr>
        <w:pStyle w:val="BodyText"/>
        <w:spacing w:before="5"/>
        <w:rPr>
          <w:sz w:val="16"/>
        </w:rPr>
      </w:pPr>
    </w:p>
    <w:tbl>
      <w:tblPr>
        <w:tblW w:w="0" w:type="auto"/>
        <w:jc w:val="left"/>
        <w:tblInd w:w="18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1"/>
        <w:gridCol w:w="1600"/>
        <w:gridCol w:w="1421"/>
        <w:gridCol w:w="1200"/>
      </w:tblGrid>
      <w:tr>
        <w:trPr>
          <w:trHeight w:val="548" w:hRule="exact"/>
        </w:trPr>
        <w:tc>
          <w:tcPr>
            <w:tcW w:w="1201" w:type="dxa"/>
          </w:tcPr>
          <w:p>
            <w:pPr>
              <w:pStyle w:val="TableParagraph"/>
              <w:spacing w:before="6"/>
              <w:rPr>
                <w:sz w:val="23"/>
              </w:rPr>
            </w:pPr>
          </w:p>
          <w:p>
            <w:pPr>
              <w:pStyle w:val="TableParagraph"/>
              <w:ind w:left="63" w:right="62"/>
              <w:jc w:val="center"/>
              <w:rPr>
                <w:rFonts w:ascii="Calibri"/>
                <w:b/>
                <w:sz w:val="22"/>
              </w:rPr>
            </w:pPr>
            <w:r>
              <w:rPr>
                <w:rFonts w:ascii="Calibri"/>
                <w:b/>
                <w:sz w:val="22"/>
              </w:rPr>
              <w:t>Material</w:t>
            </w:r>
          </w:p>
        </w:tc>
        <w:tc>
          <w:tcPr>
            <w:tcW w:w="1600" w:type="dxa"/>
          </w:tcPr>
          <w:p>
            <w:pPr>
              <w:pStyle w:val="TableParagraph"/>
              <w:spacing w:before="2"/>
              <w:ind w:left="671" w:right="179" w:hanging="472"/>
              <w:rPr>
                <w:rFonts w:ascii="Calibri"/>
                <w:b/>
                <w:sz w:val="22"/>
              </w:rPr>
            </w:pPr>
            <w:r>
              <w:rPr>
                <w:rFonts w:ascii="Calibri"/>
                <w:b/>
                <w:sz w:val="22"/>
              </w:rPr>
              <w:t>Precio por kg ($)</w:t>
            </w:r>
          </w:p>
        </w:tc>
        <w:tc>
          <w:tcPr>
            <w:tcW w:w="1421" w:type="dxa"/>
          </w:tcPr>
          <w:p>
            <w:pPr>
              <w:pStyle w:val="TableParagraph"/>
              <w:spacing w:before="6"/>
              <w:rPr>
                <w:sz w:val="23"/>
              </w:rPr>
            </w:pPr>
          </w:p>
          <w:p>
            <w:pPr>
              <w:pStyle w:val="TableParagraph"/>
              <w:ind w:right="95"/>
              <w:jc w:val="right"/>
              <w:rPr>
                <w:rFonts w:ascii="Calibri"/>
                <w:b/>
                <w:sz w:val="22"/>
              </w:rPr>
            </w:pPr>
            <w:r>
              <w:rPr>
                <w:rFonts w:ascii="Calibri"/>
                <w:b/>
                <w:sz w:val="22"/>
              </w:rPr>
              <w:t>Cantidad (kg)</w:t>
            </w:r>
          </w:p>
        </w:tc>
        <w:tc>
          <w:tcPr>
            <w:tcW w:w="1200" w:type="dxa"/>
          </w:tcPr>
          <w:p>
            <w:pPr>
              <w:pStyle w:val="TableParagraph"/>
              <w:spacing w:before="6"/>
              <w:rPr>
                <w:sz w:val="23"/>
              </w:rPr>
            </w:pPr>
          </w:p>
          <w:p>
            <w:pPr>
              <w:pStyle w:val="TableParagraph"/>
              <w:ind w:left="164" w:right="111"/>
              <w:rPr>
                <w:rFonts w:ascii="Calibri"/>
                <w:b/>
                <w:sz w:val="22"/>
              </w:rPr>
            </w:pPr>
            <w:r>
              <w:rPr>
                <w:rFonts w:ascii="Calibri"/>
                <w:b/>
                <w:sz w:val="22"/>
              </w:rPr>
              <w:t>Precio ($)</w:t>
            </w:r>
          </w:p>
        </w:tc>
      </w:tr>
      <w:tr>
        <w:trPr>
          <w:trHeight w:val="312" w:hRule="exact"/>
        </w:trPr>
        <w:tc>
          <w:tcPr>
            <w:tcW w:w="1201" w:type="dxa"/>
          </w:tcPr>
          <w:p>
            <w:pPr>
              <w:pStyle w:val="TableParagraph"/>
              <w:spacing w:before="34"/>
              <w:ind w:left="63" w:right="65"/>
              <w:jc w:val="center"/>
              <w:rPr>
                <w:rFonts w:ascii="Calibri"/>
                <w:sz w:val="22"/>
              </w:rPr>
            </w:pPr>
            <w:r>
              <w:rPr>
                <w:rFonts w:ascii="Calibri"/>
                <w:sz w:val="22"/>
              </w:rPr>
              <w:t>Clorato</w:t>
            </w:r>
          </w:p>
        </w:tc>
        <w:tc>
          <w:tcPr>
            <w:tcW w:w="1600" w:type="dxa"/>
          </w:tcPr>
          <w:p>
            <w:pPr>
              <w:pStyle w:val="TableParagraph"/>
              <w:spacing w:before="34"/>
              <w:ind w:right="63"/>
              <w:jc w:val="right"/>
              <w:rPr>
                <w:rFonts w:ascii="Calibri"/>
                <w:sz w:val="22"/>
              </w:rPr>
            </w:pPr>
            <w:r>
              <w:rPr>
                <w:rFonts w:ascii="Calibri"/>
                <w:sz w:val="22"/>
              </w:rPr>
              <w:t>36</w:t>
            </w:r>
          </w:p>
        </w:tc>
        <w:tc>
          <w:tcPr>
            <w:tcW w:w="1421" w:type="dxa"/>
          </w:tcPr>
          <w:p>
            <w:pPr>
              <w:pStyle w:val="TableParagraph"/>
              <w:spacing w:before="34"/>
              <w:ind w:right="62"/>
              <w:jc w:val="right"/>
              <w:rPr>
                <w:rFonts w:ascii="Calibri"/>
                <w:sz w:val="22"/>
              </w:rPr>
            </w:pPr>
            <w:r>
              <w:rPr>
                <w:rFonts w:ascii="Calibri"/>
                <w:sz w:val="22"/>
              </w:rPr>
              <w:t>4</w:t>
            </w:r>
          </w:p>
        </w:tc>
        <w:tc>
          <w:tcPr>
            <w:tcW w:w="1200" w:type="dxa"/>
          </w:tcPr>
          <w:p>
            <w:pPr>
              <w:pStyle w:val="TableParagraph"/>
              <w:spacing w:before="34"/>
              <w:ind w:right="62"/>
              <w:jc w:val="right"/>
              <w:rPr>
                <w:rFonts w:ascii="Calibri"/>
                <w:sz w:val="22"/>
              </w:rPr>
            </w:pPr>
            <w:r>
              <w:rPr>
                <w:rFonts w:ascii="Calibri"/>
                <w:sz w:val="22"/>
              </w:rPr>
              <w:t>144</w:t>
            </w:r>
          </w:p>
        </w:tc>
      </w:tr>
      <w:tr>
        <w:trPr>
          <w:trHeight w:val="308" w:hRule="exact"/>
        </w:trPr>
        <w:tc>
          <w:tcPr>
            <w:tcW w:w="1201" w:type="dxa"/>
          </w:tcPr>
          <w:p>
            <w:pPr>
              <w:pStyle w:val="TableParagraph"/>
              <w:spacing w:before="31"/>
              <w:ind w:left="63" w:right="61"/>
              <w:jc w:val="center"/>
              <w:rPr>
                <w:rFonts w:ascii="Calibri"/>
                <w:sz w:val="22"/>
              </w:rPr>
            </w:pPr>
            <w:r>
              <w:rPr>
                <w:rFonts w:ascii="Calibri"/>
                <w:sz w:val="22"/>
              </w:rPr>
              <w:t>Aluminio</w:t>
            </w:r>
          </w:p>
        </w:tc>
        <w:tc>
          <w:tcPr>
            <w:tcW w:w="1600" w:type="dxa"/>
          </w:tcPr>
          <w:p>
            <w:pPr>
              <w:pStyle w:val="TableParagraph"/>
              <w:spacing w:before="31"/>
              <w:ind w:right="63"/>
              <w:jc w:val="right"/>
              <w:rPr>
                <w:rFonts w:ascii="Calibri"/>
                <w:sz w:val="22"/>
              </w:rPr>
            </w:pPr>
            <w:r>
              <w:rPr>
                <w:rFonts w:ascii="Calibri"/>
                <w:sz w:val="22"/>
              </w:rPr>
              <w:t>175</w:t>
            </w:r>
          </w:p>
        </w:tc>
        <w:tc>
          <w:tcPr>
            <w:tcW w:w="1421" w:type="dxa"/>
          </w:tcPr>
          <w:p>
            <w:pPr>
              <w:pStyle w:val="TableParagraph"/>
              <w:spacing w:before="31"/>
              <w:ind w:right="62"/>
              <w:jc w:val="right"/>
              <w:rPr>
                <w:rFonts w:ascii="Calibri"/>
                <w:sz w:val="22"/>
              </w:rPr>
            </w:pPr>
            <w:r>
              <w:rPr>
                <w:rFonts w:ascii="Calibri"/>
                <w:sz w:val="22"/>
              </w:rPr>
              <w:t>1</w:t>
            </w:r>
          </w:p>
        </w:tc>
        <w:tc>
          <w:tcPr>
            <w:tcW w:w="1200" w:type="dxa"/>
          </w:tcPr>
          <w:p>
            <w:pPr>
              <w:pStyle w:val="TableParagraph"/>
              <w:spacing w:before="31"/>
              <w:ind w:right="62"/>
              <w:jc w:val="right"/>
              <w:rPr>
                <w:rFonts w:ascii="Calibri"/>
                <w:sz w:val="22"/>
              </w:rPr>
            </w:pPr>
            <w:r>
              <w:rPr>
                <w:rFonts w:ascii="Calibri"/>
                <w:sz w:val="22"/>
              </w:rPr>
              <w:t>175</w:t>
            </w:r>
          </w:p>
        </w:tc>
      </w:tr>
      <w:tr>
        <w:trPr>
          <w:trHeight w:val="312" w:hRule="exact"/>
        </w:trPr>
        <w:tc>
          <w:tcPr>
            <w:tcW w:w="1201" w:type="dxa"/>
          </w:tcPr>
          <w:p>
            <w:pPr>
              <w:pStyle w:val="TableParagraph"/>
              <w:spacing w:before="34"/>
              <w:ind w:left="63" w:right="57"/>
              <w:jc w:val="center"/>
              <w:rPr>
                <w:rFonts w:ascii="Calibri"/>
                <w:sz w:val="22"/>
              </w:rPr>
            </w:pPr>
            <w:r>
              <w:rPr>
                <w:rFonts w:ascii="Calibri"/>
                <w:sz w:val="22"/>
              </w:rPr>
              <w:t>Antimonio</w:t>
            </w:r>
          </w:p>
        </w:tc>
        <w:tc>
          <w:tcPr>
            <w:tcW w:w="1600" w:type="dxa"/>
          </w:tcPr>
          <w:p>
            <w:pPr>
              <w:pStyle w:val="TableParagraph"/>
              <w:spacing w:before="34"/>
              <w:ind w:right="63"/>
              <w:jc w:val="right"/>
              <w:rPr>
                <w:rFonts w:ascii="Calibri"/>
                <w:sz w:val="22"/>
              </w:rPr>
            </w:pPr>
            <w:r>
              <w:rPr>
                <w:rFonts w:ascii="Calibri"/>
                <w:sz w:val="22"/>
              </w:rPr>
              <w:t>20</w:t>
            </w:r>
          </w:p>
        </w:tc>
        <w:tc>
          <w:tcPr>
            <w:tcW w:w="1421" w:type="dxa"/>
          </w:tcPr>
          <w:p>
            <w:pPr>
              <w:pStyle w:val="TableParagraph"/>
              <w:spacing w:before="34"/>
              <w:ind w:right="62"/>
              <w:jc w:val="right"/>
              <w:rPr>
                <w:rFonts w:ascii="Calibri"/>
                <w:sz w:val="22"/>
              </w:rPr>
            </w:pPr>
            <w:r>
              <w:rPr>
                <w:rFonts w:ascii="Calibri"/>
                <w:sz w:val="22"/>
              </w:rPr>
              <w:t>1</w:t>
            </w:r>
          </w:p>
        </w:tc>
        <w:tc>
          <w:tcPr>
            <w:tcW w:w="1200" w:type="dxa"/>
          </w:tcPr>
          <w:p>
            <w:pPr>
              <w:pStyle w:val="TableParagraph"/>
              <w:spacing w:before="34"/>
              <w:ind w:right="62"/>
              <w:jc w:val="right"/>
              <w:rPr>
                <w:rFonts w:ascii="Calibri"/>
                <w:sz w:val="22"/>
              </w:rPr>
            </w:pPr>
            <w:r>
              <w:rPr>
                <w:rFonts w:ascii="Calibri"/>
                <w:sz w:val="22"/>
              </w:rPr>
              <w:t>20</w:t>
            </w:r>
          </w:p>
        </w:tc>
      </w:tr>
      <w:tr>
        <w:trPr>
          <w:trHeight w:val="308" w:hRule="exact"/>
        </w:trPr>
        <w:tc>
          <w:tcPr>
            <w:tcW w:w="1201" w:type="dxa"/>
          </w:tcPr>
          <w:p>
            <w:pPr>
              <w:pStyle w:val="TableParagraph"/>
              <w:spacing w:before="30"/>
              <w:ind w:left="63" w:right="63"/>
              <w:jc w:val="center"/>
              <w:rPr>
                <w:rFonts w:ascii="Calibri"/>
                <w:sz w:val="22"/>
              </w:rPr>
            </w:pPr>
            <w:r>
              <w:rPr>
                <w:rFonts w:ascii="Calibri"/>
                <w:sz w:val="22"/>
              </w:rPr>
              <w:t>Azufre</w:t>
            </w:r>
          </w:p>
        </w:tc>
        <w:tc>
          <w:tcPr>
            <w:tcW w:w="1600" w:type="dxa"/>
          </w:tcPr>
          <w:p>
            <w:pPr>
              <w:pStyle w:val="TableParagraph"/>
              <w:spacing w:before="30"/>
              <w:ind w:right="63"/>
              <w:jc w:val="right"/>
              <w:rPr>
                <w:rFonts w:ascii="Calibri"/>
                <w:sz w:val="22"/>
              </w:rPr>
            </w:pPr>
            <w:r>
              <w:rPr>
                <w:rFonts w:ascii="Calibri"/>
                <w:sz w:val="22"/>
              </w:rPr>
              <w:t>12</w:t>
            </w:r>
          </w:p>
        </w:tc>
        <w:tc>
          <w:tcPr>
            <w:tcW w:w="1421" w:type="dxa"/>
          </w:tcPr>
          <w:p>
            <w:pPr>
              <w:pStyle w:val="TableParagraph"/>
              <w:spacing w:before="30"/>
              <w:ind w:right="62"/>
              <w:jc w:val="right"/>
              <w:rPr>
                <w:rFonts w:ascii="Calibri"/>
                <w:sz w:val="22"/>
              </w:rPr>
            </w:pPr>
            <w:r>
              <w:rPr>
                <w:rFonts w:ascii="Calibri"/>
                <w:sz w:val="22"/>
              </w:rPr>
              <w:t>1</w:t>
            </w:r>
          </w:p>
        </w:tc>
        <w:tc>
          <w:tcPr>
            <w:tcW w:w="1200" w:type="dxa"/>
          </w:tcPr>
          <w:p>
            <w:pPr>
              <w:pStyle w:val="TableParagraph"/>
              <w:spacing w:before="30"/>
              <w:ind w:right="62"/>
              <w:jc w:val="right"/>
              <w:rPr>
                <w:rFonts w:ascii="Calibri"/>
                <w:sz w:val="22"/>
              </w:rPr>
            </w:pPr>
            <w:r>
              <w:rPr>
                <w:rFonts w:ascii="Calibri"/>
                <w:sz w:val="22"/>
              </w:rPr>
              <w:t>12</w:t>
            </w:r>
          </w:p>
        </w:tc>
      </w:tr>
      <w:tr>
        <w:trPr>
          <w:trHeight w:val="312" w:hRule="exact"/>
        </w:trPr>
        <w:tc>
          <w:tcPr>
            <w:tcW w:w="2801" w:type="dxa"/>
            <w:gridSpan w:val="2"/>
            <w:tcBorders>
              <w:left w:val="nil"/>
              <w:bottom w:val="nil"/>
            </w:tcBorders>
          </w:tcPr>
          <w:p>
            <w:pPr>
              <w:pStyle w:val="TableParagraph"/>
              <w:spacing w:before="34"/>
              <w:ind w:left="1704"/>
              <w:rPr>
                <w:rFonts w:ascii="Calibri"/>
                <w:b/>
                <w:sz w:val="22"/>
              </w:rPr>
            </w:pPr>
            <w:r>
              <w:rPr>
                <w:rFonts w:ascii="Calibri"/>
                <w:b/>
                <w:sz w:val="22"/>
              </w:rPr>
              <w:t>TOTAL</w:t>
            </w:r>
          </w:p>
        </w:tc>
        <w:tc>
          <w:tcPr>
            <w:tcW w:w="1421" w:type="dxa"/>
          </w:tcPr>
          <w:p>
            <w:pPr>
              <w:pStyle w:val="TableParagraph"/>
              <w:spacing w:before="34"/>
              <w:ind w:right="62"/>
              <w:jc w:val="right"/>
              <w:rPr>
                <w:rFonts w:ascii="Calibri"/>
                <w:sz w:val="22"/>
              </w:rPr>
            </w:pPr>
            <w:r>
              <w:rPr>
                <w:rFonts w:ascii="Calibri"/>
                <w:sz w:val="22"/>
              </w:rPr>
              <w:t>7</w:t>
            </w:r>
          </w:p>
        </w:tc>
        <w:tc>
          <w:tcPr>
            <w:tcW w:w="1200" w:type="dxa"/>
          </w:tcPr>
          <w:p>
            <w:pPr>
              <w:pStyle w:val="TableParagraph"/>
              <w:spacing w:before="34"/>
              <w:ind w:right="62"/>
              <w:jc w:val="right"/>
              <w:rPr>
                <w:rFonts w:ascii="Calibri"/>
                <w:sz w:val="22"/>
              </w:rPr>
            </w:pPr>
            <w:r>
              <w:rPr>
                <w:rFonts w:ascii="Calibri"/>
                <w:sz w:val="22"/>
              </w:rPr>
              <w:t>351</w:t>
            </w:r>
          </w:p>
        </w:tc>
      </w:tr>
      <w:tr>
        <w:trPr>
          <w:trHeight w:val="312" w:hRule="exact"/>
        </w:trPr>
        <w:tc>
          <w:tcPr>
            <w:tcW w:w="4222" w:type="dxa"/>
            <w:gridSpan w:val="3"/>
            <w:tcBorders>
              <w:top w:val="nil"/>
              <w:left w:val="nil"/>
              <w:bottom w:val="nil"/>
            </w:tcBorders>
          </w:tcPr>
          <w:p>
            <w:pPr>
              <w:pStyle w:val="TableParagraph"/>
              <w:spacing w:before="34"/>
              <w:ind w:right="107"/>
              <w:jc w:val="right"/>
              <w:rPr>
                <w:rFonts w:ascii="Calibri"/>
                <w:b/>
                <w:sz w:val="22"/>
              </w:rPr>
            </w:pPr>
            <w:r>
              <w:rPr>
                <w:rFonts w:ascii="Calibri"/>
                <w:b/>
                <w:sz w:val="22"/>
              </w:rPr>
              <w:t>Precio por kg</w:t>
            </w:r>
          </w:p>
        </w:tc>
        <w:tc>
          <w:tcPr>
            <w:tcW w:w="1200" w:type="dxa"/>
          </w:tcPr>
          <w:p>
            <w:pPr>
              <w:pStyle w:val="TableParagraph"/>
              <w:spacing w:before="30"/>
              <w:ind w:right="58"/>
              <w:jc w:val="right"/>
              <w:rPr>
                <w:rFonts w:ascii="Calibri"/>
                <w:sz w:val="22"/>
              </w:rPr>
            </w:pPr>
            <w:r>
              <w:rPr>
                <w:rFonts w:ascii="Calibri"/>
                <w:sz w:val="22"/>
              </w:rPr>
              <w:t>50.1428571</w:t>
            </w:r>
          </w:p>
        </w:tc>
      </w:tr>
    </w:tbl>
    <w:p>
      <w:pPr>
        <w:pStyle w:val="BodyText"/>
        <w:spacing w:before="1"/>
        <w:rPr>
          <w:sz w:val="23"/>
        </w:rPr>
      </w:pPr>
    </w:p>
    <w:p>
      <w:pPr>
        <w:spacing w:before="74"/>
        <w:ind w:left="2589" w:right="9" w:firstLine="0"/>
        <w:jc w:val="left"/>
        <w:rPr>
          <w:sz w:val="20"/>
        </w:rPr>
      </w:pPr>
      <w:r>
        <w:rPr>
          <w:sz w:val="20"/>
        </w:rPr>
        <w:t>Tabla A9. Costos de elaboración de trueno.</w:t>
      </w:r>
    </w:p>
    <w:p>
      <w:pPr>
        <w:pStyle w:val="BodyText"/>
        <w:rPr>
          <w:sz w:val="20"/>
        </w:rPr>
      </w:pPr>
    </w:p>
    <w:p>
      <w:pPr>
        <w:pStyle w:val="BodyText"/>
        <w:spacing w:before="4"/>
        <w:rPr>
          <w:sz w:val="26"/>
        </w:rPr>
      </w:pPr>
    </w:p>
    <w:p>
      <w:pPr>
        <w:pStyle w:val="BodyText"/>
        <w:spacing w:line="360" w:lineRule="auto"/>
        <w:ind w:left="100" w:right="107"/>
        <w:jc w:val="both"/>
      </w:pPr>
      <w:r>
        <w:rPr/>
        <w:t>Para la elaboración de mechas los valores correspondientes por lote de producción se muestran en la siguiente tabla, cada lote produce lo necesario para dos gruesas de cohetón aproximadamente, lo que es equivalente a 288 cohetones.</w:t>
      </w:r>
    </w:p>
    <w:p>
      <w:pPr>
        <w:spacing w:after="0" w:line="360" w:lineRule="auto"/>
        <w:jc w:val="both"/>
        <w:sectPr>
          <w:pgSz w:w="12240" w:h="15840"/>
          <w:pgMar w:header="0" w:footer="1071" w:top="1360" w:bottom="1260" w:left="1600" w:right="1600"/>
        </w:sectPr>
      </w:pPr>
    </w:p>
    <w:tbl>
      <w:tblPr>
        <w:tblW w:w="0" w:type="auto"/>
        <w:jc w:val="left"/>
        <w:tblInd w:w="18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1"/>
        <w:gridCol w:w="1780"/>
        <w:gridCol w:w="1201"/>
        <w:gridCol w:w="1200"/>
      </w:tblGrid>
      <w:tr>
        <w:trPr>
          <w:trHeight w:val="312" w:hRule="exact"/>
        </w:trPr>
        <w:tc>
          <w:tcPr>
            <w:tcW w:w="1201" w:type="dxa"/>
          </w:tcPr>
          <w:p>
            <w:pPr>
              <w:pStyle w:val="TableParagraph"/>
              <w:spacing w:before="31"/>
              <w:ind w:left="63" w:right="62"/>
              <w:jc w:val="center"/>
              <w:rPr>
                <w:rFonts w:ascii="Calibri"/>
                <w:b/>
                <w:sz w:val="22"/>
              </w:rPr>
            </w:pPr>
            <w:r>
              <w:rPr>
                <w:rFonts w:ascii="Calibri"/>
                <w:b/>
                <w:sz w:val="22"/>
              </w:rPr>
              <w:t>Material</w:t>
            </w:r>
          </w:p>
        </w:tc>
        <w:tc>
          <w:tcPr>
            <w:tcW w:w="1780" w:type="dxa"/>
          </w:tcPr>
          <w:p>
            <w:pPr>
              <w:pStyle w:val="TableParagraph"/>
              <w:spacing w:before="31"/>
              <w:ind w:left="139"/>
              <w:rPr>
                <w:rFonts w:ascii="Calibri"/>
                <w:b/>
                <w:sz w:val="22"/>
              </w:rPr>
            </w:pPr>
            <w:r>
              <w:rPr>
                <w:rFonts w:ascii="Calibri"/>
                <w:b/>
                <w:sz w:val="22"/>
              </w:rPr>
              <w:t>Precio por kg ($)</w:t>
            </w:r>
          </w:p>
        </w:tc>
        <w:tc>
          <w:tcPr>
            <w:tcW w:w="1201" w:type="dxa"/>
          </w:tcPr>
          <w:p>
            <w:pPr>
              <w:pStyle w:val="TableParagraph"/>
              <w:spacing w:before="31"/>
              <w:ind w:left="184"/>
              <w:rPr>
                <w:rFonts w:ascii="Calibri"/>
                <w:b/>
                <w:sz w:val="22"/>
              </w:rPr>
            </w:pPr>
            <w:r>
              <w:rPr>
                <w:rFonts w:ascii="Calibri"/>
                <w:b/>
                <w:sz w:val="22"/>
              </w:rPr>
              <w:t>Cantidad</w:t>
            </w:r>
          </w:p>
        </w:tc>
        <w:tc>
          <w:tcPr>
            <w:tcW w:w="1200" w:type="dxa"/>
          </w:tcPr>
          <w:p>
            <w:pPr>
              <w:pStyle w:val="TableParagraph"/>
              <w:spacing w:before="31"/>
              <w:ind w:left="164" w:right="111"/>
              <w:rPr>
                <w:rFonts w:ascii="Calibri"/>
                <w:b/>
                <w:sz w:val="22"/>
              </w:rPr>
            </w:pPr>
            <w:r>
              <w:rPr>
                <w:rFonts w:ascii="Calibri"/>
                <w:b/>
                <w:sz w:val="22"/>
              </w:rPr>
              <w:t>Precio ($)</w:t>
            </w:r>
          </w:p>
        </w:tc>
      </w:tr>
      <w:tr>
        <w:trPr>
          <w:trHeight w:val="308" w:hRule="exact"/>
        </w:trPr>
        <w:tc>
          <w:tcPr>
            <w:tcW w:w="1201" w:type="dxa"/>
          </w:tcPr>
          <w:p>
            <w:pPr>
              <w:pStyle w:val="TableParagraph"/>
              <w:spacing w:before="27"/>
              <w:ind w:left="63" w:right="59"/>
              <w:jc w:val="center"/>
              <w:rPr>
                <w:rFonts w:ascii="Calibri" w:hAnsi="Calibri"/>
                <w:sz w:val="22"/>
              </w:rPr>
            </w:pPr>
            <w:r>
              <w:rPr>
                <w:rFonts w:ascii="Calibri" w:hAnsi="Calibri"/>
                <w:sz w:val="22"/>
              </w:rPr>
              <w:t>Pólvora</w:t>
            </w:r>
          </w:p>
        </w:tc>
        <w:tc>
          <w:tcPr>
            <w:tcW w:w="1780" w:type="dxa"/>
          </w:tcPr>
          <w:p>
            <w:pPr>
              <w:pStyle w:val="TableParagraph"/>
              <w:spacing w:before="27"/>
              <w:ind w:right="57"/>
              <w:jc w:val="right"/>
              <w:rPr>
                <w:rFonts w:ascii="Calibri"/>
                <w:sz w:val="22"/>
              </w:rPr>
            </w:pPr>
            <w:r>
              <w:rPr>
                <w:rFonts w:ascii="Calibri"/>
                <w:sz w:val="22"/>
              </w:rPr>
              <w:t>16.28</w:t>
            </w:r>
          </w:p>
        </w:tc>
        <w:tc>
          <w:tcPr>
            <w:tcW w:w="1201" w:type="dxa"/>
          </w:tcPr>
          <w:p>
            <w:pPr>
              <w:pStyle w:val="TableParagraph"/>
              <w:spacing w:before="27"/>
              <w:ind w:right="62"/>
              <w:jc w:val="right"/>
              <w:rPr>
                <w:rFonts w:ascii="Calibri"/>
                <w:sz w:val="22"/>
              </w:rPr>
            </w:pPr>
            <w:r>
              <w:rPr>
                <w:rFonts w:ascii="Calibri"/>
                <w:sz w:val="22"/>
              </w:rPr>
              <w:t>2 kg</w:t>
            </w:r>
          </w:p>
        </w:tc>
        <w:tc>
          <w:tcPr>
            <w:tcW w:w="1200" w:type="dxa"/>
          </w:tcPr>
          <w:p>
            <w:pPr>
              <w:pStyle w:val="TableParagraph"/>
              <w:spacing w:before="27"/>
              <w:ind w:right="58"/>
              <w:jc w:val="right"/>
              <w:rPr>
                <w:rFonts w:ascii="Calibri"/>
                <w:sz w:val="22"/>
              </w:rPr>
            </w:pPr>
            <w:r>
              <w:rPr>
                <w:rFonts w:ascii="Calibri"/>
                <w:sz w:val="22"/>
              </w:rPr>
              <w:t>32.56</w:t>
            </w:r>
          </w:p>
        </w:tc>
      </w:tr>
      <w:tr>
        <w:trPr>
          <w:trHeight w:val="312" w:hRule="exact"/>
        </w:trPr>
        <w:tc>
          <w:tcPr>
            <w:tcW w:w="1201" w:type="dxa"/>
          </w:tcPr>
          <w:p>
            <w:pPr>
              <w:pStyle w:val="TableParagraph"/>
              <w:spacing w:before="31"/>
              <w:ind w:left="63" w:right="57"/>
              <w:jc w:val="center"/>
              <w:rPr>
                <w:rFonts w:ascii="Calibri"/>
                <w:sz w:val="22"/>
              </w:rPr>
            </w:pPr>
            <w:r>
              <w:rPr>
                <w:rFonts w:ascii="Calibri"/>
                <w:sz w:val="22"/>
              </w:rPr>
              <w:t>hilo</w:t>
            </w:r>
          </w:p>
        </w:tc>
        <w:tc>
          <w:tcPr>
            <w:tcW w:w="1780" w:type="dxa"/>
          </w:tcPr>
          <w:p>
            <w:pPr>
              <w:pStyle w:val="TableParagraph"/>
              <w:spacing w:before="31"/>
              <w:ind w:right="63"/>
              <w:jc w:val="right"/>
              <w:rPr>
                <w:rFonts w:ascii="Calibri"/>
                <w:sz w:val="22"/>
              </w:rPr>
            </w:pPr>
            <w:r>
              <w:rPr>
                <w:rFonts w:ascii="Calibri"/>
                <w:sz w:val="22"/>
              </w:rPr>
              <w:t>60</w:t>
            </w:r>
          </w:p>
        </w:tc>
        <w:tc>
          <w:tcPr>
            <w:tcW w:w="1201" w:type="dxa"/>
          </w:tcPr>
          <w:p>
            <w:pPr>
              <w:pStyle w:val="TableParagraph"/>
              <w:spacing w:before="31"/>
              <w:ind w:right="62"/>
              <w:jc w:val="right"/>
              <w:rPr>
                <w:rFonts w:ascii="Calibri"/>
                <w:sz w:val="22"/>
              </w:rPr>
            </w:pPr>
            <w:r>
              <w:rPr>
                <w:rFonts w:ascii="Calibri"/>
                <w:sz w:val="22"/>
              </w:rPr>
              <w:t>1 kg</w:t>
            </w:r>
          </w:p>
        </w:tc>
        <w:tc>
          <w:tcPr>
            <w:tcW w:w="1200" w:type="dxa"/>
          </w:tcPr>
          <w:p>
            <w:pPr>
              <w:pStyle w:val="TableParagraph"/>
              <w:spacing w:before="31"/>
              <w:ind w:right="62"/>
              <w:jc w:val="right"/>
              <w:rPr>
                <w:rFonts w:ascii="Calibri"/>
                <w:sz w:val="22"/>
              </w:rPr>
            </w:pPr>
            <w:r>
              <w:rPr>
                <w:rFonts w:ascii="Calibri"/>
                <w:sz w:val="22"/>
              </w:rPr>
              <w:t>60</w:t>
            </w:r>
          </w:p>
        </w:tc>
      </w:tr>
      <w:tr>
        <w:trPr>
          <w:trHeight w:val="308" w:hRule="exact"/>
        </w:trPr>
        <w:tc>
          <w:tcPr>
            <w:tcW w:w="1201" w:type="dxa"/>
          </w:tcPr>
          <w:p>
            <w:pPr>
              <w:pStyle w:val="TableParagraph"/>
              <w:spacing w:before="27"/>
              <w:ind w:left="63" w:right="63"/>
              <w:jc w:val="center"/>
              <w:rPr>
                <w:rFonts w:ascii="Calibri"/>
                <w:sz w:val="22"/>
              </w:rPr>
            </w:pPr>
            <w:r>
              <w:rPr>
                <w:rFonts w:ascii="Calibri"/>
                <w:sz w:val="22"/>
              </w:rPr>
              <w:t>Goma laca</w:t>
            </w:r>
          </w:p>
        </w:tc>
        <w:tc>
          <w:tcPr>
            <w:tcW w:w="1780" w:type="dxa"/>
          </w:tcPr>
          <w:p>
            <w:pPr>
              <w:pStyle w:val="TableParagraph"/>
              <w:spacing w:before="27"/>
              <w:ind w:right="63"/>
              <w:jc w:val="right"/>
              <w:rPr>
                <w:rFonts w:ascii="Calibri"/>
                <w:sz w:val="22"/>
              </w:rPr>
            </w:pPr>
            <w:r>
              <w:rPr>
                <w:rFonts w:ascii="Calibri"/>
                <w:sz w:val="22"/>
              </w:rPr>
              <w:t>70</w:t>
            </w:r>
          </w:p>
        </w:tc>
        <w:tc>
          <w:tcPr>
            <w:tcW w:w="1201" w:type="dxa"/>
          </w:tcPr>
          <w:p>
            <w:pPr>
              <w:pStyle w:val="TableParagraph"/>
              <w:spacing w:before="27"/>
              <w:ind w:right="62"/>
              <w:jc w:val="right"/>
              <w:rPr>
                <w:rFonts w:ascii="Calibri"/>
                <w:sz w:val="22"/>
              </w:rPr>
            </w:pPr>
            <w:r>
              <w:rPr>
                <w:rFonts w:ascii="Calibri"/>
                <w:sz w:val="22"/>
              </w:rPr>
              <w:t>1 kg</w:t>
            </w:r>
          </w:p>
        </w:tc>
        <w:tc>
          <w:tcPr>
            <w:tcW w:w="1200" w:type="dxa"/>
          </w:tcPr>
          <w:p>
            <w:pPr>
              <w:pStyle w:val="TableParagraph"/>
              <w:spacing w:before="27"/>
              <w:ind w:right="62"/>
              <w:jc w:val="right"/>
              <w:rPr>
                <w:rFonts w:ascii="Calibri"/>
                <w:sz w:val="22"/>
              </w:rPr>
            </w:pPr>
            <w:r>
              <w:rPr>
                <w:rFonts w:ascii="Calibri"/>
                <w:sz w:val="22"/>
              </w:rPr>
              <w:t>35</w:t>
            </w:r>
          </w:p>
        </w:tc>
      </w:tr>
      <w:tr>
        <w:trPr>
          <w:trHeight w:val="312" w:hRule="exact"/>
        </w:trPr>
        <w:tc>
          <w:tcPr>
            <w:tcW w:w="1201" w:type="dxa"/>
          </w:tcPr>
          <w:p>
            <w:pPr>
              <w:pStyle w:val="TableParagraph"/>
              <w:spacing w:before="30"/>
              <w:ind w:left="63" w:right="59"/>
              <w:jc w:val="center"/>
              <w:rPr>
                <w:rFonts w:ascii="Calibri"/>
                <w:sz w:val="22"/>
              </w:rPr>
            </w:pPr>
            <w:r>
              <w:rPr>
                <w:rFonts w:ascii="Calibri"/>
                <w:sz w:val="22"/>
              </w:rPr>
              <w:t>Alcohol</w:t>
            </w:r>
          </w:p>
        </w:tc>
        <w:tc>
          <w:tcPr>
            <w:tcW w:w="1780" w:type="dxa"/>
          </w:tcPr>
          <w:p>
            <w:pPr>
              <w:pStyle w:val="TableParagraph"/>
              <w:spacing w:before="30"/>
              <w:ind w:right="63"/>
              <w:jc w:val="right"/>
              <w:rPr>
                <w:rFonts w:ascii="Calibri"/>
                <w:sz w:val="22"/>
              </w:rPr>
            </w:pPr>
            <w:r>
              <w:rPr>
                <w:rFonts w:ascii="Calibri"/>
                <w:sz w:val="22"/>
              </w:rPr>
              <w:t>18</w:t>
            </w:r>
          </w:p>
        </w:tc>
        <w:tc>
          <w:tcPr>
            <w:tcW w:w="1201" w:type="dxa"/>
          </w:tcPr>
          <w:p>
            <w:pPr>
              <w:pStyle w:val="TableParagraph"/>
              <w:spacing w:before="30"/>
              <w:ind w:right="64"/>
              <w:jc w:val="right"/>
              <w:rPr>
                <w:rFonts w:ascii="Calibri"/>
                <w:sz w:val="22"/>
              </w:rPr>
            </w:pPr>
            <w:r>
              <w:rPr>
                <w:rFonts w:ascii="Calibri"/>
                <w:sz w:val="22"/>
              </w:rPr>
              <w:t>1 lt</w:t>
            </w:r>
          </w:p>
        </w:tc>
        <w:tc>
          <w:tcPr>
            <w:tcW w:w="1200" w:type="dxa"/>
          </w:tcPr>
          <w:p>
            <w:pPr>
              <w:pStyle w:val="TableParagraph"/>
              <w:spacing w:before="30"/>
              <w:ind w:right="62"/>
              <w:jc w:val="right"/>
              <w:rPr>
                <w:rFonts w:ascii="Calibri"/>
                <w:sz w:val="22"/>
              </w:rPr>
            </w:pPr>
            <w:r>
              <w:rPr>
                <w:rFonts w:ascii="Calibri"/>
                <w:sz w:val="22"/>
              </w:rPr>
              <w:t>18</w:t>
            </w:r>
          </w:p>
        </w:tc>
      </w:tr>
      <w:tr>
        <w:trPr>
          <w:trHeight w:val="313" w:hRule="exact"/>
        </w:trPr>
        <w:tc>
          <w:tcPr>
            <w:tcW w:w="4182" w:type="dxa"/>
            <w:gridSpan w:val="3"/>
            <w:tcBorders>
              <w:left w:val="nil"/>
              <w:bottom w:val="nil"/>
            </w:tcBorders>
          </w:tcPr>
          <w:p>
            <w:pPr>
              <w:pStyle w:val="TableParagraph"/>
              <w:spacing w:before="27"/>
              <w:ind w:right="301"/>
              <w:jc w:val="right"/>
              <w:rPr>
                <w:rFonts w:ascii="Calibri"/>
                <w:b/>
                <w:sz w:val="22"/>
              </w:rPr>
            </w:pPr>
            <w:r>
              <w:rPr>
                <w:rFonts w:ascii="Calibri"/>
                <w:b/>
                <w:sz w:val="22"/>
              </w:rPr>
              <w:t>TOTAL</w:t>
            </w:r>
          </w:p>
        </w:tc>
        <w:tc>
          <w:tcPr>
            <w:tcW w:w="1200" w:type="dxa"/>
          </w:tcPr>
          <w:p>
            <w:pPr>
              <w:pStyle w:val="TableParagraph"/>
              <w:spacing w:before="27"/>
              <w:ind w:right="58"/>
              <w:jc w:val="right"/>
              <w:rPr>
                <w:rFonts w:ascii="Calibri"/>
                <w:sz w:val="22"/>
              </w:rPr>
            </w:pPr>
            <w:r>
              <w:rPr>
                <w:rFonts w:ascii="Calibri"/>
                <w:sz w:val="22"/>
              </w:rPr>
              <w:t>145.56</w:t>
            </w:r>
          </w:p>
        </w:tc>
      </w:tr>
    </w:tbl>
    <w:p>
      <w:pPr>
        <w:pStyle w:val="BodyText"/>
        <w:spacing w:before="9"/>
        <w:rPr>
          <w:sz w:val="22"/>
        </w:rPr>
      </w:pPr>
    </w:p>
    <w:p>
      <w:pPr>
        <w:spacing w:before="75"/>
        <w:ind w:left="2465" w:right="9" w:firstLine="0"/>
        <w:jc w:val="left"/>
        <w:rPr>
          <w:sz w:val="20"/>
        </w:rPr>
      </w:pPr>
      <w:r>
        <w:rPr>
          <w:sz w:val="20"/>
        </w:rPr>
        <w:t>Tabla A10. Costos de elaboración de mechas.</w:t>
      </w:r>
    </w:p>
    <w:p>
      <w:pPr>
        <w:pStyle w:val="BodyText"/>
        <w:rPr>
          <w:sz w:val="20"/>
        </w:rPr>
      </w:pPr>
    </w:p>
    <w:p>
      <w:pPr>
        <w:pStyle w:val="BodyText"/>
        <w:spacing w:before="3"/>
        <w:rPr>
          <w:sz w:val="26"/>
        </w:rPr>
      </w:pPr>
    </w:p>
    <w:p>
      <w:pPr>
        <w:pStyle w:val="BodyText"/>
        <w:spacing w:line="360" w:lineRule="auto"/>
        <w:ind w:left="100" w:right="106"/>
        <w:jc w:val="both"/>
      </w:pPr>
      <w:r>
        <w:rPr/>
        <w:t>El taller presenta actividad productiva cinco días a la semana con 5 trabajadores a los que se les paga $200 por día laborado, el propietario del taller toma las funciones de trabajador, siendo el quien elabora las pesadas del material con el que se trabaja asegurándose de manejar el material controlado por la SEDENA.</w:t>
      </w:r>
    </w:p>
    <w:p>
      <w:pPr>
        <w:pStyle w:val="BodyText"/>
      </w:pPr>
    </w:p>
    <w:p>
      <w:pPr>
        <w:pStyle w:val="BodyText"/>
        <w:spacing w:line="360" w:lineRule="auto" w:before="142"/>
        <w:ind w:left="100" w:right="103"/>
        <w:jc w:val="both"/>
      </w:pPr>
      <w:r>
        <w:rPr/>
        <w:t>No existen gastos de capacitación del personal, ya que los trabajadores reciben las instrucciones de lo que harán en el mismo momento, aunado a ello dependerá de la experiencia de los trabajadores el tipo de trabajo que desempeñaran, siendo la elaboración del efecto y el armado final procesos destinados a los trabajadores de mayor experiencia, en este caso la paga puede incrementar, no siendo este el caso.</w:t>
      </w:r>
    </w:p>
    <w:p>
      <w:pPr>
        <w:pStyle w:val="BodyText"/>
      </w:pPr>
    </w:p>
    <w:p>
      <w:pPr>
        <w:pStyle w:val="BodyText"/>
        <w:spacing w:line="360" w:lineRule="auto" w:before="142"/>
        <w:ind w:left="100" w:right="106"/>
        <w:jc w:val="both"/>
      </w:pPr>
      <w:r>
        <w:rPr/>
        <w:t>De igual manera no utilizan equipo de seguridad básico por lo que los costos en equipamiento no existen, carecen de materiales como guantes, lentes de seguridad o ropa específica para desempeñar sus</w:t>
      </w:r>
      <w:r>
        <w:rPr>
          <w:spacing w:val="-28"/>
        </w:rPr>
        <w:t> </w:t>
      </w:r>
      <w:r>
        <w:rPr/>
        <w:t>labores.</w:t>
      </w:r>
    </w:p>
    <w:p>
      <w:pPr>
        <w:pStyle w:val="BodyText"/>
      </w:pPr>
    </w:p>
    <w:p>
      <w:pPr>
        <w:pStyle w:val="BodyText"/>
      </w:pPr>
    </w:p>
    <w:p>
      <w:pPr>
        <w:pStyle w:val="BodyText"/>
        <w:spacing w:before="10"/>
        <w:rPr>
          <w:sz w:val="23"/>
        </w:rPr>
      </w:pPr>
    </w:p>
    <w:p>
      <w:pPr>
        <w:pStyle w:val="Heading2"/>
        <w:spacing w:before="0"/>
        <w:jc w:val="both"/>
      </w:pPr>
      <w:r>
        <w:rPr/>
        <w:t>ANALISIS DE INVENTARIOS</w:t>
      </w:r>
    </w:p>
    <w:p>
      <w:pPr>
        <w:pStyle w:val="BodyText"/>
        <w:rPr>
          <w:b/>
        </w:rPr>
      </w:pPr>
    </w:p>
    <w:p>
      <w:pPr>
        <w:pStyle w:val="BodyText"/>
        <w:spacing w:before="4"/>
        <w:rPr>
          <w:b/>
        </w:rPr>
      </w:pPr>
    </w:p>
    <w:p>
      <w:pPr>
        <w:pStyle w:val="BodyText"/>
        <w:spacing w:line="360" w:lineRule="auto"/>
        <w:ind w:left="100" w:right="104"/>
        <w:jc w:val="both"/>
      </w:pPr>
      <w:r>
        <w:rPr/>
        <w:t>La producción de artificios pirotécnicos de tipo cohetón es medida por las denominadas “gruesas” esta unidad de medida consta de doce docenas de unidades. El maestro pirotécnico comentó que se vendieron 40 gruesas en noviembre, por lo que la producción de artificios fue de un total de 5760 cohetones.</w:t>
      </w:r>
    </w:p>
    <w:p>
      <w:pPr>
        <w:spacing w:after="0" w:line="360" w:lineRule="auto"/>
        <w:jc w:val="both"/>
        <w:sectPr>
          <w:pgSz w:w="12240" w:h="15840"/>
          <w:pgMar w:header="0" w:footer="1071" w:top="1420" w:bottom="1260" w:left="1600" w:right="1600"/>
        </w:sectPr>
      </w:pPr>
    </w:p>
    <w:p>
      <w:pPr>
        <w:pStyle w:val="BodyText"/>
        <w:spacing w:before="9"/>
        <w:rPr>
          <w:sz w:val="22"/>
        </w:rPr>
      </w:pPr>
    </w:p>
    <w:p>
      <w:pPr>
        <w:pStyle w:val="BodyText"/>
        <w:spacing w:line="360" w:lineRule="auto" w:before="69"/>
        <w:ind w:left="100" w:right="102"/>
        <w:jc w:val="both"/>
      </w:pPr>
      <w:r>
        <w:rPr/>
        <w:t>Entre los datos obtenidos resaltan que cada lote de producción de pólvora alcanza para elaborar el impulsor de un aproximado de 9 gruesas, mientras que en cuanto a el efecto cada lote alcanza para elaborar 2.5 gruesas, para el caso de las mechas con un kilo de hilo se pueden realizar las correspondientes para 5 gruesas, con lo que al realizar los cálculos correspondientes las cantidades a usar por cohetón son las mostradas a</w:t>
      </w:r>
      <w:r>
        <w:rPr>
          <w:spacing w:val="-25"/>
        </w:rPr>
        <w:t> </w:t>
      </w:r>
      <w:r>
        <w:rPr/>
        <w:t>continuación.</w:t>
      </w:r>
    </w:p>
    <w:p>
      <w:pPr>
        <w:pStyle w:val="BodyText"/>
        <w:rPr>
          <w:sz w:val="20"/>
        </w:rPr>
      </w:pPr>
    </w:p>
    <w:p>
      <w:pPr>
        <w:pStyle w:val="BodyText"/>
        <w:spacing w:before="5"/>
        <w:rPr>
          <w:sz w:val="16"/>
        </w:rPr>
      </w:pPr>
    </w:p>
    <w:tbl>
      <w:tblPr>
        <w:tblW w:w="0" w:type="auto"/>
        <w:jc w:val="left"/>
        <w:tblInd w:w="234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00"/>
        <w:gridCol w:w="1932"/>
        <w:gridCol w:w="1205"/>
      </w:tblGrid>
      <w:tr>
        <w:trPr>
          <w:trHeight w:val="597" w:hRule="exact"/>
        </w:trPr>
        <w:tc>
          <w:tcPr>
            <w:tcW w:w="1200" w:type="dxa"/>
            <w:tcBorders>
              <w:left w:val="single" w:sz="3" w:space="0" w:color="000000"/>
            </w:tcBorders>
          </w:tcPr>
          <w:p>
            <w:pPr>
              <w:pStyle w:val="TableParagraph"/>
              <w:spacing w:before="8"/>
              <w:rPr>
                <w:sz w:val="25"/>
              </w:rPr>
            </w:pPr>
          </w:p>
          <w:p>
            <w:pPr>
              <w:pStyle w:val="TableParagraph"/>
              <w:ind w:left="145" w:right="139"/>
              <w:jc w:val="center"/>
              <w:rPr>
                <w:rFonts w:ascii="Calibri"/>
                <w:b/>
                <w:sz w:val="24"/>
              </w:rPr>
            </w:pPr>
            <w:r>
              <w:rPr>
                <w:rFonts w:ascii="Calibri"/>
                <w:b/>
                <w:sz w:val="24"/>
              </w:rPr>
              <w:t>Material</w:t>
            </w:r>
          </w:p>
        </w:tc>
        <w:tc>
          <w:tcPr>
            <w:tcW w:w="1932" w:type="dxa"/>
          </w:tcPr>
          <w:p>
            <w:pPr>
              <w:pStyle w:val="TableParagraph"/>
              <w:spacing w:before="8"/>
              <w:rPr>
                <w:sz w:val="25"/>
              </w:rPr>
            </w:pPr>
          </w:p>
          <w:p>
            <w:pPr>
              <w:pStyle w:val="TableParagraph"/>
              <w:ind w:left="47" w:right="44"/>
              <w:jc w:val="center"/>
              <w:rPr>
                <w:rFonts w:ascii="Calibri"/>
                <w:b/>
                <w:sz w:val="24"/>
              </w:rPr>
            </w:pPr>
            <w:r>
              <w:rPr>
                <w:rFonts w:ascii="Calibri"/>
                <w:b/>
                <w:sz w:val="24"/>
              </w:rPr>
              <w:t>Cantidad</w:t>
            </w:r>
          </w:p>
        </w:tc>
        <w:tc>
          <w:tcPr>
            <w:tcW w:w="1205" w:type="dxa"/>
          </w:tcPr>
          <w:p>
            <w:pPr>
              <w:pStyle w:val="TableParagraph"/>
              <w:spacing w:before="3"/>
              <w:ind w:left="64" w:right="49" w:firstLine="248"/>
              <w:rPr>
                <w:rFonts w:ascii="Calibri"/>
                <w:b/>
                <w:sz w:val="24"/>
              </w:rPr>
            </w:pPr>
            <w:r>
              <w:rPr>
                <w:rFonts w:ascii="Calibri"/>
                <w:b/>
                <w:sz w:val="24"/>
              </w:rPr>
              <w:t>Costo unitario($)</w:t>
            </w:r>
          </w:p>
        </w:tc>
      </w:tr>
      <w:tr>
        <w:trPr>
          <w:trHeight w:val="312" w:hRule="exact"/>
        </w:trPr>
        <w:tc>
          <w:tcPr>
            <w:tcW w:w="1200" w:type="dxa"/>
            <w:tcBorders>
              <w:left w:val="single" w:sz="3" w:space="0" w:color="000000"/>
            </w:tcBorders>
          </w:tcPr>
          <w:p>
            <w:pPr>
              <w:pStyle w:val="TableParagraph"/>
              <w:spacing w:before="7"/>
              <w:ind w:left="145" w:right="141"/>
              <w:jc w:val="center"/>
              <w:rPr>
                <w:rFonts w:ascii="Calibri"/>
                <w:sz w:val="24"/>
              </w:rPr>
            </w:pPr>
            <w:r>
              <w:rPr>
                <w:rFonts w:ascii="Calibri"/>
                <w:sz w:val="24"/>
              </w:rPr>
              <w:t>Inertes</w:t>
            </w:r>
          </w:p>
        </w:tc>
        <w:tc>
          <w:tcPr>
            <w:tcW w:w="1932" w:type="dxa"/>
          </w:tcPr>
          <w:p>
            <w:pPr>
              <w:pStyle w:val="TableParagraph"/>
              <w:spacing w:before="7"/>
              <w:ind w:left="47" w:right="42"/>
              <w:jc w:val="center"/>
              <w:rPr>
                <w:rFonts w:ascii="Calibri" w:hAnsi="Calibri"/>
                <w:sz w:val="24"/>
              </w:rPr>
            </w:pPr>
            <w:r>
              <w:rPr>
                <w:rFonts w:ascii="Calibri" w:hAnsi="Calibri"/>
                <w:sz w:val="24"/>
              </w:rPr>
              <w:t>1 cohetón</w:t>
            </w:r>
          </w:p>
        </w:tc>
        <w:tc>
          <w:tcPr>
            <w:tcW w:w="1205" w:type="dxa"/>
          </w:tcPr>
          <w:p>
            <w:pPr>
              <w:pStyle w:val="TableParagraph"/>
              <w:spacing w:before="7"/>
              <w:ind w:right="68"/>
              <w:jc w:val="right"/>
              <w:rPr>
                <w:rFonts w:ascii="Calibri"/>
                <w:sz w:val="24"/>
              </w:rPr>
            </w:pPr>
            <w:r>
              <w:rPr>
                <w:rFonts w:ascii="Calibri"/>
                <w:sz w:val="24"/>
              </w:rPr>
              <w:t>1.15583</w:t>
            </w:r>
          </w:p>
        </w:tc>
      </w:tr>
      <w:tr>
        <w:trPr>
          <w:trHeight w:val="308" w:hRule="exact"/>
        </w:trPr>
        <w:tc>
          <w:tcPr>
            <w:tcW w:w="1200" w:type="dxa"/>
            <w:tcBorders>
              <w:left w:val="single" w:sz="3" w:space="0" w:color="000000"/>
            </w:tcBorders>
          </w:tcPr>
          <w:p>
            <w:pPr>
              <w:pStyle w:val="TableParagraph"/>
              <w:spacing w:before="7"/>
              <w:ind w:left="145" w:right="143"/>
              <w:jc w:val="center"/>
              <w:rPr>
                <w:rFonts w:ascii="Calibri"/>
                <w:sz w:val="24"/>
              </w:rPr>
            </w:pPr>
            <w:r>
              <w:rPr>
                <w:rFonts w:ascii="Calibri"/>
                <w:sz w:val="24"/>
              </w:rPr>
              <w:t>Impulsor</w:t>
            </w:r>
          </w:p>
        </w:tc>
        <w:tc>
          <w:tcPr>
            <w:tcW w:w="1932" w:type="dxa"/>
          </w:tcPr>
          <w:p>
            <w:pPr>
              <w:pStyle w:val="TableParagraph"/>
              <w:spacing w:before="7"/>
              <w:ind w:left="47" w:right="47"/>
              <w:jc w:val="center"/>
              <w:rPr>
                <w:rFonts w:ascii="Calibri" w:hAnsi="Calibri"/>
                <w:sz w:val="24"/>
              </w:rPr>
            </w:pPr>
            <w:r>
              <w:rPr>
                <w:rFonts w:ascii="Calibri" w:hAnsi="Calibri"/>
                <w:sz w:val="24"/>
              </w:rPr>
              <w:t>0.145kg/cohetón</w:t>
            </w:r>
          </w:p>
        </w:tc>
        <w:tc>
          <w:tcPr>
            <w:tcW w:w="1205" w:type="dxa"/>
          </w:tcPr>
          <w:p>
            <w:pPr>
              <w:pStyle w:val="TableParagraph"/>
              <w:spacing w:before="7"/>
              <w:ind w:right="68"/>
              <w:jc w:val="right"/>
              <w:rPr>
                <w:rFonts w:ascii="Calibri"/>
                <w:sz w:val="24"/>
              </w:rPr>
            </w:pPr>
            <w:r>
              <w:rPr>
                <w:rFonts w:ascii="Calibri"/>
                <w:sz w:val="24"/>
              </w:rPr>
              <w:t>2.3606</w:t>
            </w:r>
          </w:p>
        </w:tc>
      </w:tr>
      <w:tr>
        <w:trPr>
          <w:trHeight w:val="312" w:hRule="exact"/>
        </w:trPr>
        <w:tc>
          <w:tcPr>
            <w:tcW w:w="1200" w:type="dxa"/>
            <w:tcBorders>
              <w:left w:val="single" w:sz="3" w:space="0" w:color="000000"/>
            </w:tcBorders>
          </w:tcPr>
          <w:p>
            <w:pPr>
              <w:pStyle w:val="TableParagraph"/>
              <w:spacing w:before="7"/>
              <w:ind w:left="142" w:right="143"/>
              <w:jc w:val="center"/>
              <w:rPr>
                <w:rFonts w:ascii="Calibri"/>
                <w:sz w:val="24"/>
              </w:rPr>
            </w:pPr>
            <w:r>
              <w:rPr>
                <w:rFonts w:ascii="Calibri"/>
                <w:sz w:val="24"/>
              </w:rPr>
              <w:t>Efecto</w:t>
            </w:r>
          </w:p>
        </w:tc>
        <w:tc>
          <w:tcPr>
            <w:tcW w:w="1932" w:type="dxa"/>
          </w:tcPr>
          <w:p>
            <w:pPr>
              <w:pStyle w:val="TableParagraph"/>
              <w:spacing w:before="7"/>
              <w:ind w:left="47" w:right="47"/>
              <w:jc w:val="center"/>
              <w:rPr>
                <w:rFonts w:ascii="Calibri" w:hAnsi="Calibri"/>
                <w:sz w:val="24"/>
              </w:rPr>
            </w:pPr>
            <w:r>
              <w:rPr>
                <w:rFonts w:ascii="Calibri" w:hAnsi="Calibri"/>
                <w:sz w:val="24"/>
              </w:rPr>
              <w:t>0.0194kg/cohetón</w:t>
            </w:r>
          </w:p>
        </w:tc>
        <w:tc>
          <w:tcPr>
            <w:tcW w:w="1205" w:type="dxa"/>
          </w:tcPr>
          <w:p>
            <w:pPr>
              <w:pStyle w:val="TableParagraph"/>
              <w:spacing w:before="7"/>
              <w:ind w:right="68"/>
              <w:jc w:val="right"/>
              <w:rPr>
                <w:rFonts w:ascii="Calibri"/>
                <w:sz w:val="24"/>
              </w:rPr>
            </w:pPr>
            <w:r>
              <w:rPr>
                <w:rFonts w:ascii="Calibri"/>
                <w:sz w:val="24"/>
              </w:rPr>
              <w:t>0.97277</w:t>
            </w:r>
          </w:p>
        </w:tc>
      </w:tr>
      <w:tr>
        <w:trPr>
          <w:trHeight w:val="308" w:hRule="exact"/>
        </w:trPr>
        <w:tc>
          <w:tcPr>
            <w:tcW w:w="1200" w:type="dxa"/>
            <w:tcBorders>
              <w:left w:val="single" w:sz="3" w:space="0" w:color="000000"/>
            </w:tcBorders>
          </w:tcPr>
          <w:p>
            <w:pPr>
              <w:pStyle w:val="TableParagraph"/>
              <w:spacing w:before="7"/>
              <w:ind w:left="145" w:right="143"/>
              <w:jc w:val="center"/>
              <w:rPr>
                <w:rFonts w:ascii="Calibri"/>
                <w:sz w:val="24"/>
              </w:rPr>
            </w:pPr>
            <w:r>
              <w:rPr>
                <w:rFonts w:ascii="Calibri"/>
                <w:sz w:val="24"/>
              </w:rPr>
              <w:t>Mecha</w:t>
            </w:r>
          </w:p>
        </w:tc>
        <w:tc>
          <w:tcPr>
            <w:tcW w:w="1932" w:type="dxa"/>
          </w:tcPr>
          <w:p>
            <w:pPr>
              <w:pStyle w:val="TableParagraph"/>
              <w:spacing w:before="7"/>
              <w:ind w:left="47" w:right="43"/>
              <w:jc w:val="center"/>
              <w:rPr>
                <w:rFonts w:ascii="Calibri" w:hAnsi="Calibri"/>
                <w:sz w:val="24"/>
              </w:rPr>
            </w:pPr>
            <w:r>
              <w:rPr>
                <w:rFonts w:ascii="Calibri" w:hAnsi="Calibri"/>
                <w:sz w:val="24"/>
              </w:rPr>
              <w:t>$0.202/cohetón</w:t>
            </w:r>
          </w:p>
        </w:tc>
        <w:tc>
          <w:tcPr>
            <w:tcW w:w="1205" w:type="dxa"/>
          </w:tcPr>
          <w:p>
            <w:pPr>
              <w:pStyle w:val="TableParagraph"/>
              <w:spacing w:before="7"/>
              <w:ind w:right="68"/>
              <w:jc w:val="right"/>
              <w:rPr>
                <w:rFonts w:ascii="Calibri"/>
                <w:sz w:val="24"/>
              </w:rPr>
            </w:pPr>
            <w:r>
              <w:rPr>
                <w:rFonts w:ascii="Calibri"/>
                <w:sz w:val="24"/>
              </w:rPr>
              <w:t>0.202</w:t>
            </w:r>
          </w:p>
        </w:tc>
      </w:tr>
      <w:tr>
        <w:trPr>
          <w:trHeight w:val="312" w:hRule="exact"/>
        </w:trPr>
        <w:tc>
          <w:tcPr>
            <w:tcW w:w="3133" w:type="dxa"/>
            <w:gridSpan w:val="2"/>
            <w:tcBorders>
              <w:left w:val="nil"/>
              <w:bottom w:val="nil"/>
            </w:tcBorders>
          </w:tcPr>
          <w:p>
            <w:pPr>
              <w:pStyle w:val="TableParagraph"/>
              <w:spacing w:before="7"/>
              <w:ind w:left="1844"/>
              <w:rPr>
                <w:rFonts w:ascii="Calibri"/>
                <w:b/>
                <w:sz w:val="24"/>
              </w:rPr>
            </w:pPr>
            <w:r>
              <w:rPr>
                <w:rFonts w:ascii="Calibri"/>
                <w:b/>
                <w:sz w:val="24"/>
              </w:rPr>
              <w:t>TOTAL</w:t>
            </w:r>
          </w:p>
        </w:tc>
        <w:tc>
          <w:tcPr>
            <w:tcW w:w="1205" w:type="dxa"/>
          </w:tcPr>
          <w:p>
            <w:pPr>
              <w:pStyle w:val="TableParagraph"/>
              <w:spacing w:before="7"/>
              <w:ind w:right="68"/>
              <w:jc w:val="right"/>
              <w:rPr>
                <w:rFonts w:ascii="Calibri"/>
                <w:sz w:val="24"/>
              </w:rPr>
            </w:pPr>
            <w:r>
              <w:rPr>
                <w:rFonts w:ascii="Calibri"/>
                <w:sz w:val="24"/>
              </w:rPr>
              <w:t>4.6912</w:t>
            </w:r>
          </w:p>
        </w:tc>
      </w:tr>
    </w:tbl>
    <w:p>
      <w:pPr>
        <w:pStyle w:val="BodyText"/>
        <w:spacing w:before="2"/>
        <w:rPr>
          <w:sz w:val="23"/>
        </w:rPr>
      </w:pPr>
    </w:p>
    <w:p>
      <w:pPr>
        <w:spacing w:before="74"/>
        <w:ind w:left="2393" w:right="9" w:firstLine="0"/>
        <w:jc w:val="left"/>
        <w:rPr>
          <w:sz w:val="20"/>
        </w:rPr>
      </w:pPr>
      <w:r>
        <w:rPr>
          <w:sz w:val="20"/>
        </w:rPr>
        <w:t>Tabla A11. Integración del costo de un cohetón.</w:t>
      </w:r>
    </w:p>
    <w:p>
      <w:pPr>
        <w:pStyle w:val="BodyText"/>
        <w:rPr>
          <w:sz w:val="20"/>
        </w:rPr>
      </w:pPr>
    </w:p>
    <w:p>
      <w:pPr>
        <w:pStyle w:val="BodyText"/>
        <w:spacing w:before="3"/>
        <w:rPr>
          <w:sz w:val="26"/>
        </w:rPr>
      </w:pPr>
    </w:p>
    <w:p>
      <w:pPr>
        <w:pStyle w:val="BodyText"/>
        <w:spacing w:line="360" w:lineRule="auto"/>
        <w:ind w:left="100" w:right="103"/>
        <w:jc w:val="both"/>
      </w:pPr>
      <w:r>
        <w:rPr/>
        <w:t>En cuanto a los costos por elaboración los gastos totales referente al pago de salarios, contabilizando 18 días de labor al mes fueron equivalentes a $ 3000.00 por trabajador al mes, por los 5 trabajadores el costo es de $ 18 000.00 al mes.</w:t>
      </w:r>
    </w:p>
    <w:p>
      <w:pPr>
        <w:pStyle w:val="BodyText"/>
      </w:pPr>
    </w:p>
    <w:p>
      <w:pPr>
        <w:pStyle w:val="BodyText"/>
        <w:spacing w:line="360" w:lineRule="auto" w:before="142"/>
        <w:ind w:left="100" w:right="106"/>
        <w:jc w:val="both"/>
      </w:pPr>
      <w:r>
        <w:rPr/>
        <w:t>Al hacer el cálculo del número de cohetones realizados obtenemos la cantidad correspondiente al costo de manufactura de cada cohetón, para lo cual dividimos el pago de los trabajadores entre el número de artificios realizados, esta cantidad corresponde a $3.125 por cohetón</w:t>
      </w:r>
      <w:r>
        <w:rPr>
          <w:spacing w:val="-23"/>
        </w:rPr>
        <w:t> </w:t>
      </w:r>
      <w:r>
        <w:rPr/>
        <w:t>producido.</w:t>
      </w:r>
    </w:p>
    <w:p>
      <w:pPr>
        <w:pStyle w:val="BodyText"/>
      </w:pPr>
    </w:p>
    <w:p>
      <w:pPr>
        <w:pStyle w:val="BodyText"/>
        <w:spacing w:line="357" w:lineRule="auto" w:before="142"/>
        <w:ind w:left="100" w:right="104"/>
        <w:jc w:val="both"/>
      </w:pPr>
      <w:r>
        <w:rPr/>
        <w:t>Sumando el total de costo de producción </w:t>
      </w:r>
      <w:r>
        <w:rPr>
          <w:spacing w:val="-2"/>
        </w:rPr>
        <w:t>más </w:t>
      </w:r>
      <w:r>
        <w:rPr/>
        <w:t>la mano de obra la elaboración de un cohetón pirotécnico cuesta</w:t>
      </w:r>
      <w:r>
        <w:rPr>
          <w:spacing w:val="-25"/>
        </w:rPr>
        <w:t> </w:t>
      </w:r>
      <w:r>
        <w:rPr/>
        <w:t>$7.816.</w:t>
      </w:r>
    </w:p>
    <w:p>
      <w:pPr>
        <w:spacing w:after="0" w:line="357" w:lineRule="auto"/>
        <w:jc w:val="both"/>
        <w:sectPr>
          <w:pgSz w:w="12240" w:h="15840"/>
          <w:pgMar w:header="0" w:footer="1071" w:top="1500" w:bottom="1260" w:left="1600" w:right="1600"/>
        </w:sectPr>
      </w:pPr>
    </w:p>
    <w:p>
      <w:pPr>
        <w:pStyle w:val="Heading2"/>
        <w:ind w:right="9"/>
      </w:pPr>
      <w:r>
        <w:rPr/>
        <w:t>BIBLIOGRAFIA.</w:t>
      </w:r>
    </w:p>
    <w:p>
      <w:pPr>
        <w:pStyle w:val="BodyText"/>
        <w:rPr>
          <w:b/>
        </w:rPr>
      </w:pPr>
    </w:p>
    <w:p>
      <w:pPr>
        <w:pStyle w:val="BodyText"/>
        <w:spacing w:before="3"/>
        <w:rPr>
          <w:b/>
        </w:rPr>
      </w:pPr>
    </w:p>
    <w:p>
      <w:pPr>
        <w:pStyle w:val="ListParagraph"/>
        <w:numPr>
          <w:ilvl w:val="0"/>
          <w:numId w:val="15"/>
        </w:numPr>
        <w:tabs>
          <w:tab w:pos="821" w:val="left" w:leader="none"/>
        </w:tabs>
        <w:spacing w:line="352" w:lineRule="auto" w:before="0" w:after="0"/>
        <w:ind w:left="821" w:right="110" w:hanging="361"/>
        <w:jc w:val="both"/>
        <w:rPr>
          <w:sz w:val="24"/>
        </w:rPr>
      </w:pPr>
      <w:r>
        <w:rPr>
          <w:sz w:val="24"/>
        </w:rPr>
        <w:t>Atlas de riesgos el municipio de Almoloya de Juárez y programa interno de Protección Civil en los inmuebles del ayuntamiento.</w:t>
      </w:r>
      <w:r>
        <w:rPr>
          <w:spacing w:val="-34"/>
          <w:sz w:val="24"/>
        </w:rPr>
        <w:t> </w:t>
      </w:r>
      <w:r>
        <w:rPr>
          <w:sz w:val="24"/>
        </w:rPr>
        <w:t>2010.</w:t>
      </w:r>
    </w:p>
    <w:p>
      <w:pPr>
        <w:pStyle w:val="BodyText"/>
      </w:pPr>
    </w:p>
    <w:p>
      <w:pPr>
        <w:pStyle w:val="ListParagraph"/>
        <w:numPr>
          <w:ilvl w:val="0"/>
          <w:numId w:val="15"/>
        </w:numPr>
        <w:tabs>
          <w:tab w:pos="821" w:val="left" w:leader="none"/>
        </w:tabs>
        <w:spacing w:line="350" w:lineRule="auto" w:before="150" w:after="0"/>
        <w:ind w:left="821" w:right="101" w:hanging="361"/>
        <w:jc w:val="both"/>
        <w:rPr>
          <w:sz w:val="24"/>
        </w:rPr>
      </w:pPr>
      <w:r>
        <w:rPr>
          <w:sz w:val="24"/>
        </w:rPr>
        <w:t>Ayuntamiento Constitucional de Tultepec 1997-2000 et al. 1999. “Memoria del 2 foro internacional de pirotecnia, 99”.</w:t>
      </w:r>
      <w:r>
        <w:rPr>
          <w:spacing w:val="-30"/>
          <w:sz w:val="24"/>
        </w:rPr>
        <w:t> </w:t>
      </w:r>
      <w:r>
        <w:rPr>
          <w:sz w:val="24"/>
        </w:rPr>
        <w:t>México.</w:t>
      </w:r>
    </w:p>
    <w:p>
      <w:pPr>
        <w:pStyle w:val="BodyText"/>
        <w:spacing w:before="10"/>
        <w:rPr>
          <w:sz w:val="28"/>
        </w:rPr>
      </w:pPr>
    </w:p>
    <w:p>
      <w:pPr>
        <w:pStyle w:val="ListParagraph"/>
        <w:numPr>
          <w:ilvl w:val="0"/>
          <w:numId w:val="15"/>
        </w:numPr>
        <w:tabs>
          <w:tab w:pos="821" w:val="left" w:leader="none"/>
        </w:tabs>
        <w:spacing w:line="352" w:lineRule="auto" w:before="0" w:after="0"/>
        <w:ind w:left="821" w:right="103" w:hanging="361"/>
        <w:jc w:val="both"/>
        <w:rPr>
          <w:sz w:val="24"/>
        </w:rPr>
      </w:pPr>
      <w:r>
        <w:rPr>
          <w:sz w:val="24"/>
        </w:rPr>
        <w:t>Baudot, Georges. 1983. “Utopia e historia en México”. Espasa Calpe S.A. Madrid,</w:t>
      </w:r>
      <w:r>
        <w:rPr>
          <w:spacing w:val="-12"/>
          <w:sz w:val="24"/>
        </w:rPr>
        <w:t> </w:t>
      </w:r>
      <w:r>
        <w:rPr>
          <w:sz w:val="24"/>
        </w:rPr>
        <w:t>España.</w:t>
      </w:r>
    </w:p>
    <w:p>
      <w:pPr>
        <w:pStyle w:val="BodyText"/>
      </w:pPr>
    </w:p>
    <w:p>
      <w:pPr>
        <w:pStyle w:val="ListParagraph"/>
        <w:numPr>
          <w:ilvl w:val="0"/>
          <w:numId w:val="15"/>
        </w:numPr>
        <w:tabs>
          <w:tab w:pos="821" w:val="left" w:leader="none"/>
        </w:tabs>
        <w:spacing w:line="350" w:lineRule="auto" w:before="149" w:after="0"/>
        <w:ind w:left="821" w:right="107" w:hanging="361"/>
        <w:jc w:val="both"/>
        <w:rPr>
          <w:sz w:val="24"/>
        </w:rPr>
      </w:pPr>
      <w:r>
        <w:rPr>
          <w:sz w:val="24"/>
        </w:rPr>
        <w:t>Bocaccio, Peter A. 1996. “Mexican pyrotechnics: past, present and future” 3rd International Symposium on Fireworks. Florida,</w:t>
      </w:r>
      <w:r>
        <w:rPr>
          <w:spacing w:val="-25"/>
          <w:sz w:val="24"/>
        </w:rPr>
        <w:t> </w:t>
      </w:r>
      <w:r>
        <w:rPr>
          <w:sz w:val="24"/>
        </w:rPr>
        <w:t>USA.</w:t>
      </w:r>
    </w:p>
    <w:p>
      <w:pPr>
        <w:pStyle w:val="BodyText"/>
      </w:pPr>
    </w:p>
    <w:p>
      <w:pPr>
        <w:pStyle w:val="ListParagraph"/>
        <w:numPr>
          <w:ilvl w:val="0"/>
          <w:numId w:val="15"/>
        </w:numPr>
        <w:tabs>
          <w:tab w:pos="821" w:val="left" w:leader="none"/>
        </w:tabs>
        <w:spacing w:line="355" w:lineRule="auto" w:before="153" w:after="0"/>
        <w:ind w:left="821" w:right="99" w:hanging="361"/>
        <w:jc w:val="both"/>
        <w:rPr>
          <w:sz w:val="24"/>
        </w:rPr>
      </w:pPr>
      <w:r>
        <w:rPr>
          <w:sz w:val="24"/>
        </w:rPr>
        <w:t>Camilleri, Renato. Vella, Alfred J. 2010. “Effect of fireworks on ambient air quality in Malta”. Atmospheric Enviroment No.44. 4521-4527. Consultado  en</w:t>
      </w:r>
      <w:r>
        <w:rPr>
          <w:spacing w:val="46"/>
          <w:sz w:val="24"/>
        </w:rPr>
        <w:t> </w:t>
      </w:r>
      <w:hyperlink r:id="rId80">
        <w:r>
          <w:rPr>
            <w:color w:val="0000FF"/>
            <w:sz w:val="24"/>
            <w:u w:val="single" w:color="0000FF"/>
          </w:rPr>
          <w:t>www.elsevier.com/locate/atmosenv</w:t>
        </w:r>
      </w:hyperlink>
    </w:p>
    <w:p>
      <w:pPr>
        <w:pStyle w:val="BodyText"/>
        <w:spacing w:before="7"/>
        <w:rPr>
          <w:sz w:val="23"/>
        </w:rPr>
      </w:pPr>
    </w:p>
    <w:p>
      <w:pPr>
        <w:pStyle w:val="ListParagraph"/>
        <w:numPr>
          <w:ilvl w:val="0"/>
          <w:numId w:val="15"/>
        </w:numPr>
        <w:tabs>
          <w:tab w:pos="821" w:val="left" w:leader="none"/>
        </w:tabs>
        <w:spacing w:line="340" w:lineRule="auto" w:before="55" w:after="0"/>
        <w:ind w:left="821" w:right="99" w:hanging="361"/>
        <w:jc w:val="both"/>
        <w:rPr>
          <w:sz w:val="24"/>
        </w:rPr>
      </w:pPr>
      <w:r>
        <w:rPr>
          <w:sz w:val="24"/>
        </w:rPr>
        <w:t>Carranza, Inés. 2000. “La pólvora. Un elemento cultural en la vida social de México” La pirotecnia en Tultepec. 1</w:t>
      </w:r>
      <w:r>
        <w:rPr>
          <w:position w:val="11"/>
          <w:sz w:val="16"/>
        </w:rPr>
        <w:t>a </w:t>
      </w:r>
      <w:r>
        <w:rPr>
          <w:sz w:val="24"/>
        </w:rPr>
        <w:t>Edición, Marzo de 2000. Tultepec, México.</w:t>
      </w:r>
    </w:p>
    <w:p>
      <w:pPr>
        <w:pStyle w:val="BodyText"/>
        <w:spacing w:before="9"/>
        <w:rPr>
          <w:sz w:val="29"/>
        </w:rPr>
      </w:pPr>
    </w:p>
    <w:p>
      <w:pPr>
        <w:pStyle w:val="ListParagraph"/>
        <w:numPr>
          <w:ilvl w:val="0"/>
          <w:numId w:val="15"/>
        </w:numPr>
        <w:tabs>
          <w:tab w:pos="821" w:val="left" w:leader="none"/>
        </w:tabs>
        <w:spacing w:line="350" w:lineRule="auto" w:before="0" w:after="0"/>
        <w:ind w:left="821" w:right="104" w:hanging="361"/>
        <w:jc w:val="both"/>
        <w:rPr>
          <w:sz w:val="24"/>
        </w:rPr>
      </w:pPr>
      <w:r>
        <w:rPr>
          <w:sz w:val="24"/>
        </w:rPr>
        <w:t>Cizza, Lucio G. 2007. “Fireworks and the environmental impact”. International Symposium on Fireworks. Montreal,</w:t>
      </w:r>
      <w:r>
        <w:rPr>
          <w:spacing w:val="-32"/>
          <w:sz w:val="24"/>
        </w:rPr>
        <w:t> </w:t>
      </w:r>
      <w:r>
        <w:rPr>
          <w:sz w:val="24"/>
        </w:rPr>
        <w:t>Canada.</w:t>
      </w:r>
    </w:p>
    <w:p>
      <w:pPr>
        <w:pStyle w:val="BodyText"/>
        <w:spacing w:before="10"/>
        <w:rPr>
          <w:sz w:val="28"/>
        </w:rPr>
      </w:pPr>
    </w:p>
    <w:p>
      <w:pPr>
        <w:pStyle w:val="ListParagraph"/>
        <w:numPr>
          <w:ilvl w:val="0"/>
          <w:numId w:val="15"/>
        </w:numPr>
        <w:tabs>
          <w:tab w:pos="821" w:val="left" w:leader="none"/>
        </w:tabs>
        <w:spacing w:line="355" w:lineRule="auto" w:before="1" w:after="0"/>
        <w:ind w:left="821" w:right="105" w:hanging="361"/>
        <w:jc w:val="both"/>
        <w:rPr>
          <w:sz w:val="24"/>
        </w:rPr>
      </w:pPr>
      <w:r>
        <w:rPr>
          <w:sz w:val="24"/>
        </w:rPr>
        <w:t>Contestabile, Ettore. 2007. “Review of some instrumentation used in fireworks research at CERL and its contribution” Canadian Explosives Research Laboratory. Natural Resources. Montreal,</w:t>
      </w:r>
      <w:r>
        <w:rPr>
          <w:spacing w:val="-38"/>
          <w:sz w:val="24"/>
        </w:rPr>
        <w:t> </w:t>
      </w:r>
      <w:r>
        <w:rPr>
          <w:sz w:val="24"/>
        </w:rPr>
        <w:t>Canada.</w:t>
      </w:r>
    </w:p>
    <w:p>
      <w:pPr>
        <w:pStyle w:val="BodyText"/>
        <w:spacing w:before="5"/>
        <w:rPr>
          <w:sz w:val="28"/>
        </w:rPr>
      </w:pPr>
    </w:p>
    <w:p>
      <w:pPr>
        <w:pStyle w:val="ListParagraph"/>
        <w:numPr>
          <w:ilvl w:val="0"/>
          <w:numId w:val="15"/>
        </w:numPr>
        <w:tabs>
          <w:tab w:pos="821" w:val="left" w:leader="none"/>
        </w:tabs>
        <w:spacing w:line="352" w:lineRule="auto" w:before="0" w:after="0"/>
        <w:ind w:left="821" w:right="100" w:hanging="361"/>
        <w:jc w:val="both"/>
        <w:rPr>
          <w:sz w:val="24"/>
        </w:rPr>
      </w:pPr>
      <w:r>
        <w:rPr>
          <w:sz w:val="24"/>
        </w:rPr>
        <w:t>Coonkling, John A. 1992. “Ignition sensitivity of fireworks compositions”. American Pyrotechnics Association. Chestertown</w:t>
      </w:r>
      <w:r>
        <w:rPr>
          <w:spacing w:val="-24"/>
          <w:sz w:val="24"/>
        </w:rPr>
        <w:t> </w:t>
      </w:r>
      <w:r>
        <w:rPr>
          <w:sz w:val="24"/>
        </w:rPr>
        <w:t>USA.</w:t>
      </w:r>
    </w:p>
    <w:p>
      <w:pPr>
        <w:spacing w:after="0" w:line="352" w:lineRule="auto"/>
        <w:jc w:val="both"/>
        <w:rPr>
          <w:sz w:val="24"/>
        </w:rPr>
        <w:sectPr>
          <w:pgSz w:w="12240" w:h="15840"/>
          <w:pgMar w:header="0" w:footer="1071" w:top="1360" w:bottom="1260" w:left="1600" w:right="1600"/>
        </w:sectPr>
      </w:pPr>
    </w:p>
    <w:p>
      <w:pPr>
        <w:pStyle w:val="ListParagraph"/>
        <w:numPr>
          <w:ilvl w:val="0"/>
          <w:numId w:val="16"/>
        </w:numPr>
        <w:tabs>
          <w:tab w:pos="701" w:val="left" w:leader="none"/>
        </w:tabs>
        <w:spacing w:line="340" w:lineRule="auto" w:before="35" w:after="0"/>
        <w:ind w:left="701" w:right="100" w:hanging="361"/>
        <w:jc w:val="both"/>
        <w:rPr>
          <w:sz w:val="24"/>
        </w:rPr>
      </w:pPr>
      <w:r>
        <w:rPr>
          <w:sz w:val="24"/>
        </w:rPr>
        <w:t>Córdoba, Luis. 2000. “Los coheteros de la ciudad de México en la época colonial” La pirotecnia en Tultepec. 1</w:t>
      </w:r>
      <w:r>
        <w:rPr>
          <w:position w:val="11"/>
          <w:sz w:val="16"/>
        </w:rPr>
        <w:t>a </w:t>
      </w:r>
      <w:r>
        <w:rPr>
          <w:sz w:val="24"/>
        </w:rPr>
        <w:t>Edición, Marzo de 2000. Tultepec, México.</w:t>
      </w:r>
    </w:p>
    <w:p>
      <w:pPr>
        <w:pStyle w:val="BodyText"/>
      </w:pPr>
    </w:p>
    <w:p>
      <w:pPr>
        <w:pStyle w:val="ListParagraph"/>
        <w:numPr>
          <w:ilvl w:val="0"/>
          <w:numId w:val="16"/>
        </w:numPr>
        <w:tabs>
          <w:tab w:pos="701" w:val="left" w:leader="none"/>
        </w:tabs>
        <w:spacing w:line="357" w:lineRule="auto" w:before="164" w:after="0"/>
        <w:ind w:left="701" w:right="104" w:hanging="361"/>
        <w:jc w:val="both"/>
        <w:rPr>
          <w:sz w:val="24"/>
        </w:rPr>
      </w:pPr>
      <w:r>
        <w:rPr>
          <w:sz w:val="24"/>
        </w:rPr>
        <w:t>Gemma Durán Romero. “Medir la Sostenibilidad: Indicadores Económicos, Ecológicos y Sociales” Departamento de estructura económica y economía del desarrollo, Universidad Autónoma de Madrid. Consultado en </w:t>
      </w:r>
      <w:hyperlink r:id="rId81">
        <w:r>
          <w:rPr>
            <w:color w:val="0000FF"/>
            <w:sz w:val="24"/>
            <w:u w:val="single" w:color="0000FF"/>
          </w:rPr>
          <w:t>www.ucm.es/info/ec/jec7/pdf/com1-6.pdf</w:t>
        </w:r>
        <w:r>
          <w:rPr>
            <w:color w:val="0000FF"/>
            <w:spacing w:val="-24"/>
            <w:sz w:val="24"/>
            <w:u w:val="single" w:color="0000FF"/>
          </w:rPr>
          <w:t> </w:t>
        </w:r>
        <w:r>
          <w:rPr>
            <w:color w:val="0000FF"/>
            <w:sz w:val="24"/>
            <w:u w:val="single" w:color="0000FF"/>
          </w:rPr>
          <w:t>2012</w:t>
        </w:r>
      </w:hyperlink>
    </w:p>
    <w:p>
      <w:pPr>
        <w:pStyle w:val="BodyText"/>
        <w:spacing w:before="4"/>
        <w:rPr>
          <w:sz w:val="23"/>
        </w:rPr>
      </w:pPr>
    </w:p>
    <w:p>
      <w:pPr>
        <w:pStyle w:val="ListParagraph"/>
        <w:numPr>
          <w:ilvl w:val="0"/>
          <w:numId w:val="16"/>
        </w:numPr>
        <w:tabs>
          <w:tab w:pos="701" w:val="left" w:leader="none"/>
        </w:tabs>
        <w:spacing w:line="345" w:lineRule="auto" w:before="56" w:after="0"/>
        <w:ind w:left="701" w:right="105" w:hanging="361"/>
        <w:jc w:val="both"/>
        <w:rPr>
          <w:sz w:val="24"/>
        </w:rPr>
      </w:pPr>
      <w:r>
        <w:rPr>
          <w:sz w:val="24"/>
        </w:rPr>
        <w:t>Gligo, N. 1987. “Política, sustentabilidad ambiental y evaluación patrimonial”, P</w:t>
      </w:r>
      <w:r>
        <w:rPr>
          <w:i/>
          <w:sz w:val="24"/>
        </w:rPr>
        <w:t>ensamiento Iberoamericano</w:t>
      </w:r>
      <w:r>
        <w:rPr>
          <w:sz w:val="24"/>
        </w:rPr>
        <w:t>, núm. 12, pp.</w:t>
      </w:r>
      <w:r>
        <w:rPr>
          <w:spacing w:val="-31"/>
          <w:sz w:val="24"/>
        </w:rPr>
        <w:t> </w:t>
      </w:r>
      <w:r>
        <w:rPr>
          <w:sz w:val="24"/>
        </w:rPr>
        <w:t>23-39.</w:t>
      </w:r>
    </w:p>
    <w:p>
      <w:pPr>
        <w:pStyle w:val="BodyText"/>
      </w:pPr>
    </w:p>
    <w:p>
      <w:pPr>
        <w:pStyle w:val="ListParagraph"/>
        <w:numPr>
          <w:ilvl w:val="0"/>
          <w:numId w:val="16"/>
        </w:numPr>
        <w:tabs>
          <w:tab w:pos="701" w:val="left" w:leader="none"/>
        </w:tabs>
        <w:spacing w:line="352" w:lineRule="auto" w:before="161" w:after="0"/>
        <w:ind w:left="701" w:right="103" w:hanging="361"/>
        <w:jc w:val="both"/>
        <w:rPr>
          <w:sz w:val="24"/>
        </w:rPr>
      </w:pPr>
      <w:r>
        <w:rPr>
          <w:sz w:val="24"/>
        </w:rPr>
        <w:t>Hicks, J. R. 1945. “Valor y capital”, Fondo de Cultura Económica, México. pp.</w:t>
      </w:r>
      <w:r>
        <w:rPr>
          <w:spacing w:val="-9"/>
          <w:sz w:val="24"/>
        </w:rPr>
        <w:t> </w:t>
      </w:r>
      <w:r>
        <w:rPr>
          <w:sz w:val="24"/>
        </w:rPr>
        <w:t>205.</w:t>
      </w:r>
    </w:p>
    <w:p>
      <w:pPr>
        <w:pStyle w:val="BodyText"/>
        <w:spacing w:before="4"/>
        <w:rPr>
          <w:sz w:val="28"/>
        </w:rPr>
      </w:pPr>
    </w:p>
    <w:p>
      <w:pPr>
        <w:pStyle w:val="ListParagraph"/>
        <w:numPr>
          <w:ilvl w:val="0"/>
          <w:numId w:val="16"/>
        </w:numPr>
        <w:tabs>
          <w:tab w:pos="701" w:val="left" w:leader="none"/>
        </w:tabs>
        <w:spacing w:line="357" w:lineRule="auto" w:before="0" w:after="0"/>
        <w:ind w:left="701" w:right="98" w:hanging="361"/>
        <w:jc w:val="both"/>
        <w:rPr>
          <w:sz w:val="24"/>
        </w:rPr>
      </w:pPr>
      <w:r>
        <w:rPr>
          <w:sz w:val="24"/>
        </w:rPr>
        <w:t>Jiang Fang-ming, Tan Ai-xi, Qui Li-na, Dai Fei. 2009. “Reserch on pretreatment to determine content of chemical components in pyrotechnic compositions” 11° International Symposium on Fireworks. ISBN 978-0- 9734123-8-3.</w:t>
      </w:r>
    </w:p>
    <w:p>
      <w:pPr>
        <w:pStyle w:val="BodyText"/>
        <w:spacing w:before="3"/>
        <w:rPr>
          <w:sz w:val="28"/>
        </w:rPr>
      </w:pPr>
    </w:p>
    <w:p>
      <w:pPr>
        <w:pStyle w:val="ListParagraph"/>
        <w:numPr>
          <w:ilvl w:val="0"/>
          <w:numId w:val="16"/>
        </w:numPr>
        <w:tabs>
          <w:tab w:pos="701" w:val="left" w:leader="none"/>
        </w:tabs>
        <w:spacing w:line="350" w:lineRule="auto" w:before="0" w:after="0"/>
        <w:ind w:left="701" w:right="103" w:hanging="361"/>
        <w:jc w:val="both"/>
        <w:rPr>
          <w:sz w:val="24"/>
        </w:rPr>
      </w:pPr>
      <w:r>
        <w:rPr>
          <w:sz w:val="24"/>
        </w:rPr>
        <w:t>Krone, Uwe. 2009. “Potassium perchlorate- must it really be substituted?” 11° International Symposium on Fireworks. ISBN</w:t>
      </w:r>
      <w:r>
        <w:rPr>
          <w:spacing w:val="-32"/>
          <w:sz w:val="24"/>
        </w:rPr>
        <w:t> </w:t>
      </w:r>
      <w:r>
        <w:rPr>
          <w:sz w:val="24"/>
        </w:rPr>
        <w:t>978-0-9734123-8-3.</w:t>
      </w:r>
    </w:p>
    <w:p>
      <w:pPr>
        <w:pStyle w:val="BodyText"/>
        <w:spacing w:before="10"/>
        <w:rPr>
          <w:sz w:val="28"/>
        </w:rPr>
      </w:pPr>
    </w:p>
    <w:p>
      <w:pPr>
        <w:pStyle w:val="ListParagraph"/>
        <w:numPr>
          <w:ilvl w:val="0"/>
          <w:numId w:val="16"/>
        </w:numPr>
        <w:tabs>
          <w:tab w:pos="701" w:val="left" w:leader="none"/>
        </w:tabs>
        <w:spacing w:line="355" w:lineRule="auto" w:before="0" w:after="0"/>
        <w:ind w:left="701" w:right="104" w:hanging="361"/>
        <w:jc w:val="both"/>
        <w:rPr>
          <w:sz w:val="24"/>
        </w:rPr>
      </w:pPr>
      <w:r>
        <w:rPr>
          <w:sz w:val="24"/>
        </w:rPr>
        <w:t>Lancaster, R. 1992. “Fireworks principles and practice: thirty years”. Kimbolton Fireworks Ltd. International Symposium on Fireworks, 1992. Cambridgeshire,</w:t>
      </w:r>
      <w:r>
        <w:rPr>
          <w:spacing w:val="-18"/>
          <w:sz w:val="24"/>
        </w:rPr>
        <w:t> </w:t>
      </w:r>
      <w:r>
        <w:rPr>
          <w:sz w:val="24"/>
        </w:rPr>
        <w:t>England.</w:t>
      </w:r>
    </w:p>
    <w:p>
      <w:pPr>
        <w:pStyle w:val="BodyText"/>
        <w:spacing w:before="5"/>
        <w:rPr>
          <w:sz w:val="28"/>
        </w:rPr>
      </w:pPr>
    </w:p>
    <w:p>
      <w:pPr>
        <w:pStyle w:val="ListParagraph"/>
        <w:numPr>
          <w:ilvl w:val="0"/>
          <w:numId w:val="16"/>
        </w:numPr>
        <w:tabs>
          <w:tab w:pos="701" w:val="left" w:leader="none"/>
        </w:tabs>
        <w:spacing w:line="324" w:lineRule="auto" w:before="0" w:after="0"/>
        <w:ind w:left="701" w:right="105" w:hanging="361"/>
        <w:jc w:val="both"/>
        <w:rPr>
          <w:sz w:val="24"/>
        </w:rPr>
      </w:pPr>
      <w:r>
        <w:rPr>
          <w:sz w:val="24"/>
        </w:rPr>
        <w:t>López, René. 2000. “El fuego en la época prehispánica” La pirotecnia en Tultepec 1</w:t>
      </w:r>
      <w:r>
        <w:rPr>
          <w:position w:val="11"/>
          <w:sz w:val="16"/>
        </w:rPr>
        <w:t>a </w:t>
      </w:r>
      <w:r>
        <w:rPr>
          <w:sz w:val="24"/>
        </w:rPr>
        <w:t>Ed. Marzo de 2000. Tultepec,</w:t>
      </w:r>
      <w:r>
        <w:rPr>
          <w:spacing w:val="-5"/>
          <w:sz w:val="24"/>
        </w:rPr>
        <w:t> </w:t>
      </w:r>
      <w:r>
        <w:rPr>
          <w:sz w:val="24"/>
        </w:rPr>
        <w:t>México.</w:t>
      </w:r>
    </w:p>
    <w:p>
      <w:pPr>
        <w:pStyle w:val="BodyText"/>
        <w:rPr>
          <w:sz w:val="30"/>
        </w:rPr>
      </w:pPr>
    </w:p>
    <w:p>
      <w:pPr>
        <w:pStyle w:val="ListParagraph"/>
        <w:numPr>
          <w:ilvl w:val="0"/>
          <w:numId w:val="16"/>
        </w:numPr>
        <w:tabs>
          <w:tab w:pos="701" w:val="left" w:leader="none"/>
        </w:tabs>
        <w:spacing w:line="352" w:lineRule="auto" w:before="0" w:after="0"/>
        <w:ind w:left="701" w:right="109" w:hanging="361"/>
        <w:jc w:val="both"/>
        <w:rPr>
          <w:sz w:val="24"/>
        </w:rPr>
      </w:pPr>
      <w:r>
        <w:rPr>
          <w:sz w:val="24"/>
        </w:rPr>
        <w:t>Manochio Dennis C., 1992. “A history of fireworks, a review of recreational fireworks development.” International Symposium of Fire</w:t>
      </w:r>
      <w:r>
        <w:rPr>
          <w:spacing w:val="-30"/>
          <w:sz w:val="24"/>
        </w:rPr>
        <w:t> </w:t>
      </w:r>
      <w:r>
        <w:rPr>
          <w:sz w:val="24"/>
        </w:rPr>
        <w:t>Works.</w:t>
      </w:r>
    </w:p>
    <w:p>
      <w:pPr>
        <w:spacing w:after="0" w:line="352" w:lineRule="auto"/>
        <w:jc w:val="both"/>
        <w:rPr>
          <w:sz w:val="24"/>
        </w:rPr>
        <w:sectPr>
          <w:pgSz w:w="12240" w:h="15840"/>
          <w:pgMar w:header="0" w:footer="1071" w:top="1380" w:bottom="1260" w:left="1720" w:right="1600"/>
        </w:sectPr>
      </w:pPr>
    </w:p>
    <w:p>
      <w:pPr>
        <w:pStyle w:val="BodyText"/>
        <w:rPr>
          <w:sz w:val="20"/>
        </w:rPr>
      </w:pPr>
    </w:p>
    <w:p>
      <w:pPr>
        <w:pStyle w:val="BodyText"/>
        <w:rPr>
          <w:sz w:val="20"/>
        </w:rPr>
      </w:pPr>
    </w:p>
    <w:p>
      <w:pPr>
        <w:pStyle w:val="ListParagraph"/>
        <w:numPr>
          <w:ilvl w:val="0"/>
          <w:numId w:val="16"/>
        </w:numPr>
        <w:tabs>
          <w:tab w:pos="701" w:val="left" w:leader="none"/>
        </w:tabs>
        <w:spacing w:line="352" w:lineRule="auto" w:before="187" w:after="0"/>
        <w:ind w:left="701" w:right="108" w:hanging="361"/>
        <w:jc w:val="both"/>
        <w:rPr>
          <w:sz w:val="24"/>
        </w:rPr>
      </w:pPr>
      <w:r>
        <w:rPr>
          <w:sz w:val="24"/>
        </w:rPr>
        <w:t>Márquez, Jorge Mauro. 2009. “Authorization process of fireworks in México” 11° International Symposium on Fireworks. ISBN</w:t>
      </w:r>
      <w:r>
        <w:rPr>
          <w:spacing w:val="-32"/>
          <w:sz w:val="24"/>
        </w:rPr>
        <w:t> </w:t>
      </w:r>
      <w:r>
        <w:rPr>
          <w:sz w:val="24"/>
        </w:rPr>
        <w:t>978-0-9734123-8-3.</w:t>
      </w:r>
    </w:p>
    <w:p>
      <w:pPr>
        <w:pStyle w:val="BodyText"/>
      </w:pPr>
    </w:p>
    <w:p>
      <w:pPr>
        <w:pStyle w:val="ListParagraph"/>
        <w:numPr>
          <w:ilvl w:val="0"/>
          <w:numId w:val="16"/>
        </w:numPr>
        <w:tabs>
          <w:tab w:pos="701" w:val="left" w:leader="none"/>
        </w:tabs>
        <w:spacing w:line="355" w:lineRule="auto" w:before="150" w:after="0"/>
        <w:ind w:left="701" w:right="106" w:hanging="361"/>
        <w:jc w:val="both"/>
        <w:rPr>
          <w:sz w:val="24"/>
        </w:rPr>
      </w:pPr>
      <w:r>
        <w:rPr>
          <w:sz w:val="24"/>
        </w:rPr>
        <w:t>Martínez Marín, Carlos. 1983. “La pirotecnia: de las bellas y exquisitas invenciones del fuego” UNAM, Instituto de Investigaciones Estéticas. p.p. 201-226</w:t>
      </w:r>
    </w:p>
    <w:p>
      <w:pPr>
        <w:pStyle w:val="BodyText"/>
        <w:spacing w:before="1"/>
        <w:rPr>
          <w:sz w:val="28"/>
        </w:rPr>
      </w:pPr>
    </w:p>
    <w:p>
      <w:pPr>
        <w:pStyle w:val="ListParagraph"/>
        <w:numPr>
          <w:ilvl w:val="0"/>
          <w:numId w:val="16"/>
        </w:numPr>
        <w:tabs>
          <w:tab w:pos="769" w:val="left" w:leader="none"/>
        </w:tabs>
        <w:spacing w:line="357" w:lineRule="auto" w:before="0" w:after="0"/>
        <w:ind w:left="701" w:right="103" w:hanging="361"/>
        <w:jc w:val="both"/>
        <w:rPr>
          <w:sz w:val="24"/>
        </w:rPr>
      </w:pPr>
      <w:hyperlink r:id="rId82">
        <w:r>
          <w:rPr>
            <w:sz w:val="24"/>
          </w:rPr>
          <w:t>Neptalí Monterroso Salvatierra</w:t>
        </w:r>
      </w:hyperlink>
      <w:r>
        <w:rPr>
          <w:sz w:val="24"/>
        </w:rPr>
        <w:t>. 2009, “Espoleando la esperanza: evaluación social de la sustentabilidad en dos comunidades rurales del Estado de México”, </w:t>
      </w:r>
      <w:hyperlink r:id="rId83">
        <w:r>
          <w:rPr>
            <w:i/>
            <w:sz w:val="24"/>
          </w:rPr>
          <w:t>Colección Las ciencias sociales</w:t>
        </w:r>
      </w:hyperlink>
      <w:r>
        <w:rPr>
          <w:sz w:val="24"/>
        </w:rPr>
        <w:t>,  Universidad  Autónoma del Estado de México, Facultad de Ciencias Políticas y Sociales. pp.</w:t>
      </w:r>
      <w:r>
        <w:rPr>
          <w:spacing w:val="-3"/>
          <w:sz w:val="24"/>
        </w:rPr>
        <w:t> </w:t>
      </w:r>
      <w:r>
        <w:rPr>
          <w:sz w:val="24"/>
        </w:rPr>
        <w:t>11-19</w:t>
      </w:r>
    </w:p>
    <w:p>
      <w:pPr>
        <w:pStyle w:val="BodyText"/>
      </w:pPr>
    </w:p>
    <w:p>
      <w:pPr>
        <w:pStyle w:val="ListParagraph"/>
        <w:numPr>
          <w:ilvl w:val="0"/>
          <w:numId w:val="16"/>
        </w:numPr>
        <w:tabs>
          <w:tab w:pos="701" w:val="left" w:leader="none"/>
        </w:tabs>
        <w:spacing w:line="352" w:lineRule="auto" w:before="145" w:after="0"/>
        <w:ind w:left="701" w:right="104" w:hanging="361"/>
        <w:jc w:val="both"/>
        <w:rPr>
          <w:sz w:val="24"/>
        </w:rPr>
      </w:pPr>
      <w:r>
        <w:rPr>
          <w:sz w:val="24"/>
        </w:rPr>
        <w:t>Naciones Unidas. Departamento de Asuntos Económicos y Sociales. 2003. </w:t>
      </w:r>
      <w:r>
        <w:rPr>
          <w:i/>
          <w:sz w:val="24"/>
        </w:rPr>
        <w:t>“Informe sobre la situación social del mundo 2003. Vulnerabilidad social: </w:t>
      </w:r>
      <w:r>
        <w:rPr>
          <w:i/>
          <w:sz w:val="24"/>
        </w:rPr>
        <w:t>Fuentes y desafíos”. </w:t>
      </w:r>
      <w:r>
        <w:rPr>
          <w:sz w:val="24"/>
        </w:rPr>
        <w:t>Nueva York: United Nations</w:t>
      </w:r>
      <w:r>
        <w:rPr>
          <w:spacing w:val="-34"/>
          <w:sz w:val="24"/>
        </w:rPr>
        <w:t> </w:t>
      </w:r>
      <w:r>
        <w:rPr>
          <w:sz w:val="24"/>
        </w:rPr>
        <w:t>Publications.</w:t>
      </w:r>
    </w:p>
    <w:p>
      <w:pPr>
        <w:pStyle w:val="BodyText"/>
        <w:rPr>
          <w:sz w:val="29"/>
        </w:rPr>
      </w:pPr>
    </w:p>
    <w:p>
      <w:pPr>
        <w:pStyle w:val="ListParagraph"/>
        <w:numPr>
          <w:ilvl w:val="0"/>
          <w:numId w:val="16"/>
        </w:numPr>
        <w:tabs>
          <w:tab w:pos="701" w:val="left" w:leader="none"/>
        </w:tabs>
        <w:spacing w:line="276" w:lineRule="auto" w:before="0" w:after="0"/>
        <w:ind w:left="701" w:right="102" w:hanging="361"/>
        <w:jc w:val="both"/>
        <w:rPr>
          <w:sz w:val="24"/>
        </w:rPr>
      </w:pPr>
      <w:r>
        <w:rPr>
          <w:sz w:val="24"/>
        </w:rPr>
        <w:t>Perona, Nelida Crucella, Carlos Rocchi, Graciela Robin, Silva. 2001. “Vulnerabilidad y Exclusión social. Una propuesta metodológica para el estudio de las condiciones de vida de los hogares” </w:t>
      </w:r>
      <w:hyperlink r:id="rId84">
        <w:r>
          <w:rPr>
            <w:color w:val="0000FF"/>
            <w:sz w:val="24"/>
            <w:u w:val="single" w:color="0000FF"/>
          </w:rPr>
          <w:t>http://www.ubiobio.cl/cps/ponencia/doc/p15.4.htm</w:t>
        </w:r>
      </w:hyperlink>
    </w:p>
    <w:p>
      <w:pPr>
        <w:pStyle w:val="BodyText"/>
        <w:spacing w:before="10"/>
        <w:rPr>
          <w:sz w:val="22"/>
        </w:rPr>
      </w:pPr>
    </w:p>
    <w:p>
      <w:pPr>
        <w:pStyle w:val="ListParagraph"/>
        <w:numPr>
          <w:ilvl w:val="0"/>
          <w:numId w:val="16"/>
        </w:numPr>
        <w:tabs>
          <w:tab w:pos="700" w:val="left" w:leader="none"/>
          <w:tab w:pos="701" w:val="left" w:leader="none"/>
        </w:tabs>
        <w:spacing w:line="352" w:lineRule="auto" w:before="56" w:after="0"/>
        <w:ind w:left="701" w:right="101" w:hanging="361"/>
        <w:jc w:val="left"/>
        <w:rPr>
          <w:sz w:val="24"/>
        </w:rPr>
      </w:pPr>
      <w:r>
        <w:rPr>
          <w:sz w:val="24"/>
        </w:rPr>
        <w:t>Pizarro, Roberto. 2001. La vulnerabilidad social y sus desafíos: una mirada desde América latina. CEPAL SERIE Estudios estadísticos y  </w:t>
      </w:r>
      <w:r>
        <w:rPr>
          <w:spacing w:val="16"/>
          <w:sz w:val="24"/>
        </w:rPr>
        <w:t> </w:t>
      </w:r>
      <w:r>
        <w:rPr>
          <w:sz w:val="24"/>
        </w:rPr>
        <w:t>prospectivos.</w:t>
      </w:r>
    </w:p>
    <w:p>
      <w:pPr>
        <w:pStyle w:val="BodyText"/>
        <w:spacing w:before="10"/>
        <w:ind w:left="701"/>
      </w:pPr>
      <w:r>
        <w:rPr/>
        <w:t>S. 01 ll G30. Santiago de Chile.</w:t>
      </w:r>
    </w:p>
    <w:p>
      <w:pPr>
        <w:pStyle w:val="BodyText"/>
      </w:pPr>
    </w:p>
    <w:p>
      <w:pPr>
        <w:pStyle w:val="ListParagraph"/>
        <w:numPr>
          <w:ilvl w:val="0"/>
          <w:numId w:val="16"/>
        </w:numPr>
        <w:tabs>
          <w:tab w:pos="700" w:val="left" w:leader="none"/>
          <w:tab w:pos="701" w:val="left" w:leader="none"/>
        </w:tabs>
        <w:spacing w:line="321" w:lineRule="auto" w:before="180" w:after="0"/>
        <w:ind w:left="701" w:right="101" w:hanging="361"/>
        <w:jc w:val="left"/>
        <w:rPr>
          <w:sz w:val="24"/>
        </w:rPr>
      </w:pPr>
      <w:r>
        <w:rPr>
          <w:sz w:val="24"/>
        </w:rPr>
        <w:t>Sahagún, Fray Bernardino de. 1982. “Historia general e las cosas de Nueva España”. Porrua, 5</w:t>
      </w:r>
      <w:r>
        <w:rPr>
          <w:position w:val="11"/>
          <w:sz w:val="16"/>
        </w:rPr>
        <w:t>a </w:t>
      </w:r>
      <w:r>
        <w:rPr>
          <w:sz w:val="24"/>
        </w:rPr>
        <w:t>Edición.</w:t>
      </w:r>
      <w:r>
        <w:rPr>
          <w:spacing w:val="6"/>
          <w:sz w:val="24"/>
        </w:rPr>
        <w:t> </w:t>
      </w:r>
      <w:r>
        <w:rPr>
          <w:sz w:val="24"/>
        </w:rPr>
        <w:t>México.</w:t>
      </w:r>
    </w:p>
    <w:p>
      <w:pPr>
        <w:pStyle w:val="BodyText"/>
        <w:spacing w:before="9"/>
        <w:rPr>
          <w:sz w:val="26"/>
        </w:rPr>
      </w:pPr>
    </w:p>
    <w:p>
      <w:pPr>
        <w:pStyle w:val="ListParagraph"/>
        <w:numPr>
          <w:ilvl w:val="0"/>
          <w:numId w:val="16"/>
        </w:numPr>
        <w:tabs>
          <w:tab w:pos="700" w:val="left" w:leader="none"/>
          <w:tab w:pos="701" w:val="left" w:leader="none"/>
        </w:tabs>
        <w:spacing w:line="350" w:lineRule="auto" w:before="0" w:after="0"/>
        <w:ind w:left="701" w:right="99" w:hanging="361"/>
        <w:jc w:val="left"/>
        <w:rPr>
          <w:sz w:val="24"/>
        </w:rPr>
      </w:pPr>
      <w:r>
        <w:rPr>
          <w:sz w:val="24"/>
        </w:rPr>
        <w:t>Serageldin, I. 1993: "Cómo lograr un desarrollo sostenible", </w:t>
      </w:r>
      <w:r>
        <w:rPr>
          <w:i/>
          <w:sz w:val="24"/>
        </w:rPr>
        <w:t>Finanzas y </w:t>
      </w:r>
      <w:r>
        <w:rPr>
          <w:i/>
          <w:sz w:val="24"/>
        </w:rPr>
        <w:t>desarrollo</w:t>
      </w:r>
      <w:r>
        <w:rPr>
          <w:sz w:val="24"/>
        </w:rPr>
        <w:t>, vol. 30, núm. 4, pp. 6-10,</w:t>
      </w:r>
      <w:r>
        <w:rPr>
          <w:spacing w:val="-25"/>
          <w:sz w:val="24"/>
        </w:rPr>
        <w:t> </w:t>
      </w:r>
      <w:r>
        <w:rPr>
          <w:sz w:val="24"/>
        </w:rPr>
        <w:t>diciembre.</w:t>
      </w:r>
    </w:p>
    <w:p>
      <w:pPr>
        <w:spacing w:after="0" w:line="350" w:lineRule="auto"/>
        <w:jc w:val="left"/>
        <w:rPr>
          <w:sz w:val="24"/>
        </w:rPr>
        <w:sectPr>
          <w:pgSz w:w="12240" w:h="15840"/>
          <w:pgMar w:header="0" w:footer="1071" w:top="1500" w:bottom="1260" w:left="1720" w:right="1600"/>
        </w:sectPr>
      </w:pPr>
    </w:p>
    <w:p>
      <w:pPr>
        <w:pStyle w:val="BodyText"/>
        <w:spacing w:before="7"/>
        <w:rPr>
          <w:sz w:val="15"/>
        </w:rPr>
      </w:pPr>
    </w:p>
    <w:p>
      <w:pPr>
        <w:pStyle w:val="ListParagraph"/>
        <w:numPr>
          <w:ilvl w:val="0"/>
          <w:numId w:val="16"/>
        </w:numPr>
        <w:tabs>
          <w:tab w:pos="700" w:val="left" w:leader="none"/>
          <w:tab w:pos="701" w:val="left" w:leader="none"/>
        </w:tabs>
        <w:spacing w:line="350" w:lineRule="auto" w:before="56" w:after="0"/>
        <w:ind w:left="701" w:right="108" w:hanging="361"/>
        <w:jc w:val="left"/>
        <w:rPr>
          <w:sz w:val="24"/>
        </w:rPr>
      </w:pPr>
      <w:r>
        <w:rPr>
          <w:sz w:val="24"/>
        </w:rPr>
        <w:t>Shimizu, Takeo. 1981. “Fireworks the art, science and technique” 3 ed. Pyrotechnica publications, Austin Texas,</w:t>
      </w:r>
      <w:r>
        <w:rPr>
          <w:spacing w:val="-26"/>
          <w:sz w:val="24"/>
        </w:rPr>
        <w:t> </w:t>
      </w:r>
      <w:r>
        <w:rPr>
          <w:sz w:val="24"/>
        </w:rPr>
        <w:t>USA</w:t>
      </w:r>
    </w:p>
    <w:p>
      <w:pPr>
        <w:pStyle w:val="BodyText"/>
      </w:pPr>
    </w:p>
    <w:p>
      <w:pPr>
        <w:pStyle w:val="ListParagraph"/>
        <w:numPr>
          <w:ilvl w:val="0"/>
          <w:numId w:val="16"/>
        </w:numPr>
        <w:tabs>
          <w:tab w:pos="700" w:val="left" w:leader="none"/>
          <w:tab w:pos="701" w:val="left" w:leader="none"/>
        </w:tabs>
        <w:spacing w:line="352" w:lineRule="auto" w:before="153" w:after="0"/>
        <w:ind w:left="701" w:right="99" w:hanging="361"/>
        <w:jc w:val="left"/>
        <w:rPr>
          <w:sz w:val="24"/>
        </w:rPr>
      </w:pPr>
      <w:r>
        <w:rPr>
          <w:sz w:val="24"/>
        </w:rPr>
        <w:t>Sojo, Ana. 2004. “Vulnerabilidad social y políticas públicas”, CEPAL-SERIE Estudios y perspectivas. S.04 ll G.21. México,</w:t>
      </w:r>
      <w:r>
        <w:rPr>
          <w:spacing w:val="-33"/>
          <w:sz w:val="24"/>
        </w:rPr>
        <w:t> </w:t>
      </w:r>
      <w:r>
        <w:rPr>
          <w:sz w:val="24"/>
        </w:rPr>
        <w:t>DF.</w:t>
      </w:r>
    </w:p>
    <w:p>
      <w:pPr>
        <w:pStyle w:val="BodyText"/>
        <w:spacing w:before="3"/>
        <w:rPr>
          <w:sz w:val="28"/>
        </w:rPr>
      </w:pPr>
    </w:p>
    <w:p>
      <w:pPr>
        <w:pStyle w:val="ListParagraph"/>
        <w:numPr>
          <w:ilvl w:val="0"/>
          <w:numId w:val="16"/>
        </w:numPr>
        <w:tabs>
          <w:tab w:pos="700" w:val="left" w:leader="none"/>
          <w:tab w:pos="701" w:val="left" w:leader="none"/>
        </w:tabs>
        <w:spacing w:line="324" w:lineRule="auto" w:before="1" w:after="0"/>
        <w:ind w:left="701" w:right="102" w:hanging="361"/>
        <w:jc w:val="left"/>
        <w:rPr>
          <w:sz w:val="24"/>
        </w:rPr>
      </w:pPr>
      <w:r>
        <w:rPr>
          <w:sz w:val="24"/>
        </w:rPr>
        <w:t>Urbán, Liliana. 2000. “Los coheteros de Tultepec. Una visión antropológica” La pirotecnia en Tultepec. 1</w:t>
      </w:r>
      <w:r>
        <w:rPr>
          <w:position w:val="11"/>
          <w:sz w:val="16"/>
        </w:rPr>
        <w:t>a </w:t>
      </w:r>
      <w:r>
        <w:rPr>
          <w:sz w:val="24"/>
        </w:rPr>
        <w:t>Edición, Marzo de 2000. Tultepec,</w:t>
      </w:r>
      <w:r>
        <w:rPr>
          <w:spacing w:val="-14"/>
          <w:sz w:val="24"/>
        </w:rPr>
        <w:t> </w:t>
      </w:r>
      <w:r>
        <w:rPr>
          <w:sz w:val="24"/>
        </w:rPr>
        <w:t>México.</w:t>
      </w:r>
    </w:p>
    <w:sectPr>
      <w:pgSz w:w="12240" w:h="15840"/>
      <w:pgMar w:header="0" w:footer="1071" w:top="1500" w:bottom="1260" w:left="172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055">
          <wp:simplePos x="0" y="0"/>
          <wp:positionH relativeFrom="page">
            <wp:posOffset>3996435</wp:posOffset>
          </wp:positionH>
          <wp:positionV relativeFrom="page">
            <wp:posOffset>9260725</wp:posOffset>
          </wp:positionV>
          <wp:extent cx="209550" cy="133350"/>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9.899994pt;margin-top:727.42804pt;width:35.8pt;height:16pt;mso-position-horizontal-relative:page;mso-position-vertical-relative:page;z-index:-129376" type="#_x0000_t202" filled="false" stroked="false">
          <v:textbox inset="0,0,0,0">
            <w:txbxContent>
              <w:p>
                <w:pPr>
                  <w:spacing w:line="309" w:lineRule="exact" w:before="0"/>
                  <w:ind w:left="20" w:right="-2"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1</w:t>
                </w:r>
                <w:r>
                  <w:rPr/>
                  <w:fldChar w:fldCharType="end"/>
                </w:r>
                <w:r>
                  <w:rPr>
                    <w:rFonts w:ascii="Cambria"/>
                    <w:sz w:val="28"/>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487">
          <wp:simplePos x="0" y="0"/>
          <wp:positionH relativeFrom="page">
            <wp:posOffset>4045711</wp:posOffset>
          </wp:positionH>
          <wp:positionV relativeFrom="page">
            <wp:posOffset>9260725</wp:posOffset>
          </wp:positionV>
          <wp:extent cx="209550" cy="133350"/>
          <wp:effectExtent l="0" t="0" r="0" b="0"/>
          <wp:wrapNone/>
          <wp:docPr id="55" name="image3.png" descr=""/>
          <wp:cNvGraphicFramePr>
            <a:graphicFrameLocks noChangeAspect="1"/>
          </wp:cNvGraphicFramePr>
          <a:graphic>
            <a:graphicData uri="http://schemas.openxmlformats.org/drawingml/2006/picture">
              <pic:pic>
                <pic:nvPicPr>
                  <pic:cNvPr id="56"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944" type="#_x0000_t202" filled="false" stroked="false">
          <v:textbox inset="0,0,0,0">
            <w:txbxContent>
              <w:p>
                <w:pPr>
                  <w:spacing w:line="309" w:lineRule="exact" w:before="0"/>
                  <w:ind w:left="20" w:right="-1" w:firstLine="0"/>
                  <w:jc w:val="left"/>
                  <w:rPr>
                    <w:rFonts w:ascii="Cambria"/>
                    <w:sz w:val="28"/>
                  </w:rPr>
                </w:pPr>
                <w:r>
                  <w:rPr>
                    <w:rFonts w:ascii="Cambria"/>
                    <w:sz w:val="28"/>
                  </w:rPr>
                  <w:t>~ 50 ~</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535">
          <wp:simplePos x="0" y="0"/>
          <wp:positionH relativeFrom="page">
            <wp:posOffset>4045711</wp:posOffset>
          </wp:positionH>
          <wp:positionV relativeFrom="page">
            <wp:posOffset>9260725</wp:posOffset>
          </wp:positionV>
          <wp:extent cx="209550" cy="133350"/>
          <wp:effectExtent l="0" t="0" r="0" b="0"/>
          <wp:wrapNone/>
          <wp:docPr id="59" name="image3.png" descr=""/>
          <wp:cNvGraphicFramePr>
            <a:graphicFrameLocks noChangeAspect="1"/>
          </wp:cNvGraphicFramePr>
          <a:graphic>
            <a:graphicData uri="http://schemas.openxmlformats.org/drawingml/2006/picture">
              <pic:pic>
                <pic:nvPicPr>
                  <pic:cNvPr id="60"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896"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51</w:t>
                </w:r>
                <w:r>
                  <w:rPr/>
                  <w:fldChar w:fldCharType="end"/>
                </w:r>
                <w:r>
                  <w:rPr>
                    <w:rFonts w:ascii="Cambria"/>
                    <w:sz w:val="28"/>
                  </w:rPr>
                  <w:t> ~</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583">
          <wp:simplePos x="0" y="0"/>
          <wp:positionH relativeFrom="page">
            <wp:posOffset>4045711</wp:posOffset>
          </wp:positionH>
          <wp:positionV relativeFrom="page">
            <wp:posOffset>9260725</wp:posOffset>
          </wp:positionV>
          <wp:extent cx="209550" cy="133350"/>
          <wp:effectExtent l="0" t="0" r="0" b="0"/>
          <wp:wrapNone/>
          <wp:docPr id="71" name="image3.png" descr=""/>
          <wp:cNvGraphicFramePr>
            <a:graphicFrameLocks noChangeAspect="1"/>
          </wp:cNvGraphicFramePr>
          <a:graphic>
            <a:graphicData uri="http://schemas.openxmlformats.org/drawingml/2006/picture">
              <pic:pic>
                <pic:nvPicPr>
                  <pic:cNvPr id="72"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848" type="#_x0000_t202" filled="false" stroked="false">
          <v:textbox inset="0,0,0,0">
            <w:txbxContent>
              <w:p>
                <w:pPr>
                  <w:spacing w:line="309" w:lineRule="exact" w:before="0"/>
                  <w:ind w:left="20" w:right="-1" w:firstLine="0"/>
                  <w:jc w:val="left"/>
                  <w:rPr>
                    <w:rFonts w:ascii="Cambria"/>
                    <w:sz w:val="28"/>
                  </w:rPr>
                </w:pPr>
                <w:r>
                  <w:rPr>
                    <w:rFonts w:ascii="Cambria"/>
                    <w:sz w:val="28"/>
                  </w:rPr>
                  <w:t>~ 60 ~</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631">
          <wp:simplePos x="0" y="0"/>
          <wp:positionH relativeFrom="page">
            <wp:posOffset>4045711</wp:posOffset>
          </wp:positionH>
          <wp:positionV relativeFrom="page">
            <wp:posOffset>9260725</wp:posOffset>
          </wp:positionV>
          <wp:extent cx="209550" cy="133350"/>
          <wp:effectExtent l="0" t="0" r="0" b="0"/>
          <wp:wrapNone/>
          <wp:docPr id="77" name="image3.png" descr=""/>
          <wp:cNvGraphicFramePr>
            <a:graphicFrameLocks noChangeAspect="1"/>
          </wp:cNvGraphicFramePr>
          <a:graphic>
            <a:graphicData uri="http://schemas.openxmlformats.org/drawingml/2006/picture">
              <pic:pic>
                <pic:nvPicPr>
                  <pic:cNvPr id="78"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800"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61</w:t>
                </w:r>
                <w:r>
                  <w:rPr/>
                  <w:fldChar w:fldCharType="end"/>
                </w:r>
                <w:r>
                  <w:rPr>
                    <w:rFonts w:ascii="Cambria"/>
                    <w:sz w:val="28"/>
                  </w:rPr>
                  <w:t> ~</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679">
          <wp:simplePos x="0" y="0"/>
          <wp:positionH relativeFrom="page">
            <wp:posOffset>4045711</wp:posOffset>
          </wp:positionH>
          <wp:positionV relativeFrom="page">
            <wp:posOffset>9260725</wp:posOffset>
          </wp:positionV>
          <wp:extent cx="209550" cy="133350"/>
          <wp:effectExtent l="0" t="0" r="0" b="0"/>
          <wp:wrapNone/>
          <wp:docPr id="93" name="image3.png" descr=""/>
          <wp:cNvGraphicFramePr>
            <a:graphicFrameLocks noChangeAspect="1"/>
          </wp:cNvGraphicFramePr>
          <a:graphic>
            <a:graphicData uri="http://schemas.openxmlformats.org/drawingml/2006/picture">
              <pic:pic>
                <pic:nvPicPr>
                  <pic:cNvPr id="94"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752" type="#_x0000_t202" filled="false" stroked="false">
          <v:textbox inset="0,0,0,0">
            <w:txbxContent>
              <w:p>
                <w:pPr>
                  <w:spacing w:line="309" w:lineRule="exact" w:before="0"/>
                  <w:ind w:left="20" w:right="-1" w:firstLine="0"/>
                  <w:jc w:val="left"/>
                  <w:rPr>
                    <w:rFonts w:ascii="Cambria"/>
                    <w:sz w:val="28"/>
                  </w:rPr>
                </w:pPr>
                <w:r>
                  <w:rPr>
                    <w:rFonts w:ascii="Cambria"/>
                    <w:sz w:val="28"/>
                  </w:rPr>
                  <w:t>~ 70 ~</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727">
          <wp:simplePos x="0" y="0"/>
          <wp:positionH relativeFrom="page">
            <wp:posOffset>4045711</wp:posOffset>
          </wp:positionH>
          <wp:positionV relativeFrom="page">
            <wp:posOffset>9260725</wp:posOffset>
          </wp:positionV>
          <wp:extent cx="209550" cy="133350"/>
          <wp:effectExtent l="0" t="0" r="0" b="0"/>
          <wp:wrapNone/>
          <wp:docPr id="95" name="image3.png" descr=""/>
          <wp:cNvGraphicFramePr>
            <a:graphicFrameLocks noChangeAspect="1"/>
          </wp:cNvGraphicFramePr>
          <a:graphic>
            <a:graphicData uri="http://schemas.openxmlformats.org/drawingml/2006/picture">
              <pic:pic>
                <pic:nvPicPr>
                  <pic:cNvPr id="96"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704"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71</w:t>
                </w:r>
                <w:r>
                  <w:rPr/>
                  <w:fldChar w:fldCharType="end"/>
                </w:r>
                <w:r>
                  <w:rPr>
                    <w:rFonts w:ascii="Cambria"/>
                    <w:sz w:val="28"/>
                  </w:rPr>
                  <w:t> ~</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775">
          <wp:simplePos x="0" y="0"/>
          <wp:positionH relativeFrom="page">
            <wp:posOffset>4045711</wp:posOffset>
          </wp:positionH>
          <wp:positionV relativeFrom="page">
            <wp:posOffset>9260725</wp:posOffset>
          </wp:positionV>
          <wp:extent cx="209550" cy="133350"/>
          <wp:effectExtent l="0" t="0" r="0" b="0"/>
          <wp:wrapNone/>
          <wp:docPr id="99" name="image3.png" descr=""/>
          <wp:cNvGraphicFramePr>
            <a:graphicFrameLocks noChangeAspect="1"/>
          </wp:cNvGraphicFramePr>
          <a:graphic>
            <a:graphicData uri="http://schemas.openxmlformats.org/drawingml/2006/picture">
              <pic:pic>
                <pic:nvPicPr>
                  <pic:cNvPr id="100"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656" type="#_x0000_t202" filled="false" stroked="false">
          <v:textbox inset="0,0,0,0">
            <w:txbxContent>
              <w:p>
                <w:pPr>
                  <w:spacing w:line="309" w:lineRule="exact" w:before="0"/>
                  <w:ind w:left="20" w:right="-1" w:firstLine="0"/>
                  <w:jc w:val="left"/>
                  <w:rPr>
                    <w:rFonts w:ascii="Cambria"/>
                    <w:sz w:val="28"/>
                  </w:rPr>
                </w:pPr>
                <w:r>
                  <w:rPr>
                    <w:rFonts w:ascii="Cambria"/>
                    <w:sz w:val="28"/>
                  </w:rPr>
                  <w:t>~ 80 ~</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823">
          <wp:simplePos x="0" y="0"/>
          <wp:positionH relativeFrom="page">
            <wp:posOffset>4045711</wp:posOffset>
          </wp:positionH>
          <wp:positionV relativeFrom="page">
            <wp:posOffset>9260725</wp:posOffset>
          </wp:positionV>
          <wp:extent cx="209550" cy="133350"/>
          <wp:effectExtent l="0" t="0" r="0" b="0"/>
          <wp:wrapNone/>
          <wp:docPr id="101" name="image3.png" descr=""/>
          <wp:cNvGraphicFramePr>
            <a:graphicFrameLocks noChangeAspect="1"/>
          </wp:cNvGraphicFramePr>
          <a:graphic>
            <a:graphicData uri="http://schemas.openxmlformats.org/drawingml/2006/picture">
              <pic:pic>
                <pic:nvPicPr>
                  <pic:cNvPr id="102"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608"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81</w:t>
                </w:r>
                <w:r>
                  <w:rPr/>
                  <w:fldChar w:fldCharType="end"/>
                </w:r>
                <w:r>
                  <w:rPr>
                    <w:rFonts w:ascii="Cambria"/>
                    <w:sz w:val="28"/>
                  </w:rPr>
                  <w:t>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871">
          <wp:simplePos x="0" y="0"/>
          <wp:positionH relativeFrom="page">
            <wp:posOffset>4045711</wp:posOffset>
          </wp:positionH>
          <wp:positionV relativeFrom="page">
            <wp:posOffset>9260725</wp:posOffset>
          </wp:positionV>
          <wp:extent cx="209550" cy="133350"/>
          <wp:effectExtent l="0" t="0" r="0" b="0"/>
          <wp:wrapNone/>
          <wp:docPr id="115" name="image3.png" descr=""/>
          <wp:cNvGraphicFramePr>
            <a:graphicFrameLocks noChangeAspect="1"/>
          </wp:cNvGraphicFramePr>
          <a:graphic>
            <a:graphicData uri="http://schemas.openxmlformats.org/drawingml/2006/picture">
              <pic:pic>
                <pic:nvPicPr>
                  <pic:cNvPr id="116"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560" type="#_x0000_t202" filled="false" stroked="false">
          <v:textbox inset="0,0,0,0">
            <w:txbxContent>
              <w:p>
                <w:pPr>
                  <w:spacing w:line="309" w:lineRule="exact" w:before="0"/>
                  <w:ind w:left="20" w:right="-1" w:firstLine="0"/>
                  <w:jc w:val="left"/>
                  <w:rPr>
                    <w:rFonts w:ascii="Cambria"/>
                    <w:sz w:val="28"/>
                  </w:rPr>
                </w:pPr>
                <w:r>
                  <w:rPr>
                    <w:rFonts w:ascii="Cambria"/>
                    <w:sz w:val="28"/>
                  </w:rPr>
                  <w:t>~ 90 ~</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919">
          <wp:simplePos x="0" y="0"/>
          <wp:positionH relativeFrom="page">
            <wp:posOffset>4045711</wp:posOffset>
          </wp:positionH>
          <wp:positionV relativeFrom="page">
            <wp:posOffset>9260725</wp:posOffset>
          </wp:positionV>
          <wp:extent cx="209550" cy="133350"/>
          <wp:effectExtent l="0" t="0" r="0" b="0"/>
          <wp:wrapNone/>
          <wp:docPr id="119" name="image3.png" descr=""/>
          <wp:cNvGraphicFramePr>
            <a:graphicFrameLocks noChangeAspect="1"/>
          </wp:cNvGraphicFramePr>
          <a:graphic>
            <a:graphicData uri="http://schemas.openxmlformats.org/drawingml/2006/picture">
              <pic:pic>
                <pic:nvPicPr>
                  <pic:cNvPr id="120"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512"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96</w:t>
                </w:r>
                <w:r>
                  <w:rPr/>
                  <w:fldChar w:fldCharType="end"/>
                </w:r>
                <w:r>
                  <w:rPr>
                    <w:rFonts w:ascii="Cambria"/>
                    <w:sz w:val="28"/>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103">
          <wp:simplePos x="0" y="0"/>
          <wp:positionH relativeFrom="page">
            <wp:posOffset>4045711</wp:posOffset>
          </wp:positionH>
          <wp:positionV relativeFrom="page">
            <wp:posOffset>9260725</wp:posOffset>
          </wp:positionV>
          <wp:extent cx="209550" cy="133350"/>
          <wp:effectExtent l="0" t="0" r="0" b="0"/>
          <wp:wrapNone/>
          <wp:docPr id="9" name="image3.png" descr=""/>
          <wp:cNvGraphicFramePr>
            <a:graphicFrameLocks noChangeAspect="1"/>
          </wp:cNvGraphicFramePr>
          <a:graphic>
            <a:graphicData uri="http://schemas.openxmlformats.org/drawingml/2006/picture">
              <pic:pic>
                <pic:nvPicPr>
                  <pic:cNvPr id="10"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328" type="#_x0000_t202" filled="false" stroked="false">
          <v:textbox inset="0,0,0,0">
            <w:txbxContent>
              <w:p>
                <w:pPr>
                  <w:spacing w:line="309" w:lineRule="exact" w:before="0"/>
                  <w:ind w:left="20" w:right="-1" w:firstLine="0"/>
                  <w:jc w:val="left"/>
                  <w:rPr>
                    <w:rFonts w:ascii="Cambria"/>
                    <w:sz w:val="28"/>
                  </w:rPr>
                </w:pPr>
                <w:r>
                  <w:rPr>
                    <w:rFonts w:ascii="Cambria"/>
                    <w:sz w:val="28"/>
                  </w:rPr>
                  <w:t>~ 10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967">
          <wp:simplePos x="0" y="0"/>
          <wp:positionH relativeFrom="page">
            <wp:posOffset>4094860</wp:posOffset>
          </wp:positionH>
          <wp:positionV relativeFrom="page">
            <wp:posOffset>9260725</wp:posOffset>
          </wp:positionV>
          <wp:extent cx="209550" cy="133350"/>
          <wp:effectExtent l="0" t="0" r="0" b="0"/>
          <wp:wrapNone/>
          <wp:docPr id="123" name="image3.png" descr=""/>
          <wp:cNvGraphicFramePr>
            <a:graphicFrameLocks noChangeAspect="1"/>
          </wp:cNvGraphicFramePr>
          <a:graphic>
            <a:graphicData uri="http://schemas.openxmlformats.org/drawingml/2006/picture">
              <pic:pic>
                <pic:nvPicPr>
                  <pic:cNvPr id="124"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2.079987pt;margin-top:727.42804pt;width:51.4pt;height:16pt;mso-position-horizontal-relative:page;mso-position-vertical-relative:page;z-index:-128464" type="#_x0000_t202" filled="false" stroked="false">
          <v:textbox inset="0,0,0,0">
            <w:txbxContent>
              <w:p>
                <w:pPr>
                  <w:spacing w:line="309" w:lineRule="exact" w:before="0"/>
                  <w:ind w:left="20" w:right="0" w:firstLine="0"/>
                  <w:jc w:val="left"/>
                  <w:rPr>
                    <w:rFonts w:ascii="Cambria"/>
                    <w:sz w:val="28"/>
                  </w:rPr>
                </w:pPr>
                <w:r>
                  <w:rPr>
                    <w:rFonts w:ascii="Cambria"/>
                    <w:sz w:val="28"/>
                  </w:rPr>
                  <w:t>~ 100 ~</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7015">
          <wp:simplePos x="0" y="0"/>
          <wp:positionH relativeFrom="page">
            <wp:posOffset>4094860</wp:posOffset>
          </wp:positionH>
          <wp:positionV relativeFrom="page">
            <wp:posOffset>9260725</wp:posOffset>
          </wp:positionV>
          <wp:extent cx="209550" cy="133350"/>
          <wp:effectExtent l="0" t="0" r="0" b="0"/>
          <wp:wrapNone/>
          <wp:docPr id="125" name="image3.png" descr=""/>
          <wp:cNvGraphicFramePr>
            <a:graphicFrameLocks noChangeAspect="1"/>
          </wp:cNvGraphicFramePr>
          <a:graphic>
            <a:graphicData uri="http://schemas.openxmlformats.org/drawingml/2006/picture">
              <pic:pic>
                <pic:nvPicPr>
                  <pic:cNvPr id="126"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2.079987pt;margin-top:727.42804pt;width:51.4pt;height:16pt;mso-position-horizontal-relative:page;mso-position-vertical-relative:page;z-index:-128416" type="#_x0000_t202" filled="false" stroked="false">
          <v:textbox inset="0,0,0,0">
            <w:txbxContent>
              <w:p>
                <w:pPr>
                  <w:spacing w:line="309" w:lineRule="exact" w:before="0"/>
                  <w:ind w:left="20" w:right="0"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101</w:t>
                </w:r>
                <w:r>
                  <w:rPr/>
                  <w:fldChar w:fldCharType="end"/>
                </w:r>
                <w:r>
                  <w:rPr>
                    <w:rFonts w:ascii="Cambria"/>
                    <w:sz w:val="28"/>
                  </w:rPr>
                  <w:t> ~</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7063">
          <wp:simplePos x="0" y="0"/>
          <wp:positionH relativeFrom="page">
            <wp:posOffset>4094860</wp:posOffset>
          </wp:positionH>
          <wp:positionV relativeFrom="page">
            <wp:posOffset>9260725</wp:posOffset>
          </wp:positionV>
          <wp:extent cx="209550" cy="133350"/>
          <wp:effectExtent l="0" t="0" r="0" b="0"/>
          <wp:wrapNone/>
          <wp:docPr id="137" name="image3.png" descr=""/>
          <wp:cNvGraphicFramePr>
            <a:graphicFrameLocks noChangeAspect="1"/>
          </wp:cNvGraphicFramePr>
          <a:graphic>
            <a:graphicData uri="http://schemas.openxmlformats.org/drawingml/2006/picture">
              <pic:pic>
                <pic:nvPicPr>
                  <pic:cNvPr id="138"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2.079987pt;margin-top:727.42804pt;width:51.4pt;height:16pt;mso-position-horizontal-relative:page;mso-position-vertical-relative:page;z-index:-128368" type="#_x0000_t202" filled="false" stroked="false">
          <v:textbox inset="0,0,0,0">
            <w:txbxContent>
              <w:p>
                <w:pPr>
                  <w:spacing w:line="309" w:lineRule="exact" w:before="0"/>
                  <w:ind w:left="20" w:right="0" w:firstLine="0"/>
                  <w:jc w:val="left"/>
                  <w:rPr>
                    <w:rFonts w:ascii="Cambria"/>
                    <w:sz w:val="28"/>
                  </w:rPr>
                </w:pPr>
                <w:r>
                  <w:rPr>
                    <w:rFonts w:ascii="Cambria"/>
                    <w:sz w:val="28"/>
                  </w:rPr>
                  <w:t>~ 110 ~</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7111">
          <wp:simplePos x="0" y="0"/>
          <wp:positionH relativeFrom="page">
            <wp:posOffset>4094860</wp:posOffset>
          </wp:positionH>
          <wp:positionV relativeFrom="page">
            <wp:posOffset>9260725</wp:posOffset>
          </wp:positionV>
          <wp:extent cx="209550" cy="133350"/>
          <wp:effectExtent l="0" t="0" r="0" b="0"/>
          <wp:wrapNone/>
          <wp:docPr id="141" name="image3.png" descr=""/>
          <wp:cNvGraphicFramePr>
            <a:graphicFrameLocks noChangeAspect="1"/>
          </wp:cNvGraphicFramePr>
          <a:graphic>
            <a:graphicData uri="http://schemas.openxmlformats.org/drawingml/2006/picture">
              <pic:pic>
                <pic:nvPicPr>
                  <pic:cNvPr id="142"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2.079987pt;margin-top:727.42804pt;width:51.4pt;height:16pt;mso-position-horizontal-relative:page;mso-position-vertical-relative:page;z-index:-128320" type="#_x0000_t202" filled="false" stroked="false">
          <v:textbox inset="0,0,0,0">
            <w:txbxContent>
              <w:p>
                <w:pPr>
                  <w:spacing w:line="309" w:lineRule="exact" w:before="0"/>
                  <w:ind w:left="20" w:right="0"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111</w:t>
                </w:r>
                <w:r>
                  <w:rPr/>
                  <w:fldChar w:fldCharType="end"/>
                </w:r>
                <w:r>
                  <w:rPr>
                    <w:rFonts w:ascii="Cambria"/>
                    <w:sz w:val="28"/>
                  </w:rPr>
                  <w:t>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151">
          <wp:simplePos x="0" y="0"/>
          <wp:positionH relativeFrom="page">
            <wp:posOffset>4045711</wp:posOffset>
          </wp:positionH>
          <wp:positionV relativeFrom="page">
            <wp:posOffset>9260725</wp:posOffset>
          </wp:positionV>
          <wp:extent cx="209550" cy="133350"/>
          <wp:effectExtent l="0" t="0" r="0" b="0"/>
          <wp:wrapNone/>
          <wp:docPr id="13" name="image3.png" descr=""/>
          <wp:cNvGraphicFramePr>
            <a:graphicFrameLocks noChangeAspect="1"/>
          </wp:cNvGraphicFramePr>
          <a:graphic>
            <a:graphicData uri="http://schemas.openxmlformats.org/drawingml/2006/picture">
              <pic:pic>
                <pic:nvPicPr>
                  <pic:cNvPr id="14"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280"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11</w:t>
                </w:r>
                <w:r>
                  <w:rPr/>
                  <w:fldChar w:fldCharType="end"/>
                </w:r>
                <w:r>
                  <w:rPr>
                    <w:rFonts w:ascii="Cambria"/>
                    <w:sz w:val="28"/>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199">
          <wp:simplePos x="0" y="0"/>
          <wp:positionH relativeFrom="page">
            <wp:posOffset>4045711</wp:posOffset>
          </wp:positionH>
          <wp:positionV relativeFrom="page">
            <wp:posOffset>9260725</wp:posOffset>
          </wp:positionV>
          <wp:extent cx="209550" cy="133350"/>
          <wp:effectExtent l="0" t="0" r="0" b="0"/>
          <wp:wrapNone/>
          <wp:docPr id="21" name="image3.png" descr=""/>
          <wp:cNvGraphicFramePr>
            <a:graphicFrameLocks noChangeAspect="1"/>
          </wp:cNvGraphicFramePr>
          <a:graphic>
            <a:graphicData uri="http://schemas.openxmlformats.org/drawingml/2006/picture">
              <pic:pic>
                <pic:nvPicPr>
                  <pic:cNvPr id="22"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232" type="#_x0000_t202" filled="false" stroked="false">
          <v:textbox inset="0,0,0,0">
            <w:txbxContent>
              <w:p>
                <w:pPr>
                  <w:spacing w:line="309" w:lineRule="exact" w:before="0"/>
                  <w:ind w:left="20" w:right="-1" w:firstLine="0"/>
                  <w:jc w:val="left"/>
                  <w:rPr>
                    <w:rFonts w:ascii="Cambria"/>
                    <w:sz w:val="28"/>
                  </w:rPr>
                </w:pPr>
                <w:r>
                  <w:rPr>
                    <w:rFonts w:ascii="Cambria"/>
                    <w:sz w:val="28"/>
                  </w:rPr>
                  <w:t>~ 20 ~</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247">
          <wp:simplePos x="0" y="0"/>
          <wp:positionH relativeFrom="page">
            <wp:posOffset>4045711</wp:posOffset>
          </wp:positionH>
          <wp:positionV relativeFrom="page">
            <wp:posOffset>9260725</wp:posOffset>
          </wp:positionV>
          <wp:extent cx="209550" cy="133350"/>
          <wp:effectExtent l="0" t="0" r="0" b="0"/>
          <wp:wrapNone/>
          <wp:docPr id="25" name="image3.png" descr=""/>
          <wp:cNvGraphicFramePr>
            <a:graphicFrameLocks noChangeAspect="1"/>
          </wp:cNvGraphicFramePr>
          <a:graphic>
            <a:graphicData uri="http://schemas.openxmlformats.org/drawingml/2006/picture">
              <pic:pic>
                <pic:nvPicPr>
                  <pic:cNvPr id="26"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184"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21</w:t>
                </w:r>
                <w:r>
                  <w:rPr/>
                  <w:fldChar w:fldCharType="end"/>
                </w:r>
                <w:r>
                  <w:rPr>
                    <w:rFonts w:ascii="Cambria"/>
                    <w:sz w:val="28"/>
                  </w:rPr>
                  <w:t>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295">
          <wp:simplePos x="0" y="0"/>
          <wp:positionH relativeFrom="page">
            <wp:posOffset>4045711</wp:posOffset>
          </wp:positionH>
          <wp:positionV relativeFrom="page">
            <wp:posOffset>9260725</wp:posOffset>
          </wp:positionV>
          <wp:extent cx="209550" cy="133350"/>
          <wp:effectExtent l="0" t="0" r="0" b="0"/>
          <wp:wrapNone/>
          <wp:docPr id="31" name="image3.png" descr=""/>
          <wp:cNvGraphicFramePr>
            <a:graphicFrameLocks noChangeAspect="1"/>
          </wp:cNvGraphicFramePr>
          <a:graphic>
            <a:graphicData uri="http://schemas.openxmlformats.org/drawingml/2006/picture">
              <pic:pic>
                <pic:nvPicPr>
                  <pic:cNvPr id="32"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136" type="#_x0000_t202" filled="false" stroked="false">
          <v:textbox inset="0,0,0,0">
            <w:txbxContent>
              <w:p>
                <w:pPr>
                  <w:spacing w:line="309" w:lineRule="exact" w:before="0"/>
                  <w:ind w:left="20" w:right="-1" w:firstLine="0"/>
                  <w:jc w:val="left"/>
                  <w:rPr>
                    <w:rFonts w:ascii="Cambria"/>
                    <w:sz w:val="28"/>
                  </w:rPr>
                </w:pPr>
                <w:r>
                  <w:rPr>
                    <w:rFonts w:ascii="Cambria"/>
                    <w:sz w:val="28"/>
                  </w:rPr>
                  <w:t>~ 30 ~</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343">
          <wp:simplePos x="0" y="0"/>
          <wp:positionH relativeFrom="page">
            <wp:posOffset>4045711</wp:posOffset>
          </wp:positionH>
          <wp:positionV relativeFrom="page">
            <wp:posOffset>9260725</wp:posOffset>
          </wp:positionV>
          <wp:extent cx="209550" cy="133350"/>
          <wp:effectExtent l="0" t="0" r="0" b="0"/>
          <wp:wrapNone/>
          <wp:docPr id="33" name="image3.png" descr=""/>
          <wp:cNvGraphicFramePr>
            <a:graphicFrameLocks noChangeAspect="1"/>
          </wp:cNvGraphicFramePr>
          <a:graphic>
            <a:graphicData uri="http://schemas.openxmlformats.org/drawingml/2006/picture">
              <pic:pic>
                <pic:nvPicPr>
                  <pic:cNvPr id="34"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088"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31</w:t>
                </w:r>
                <w:r>
                  <w:rPr/>
                  <w:fldChar w:fldCharType="end"/>
                </w:r>
                <w:r>
                  <w:rPr>
                    <w:rFonts w:ascii="Cambria"/>
                    <w:sz w:val="28"/>
                  </w:rPr>
                  <w:t>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391">
          <wp:simplePos x="0" y="0"/>
          <wp:positionH relativeFrom="page">
            <wp:posOffset>4045711</wp:posOffset>
          </wp:positionH>
          <wp:positionV relativeFrom="page">
            <wp:posOffset>9260725</wp:posOffset>
          </wp:positionV>
          <wp:extent cx="209550" cy="133350"/>
          <wp:effectExtent l="0" t="0" r="0" b="0"/>
          <wp:wrapNone/>
          <wp:docPr id="39" name="image3.png" descr=""/>
          <wp:cNvGraphicFramePr>
            <a:graphicFrameLocks noChangeAspect="1"/>
          </wp:cNvGraphicFramePr>
          <a:graphic>
            <a:graphicData uri="http://schemas.openxmlformats.org/drawingml/2006/picture">
              <pic:pic>
                <pic:nvPicPr>
                  <pic:cNvPr id="40"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9040" type="#_x0000_t202" filled="false" stroked="false">
          <v:textbox inset="0,0,0,0">
            <w:txbxContent>
              <w:p>
                <w:pPr>
                  <w:spacing w:line="309" w:lineRule="exact" w:before="0"/>
                  <w:ind w:left="20" w:right="-1" w:firstLine="0"/>
                  <w:jc w:val="left"/>
                  <w:rPr>
                    <w:rFonts w:ascii="Cambria"/>
                    <w:sz w:val="28"/>
                  </w:rPr>
                </w:pPr>
                <w:r>
                  <w:rPr>
                    <w:rFonts w:ascii="Cambria"/>
                    <w:sz w:val="28"/>
                  </w:rPr>
                  <w:t>~ 40 ~</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439">
          <wp:simplePos x="0" y="0"/>
          <wp:positionH relativeFrom="page">
            <wp:posOffset>4045711</wp:posOffset>
          </wp:positionH>
          <wp:positionV relativeFrom="page">
            <wp:posOffset>9260725</wp:posOffset>
          </wp:positionV>
          <wp:extent cx="209550" cy="133350"/>
          <wp:effectExtent l="0" t="0" r="0" b="0"/>
          <wp:wrapNone/>
          <wp:docPr id="41" name="image3.png" descr=""/>
          <wp:cNvGraphicFramePr>
            <a:graphicFrameLocks noChangeAspect="1"/>
          </wp:cNvGraphicFramePr>
          <a:graphic>
            <a:graphicData uri="http://schemas.openxmlformats.org/drawingml/2006/picture">
              <pic:pic>
                <pic:nvPicPr>
                  <pic:cNvPr id="42" name="image3.png"/>
                  <pic:cNvPicPr/>
                </pic:nvPicPr>
                <pic:blipFill>
                  <a:blip r:embed="rId1" cstate="print"/>
                  <a:stretch>
                    <a:fillRect/>
                  </a:stretch>
                </pic:blipFill>
                <pic:spPr>
                  <a:xfrm>
                    <a:off x="0" y="0"/>
                    <a:ext cx="209550" cy="133350"/>
                  </a:xfrm>
                  <a:prstGeom prst="rect">
                    <a:avLst/>
                  </a:prstGeom>
                </pic:spPr>
              </pic:pic>
            </a:graphicData>
          </a:graphic>
        </wp:anchor>
      </w:drawing>
    </w:r>
    <w:r>
      <w:rPr/>
      <w:pict>
        <v:shape style="position:absolute;margin-left:275.880005pt;margin-top:727.42804pt;width:43.6pt;height:16pt;mso-position-horizontal-relative:page;mso-position-vertical-relative:page;z-index:-128992" type="#_x0000_t202" filled="false" stroked="false">
          <v:textbox inset="0,0,0,0">
            <w:txbxContent>
              <w:p>
                <w:pPr>
                  <w:spacing w:line="309" w:lineRule="exact" w:before="0"/>
                  <w:ind w:left="20" w:right="-1" w:firstLine="0"/>
                  <w:jc w:val="left"/>
                  <w:rPr>
                    <w:rFonts w:ascii="Cambria"/>
                    <w:sz w:val="28"/>
                  </w:rPr>
                </w:pPr>
                <w:r>
                  <w:rPr>
                    <w:rFonts w:ascii="Cambria"/>
                    <w:sz w:val="28"/>
                  </w:rPr>
                  <w:t>~ </w:t>
                </w:r>
                <w:r>
                  <w:rPr/>
                  <w:fldChar w:fldCharType="begin"/>
                </w:r>
                <w:r>
                  <w:rPr>
                    <w:rFonts w:ascii="Cambria"/>
                    <w:sz w:val="28"/>
                  </w:rPr>
                  <w:instrText> PAGE </w:instrText>
                </w:r>
                <w:r>
                  <w:rPr/>
                  <w:fldChar w:fldCharType="separate"/>
                </w:r>
                <w:r>
                  <w:rPr/>
                  <w:t>41</w:t>
                </w:r>
                <w:r>
                  <w:rPr/>
                  <w:fldChar w:fldCharType="end"/>
                </w:r>
                <w:r>
                  <w:rPr>
                    <w:rFonts w:ascii="Cambria"/>
                    <w:sz w:val="28"/>
                  </w:rPr>
                  <w:t> ~</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15">
    <w:multiLevelType w:val="hybridMultilevel"/>
    <w:lvl w:ilvl="0">
      <w:start w:val="1"/>
      <w:numFmt w:val="bullet"/>
      <w:lvlText w:val=""/>
      <w:lvlJc w:val="left"/>
      <w:pPr>
        <w:ind w:left="701" w:hanging="361"/>
      </w:pPr>
      <w:rPr>
        <w:rFonts w:hint="default" w:ascii="Symbol" w:hAnsi="Symbol" w:eastAsia="Symbol" w:cs="Symbol"/>
        <w:w w:val="100"/>
        <w:sz w:val="24"/>
        <w:szCs w:val="24"/>
      </w:rPr>
    </w:lvl>
    <w:lvl w:ilvl="1">
      <w:start w:val="1"/>
      <w:numFmt w:val="bullet"/>
      <w:lvlText w:val="•"/>
      <w:lvlJc w:val="left"/>
      <w:pPr>
        <w:ind w:left="1522" w:hanging="361"/>
      </w:pPr>
      <w:rPr>
        <w:rFonts w:hint="default"/>
      </w:rPr>
    </w:lvl>
    <w:lvl w:ilvl="2">
      <w:start w:val="1"/>
      <w:numFmt w:val="bullet"/>
      <w:lvlText w:val="•"/>
      <w:lvlJc w:val="left"/>
      <w:pPr>
        <w:ind w:left="2344" w:hanging="361"/>
      </w:pPr>
      <w:rPr>
        <w:rFonts w:hint="default"/>
      </w:rPr>
    </w:lvl>
    <w:lvl w:ilvl="3">
      <w:start w:val="1"/>
      <w:numFmt w:val="bullet"/>
      <w:lvlText w:val="•"/>
      <w:lvlJc w:val="left"/>
      <w:pPr>
        <w:ind w:left="3166" w:hanging="361"/>
      </w:pPr>
      <w:rPr>
        <w:rFonts w:hint="default"/>
      </w:rPr>
    </w:lvl>
    <w:lvl w:ilvl="4">
      <w:start w:val="1"/>
      <w:numFmt w:val="bullet"/>
      <w:lvlText w:val="•"/>
      <w:lvlJc w:val="left"/>
      <w:pPr>
        <w:ind w:left="3988" w:hanging="361"/>
      </w:pPr>
      <w:rPr>
        <w:rFonts w:hint="default"/>
      </w:rPr>
    </w:lvl>
    <w:lvl w:ilvl="5">
      <w:start w:val="1"/>
      <w:numFmt w:val="bullet"/>
      <w:lvlText w:val="•"/>
      <w:lvlJc w:val="left"/>
      <w:pPr>
        <w:ind w:left="4810" w:hanging="361"/>
      </w:pPr>
      <w:rPr>
        <w:rFonts w:hint="default"/>
      </w:rPr>
    </w:lvl>
    <w:lvl w:ilvl="6">
      <w:start w:val="1"/>
      <w:numFmt w:val="bullet"/>
      <w:lvlText w:val="•"/>
      <w:lvlJc w:val="left"/>
      <w:pPr>
        <w:ind w:left="5632" w:hanging="361"/>
      </w:pPr>
      <w:rPr>
        <w:rFonts w:hint="default"/>
      </w:rPr>
    </w:lvl>
    <w:lvl w:ilvl="7">
      <w:start w:val="1"/>
      <w:numFmt w:val="bullet"/>
      <w:lvlText w:val="•"/>
      <w:lvlJc w:val="left"/>
      <w:pPr>
        <w:ind w:left="6454" w:hanging="361"/>
      </w:pPr>
      <w:rPr>
        <w:rFonts w:hint="default"/>
      </w:rPr>
    </w:lvl>
    <w:lvl w:ilvl="8">
      <w:start w:val="1"/>
      <w:numFmt w:val="bullet"/>
      <w:lvlText w:val="•"/>
      <w:lvlJc w:val="left"/>
      <w:pPr>
        <w:ind w:left="7276" w:hanging="361"/>
      </w:pPr>
      <w:rPr>
        <w:rFonts w:hint="default"/>
      </w:rPr>
    </w:lvl>
  </w:abstractNum>
  <w:abstractNum w:abstractNumId="13">
    <w:multiLevelType w:val="hybridMultilevel"/>
    <w:lvl w:ilvl="0">
      <w:start w:val="5"/>
      <w:numFmt w:val="decimal"/>
      <w:lvlText w:val="%1"/>
      <w:lvlJc w:val="left"/>
      <w:pPr>
        <w:ind w:left="1208" w:hanging="400"/>
        <w:jc w:val="left"/>
      </w:pPr>
      <w:rPr>
        <w:rFonts w:hint="default"/>
      </w:rPr>
    </w:lvl>
    <w:lvl w:ilvl="1">
      <w:start w:val="1"/>
      <w:numFmt w:val="decimal"/>
      <w:lvlText w:val="%1.%2"/>
      <w:lvlJc w:val="left"/>
      <w:pPr>
        <w:ind w:left="1208" w:hanging="400"/>
        <w:jc w:val="right"/>
      </w:pPr>
      <w:rPr>
        <w:rFonts w:hint="default" w:ascii="Arial" w:hAnsi="Arial" w:eastAsia="Arial" w:cs="Arial"/>
        <w:b/>
        <w:bCs/>
        <w:spacing w:val="-2"/>
        <w:w w:val="99"/>
        <w:sz w:val="24"/>
        <w:szCs w:val="24"/>
      </w:rPr>
    </w:lvl>
    <w:lvl w:ilvl="2">
      <w:start w:val="1"/>
      <w:numFmt w:val="bullet"/>
      <w:lvlText w:val="•"/>
      <w:lvlJc w:val="left"/>
      <w:pPr>
        <w:ind w:left="2768" w:hanging="400"/>
      </w:pPr>
      <w:rPr>
        <w:rFonts w:hint="default"/>
      </w:rPr>
    </w:lvl>
    <w:lvl w:ilvl="3">
      <w:start w:val="1"/>
      <w:numFmt w:val="bullet"/>
      <w:lvlText w:val="•"/>
      <w:lvlJc w:val="left"/>
      <w:pPr>
        <w:ind w:left="3552" w:hanging="400"/>
      </w:pPr>
      <w:rPr>
        <w:rFonts w:hint="default"/>
      </w:rPr>
    </w:lvl>
    <w:lvl w:ilvl="4">
      <w:start w:val="1"/>
      <w:numFmt w:val="bullet"/>
      <w:lvlText w:val="•"/>
      <w:lvlJc w:val="left"/>
      <w:pPr>
        <w:ind w:left="4336" w:hanging="400"/>
      </w:pPr>
      <w:rPr>
        <w:rFonts w:hint="default"/>
      </w:rPr>
    </w:lvl>
    <w:lvl w:ilvl="5">
      <w:start w:val="1"/>
      <w:numFmt w:val="bullet"/>
      <w:lvlText w:val="•"/>
      <w:lvlJc w:val="left"/>
      <w:pPr>
        <w:ind w:left="5120" w:hanging="400"/>
      </w:pPr>
      <w:rPr>
        <w:rFonts w:hint="default"/>
      </w:rPr>
    </w:lvl>
    <w:lvl w:ilvl="6">
      <w:start w:val="1"/>
      <w:numFmt w:val="bullet"/>
      <w:lvlText w:val="•"/>
      <w:lvlJc w:val="left"/>
      <w:pPr>
        <w:ind w:left="5904" w:hanging="400"/>
      </w:pPr>
      <w:rPr>
        <w:rFonts w:hint="default"/>
      </w:rPr>
    </w:lvl>
    <w:lvl w:ilvl="7">
      <w:start w:val="1"/>
      <w:numFmt w:val="bullet"/>
      <w:lvlText w:val="•"/>
      <w:lvlJc w:val="left"/>
      <w:pPr>
        <w:ind w:left="6688" w:hanging="400"/>
      </w:pPr>
      <w:rPr>
        <w:rFonts w:hint="default"/>
      </w:rPr>
    </w:lvl>
    <w:lvl w:ilvl="8">
      <w:start w:val="1"/>
      <w:numFmt w:val="bullet"/>
      <w:lvlText w:val="•"/>
      <w:lvlJc w:val="left"/>
      <w:pPr>
        <w:ind w:left="7472" w:hanging="400"/>
      </w:pPr>
      <w:rPr>
        <w:rFonts w:hint="default"/>
      </w:rPr>
    </w:lvl>
  </w:abstractNum>
  <w:abstractNum w:abstractNumId="12">
    <w:multiLevelType w:val="hybridMultilevel"/>
    <w:lvl w:ilvl="0">
      <w:start w:val="1"/>
      <w:numFmt w:val="bullet"/>
      <w:lvlText w:val=""/>
      <w:lvlJc w:val="left"/>
      <w:pPr>
        <w:ind w:left="1249" w:hanging="360"/>
      </w:pPr>
      <w:rPr>
        <w:rFonts w:hint="default" w:ascii="Symbol" w:hAnsi="Symbol" w:eastAsia="Symbol" w:cs="Symbol"/>
        <w:w w:val="100"/>
        <w:sz w:val="24"/>
        <w:szCs w:val="24"/>
      </w:rPr>
    </w:lvl>
    <w:lvl w:ilvl="1">
      <w:start w:val="1"/>
      <w:numFmt w:val="bullet"/>
      <w:lvlText w:val="•"/>
      <w:lvlJc w:val="left"/>
      <w:pPr>
        <w:ind w:left="202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14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700" w:hanging="360"/>
      </w:pPr>
      <w:rPr>
        <w:rFonts w:hint="default"/>
      </w:rPr>
    </w:lvl>
    <w:lvl w:ilvl="8">
      <w:start w:val="1"/>
      <w:numFmt w:val="bullet"/>
      <w:lvlText w:val="•"/>
      <w:lvlJc w:val="left"/>
      <w:pPr>
        <w:ind w:left="7480" w:hanging="360"/>
      </w:pPr>
      <w:rPr>
        <w:rFonts w:hint="default"/>
      </w:rPr>
    </w:lvl>
  </w:abstractNum>
  <w:abstractNum w:abstractNumId="11">
    <w:multiLevelType w:val="hybridMultilevel"/>
    <w:lvl w:ilvl="0">
      <w:start w:val="1"/>
      <w:numFmt w:val="lowerLetter"/>
      <w:lvlText w:val="%1)"/>
      <w:lvlJc w:val="left"/>
      <w:pPr>
        <w:ind w:left="889" w:hanging="361"/>
        <w:jc w:val="left"/>
      </w:pPr>
      <w:rPr>
        <w:rFonts w:hint="default" w:ascii="Arial" w:hAnsi="Arial" w:eastAsia="Arial" w:cs="Arial"/>
        <w:b/>
        <w:bCs/>
        <w:spacing w:val="-2"/>
        <w:w w:val="99"/>
        <w:sz w:val="24"/>
        <w:szCs w:val="24"/>
      </w:rPr>
    </w:lvl>
    <w:lvl w:ilvl="1">
      <w:start w:val="1"/>
      <w:numFmt w:val="bullet"/>
      <w:lvlText w:val="•"/>
      <w:lvlJc w:val="left"/>
      <w:pPr>
        <w:ind w:left="1696" w:hanging="361"/>
      </w:pPr>
      <w:rPr>
        <w:rFonts w:hint="default"/>
      </w:rPr>
    </w:lvl>
    <w:lvl w:ilvl="2">
      <w:start w:val="1"/>
      <w:numFmt w:val="bullet"/>
      <w:lvlText w:val="•"/>
      <w:lvlJc w:val="left"/>
      <w:pPr>
        <w:ind w:left="2512" w:hanging="361"/>
      </w:pPr>
      <w:rPr>
        <w:rFonts w:hint="default"/>
      </w:rPr>
    </w:lvl>
    <w:lvl w:ilvl="3">
      <w:start w:val="1"/>
      <w:numFmt w:val="bullet"/>
      <w:lvlText w:val="•"/>
      <w:lvlJc w:val="left"/>
      <w:pPr>
        <w:ind w:left="3328" w:hanging="361"/>
      </w:pPr>
      <w:rPr>
        <w:rFonts w:hint="default"/>
      </w:rPr>
    </w:lvl>
    <w:lvl w:ilvl="4">
      <w:start w:val="1"/>
      <w:numFmt w:val="bullet"/>
      <w:lvlText w:val="•"/>
      <w:lvlJc w:val="left"/>
      <w:pPr>
        <w:ind w:left="4144" w:hanging="361"/>
      </w:pPr>
      <w:rPr>
        <w:rFonts w:hint="default"/>
      </w:rPr>
    </w:lvl>
    <w:lvl w:ilvl="5">
      <w:start w:val="1"/>
      <w:numFmt w:val="bullet"/>
      <w:lvlText w:val="•"/>
      <w:lvlJc w:val="left"/>
      <w:pPr>
        <w:ind w:left="4960" w:hanging="361"/>
      </w:pPr>
      <w:rPr>
        <w:rFonts w:hint="default"/>
      </w:rPr>
    </w:lvl>
    <w:lvl w:ilvl="6">
      <w:start w:val="1"/>
      <w:numFmt w:val="bullet"/>
      <w:lvlText w:val="•"/>
      <w:lvlJc w:val="left"/>
      <w:pPr>
        <w:ind w:left="5776" w:hanging="361"/>
      </w:pPr>
      <w:rPr>
        <w:rFonts w:hint="default"/>
      </w:rPr>
    </w:lvl>
    <w:lvl w:ilvl="7">
      <w:start w:val="1"/>
      <w:numFmt w:val="bullet"/>
      <w:lvlText w:val="•"/>
      <w:lvlJc w:val="left"/>
      <w:pPr>
        <w:ind w:left="6592" w:hanging="361"/>
      </w:pPr>
      <w:rPr>
        <w:rFonts w:hint="default"/>
      </w:rPr>
    </w:lvl>
    <w:lvl w:ilvl="8">
      <w:start w:val="1"/>
      <w:numFmt w:val="bullet"/>
      <w:lvlText w:val="•"/>
      <w:lvlJc w:val="left"/>
      <w:pPr>
        <w:ind w:left="7408" w:hanging="361"/>
      </w:pPr>
      <w:rPr>
        <w:rFonts w:hint="default"/>
      </w:rPr>
    </w:lvl>
  </w:abstractNum>
  <w:abstractNum w:abstractNumId="10">
    <w:multiLevelType w:val="hybridMultilevel"/>
    <w:lvl w:ilvl="0">
      <w:start w:val="1"/>
      <w:numFmt w:val="lowerLetter"/>
      <w:lvlText w:val="%1)"/>
      <w:lvlJc w:val="left"/>
      <w:pPr>
        <w:ind w:left="889" w:hanging="361"/>
        <w:jc w:val="left"/>
      </w:pPr>
      <w:rPr>
        <w:rFonts w:hint="default" w:ascii="Arial" w:hAnsi="Arial" w:eastAsia="Arial" w:cs="Arial"/>
        <w:b/>
        <w:bCs/>
        <w:spacing w:val="-2"/>
        <w:w w:val="99"/>
        <w:sz w:val="24"/>
        <w:szCs w:val="24"/>
      </w:rPr>
    </w:lvl>
    <w:lvl w:ilvl="1">
      <w:start w:val="1"/>
      <w:numFmt w:val="bullet"/>
      <w:lvlText w:val="•"/>
      <w:lvlJc w:val="left"/>
      <w:pPr>
        <w:ind w:left="1696" w:hanging="361"/>
      </w:pPr>
      <w:rPr>
        <w:rFonts w:hint="default"/>
      </w:rPr>
    </w:lvl>
    <w:lvl w:ilvl="2">
      <w:start w:val="1"/>
      <w:numFmt w:val="bullet"/>
      <w:lvlText w:val="•"/>
      <w:lvlJc w:val="left"/>
      <w:pPr>
        <w:ind w:left="2512" w:hanging="361"/>
      </w:pPr>
      <w:rPr>
        <w:rFonts w:hint="default"/>
      </w:rPr>
    </w:lvl>
    <w:lvl w:ilvl="3">
      <w:start w:val="1"/>
      <w:numFmt w:val="bullet"/>
      <w:lvlText w:val="•"/>
      <w:lvlJc w:val="left"/>
      <w:pPr>
        <w:ind w:left="3328" w:hanging="361"/>
      </w:pPr>
      <w:rPr>
        <w:rFonts w:hint="default"/>
      </w:rPr>
    </w:lvl>
    <w:lvl w:ilvl="4">
      <w:start w:val="1"/>
      <w:numFmt w:val="bullet"/>
      <w:lvlText w:val="•"/>
      <w:lvlJc w:val="left"/>
      <w:pPr>
        <w:ind w:left="4144" w:hanging="361"/>
      </w:pPr>
      <w:rPr>
        <w:rFonts w:hint="default"/>
      </w:rPr>
    </w:lvl>
    <w:lvl w:ilvl="5">
      <w:start w:val="1"/>
      <w:numFmt w:val="bullet"/>
      <w:lvlText w:val="•"/>
      <w:lvlJc w:val="left"/>
      <w:pPr>
        <w:ind w:left="4960" w:hanging="361"/>
      </w:pPr>
      <w:rPr>
        <w:rFonts w:hint="default"/>
      </w:rPr>
    </w:lvl>
    <w:lvl w:ilvl="6">
      <w:start w:val="1"/>
      <w:numFmt w:val="bullet"/>
      <w:lvlText w:val="•"/>
      <w:lvlJc w:val="left"/>
      <w:pPr>
        <w:ind w:left="5776" w:hanging="361"/>
      </w:pPr>
      <w:rPr>
        <w:rFonts w:hint="default"/>
      </w:rPr>
    </w:lvl>
    <w:lvl w:ilvl="7">
      <w:start w:val="1"/>
      <w:numFmt w:val="bullet"/>
      <w:lvlText w:val="•"/>
      <w:lvlJc w:val="left"/>
      <w:pPr>
        <w:ind w:left="6592" w:hanging="361"/>
      </w:pPr>
      <w:rPr>
        <w:rFonts w:hint="default"/>
      </w:rPr>
    </w:lvl>
    <w:lvl w:ilvl="8">
      <w:start w:val="1"/>
      <w:numFmt w:val="bullet"/>
      <w:lvlText w:val="•"/>
      <w:lvlJc w:val="left"/>
      <w:pPr>
        <w:ind w:left="7408" w:hanging="361"/>
      </w:pPr>
      <w:rPr>
        <w:rFonts w:hint="default"/>
      </w:rPr>
    </w:lvl>
  </w:abstractNum>
  <w:abstractNum w:abstractNumId="9">
    <w:multiLevelType w:val="hybridMultilevel"/>
    <w:lvl w:ilvl="0">
      <w:start w:val="1"/>
      <w:numFmt w:val="lowerLetter"/>
      <w:lvlText w:val="%1)"/>
      <w:lvlJc w:val="left"/>
      <w:pPr>
        <w:ind w:left="889" w:hanging="361"/>
        <w:jc w:val="left"/>
      </w:pPr>
      <w:rPr>
        <w:rFonts w:hint="default" w:ascii="Arial" w:hAnsi="Arial" w:eastAsia="Arial" w:cs="Arial"/>
        <w:b/>
        <w:bCs/>
        <w:spacing w:val="-2"/>
        <w:w w:val="99"/>
        <w:sz w:val="24"/>
        <w:szCs w:val="24"/>
      </w:rPr>
    </w:lvl>
    <w:lvl w:ilvl="1">
      <w:start w:val="1"/>
      <w:numFmt w:val="bullet"/>
      <w:lvlText w:val=""/>
      <w:lvlJc w:val="left"/>
      <w:pPr>
        <w:ind w:left="1361" w:hanging="360"/>
      </w:pPr>
      <w:rPr>
        <w:rFonts w:hint="default" w:ascii="Symbol" w:hAnsi="Symbol" w:eastAsia="Symbol" w:cs="Symbol"/>
        <w:w w:val="100"/>
        <w:sz w:val="24"/>
        <w:szCs w:val="24"/>
      </w:rPr>
    </w:lvl>
    <w:lvl w:ilvl="2">
      <w:start w:val="1"/>
      <w:numFmt w:val="bullet"/>
      <w:lvlText w:val="•"/>
      <w:lvlJc w:val="left"/>
      <w:pPr>
        <w:ind w:left="2213" w:hanging="360"/>
      </w:pPr>
      <w:rPr>
        <w:rFonts w:hint="default"/>
      </w:rPr>
    </w:lvl>
    <w:lvl w:ilvl="3">
      <w:start w:val="1"/>
      <w:numFmt w:val="bullet"/>
      <w:lvlText w:val="•"/>
      <w:lvlJc w:val="left"/>
      <w:pPr>
        <w:ind w:left="3066"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626"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33" w:hanging="360"/>
      </w:pPr>
      <w:rPr>
        <w:rFonts w:hint="default"/>
      </w:rPr>
    </w:lvl>
  </w:abstractNum>
  <w:abstractNum w:abstractNumId="8">
    <w:multiLevelType w:val="hybridMultilevel"/>
    <w:lvl w:ilvl="0">
      <w:start w:val="1"/>
      <w:numFmt w:val="bullet"/>
      <w:lvlText w:val="•"/>
      <w:lvlJc w:val="left"/>
      <w:pPr>
        <w:ind w:left="701" w:hanging="361"/>
      </w:pPr>
      <w:rPr>
        <w:rFonts w:hint="default" w:ascii="Arial" w:hAnsi="Arial" w:eastAsia="Arial" w:cs="Arial"/>
        <w:w w:val="99"/>
        <w:sz w:val="24"/>
        <w:szCs w:val="24"/>
      </w:rPr>
    </w:lvl>
    <w:lvl w:ilvl="1">
      <w:start w:val="1"/>
      <w:numFmt w:val="bullet"/>
      <w:lvlText w:val="•"/>
      <w:lvlJc w:val="left"/>
      <w:pPr>
        <w:ind w:left="1536" w:hanging="361"/>
      </w:pPr>
      <w:rPr>
        <w:rFonts w:hint="default"/>
      </w:rPr>
    </w:lvl>
    <w:lvl w:ilvl="2">
      <w:start w:val="1"/>
      <w:numFmt w:val="bullet"/>
      <w:lvlText w:val="•"/>
      <w:lvlJc w:val="left"/>
      <w:pPr>
        <w:ind w:left="2372" w:hanging="361"/>
      </w:pPr>
      <w:rPr>
        <w:rFonts w:hint="default"/>
      </w:rPr>
    </w:lvl>
    <w:lvl w:ilvl="3">
      <w:start w:val="1"/>
      <w:numFmt w:val="bullet"/>
      <w:lvlText w:val="•"/>
      <w:lvlJc w:val="left"/>
      <w:pPr>
        <w:ind w:left="3208" w:hanging="361"/>
      </w:pPr>
      <w:rPr>
        <w:rFonts w:hint="default"/>
      </w:rPr>
    </w:lvl>
    <w:lvl w:ilvl="4">
      <w:start w:val="1"/>
      <w:numFmt w:val="bullet"/>
      <w:lvlText w:val="•"/>
      <w:lvlJc w:val="left"/>
      <w:pPr>
        <w:ind w:left="4044" w:hanging="361"/>
      </w:pPr>
      <w:rPr>
        <w:rFonts w:hint="default"/>
      </w:rPr>
    </w:lvl>
    <w:lvl w:ilvl="5">
      <w:start w:val="1"/>
      <w:numFmt w:val="bullet"/>
      <w:lvlText w:val="•"/>
      <w:lvlJc w:val="left"/>
      <w:pPr>
        <w:ind w:left="4880" w:hanging="361"/>
      </w:pPr>
      <w:rPr>
        <w:rFonts w:hint="default"/>
      </w:rPr>
    </w:lvl>
    <w:lvl w:ilvl="6">
      <w:start w:val="1"/>
      <w:numFmt w:val="bullet"/>
      <w:lvlText w:val="•"/>
      <w:lvlJc w:val="left"/>
      <w:pPr>
        <w:ind w:left="5716" w:hanging="361"/>
      </w:pPr>
      <w:rPr>
        <w:rFonts w:hint="default"/>
      </w:rPr>
    </w:lvl>
    <w:lvl w:ilvl="7">
      <w:start w:val="1"/>
      <w:numFmt w:val="bullet"/>
      <w:lvlText w:val="•"/>
      <w:lvlJc w:val="left"/>
      <w:pPr>
        <w:ind w:left="6552" w:hanging="361"/>
      </w:pPr>
      <w:rPr>
        <w:rFonts w:hint="default"/>
      </w:rPr>
    </w:lvl>
    <w:lvl w:ilvl="8">
      <w:start w:val="1"/>
      <w:numFmt w:val="bullet"/>
      <w:lvlText w:val="•"/>
      <w:lvlJc w:val="left"/>
      <w:pPr>
        <w:ind w:left="7388" w:hanging="361"/>
      </w:pPr>
      <w:rPr>
        <w:rFonts w:hint="default"/>
      </w:rPr>
    </w:lvl>
  </w:abstractNum>
  <w:abstractNum w:abstractNumId="7">
    <w:multiLevelType w:val="hybridMultilevel"/>
    <w:lvl w:ilvl="0">
      <w:start w:val="4"/>
      <w:numFmt w:val="decimal"/>
      <w:lvlText w:val="%1"/>
      <w:lvlJc w:val="left"/>
      <w:pPr>
        <w:ind w:left="100" w:hanging="444"/>
        <w:jc w:val="left"/>
      </w:pPr>
      <w:rPr>
        <w:rFonts w:hint="default"/>
      </w:rPr>
    </w:lvl>
    <w:lvl w:ilvl="1">
      <w:start w:val="1"/>
      <w:numFmt w:val="decimal"/>
      <w:lvlText w:val="%1.%2"/>
      <w:lvlJc w:val="left"/>
      <w:pPr>
        <w:ind w:left="100" w:hanging="444"/>
        <w:jc w:val="right"/>
      </w:pPr>
      <w:rPr>
        <w:rFonts w:hint="default" w:ascii="Arial" w:hAnsi="Arial" w:eastAsia="Arial" w:cs="Arial"/>
        <w:b/>
        <w:bCs/>
        <w:spacing w:val="-2"/>
        <w:w w:val="99"/>
        <w:sz w:val="24"/>
        <w:szCs w:val="24"/>
      </w:rPr>
    </w:lvl>
    <w:lvl w:ilvl="2">
      <w:start w:val="1"/>
      <w:numFmt w:val="decimal"/>
      <w:lvlText w:val="%1.%2.%3"/>
      <w:lvlJc w:val="left"/>
      <w:pPr>
        <w:ind w:left="100" w:hanging="764"/>
        <w:jc w:val="right"/>
      </w:pPr>
      <w:rPr>
        <w:rFonts w:hint="default" w:ascii="Arial" w:hAnsi="Arial" w:eastAsia="Arial" w:cs="Arial"/>
        <w:b/>
        <w:bCs/>
        <w:spacing w:val="-2"/>
        <w:w w:val="99"/>
        <w:sz w:val="24"/>
        <w:szCs w:val="24"/>
      </w:rPr>
    </w:lvl>
    <w:lvl w:ilvl="3">
      <w:start w:val="1"/>
      <w:numFmt w:val="decimal"/>
      <w:lvlText w:val="%1.%2.%3.%4"/>
      <w:lvlJc w:val="left"/>
      <w:pPr>
        <w:ind w:left="2341" w:hanging="800"/>
        <w:jc w:val="right"/>
      </w:pPr>
      <w:rPr>
        <w:rFonts w:hint="default" w:ascii="Arial" w:hAnsi="Arial" w:eastAsia="Arial" w:cs="Arial"/>
        <w:b/>
        <w:bCs/>
        <w:spacing w:val="-2"/>
        <w:w w:val="99"/>
        <w:sz w:val="24"/>
        <w:szCs w:val="24"/>
      </w:rPr>
    </w:lvl>
    <w:lvl w:ilvl="4">
      <w:start w:val="1"/>
      <w:numFmt w:val="bullet"/>
      <w:lvlText w:val="•"/>
      <w:lvlJc w:val="left"/>
      <w:pPr>
        <w:ind w:left="3297" w:hanging="800"/>
      </w:pPr>
      <w:rPr>
        <w:rFonts w:hint="default"/>
      </w:rPr>
    </w:lvl>
    <w:lvl w:ilvl="5">
      <w:start w:val="1"/>
      <w:numFmt w:val="bullet"/>
      <w:lvlText w:val="•"/>
      <w:lvlJc w:val="left"/>
      <w:pPr>
        <w:ind w:left="4254" w:hanging="800"/>
      </w:pPr>
      <w:rPr>
        <w:rFonts w:hint="default"/>
      </w:rPr>
    </w:lvl>
    <w:lvl w:ilvl="6">
      <w:start w:val="1"/>
      <w:numFmt w:val="bullet"/>
      <w:lvlText w:val="•"/>
      <w:lvlJc w:val="left"/>
      <w:pPr>
        <w:ind w:left="5211" w:hanging="800"/>
      </w:pPr>
      <w:rPr>
        <w:rFonts w:hint="default"/>
      </w:rPr>
    </w:lvl>
    <w:lvl w:ilvl="7">
      <w:start w:val="1"/>
      <w:numFmt w:val="bullet"/>
      <w:lvlText w:val="•"/>
      <w:lvlJc w:val="left"/>
      <w:pPr>
        <w:ind w:left="6168" w:hanging="800"/>
      </w:pPr>
      <w:rPr>
        <w:rFonts w:hint="default"/>
      </w:rPr>
    </w:lvl>
    <w:lvl w:ilvl="8">
      <w:start w:val="1"/>
      <w:numFmt w:val="bullet"/>
      <w:lvlText w:val="•"/>
      <w:lvlJc w:val="left"/>
      <w:pPr>
        <w:ind w:left="7125" w:hanging="800"/>
      </w:pPr>
      <w:rPr>
        <w:rFonts w:hint="default"/>
      </w:rPr>
    </w:lvl>
  </w:abstractNum>
  <w:abstractNum w:abstractNumId="6">
    <w:multiLevelType w:val="hybridMultilevel"/>
    <w:lvl w:ilvl="0">
      <w:start w:val="3"/>
      <w:numFmt w:val="decimal"/>
      <w:lvlText w:val="%1"/>
      <w:lvlJc w:val="left"/>
      <w:pPr>
        <w:ind w:left="500" w:hanging="400"/>
        <w:jc w:val="left"/>
      </w:pPr>
      <w:rPr>
        <w:rFonts w:hint="default"/>
      </w:rPr>
    </w:lvl>
    <w:lvl w:ilvl="1">
      <w:start w:val="1"/>
      <w:numFmt w:val="decimal"/>
      <w:lvlText w:val="%1.%2"/>
      <w:lvlJc w:val="left"/>
      <w:pPr>
        <w:ind w:left="500" w:hanging="400"/>
        <w:jc w:val="left"/>
      </w:pPr>
      <w:rPr>
        <w:rFonts w:hint="default" w:ascii="Arial" w:hAnsi="Arial" w:eastAsia="Arial" w:cs="Arial"/>
        <w:b/>
        <w:bCs/>
        <w:spacing w:val="-2"/>
        <w:w w:val="99"/>
        <w:sz w:val="24"/>
        <w:szCs w:val="24"/>
      </w:rPr>
    </w:lvl>
    <w:lvl w:ilvl="2">
      <w:start w:val="1"/>
      <w:numFmt w:val="bullet"/>
      <w:lvlText w:val="•"/>
      <w:lvlJc w:val="left"/>
      <w:pPr>
        <w:ind w:left="821" w:hanging="361"/>
      </w:pPr>
      <w:rPr>
        <w:rFonts w:hint="default" w:ascii="Arial" w:hAnsi="Arial" w:eastAsia="Arial" w:cs="Arial"/>
        <w:w w:val="99"/>
        <w:sz w:val="24"/>
        <w:szCs w:val="24"/>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5">
    <w:multiLevelType w:val="hybridMultilevel"/>
    <w:lvl w:ilvl="0">
      <w:start w:val="1"/>
      <w:numFmt w:val="bullet"/>
      <w:lvlText w:val="•"/>
      <w:lvlJc w:val="left"/>
      <w:pPr>
        <w:ind w:left="821" w:hanging="361"/>
      </w:pPr>
      <w:rPr>
        <w:rFonts w:hint="default" w:ascii="Arial" w:hAnsi="Arial" w:eastAsia="Arial" w:cs="Arial"/>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
    <w:multiLevelType w:val="hybridMultilevel"/>
    <w:lvl w:ilvl="0">
      <w:start w:val="3"/>
      <w:numFmt w:val="lowerLetter"/>
      <w:lvlText w:val="(%1)"/>
      <w:lvlJc w:val="left"/>
      <w:pPr>
        <w:ind w:left="448" w:hanging="348"/>
        <w:jc w:val="left"/>
      </w:pPr>
      <w:rPr>
        <w:rFonts w:hint="default" w:ascii="Arial" w:hAnsi="Arial" w:eastAsia="Arial" w:cs="Arial"/>
        <w:w w:val="99"/>
        <w:sz w:val="24"/>
        <w:szCs w:val="24"/>
      </w:rPr>
    </w:lvl>
    <w:lvl w:ilvl="1">
      <w:start w:val="1"/>
      <w:numFmt w:val="bullet"/>
      <w:lvlText w:val=""/>
      <w:lvlJc w:val="left"/>
      <w:pPr>
        <w:ind w:left="821" w:hanging="361"/>
      </w:pPr>
      <w:rPr>
        <w:rFonts w:hint="default" w:ascii="Symbol" w:hAnsi="Symbol" w:eastAsia="Symbol" w:cs="Symbol"/>
        <w:w w:val="100"/>
        <w:sz w:val="24"/>
        <w:szCs w:val="24"/>
      </w:rPr>
    </w:lvl>
    <w:lvl w:ilvl="2">
      <w:start w:val="1"/>
      <w:numFmt w:val="bullet"/>
      <w:lvlText w:val="•"/>
      <w:lvlJc w:val="left"/>
      <w:pPr>
        <w:ind w:left="1733" w:hanging="361"/>
      </w:pPr>
      <w:rPr>
        <w:rFonts w:hint="default"/>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3">
    <w:multiLevelType w:val="hybridMultilevel"/>
    <w:lvl w:ilvl="0">
      <w:start w:val="2"/>
      <w:numFmt w:val="decimal"/>
      <w:lvlText w:val="%1"/>
      <w:lvlJc w:val="left"/>
      <w:pPr>
        <w:ind w:left="1208" w:hanging="400"/>
        <w:jc w:val="left"/>
      </w:pPr>
      <w:rPr>
        <w:rFonts w:hint="default"/>
      </w:rPr>
    </w:lvl>
    <w:lvl w:ilvl="1">
      <w:start w:val="1"/>
      <w:numFmt w:val="decimal"/>
      <w:lvlText w:val="%1.%2"/>
      <w:lvlJc w:val="left"/>
      <w:pPr>
        <w:ind w:left="100" w:hanging="400"/>
        <w:jc w:val="right"/>
      </w:pPr>
      <w:rPr>
        <w:rFonts w:hint="default" w:ascii="Arial" w:hAnsi="Arial" w:eastAsia="Arial" w:cs="Arial"/>
        <w:b/>
        <w:bCs/>
        <w:spacing w:val="-2"/>
        <w:w w:val="99"/>
        <w:sz w:val="24"/>
        <w:szCs w:val="24"/>
      </w:rPr>
    </w:lvl>
    <w:lvl w:ilvl="2">
      <w:start w:val="1"/>
      <w:numFmt w:val="decimal"/>
      <w:lvlText w:val="%1.%2.%3"/>
      <w:lvlJc w:val="left"/>
      <w:pPr>
        <w:ind w:left="1409" w:hanging="600"/>
        <w:jc w:val="left"/>
      </w:pPr>
      <w:rPr>
        <w:rFonts w:hint="default" w:ascii="Arial" w:hAnsi="Arial" w:eastAsia="Arial" w:cs="Arial"/>
        <w:b/>
        <w:bCs/>
        <w:spacing w:val="-2"/>
        <w:w w:val="99"/>
        <w:sz w:val="24"/>
        <w:szCs w:val="24"/>
      </w:rPr>
    </w:lvl>
    <w:lvl w:ilvl="3">
      <w:start w:val="1"/>
      <w:numFmt w:val="bullet"/>
      <w:lvlText w:val=""/>
      <w:lvlJc w:val="left"/>
      <w:pPr>
        <w:ind w:left="1529" w:hanging="360"/>
      </w:pPr>
      <w:rPr>
        <w:rFonts w:hint="default" w:ascii="Symbol" w:hAnsi="Symbol" w:eastAsia="Symbol" w:cs="Symbol"/>
        <w:w w:val="100"/>
        <w:sz w:val="24"/>
        <w:szCs w:val="24"/>
      </w:rPr>
    </w:lvl>
    <w:lvl w:ilvl="4">
      <w:start w:val="1"/>
      <w:numFmt w:val="bullet"/>
      <w:lvlText w:val="•"/>
      <w:lvlJc w:val="left"/>
      <w:pPr>
        <w:ind w:left="2594" w:hanging="360"/>
      </w:pPr>
      <w:rPr>
        <w:rFonts w:hint="default"/>
      </w:rPr>
    </w:lvl>
    <w:lvl w:ilvl="5">
      <w:start w:val="1"/>
      <w:numFmt w:val="bullet"/>
      <w:lvlText w:val="•"/>
      <w:lvlJc w:val="left"/>
      <w:pPr>
        <w:ind w:left="3668" w:hanging="360"/>
      </w:pPr>
      <w:rPr>
        <w:rFonts w:hint="default"/>
      </w:rPr>
    </w:lvl>
    <w:lvl w:ilvl="6">
      <w:start w:val="1"/>
      <w:numFmt w:val="bullet"/>
      <w:lvlText w:val="•"/>
      <w:lvlJc w:val="left"/>
      <w:pPr>
        <w:ind w:left="4742" w:hanging="360"/>
      </w:pPr>
      <w:rPr>
        <w:rFonts w:hint="default"/>
      </w:rPr>
    </w:lvl>
    <w:lvl w:ilvl="7">
      <w:start w:val="1"/>
      <w:numFmt w:val="bullet"/>
      <w:lvlText w:val="•"/>
      <w:lvlJc w:val="left"/>
      <w:pPr>
        <w:ind w:left="5817" w:hanging="360"/>
      </w:pPr>
      <w:rPr>
        <w:rFonts w:hint="default"/>
      </w:rPr>
    </w:lvl>
    <w:lvl w:ilvl="8">
      <w:start w:val="1"/>
      <w:numFmt w:val="bullet"/>
      <w:lvlText w:val="•"/>
      <w:lvlJc w:val="left"/>
      <w:pPr>
        <w:ind w:left="6891" w:hanging="360"/>
      </w:pPr>
      <w:rPr>
        <w:rFonts w:hint="default"/>
      </w:rPr>
    </w:lvl>
  </w:abstractNum>
  <w:abstractNum w:abstractNumId="2">
    <w:multiLevelType w:val="hybridMultilevel"/>
    <w:lvl w:ilvl="0">
      <w:start w:val="1"/>
      <w:numFmt w:val="bullet"/>
      <w:lvlText w:val=""/>
      <w:lvlJc w:val="left"/>
      <w:pPr>
        <w:ind w:left="1529" w:hanging="360"/>
      </w:pPr>
      <w:rPr>
        <w:rFonts w:hint="default" w:ascii="Symbol" w:hAnsi="Symbol" w:eastAsia="Symbol" w:cs="Symbol"/>
        <w:w w:val="100"/>
        <w:sz w:val="24"/>
        <w:szCs w:val="24"/>
      </w:rPr>
    </w:lvl>
    <w:lvl w:ilvl="1">
      <w:start w:val="1"/>
      <w:numFmt w:val="bullet"/>
      <w:lvlText w:val="•"/>
      <w:lvlJc w:val="left"/>
      <w:pPr>
        <w:ind w:left="2272" w:hanging="360"/>
      </w:pPr>
      <w:rPr>
        <w:rFonts w:hint="default"/>
      </w:rPr>
    </w:lvl>
    <w:lvl w:ilvl="2">
      <w:start w:val="1"/>
      <w:numFmt w:val="bullet"/>
      <w:lvlText w:val="•"/>
      <w:lvlJc w:val="left"/>
      <w:pPr>
        <w:ind w:left="3024" w:hanging="360"/>
      </w:pPr>
      <w:rPr>
        <w:rFonts w:hint="default"/>
      </w:rPr>
    </w:lvl>
    <w:lvl w:ilvl="3">
      <w:start w:val="1"/>
      <w:numFmt w:val="bullet"/>
      <w:lvlText w:val="•"/>
      <w:lvlJc w:val="left"/>
      <w:pPr>
        <w:ind w:left="3776" w:hanging="360"/>
      </w:pPr>
      <w:rPr>
        <w:rFonts w:hint="default"/>
      </w:rPr>
    </w:lvl>
    <w:lvl w:ilvl="4">
      <w:start w:val="1"/>
      <w:numFmt w:val="bullet"/>
      <w:lvlText w:val="•"/>
      <w:lvlJc w:val="left"/>
      <w:pPr>
        <w:ind w:left="4528"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0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536" w:hanging="360"/>
      </w:pPr>
      <w:rPr>
        <w:rFonts w:hint="default"/>
      </w:rPr>
    </w:lvl>
  </w:abstractNum>
  <w:abstractNum w:abstractNumId="1">
    <w:multiLevelType w:val="hybridMultilevel"/>
    <w:lvl w:ilvl="0">
      <w:start w:val="1"/>
      <w:numFmt w:val="decimal"/>
      <w:lvlText w:val="%1"/>
      <w:lvlJc w:val="left"/>
      <w:pPr>
        <w:ind w:left="1249" w:hanging="428"/>
        <w:jc w:val="left"/>
      </w:pPr>
      <w:rPr>
        <w:rFonts w:hint="default"/>
      </w:rPr>
    </w:lvl>
    <w:lvl w:ilvl="1">
      <w:start w:val="2"/>
      <w:numFmt w:val="decimal"/>
      <w:lvlText w:val="%1.%2"/>
      <w:lvlJc w:val="left"/>
      <w:pPr>
        <w:ind w:left="1249" w:hanging="428"/>
        <w:jc w:val="left"/>
      </w:pPr>
      <w:rPr>
        <w:rFonts w:hint="default" w:ascii="Arial" w:hAnsi="Arial" w:eastAsia="Arial" w:cs="Arial"/>
        <w:b/>
        <w:bCs/>
        <w:spacing w:val="-2"/>
        <w:w w:val="99"/>
        <w:sz w:val="24"/>
        <w:szCs w:val="24"/>
      </w:rPr>
    </w:lvl>
    <w:lvl w:ilvl="2">
      <w:start w:val="1"/>
      <w:numFmt w:val="bullet"/>
      <w:lvlText w:val=""/>
      <w:lvlJc w:val="left"/>
      <w:pPr>
        <w:ind w:left="821" w:hanging="696"/>
      </w:pPr>
      <w:rPr>
        <w:rFonts w:hint="default" w:ascii="Symbol" w:hAnsi="Symbol" w:eastAsia="Symbol" w:cs="Symbol"/>
        <w:w w:val="100"/>
        <w:sz w:val="24"/>
        <w:szCs w:val="24"/>
      </w:rPr>
    </w:lvl>
    <w:lvl w:ilvl="3">
      <w:start w:val="1"/>
      <w:numFmt w:val="bullet"/>
      <w:lvlText w:val="•"/>
      <w:lvlJc w:val="left"/>
      <w:pPr>
        <w:ind w:left="2973" w:hanging="696"/>
      </w:pPr>
      <w:rPr>
        <w:rFonts w:hint="default"/>
      </w:rPr>
    </w:lvl>
    <w:lvl w:ilvl="4">
      <w:start w:val="1"/>
      <w:numFmt w:val="bullet"/>
      <w:lvlText w:val="•"/>
      <w:lvlJc w:val="left"/>
      <w:pPr>
        <w:ind w:left="3840" w:hanging="696"/>
      </w:pPr>
      <w:rPr>
        <w:rFonts w:hint="default"/>
      </w:rPr>
    </w:lvl>
    <w:lvl w:ilvl="5">
      <w:start w:val="1"/>
      <w:numFmt w:val="bullet"/>
      <w:lvlText w:val="•"/>
      <w:lvlJc w:val="left"/>
      <w:pPr>
        <w:ind w:left="4706" w:hanging="696"/>
      </w:pPr>
      <w:rPr>
        <w:rFonts w:hint="default"/>
      </w:rPr>
    </w:lvl>
    <w:lvl w:ilvl="6">
      <w:start w:val="1"/>
      <w:numFmt w:val="bullet"/>
      <w:lvlText w:val="•"/>
      <w:lvlJc w:val="left"/>
      <w:pPr>
        <w:ind w:left="5573" w:hanging="696"/>
      </w:pPr>
      <w:rPr>
        <w:rFonts w:hint="default"/>
      </w:rPr>
    </w:lvl>
    <w:lvl w:ilvl="7">
      <w:start w:val="1"/>
      <w:numFmt w:val="bullet"/>
      <w:lvlText w:val="•"/>
      <w:lvlJc w:val="left"/>
      <w:pPr>
        <w:ind w:left="6440" w:hanging="696"/>
      </w:pPr>
      <w:rPr>
        <w:rFonts w:hint="default"/>
      </w:rPr>
    </w:lvl>
    <w:lvl w:ilvl="8">
      <w:start w:val="1"/>
      <w:numFmt w:val="bullet"/>
      <w:lvlText w:val="•"/>
      <w:lvlJc w:val="left"/>
      <w:pPr>
        <w:ind w:left="7306" w:hanging="696"/>
      </w:pPr>
      <w:rPr>
        <w:rFonts w:hint="default"/>
      </w:rPr>
    </w:lvl>
  </w:abstractNum>
  <w:abstractNum w:abstractNumId="0">
    <w:multiLevelType w:val="hybridMultilevel"/>
    <w:lvl w:ilvl="0">
      <w:start w:val="5"/>
      <w:numFmt w:val="decimal"/>
      <w:lvlText w:val="%1"/>
      <w:lvlJc w:val="left"/>
      <w:pPr>
        <w:ind w:left="599" w:hanging="400"/>
        <w:jc w:val="left"/>
      </w:pPr>
      <w:rPr>
        <w:rFonts w:hint="default"/>
      </w:rPr>
    </w:lvl>
    <w:lvl w:ilvl="1">
      <w:start w:val="1"/>
      <w:numFmt w:val="decimal"/>
      <w:lvlText w:val="%1.%2"/>
      <w:lvlJc w:val="left"/>
      <w:pPr>
        <w:ind w:left="599" w:hanging="400"/>
        <w:jc w:val="left"/>
      </w:pPr>
      <w:rPr>
        <w:rFonts w:hint="default" w:ascii="Arial" w:hAnsi="Arial" w:eastAsia="Arial" w:cs="Arial"/>
        <w:b/>
        <w:bCs/>
        <w:spacing w:val="-2"/>
        <w:w w:val="99"/>
        <w:sz w:val="24"/>
        <w:szCs w:val="24"/>
      </w:rPr>
    </w:lvl>
    <w:lvl w:ilvl="2">
      <w:start w:val="1"/>
      <w:numFmt w:val="bullet"/>
      <w:lvlText w:val="•"/>
      <w:lvlJc w:val="left"/>
      <w:pPr>
        <w:ind w:left="2080" w:hanging="400"/>
      </w:pPr>
      <w:rPr>
        <w:rFonts w:hint="default"/>
      </w:rPr>
    </w:lvl>
    <w:lvl w:ilvl="3">
      <w:start w:val="1"/>
      <w:numFmt w:val="bullet"/>
      <w:lvlText w:val="•"/>
      <w:lvlJc w:val="left"/>
      <w:pPr>
        <w:ind w:left="2820" w:hanging="400"/>
      </w:pPr>
      <w:rPr>
        <w:rFonts w:hint="default"/>
      </w:rPr>
    </w:lvl>
    <w:lvl w:ilvl="4">
      <w:start w:val="1"/>
      <w:numFmt w:val="bullet"/>
      <w:lvlText w:val="•"/>
      <w:lvlJc w:val="left"/>
      <w:pPr>
        <w:ind w:left="3560" w:hanging="400"/>
      </w:pPr>
      <w:rPr>
        <w:rFonts w:hint="default"/>
      </w:rPr>
    </w:lvl>
    <w:lvl w:ilvl="5">
      <w:start w:val="1"/>
      <w:numFmt w:val="bullet"/>
      <w:lvlText w:val="•"/>
      <w:lvlJc w:val="left"/>
      <w:pPr>
        <w:ind w:left="4300" w:hanging="400"/>
      </w:pPr>
      <w:rPr>
        <w:rFonts w:hint="default"/>
      </w:rPr>
    </w:lvl>
    <w:lvl w:ilvl="6">
      <w:start w:val="1"/>
      <w:numFmt w:val="bullet"/>
      <w:lvlText w:val="•"/>
      <w:lvlJc w:val="left"/>
      <w:pPr>
        <w:ind w:left="5040" w:hanging="400"/>
      </w:pPr>
      <w:rPr>
        <w:rFonts w:hint="default"/>
      </w:rPr>
    </w:lvl>
    <w:lvl w:ilvl="7">
      <w:start w:val="1"/>
      <w:numFmt w:val="bullet"/>
      <w:lvlText w:val="•"/>
      <w:lvlJc w:val="left"/>
      <w:pPr>
        <w:ind w:left="5780" w:hanging="400"/>
      </w:pPr>
      <w:rPr>
        <w:rFonts w:hint="default"/>
      </w:rPr>
    </w:lvl>
    <w:lvl w:ilvl="8">
      <w:start w:val="1"/>
      <w:numFmt w:val="bullet"/>
      <w:lvlText w:val="•"/>
      <w:lvlJc w:val="left"/>
      <w:pPr>
        <w:ind w:left="6520" w:hanging="400"/>
      </w:pPr>
      <w:rPr>
        <w:rFonts w:hint="default"/>
      </w:rPr>
    </w:lvl>
  </w:abstractNum>
  <w:num w:numId="15">
    <w:abstractNumId w:val="14"/>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712"/>
      <w:outlineLvl w:val="1"/>
    </w:pPr>
    <w:rPr>
      <w:rFonts w:ascii="Arial" w:hAnsi="Arial" w:eastAsia="Arial" w:cs="Arial"/>
      <w:b/>
      <w:bCs/>
      <w:sz w:val="40"/>
      <w:szCs w:val="40"/>
    </w:rPr>
  </w:style>
  <w:style w:styleId="Heading2" w:type="paragraph">
    <w:name w:val="Heading 2"/>
    <w:basedOn w:val="Normal"/>
    <w:uiPriority w:val="1"/>
    <w:qFormat/>
    <w:pPr>
      <w:spacing w:before="51"/>
      <w:ind w:left="100"/>
      <w:outlineLvl w:val="2"/>
    </w:pPr>
    <w:rPr>
      <w:rFonts w:ascii="Arial" w:hAnsi="Arial" w:eastAsia="Arial" w:cs="Arial"/>
      <w:b/>
      <w:bCs/>
      <w:sz w:val="24"/>
      <w:szCs w:val="24"/>
    </w:rPr>
  </w:style>
  <w:style w:styleId="Heading3" w:type="paragraph">
    <w:name w:val="Heading 3"/>
    <w:basedOn w:val="Normal"/>
    <w:uiPriority w:val="1"/>
    <w:qFormat/>
    <w:pPr>
      <w:spacing w:before="55"/>
      <w:ind w:left="100"/>
      <w:jc w:val="both"/>
      <w:outlineLvl w:val="3"/>
    </w:pPr>
    <w:rPr>
      <w:rFonts w:ascii="Arial" w:hAnsi="Arial" w:eastAsia="Arial" w:cs="Arial"/>
      <w:b/>
      <w:bCs/>
      <w:i/>
      <w:sz w:val="24"/>
      <w:szCs w:val="24"/>
    </w:rPr>
  </w:style>
  <w:style w:styleId="ListParagraph" w:type="paragraph">
    <w:name w:val="List Paragraph"/>
    <w:basedOn w:val="Normal"/>
    <w:uiPriority w:val="1"/>
    <w:qFormat/>
    <w:pPr>
      <w:ind w:left="821" w:hanging="361"/>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image" Target="media/image4.jpeg"/><Relationship Id="rId10" Type="http://schemas.openxmlformats.org/officeDocument/2006/relationships/footer" Target="footer2.xml"/><Relationship Id="rId11" Type="http://schemas.openxmlformats.org/officeDocument/2006/relationships/image" Target="media/image5.jpeg"/><Relationship Id="rId12" Type="http://schemas.openxmlformats.org/officeDocument/2006/relationships/footer" Target="footer3.xml"/><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footer" Target="footer4.xml"/><Relationship Id="rId17" Type="http://schemas.openxmlformats.org/officeDocument/2006/relationships/image" Target="media/image9.jpeg"/><Relationship Id="rId18" Type="http://schemas.openxmlformats.org/officeDocument/2006/relationships/footer" Target="footer5.xml"/><Relationship Id="rId19" Type="http://schemas.openxmlformats.org/officeDocument/2006/relationships/image" Target="media/image10.png"/><Relationship Id="rId20" Type="http://schemas.openxmlformats.org/officeDocument/2006/relationships/image" Target="media/image11.jpeg"/><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image" Target="media/image12.jpeg"/><Relationship Id="rId24" Type="http://schemas.openxmlformats.org/officeDocument/2006/relationships/image" Target="media/image13.png"/><Relationship Id="rId25" Type="http://schemas.openxmlformats.org/officeDocument/2006/relationships/footer" Target="footer8.xml"/><Relationship Id="rId26" Type="http://schemas.openxmlformats.org/officeDocument/2006/relationships/footer" Target="footer9.xml"/><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png"/><Relationship Id="rId31" Type="http://schemas.openxmlformats.org/officeDocument/2006/relationships/image" Target="media/image18.jpeg"/><Relationship Id="rId32" Type="http://schemas.openxmlformats.org/officeDocument/2006/relationships/image" Target="media/image19.jpeg"/><Relationship Id="rId33" Type="http://schemas.openxmlformats.org/officeDocument/2006/relationships/footer" Target="footer10.xml"/><Relationship Id="rId34" Type="http://schemas.openxmlformats.org/officeDocument/2006/relationships/image" Target="media/image20.jpeg"/><Relationship Id="rId35" Type="http://schemas.openxmlformats.org/officeDocument/2006/relationships/footer" Target="footer11.xml"/><Relationship Id="rId36" Type="http://schemas.openxmlformats.org/officeDocument/2006/relationships/image" Target="media/image21.jpeg"/><Relationship Id="rId37" Type="http://schemas.openxmlformats.org/officeDocument/2006/relationships/image" Target="media/image22.jpeg"/><Relationship Id="rId38" Type="http://schemas.openxmlformats.org/officeDocument/2006/relationships/image" Target="media/image23.jpeg"/><Relationship Id="rId39" Type="http://schemas.openxmlformats.org/officeDocument/2006/relationships/image" Target="media/image24.jpeg"/><Relationship Id="rId40" Type="http://schemas.openxmlformats.org/officeDocument/2006/relationships/image" Target="media/image25.jpeg"/><Relationship Id="rId41" Type="http://schemas.openxmlformats.org/officeDocument/2006/relationships/footer" Target="footer12.xml"/><Relationship Id="rId42" Type="http://schemas.openxmlformats.org/officeDocument/2006/relationships/image" Target="media/image26.jpeg"/><Relationship Id="rId43" Type="http://schemas.openxmlformats.org/officeDocument/2006/relationships/image" Target="media/image27.png"/><Relationship Id="rId44" Type="http://schemas.openxmlformats.org/officeDocument/2006/relationships/footer" Target="footer13.xml"/><Relationship Id="rId45" Type="http://schemas.openxmlformats.org/officeDocument/2006/relationships/image" Target="media/image28.jpeg"/><Relationship Id="rId46" Type="http://schemas.openxmlformats.org/officeDocument/2006/relationships/image" Target="media/image29.png"/><Relationship Id="rId47" Type="http://schemas.openxmlformats.org/officeDocument/2006/relationships/image" Target="media/image30.jpeg"/><Relationship Id="rId48" Type="http://schemas.openxmlformats.org/officeDocument/2006/relationships/image" Target="media/image31.jpeg"/><Relationship Id="rId49" Type="http://schemas.openxmlformats.org/officeDocument/2006/relationships/image" Target="media/image32.jpeg"/><Relationship Id="rId50" Type="http://schemas.openxmlformats.org/officeDocument/2006/relationships/image" Target="media/image33.jpeg"/><Relationship Id="rId51" Type="http://schemas.openxmlformats.org/officeDocument/2006/relationships/image" Target="media/image34.jpeg"/><Relationship Id="rId52" Type="http://schemas.openxmlformats.org/officeDocument/2006/relationships/footer" Target="footer14.xml"/><Relationship Id="rId53" Type="http://schemas.openxmlformats.org/officeDocument/2006/relationships/footer" Target="footer15.xml"/><Relationship Id="rId54" Type="http://schemas.openxmlformats.org/officeDocument/2006/relationships/image" Target="media/image35.jpeg"/><Relationship Id="rId55" Type="http://schemas.openxmlformats.org/officeDocument/2006/relationships/footer" Target="footer16.xml"/><Relationship Id="rId56" Type="http://schemas.openxmlformats.org/officeDocument/2006/relationships/footer" Target="footer17.xml"/><Relationship Id="rId57" Type="http://schemas.openxmlformats.org/officeDocument/2006/relationships/image" Target="media/image36.png"/><Relationship Id="rId58" Type="http://schemas.openxmlformats.org/officeDocument/2006/relationships/image" Target="media/image37.jpeg"/><Relationship Id="rId59" Type="http://schemas.openxmlformats.org/officeDocument/2006/relationships/image" Target="media/image38.jpeg"/><Relationship Id="rId60" Type="http://schemas.openxmlformats.org/officeDocument/2006/relationships/image" Target="media/image39.jpeg"/><Relationship Id="rId61" Type="http://schemas.openxmlformats.org/officeDocument/2006/relationships/image" Target="media/image40.jpeg"/><Relationship Id="rId62" Type="http://schemas.openxmlformats.org/officeDocument/2006/relationships/image" Target="media/image41.jpeg"/><Relationship Id="rId63" Type="http://schemas.openxmlformats.org/officeDocument/2006/relationships/footer" Target="footer18.xml"/><Relationship Id="rId64" Type="http://schemas.openxmlformats.org/officeDocument/2006/relationships/image" Target="media/image42.jpeg"/><Relationship Id="rId65" Type="http://schemas.openxmlformats.org/officeDocument/2006/relationships/footer" Target="footer19.xml"/><Relationship Id="rId66" Type="http://schemas.openxmlformats.org/officeDocument/2006/relationships/image" Target="media/image43.jpeg"/><Relationship Id="rId67" Type="http://schemas.openxmlformats.org/officeDocument/2006/relationships/footer" Target="footer20.xml"/><Relationship Id="rId68" Type="http://schemas.openxmlformats.org/officeDocument/2006/relationships/footer" Target="footer21.xml"/><Relationship Id="rId69" Type="http://schemas.openxmlformats.org/officeDocument/2006/relationships/image" Target="media/image44.png"/><Relationship Id="rId70" Type="http://schemas.openxmlformats.org/officeDocument/2006/relationships/image" Target="media/image45.png"/><Relationship Id="rId71" Type="http://schemas.openxmlformats.org/officeDocument/2006/relationships/image" Target="media/image46.png"/><Relationship Id="rId72" Type="http://schemas.openxmlformats.org/officeDocument/2006/relationships/image" Target="media/image47.jpeg"/><Relationship Id="rId73" Type="http://schemas.openxmlformats.org/officeDocument/2006/relationships/image" Target="media/image48.jpeg"/><Relationship Id="rId74" Type="http://schemas.openxmlformats.org/officeDocument/2006/relationships/image" Target="media/image49.png"/><Relationship Id="rId75" Type="http://schemas.openxmlformats.org/officeDocument/2006/relationships/image" Target="media/image50.jpeg"/><Relationship Id="rId76" Type="http://schemas.openxmlformats.org/officeDocument/2006/relationships/footer" Target="footer22.xml"/><Relationship Id="rId77" Type="http://schemas.openxmlformats.org/officeDocument/2006/relationships/image" Target="media/image51.png"/><Relationship Id="rId78" Type="http://schemas.openxmlformats.org/officeDocument/2006/relationships/footer" Target="footer23.xml"/><Relationship Id="rId79" Type="http://schemas.openxmlformats.org/officeDocument/2006/relationships/image" Target="media/image52.png"/><Relationship Id="rId80" Type="http://schemas.openxmlformats.org/officeDocument/2006/relationships/hyperlink" Target="http://www.elsevier.com/locate/atmosenv" TargetMode="External"/><Relationship Id="rId81" Type="http://schemas.openxmlformats.org/officeDocument/2006/relationships/hyperlink" Target="http://www.ucm.es/info/ec/jec7/pdf/com1-6.pdf%202012" TargetMode="External"/><Relationship Id="rId82" Type="http://schemas.openxmlformats.org/officeDocument/2006/relationships/hyperlink" Target="http://www.google.com.mx/search?hl=es&amp;amp;tbo=p&amp;amp;tbm=bks&amp;amp;q=inauthor%3A%22Neptal%C3%AD%2BMonterroso%2BSalvatierra%22&amp;amp;source=gbs_metadata_r&amp;amp;cad=6" TargetMode="External"/><Relationship Id="rId83" Type="http://schemas.openxmlformats.org/officeDocument/2006/relationships/hyperlink" Target="http://www.google.com.mx/search?hl=es&amp;amp;tbo=p&amp;amp;tbm=bks&amp;amp;q=bibliogroup%3A%22Colecci%C3%B3n%2BLas%2Bciencias%2Bsociales%22&amp;amp;source=gbs_metadata_r&amp;amp;cad=6" TargetMode="External"/><Relationship Id="rId84" Type="http://schemas.openxmlformats.org/officeDocument/2006/relationships/hyperlink" Target="http://www.ubiobio.cl/cps/ponencia/doc/p15.4.htm" TargetMode="External"/><Relationship Id="rId85"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10.xml.rels><?xml version="1.0" encoding="UTF-8" standalone="yes"?>
<Relationships xmlns="http://schemas.openxmlformats.org/package/2006/relationships"><Relationship Id="rId1" Type="http://schemas.openxmlformats.org/officeDocument/2006/relationships/image" Target="media/image3.png"/></Relationships>

</file>

<file path=word/_rels/footer11.xml.rels><?xml version="1.0" encoding="UTF-8" standalone="yes"?>
<Relationships xmlns="http://schemas.openxmlformats.org/package/2006/relationships"><Relationship Id="rId1" Type="http://schemas.openxmlformats.org/officeDocument/2006/relationships/image" Target="media/image3.png"/></Relationships>

</file>

<file path=word/_rels/footer12.xml.rels><?xml version="1.0" encoding="UTF-8" standalone="yes"?>
<Relationships xmlns="http://schemas.openxmlformats.org/package/2006/relationships"><Relationship Id="rId1" Type="http://schemas.openxmlformats.org/officeDocument/2006/relationships/image" Target="media/image3.png"/></Relationships>

</file>

<file path=word/_rels/footer13.xml.rels><?xml version="1.0" encoding="UTF-8" standalone="yes"?>
<Relationships xmlns="http://schemas.openxmlformats.org/package/2006/relationships"><Relationship Id="rId1" Type="http://schemas.openxmlformats.org/officeDocument/2006/relationships/image" Target="media/image3.png"/></Relationships>

</file>

<file path=word/_rels/footer14.xml.rels><?xml version="1.0" encoding="UTF-8" standalone="yes"?>
<Relationships xmlns="http://schemas.openxmlformats.org/package/2006/relationships"><Relationship Id="rId1" Type="http://schemas.openxmlformats.org/officeDocument/2006/relationships/image" Target="media/image3.png"/></Relationships>

</file>

<file path=word/_rels/footer15.xml.rels><?xml version="1.0" encoding="UTF-8" standalone="yes"?>
<Relationships xmlns="http://schemas.openxmlformats.org/package/2006/relationships"><Relationship Id="rId1" Type="http://schemas.openxmlformats.org/officeDocument/2006/relationships/image" Target="media/image3.png"/></Relationships>

</file>

<file path=word/_rels/footer16.xml.rels><?xml version="1.0" encoding="UTF-8" standalone="yes"?>
<Relationships xmlns="http://schemas.openxmlformats.org/package/2006/relationships"><Relationship Id="rId1" Type="http://schemas.openxmlformats.org/officeDocument/2006/relationships/image" Target="media/image3.png"/></Relationships>

</file>

<file path=word/_rels/footer17.xml.rels><?xml version="1.0" encoding="UTF-8" standalone="yes"?>
<Relationships xmlns="http://schemas.openxmlformats.org/package/2006/relationships"><Relationship Id="rId1" Type="http://schemas.openxmlformats.org/officeDocument/2006/relationships/image" Target="media/image3.png"/></Relationships>

</file>

<file path=word/_rels/footer18.xml.rels><?xml version="1.0" encoding="UTF-8" standalone="yes"?>
<Relationships xmlns="http://schemas.openxmlformats.org/package/2006/relationships"><Relationship Id="rId1" Type="http://schemas.openxmlformats.org/officeDocument/2006/relationships/image" Target="media/image3.png"/></Relationships>

</file>

<file path=word/_rels/footer19.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20.xml.rels><?xml version="1.0" encoding="UTF-8" standalone="yes"?>
<Relationships xmlns="http://schemas.openxmlformats.org/package/2006/relationships"><Relationship Id="rId1" Type="http://schemas.openxmlformats.org/officeDocument/2006/relationships/image" Target="media/image3.png"/></Relationships>

</file>

<file path=word/_rels/footer21.xml.rels><?xml version="1.0" encoding="UTF-8" standalone="yes"?>
<Relationships xmlns="http://schemas.openxmlformats.org/package/2006/relationships"><Relationship Id="rId1" Type="http://schemas.openxmlformats.org/officeDocument/2006/relationships/image" Target="media/image3.png"/></Relationships>

</file>

<file path=word/_rels/footer22.xml.rels><?xml version="1.0" encoding="UTF-8" standalone="yes"?>
<Relationships xmlns="http://schemas.openxmlformats.org/package/2006/relationships"><Relationship Id="rId1" Type="http://schemas.openxmlformats.org/officeDocument/2006/relationships/image" Target="media/image3.png"/></Relationships>

</file>

<file path=word/_rels/footer23.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3.png"/></Relationships>

</file>

<file path=word/_rels/footer8.xml.rels><?xml version="1.0" encoding="UTF-8" standalone="yes"?>
<Relationships xmlns="http://schemas.openxmlformats.org/package/2006/relationships"><Relationship Id="rId1" Type="http://schemas.openxmlformats.org/officeDocument/2006/relationships/image" Target="media/image3.png"/></Relationships>

</file>

<file path=word/_rels/footer9.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2017-05-18T17:34:36Z</dcterms:created>
  <dcterms:modified xsi:type="dcterms:W3CDTF">2017-05-18T17:34:36Z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2013-07-01T00:00:00Z</vt:filetime>
  </property>
  <property fmtid="{D5CDD505-2E9C-101B-9397-08002B2CF9AE}" pid="3" name="Creator">
    <vt:lpwstr>Microsoft® Word 2010</vt:lpwstr>
  </property>
  <property fmtid="{D5CDD505-2E9C-101B-9397-08002B2CF9AE}" pid="4" name="LastSaved">
    <vt:filetime>2017-05-18T00:00:00Z</vt:filetime>
  </property>
</Properties>
</file>