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Default Extension="jpeg" ContentType="image/jpeg"/>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drawing>
          <wp:anchor distT="0" distB="0" distL="0" distR="0" allowOverlap="1" layoutInCell="1" locked="0" behindDoc="0" simplePos="0" relativeHeight="0">
            <wp:simplePos x="0" y="0"/>
            <wp:positionH relativeFrom="page">
              <wp:posOffset>1099185</wp:posOffset>
            </wp:positionH>
            <wp:positionV relativeFrom="page">
              <wp:posOffset>900683</wp:posOffset>
            </wp:positionV>
            <wp:extent cx="1592284" cy="1425321"/>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592284" cy="1425321"/>
                    </a:xfrm>
                    <a:prstGeom prst="rect">
                      <a:avLst/>
                    </a:prstGeom>
                  </pic:spPr>
                </pic:pic>
              </a:graphicData>
            </a:graphic>
          </wp:anchor>
        </w:drawing>
      </w:r>
      <w:r>
        <w:rPr/>
        <w:pict>
          <v:line style="position:absolute;mso-position-horizontal-relative:page;mso-position-vertical-relative:page;z-index:1048" from="130.750006pt,189.550003pt" to="128.100006pt,704.250003pt" stroked="true" strokeweight="6.0pt" strokecolor="#000000">
            <w10:wrap type="none"/>
          </v:line>
        </w:pict>
      </w:r>
      <w:r>
        <w:rPr/>
        <w:pict>
          <v:line style="position:absolute;mso-position-horizontal-relative:page;mso-position-vertical-relative:page;z-index:1072" from="154.750006pt,208pt" to="152.100006pt,722.7pt" stroked="true" strokeweight="6.0pt" strokecolor="#000000">
            <w10:wrap type="none"/>
          </v:line>
        </w:pict>
      </w:r>
      <w:r>
        <w:rPr/>
        <w:pict>
          <v:line style="position:absolute;mso-position-horizontal-relative:page;mso-position-vertical-relative:page;z-index:1096" from="142.750006pt,196pt" to="140.100006pt,710.7pt" stroked="true" strokeweight="6.0pt" strokecolor="#000000">
            <w10:wrap type="none"/>
          </v:line>
        </w:pict>
      </w:r>
    </w:p>
    <w:p>
      <w:pPr>
        <w:pStyle w:val="BodyText"/>
        <w:spacing w:before="10" w:after="1"/>
        <w:rPr>
          <w:sz w:val="25"/>
        </w:rPr>
      </w:pPr>
    </w:p>
    <w:tbl>
      <w:tblPr>
        <w:tblW w:w="0" w:type="auto"/>
        <w:jc w:val="left"/>
        <w:tblInd w:w="293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40"/>
      </w:tblGrid>
      <w:tr>
        <w:trPr>
          <w:trHeight w:val="2238" w:hRule="exact"/>
        </w:trPr>
        <w:tc>
          <w:tcPr>
            <w:tcW w:w="6140" w:type="dxa"/>
          </w:tcPr>
          <w:p>
            <w:pPr>
              <w:pStyle w:val="TableParagraph"/>
              <w:spacing w:line="408" w:lineRule="exact"/>
              <w:ind w:left="331" w:right="331"/>
              <w:rPr>
                <w:b/>
                <w:sz w:val="40"/>
              </w:rPr>
            </w:pPr>
            <w:r>
              <w:rPr>
                <w:b/>
                <w:sz w:val="40"/>
              </w:rPr>
              <w:t>UNIVERSIDAD</w:t>
            </w:r>
            <w:r>
              <w:rPr>
                <w:b/>
                <w:spacing w:val="92"/>
                <w:sz w:val="40"/>
              </w:rPr>
              <w:t> </w:t>
            </w:r>
            <w:r>
              <w:rPr>
                <w:b/>
                <w:sz w:val="40"/>
              </w:rPr>
              <w:t>AUTÓNOMA</w:t>
            </w:r>
          </w:p>
          <w:p>
            <w:pPr>
              <w:pStyle w:val="TableParagraph"/>
              <w:spacing w:line="459" w:lineRule="exact"/>
              <w:ind w:left="330" w:right="331"/>
              <w:rPr>
                <w:b/>
                <w:sz w:val="40"/>
              </w:rPr>
            </w:pPr>
            <w:r>
              <w:rPr>
                <w:b/>
                <w:sz w:val="40"/>
              </w:rPr>
              <w:t>DEL ESTADO DE MÉXICO</w:t>
            </w:r>
          </w:p>
          <w:p>
            <w:pPr>
              <w:pStyle w:val="TableParagraph"/>
              <w:spacing w:before="8"/>
              <w:jc w:val="left"/>
              <w:rPr>
                <w:sz w:val="41"/>
              </w:rPr>
            </w:pPr>
          </w:p>
          <w:p>
            <w:pPr>
              <w:pStyle w:val="TableParagraph"/>
              <w:ind w:left="331" w:right="331"/>
              <w:rPr>
                <w:rFonts w:ascii="Cambria" w:hAnsi="Cambria"/>
                <w:sz w:val="28"/>
              </w:rPr>
            </w:pPr>
            <w:r>
              <w:rPr>
                <w:rFonts w:ascii="Cambria" w:hAnsi="Cambria"/>
                <w:sz w:val="28"/>
              </w:rPr>
              <w:t>FACULTAD DE QUÍMICA</w:t>
            </w:r>
          </w:p>
        </w:tc>
      </w:tr>
      <w:tr>
        <w:trPr>
          <w:trHeight w:val="9458" w:hRule="exact"/>
        </w:trPr>
        <w:tc>
          <w:tcPr>
            <w:tcW w:w="6140" w:type="dxa"/>
          </w:tcPr>
          <w:p>
            <w:pPr>
              <w:pStyle w:val="TableParagraph"/>
              <w:jc w:val="left"/>
              <w:rPr>
                <w:sz w:val="24"/>
              </w:rPr>
            </w:pPr>
          </w:p>
          <w:p>
            <w:pPr>
              <w:pStyle w:val="TableParagraph"/>
              <w:spacing w:before="10"/>
              <w:jc w:val="left"/>
              <w:rPr>
                <w:sz w:val="22"/>
              </w:rPr>
            </w:pPr>
          </w:p>
          <w:p>
            <w:pPr>
              <w:pStyle w:val="TableParagraph"/>
              <w:spacing w:line="360" w:lineRule="auto" w:before="1"/>
              <w:ind w:left="199" w:right="198" w:hanging="4"/>
              <w:rPr>
                <w:sz w:val="24"/>
              </w:rPr>
            </w:pPr>
            <w:r>
              <w:rPr>
                <w:sz w:val="24"/>
              </w:rPr>
              <w:t>CRISTALIZACIÓN DE NANOCOMPOSITOS POLIMÉRICOS DE NYLON: EFECTO DE LA INCORPORACIÓN DE NANOTUBOS DE CARBONO Y GRAFENO FUNCIONALIZADOS QUÍMICAMENTE TESIS DE DOCTORADO</w:t>
            </w:r>
          </w:p>
          <w:p>
            <w:pPr>
              <w:pStyle w:val="TableParagraph"/>
              <w:jc w:val="left"/>
              <w:rPr>
                <w:sz w:val="24"/>
              </w:rPr>
            </w:pPr>
          </w:p>
          <w:p>
            <w:pPr>
              <w:pStyle w:val="TableParagraph"/>
              <w:jc w:val="left"/>
              <w:rPr>
                <w:sz w:val="24"/>
              </w:rPr>
            </w:pPr>
          </w:p>
          <w:p>
            <w:pPr>
              <w:pStyle w:val="TableParagraph"/>
              <w:spacing w:before="6"/>
              <w:jc w:val="left"/>
              <w:rPr>
                <w:sz w:val="24"/>
              </w:rPr>
            </w:pPr>
          </w:p>
          <w:p>
            <w:pPr>
              <w:pStyle w:val="TableParagraph"/>
              <w:spacing w:before="1"/>
              <w:ind w:left="331" w:right="331"/>
              <w:rPr>
                <w:sz w:val="24"/>
              </w:rPr>
            </w:pPr>
            <w:r>
              <w:rPr>
                <w:sz w:val="24"/>
              </w:rPr>
              <w:t>P R E S E N T A</w:t>
            </w:r>
          </w:p>
          <w:p>
            <w:pPr>
              <w:pStyle w:val="TableParagraph"/>
              <w:spacing w:before="137"/>
              <w:ind w:left="1212" w:right="998"/>
              <w:jc w:val="left"/>
              <w:rPr>
                <w:sz w:val="24"/>
              </w:rPr>
            </w:pPr>
            <w:r>
              <w:rPr>
                <w:sz w:val="24"/>
              </w:rPr>
              <w:t>M.C. FABIOLA NAVARRO PARDO</w:t>
            </w:r>
          </w:p>
          <w:p>
            <w:pPr>
              <w:pStyle w:val="TableParagraph"/>
              <w:jc w:val="left"/>
              <w:rPr>
                <w:sz w:val="24"/>
              </w:rPr>
            </w:pPr>
          </w:p>
          <w:p>
            <w:pPr>
              <w:pStyle w:val="TableParagraph"/>
              <w:jc w:val="left"/>
              <w:rPr>
                <w:sz w:val="24"/>
              </w:rPr>
            </w:pPr>
          </w:p>
          <w:p>
            <w:pPr>
              <w:pStyle w:val="TableParagraph"/>
              <w:jc w:val="left"/>
              <w:rPr>
                <w:sz w:val="24"/>
              </w:rPr>
            </w:pPr>
          </w:p>
          <w:p>
            <w:pPr>
              <w:pStyle w:val="TableParagraph"/>
              <w:jc w:val="left"/>
              <w:rPr>
                <w:sz w:val="24"/>
              </w:rPr>
            </w:pPr>
          </w:p>
          <w:p>
            <w:pPr>
              <w:pStyle w:val="TableParagraph"/>
              <w:jc w:val="left"/>
              <w:rPr>
                <w:sz w:val="24"/>
              </w:rPr>
            </w:pPr>
          </w:p>
          <w:p>
            <w:pPr>
              <w:pStyle w:val="TableParagraph"/>
              <w:ind w:left="331" w:right="331"/>
              <w:rPr>
                <w:sz w:val="24"/>
              </w:rPr>
            </w:pPr>
            <w:r>
              <w:rPr>
                <w:sz w:val="24"/>
              </w:rPr>
              <w:t>DIRIGIDA POR</w:t>
            </w:r>
          </w:p>
          <w:p>
            <w:pPr>
              <w:pStyle w:val="TableParagraph"/>
              <w:spacing w:line="360" w:lineRule="auto" w:before="137"/>
              <w:ind w:left="1222" w:right="998" w:hanging="207"/>
              <w:jc w:val="left"/>
              <w:rPr>
                <w:sz w:val="24"/>
              </w:rPr>
            </w:pPr>
            <w:r>
              <w:rPr>
                <w:sz w:val="24"/>
              </w:rPr>
              <w:t>DR. GONZALO MARTÍNEZ BARRERA DR. CARLOS VELASCO SANTOS DR. VICTOR CASTAÑO MENESES</w:t>
            </w:r>
          </w:p>
          <w:p>
            <w:pPr>
              <w:pStyle w:val="TableParagraph"/>
              <w:jc w:val="left"/>
              <w:rPr>
                <w:sz w:val="24"/>
              </w:rPr>
            </w:pPr>
          </w:p>
          <w:p>
            <w:pPr>
              <w:pStyle w:val="TableParagraph"/>
              <w:jc w:val="left"/>
              <w:rPr>
                <w:sz w:val="24"/>
              </w:rPr>
            </w:pPr>
          </w:p>
          <w:p>
            <w:pPr>
              <w:pStyle w:val="TableParagraph"/>
              <w:jc w:val="left"/>
              <w:rPr>
                <w:sz w:val="24"/>
              </w:rPr>
            </w:pPr>
          </w:p>
          <w:p>
            <w:pPr>
              <w:pStyle w:val="TableParagraph"/>
              <w:jc w:val="left"/>
              <w:rPr>
                <w:sz w:val="24"/>
              </w:rPr>
            </w:pPr>
          </w:p>
          <w:p>
            <w:pPr>
              <w:pStyle w:val="TableParagraph"/>
              <w:jc w:val="left"/>
              <w:rPr>
                <w:sz w:val="24"/>
              </w:rPr>
            </w:pPr>
          </w:p>
          <w:p>
            <w:pPr>
              <w:pStyle w:val="TableParagraph"/>
              <w:jc w:val="left"/>
              <w:rPr>
                <w:sz w:val="24"/>
              </w:rPr>
            </w:pPr>
          </w:p>
          <w:p>
            <w:pPr>
              <w:pStyle w:val="TableParagraph"/>
              <w:jc w:val="left"/>
              <w:rPr>
                <w:sz w:val="24"/>
              </w:rPr>
            </w:pPr>
          </w:p>
          <w:p>
            <w:pPr>
              <w:pStyle w:val="TableParagraph"/>
              <w:spacing w:before="142"/>
              <w:ind w:left="331" w:right="329"/>
              <w:rPr>
                <w:sz w:val="20"/>
              </w:rPr>
            </w:pPr>
            <w:r>
              <w:rPr>
                <w:sz w:val="20"/>
              </w:rPr>
              <w:t>ESTADO DE MÉXICO,  AGOSTO 2013</w:t>
            </w:r>
          </w:p>
        </w:tc>
      </w:tr>
    </w:tbl>
    <w:p>
      <w:pPr>
        <w:spacing w:after="0"/>
        <w:rPr>
          <w:sz w:val="20"/>
        </w:rPr>
        <w:sectPr>
          <w:type w:val="continuous"/>
          <w:pgSz w:w="12240" w:h="15840"/>
          <w:pgMar w:top="1420" w:bottom="280" w:left="1620" w:right="1440"/>
        </w:sectPr>
      </w:pPr>
    </w:p>
    <w:p>
      <w:pPr>
        <w:pStyle w:val="BodyText"/>
        <w:rPr>
          <w:sz w:val="20"/>
        </w:rPr>
      </w:pPr>
    </w:p>
    <w:p>
      <w:pPr>
        <w:pStyle w:val="BodyText"/>
        <w:spacing w:before="2"/>
        <w:rPr>
          <w:sz w:val="19"/>
        </w:rPr>
      </w:pPr>
    </w:p>
    <w:p>
      <w:pPr>
        <w:pStyle w:val="BodyText"/>
        <w:spacing w:line="360" w:lineRule="auto"/>
        <w:ind w:left="122" w:right="195" w:firstLine="283"/>
        <w:jc w:val="both"/>
      </w:pPr>
      <w:r>
        <w:rPr/>
        <w:t>Los nanotubos de carbono (CNTs) y el grafeno han atraído considerable interés debido a sus extraordinarias propiedades físicas, electrónicas y mecánicas, derivadas de su estructura nanométrica. Bajas concentraciones de estos nanomateriales de carbono han mostrado incrementos dramáticos en las propiedades de matrices poliméricas. Además es bien conocido que la presencia de una segunda fase en polímeros semicristalinos tiene la habilidad de modificar su comportamiento de cristalización. En este trabajo se estudiaron las propiedades de cristalinidad y termo-mecánicas de nanocompositos obtenidos a través de </w:t>
      </w:r>
      <w:r>
        <w:rPr>
          <w:i/>
        </w:rPr>
        <w:t>electrospinning </w:t>
      </w:r>
      <w:r>
        <w:rPr/>
        <w:t>y moldeo por inyección, en donde se utilizaron tres concentraciones de nanomateriales para cada proceso. Los refuerzos utilizados  fueron: CNTs puros (p-CNT), CNTs oxidados (OCNT), CNTs con grupos amino (f-CNT), óxido de grafeno reducido (RGO), óxido de grafeno (GO) y grafeno con grupos amino (f-Ge). De acuerdo a los resultados de calorimetría diferencial de barrido, la mayoría de los nanocompositos mostraron  un ligero incremento en la cristalinidad conforme el contenido de refuerzo fue incrementado, a excepción de los nanocompositos con f-CNT. A través de difracción de rayos X se corroboró el comportamiento del grado de cristalinidad. Además se observó la disminución de tamaño de cristal en los nanocompositos obtenidos por </w:t>
      </w:r>
      <w:r>
        <w:rPr>
          <w:i/>
        </w:rPr>
        <w:t>electrospinning </w:t>
      </w:r>
      <w:r>
        <w:rPr/>
        <w:t>y un aumento de tamaño de cristal en los nanocompositos obtenidos por inyección, al compararlos con el polímero puro. En todos los nanocompositos</w:t>
      </w:r>
      <w:r>
        <w:rPr>
          <w:spacing w:val="28"/>
        </w:rPr>
        <w:t> </w:t>
      </w:r>
      <w:r>
        <w:rPr/>
        <w:t>hubo</w:t>
      </w:r>
      <w:r>
        <w:rPr>
          <w:spacing w:val="30"/>
        </w:rPr>
        <w:t> </w:t>
      </w:r>
      <w:r>
        <w:rPr/>
        <w:t>un</w:t>
      </w:r>
      <w:r>
        <w:rPr>
          <w:spacing w:val="30"/>
        </w:rPr>
        <w:t> </w:t>
      </w:r>
      <w:r>
        <w:rPr/>
        <w:t>crecimiento</w:t>
      </w:r>
      <w:r>
        <w:rPr>
          <w:spacing w:val="30"/>
        </w:rPr>
        <w:t> </w:t>
      </w:r>
      <w:r>
        <w:rPr/>
        <w:t>preferencial</w:t>
      </w:r>
      <w:r>
        <w:rPr>
          <w:spacing w:val="31"/>
        </w:rPr>
        <w:t> </w:t>
      </w:r>
      <w:r>
        <w:rPr/>
        <w:t>del</w:t>
      </w:r>
      <w:r>
        <w:rPr>
          <w:spacing w:val="29"/>
        </w:rPr>
        <w:t> </w:t>
      </w:r>
      <w:r>
        <w:rPr/>
        <w:t>cristal</w:t>
      </w:r>
      <w:r>
        <w:rPr>
          <w:spacing w:val="29"/>
        </w:rPr>
        <w:t> </w:t>
      </w:r>
      <w:r>
        <w:rPr/>
        <w:t>en</w:t>
      </w:r>
      <w:r>
        <w:rPr>
          <w:spacing w:val="31"/>
        </w:rPr>
        <w:t> </w:t>
      </w:r>
      <w:r>
        <w:rPr/>
        <w:t>dirección</w:t>
      </w:r>
      <w:r>
        <w:rPr>
          <w:spacing w:val="28"/>
        </w:rPr>
        <w:t> </w:t>
      </w:r>
      <w:r>
        <w:rPr/>
        <w:t>perpendicular</w:t>
      </w:r>
      <w:r>
        <w:rPr>
          <w:spacing w:val="31"/>
        </w:rPr>
        <w:t> </w:t>
      </w:r>
      <w:r>
        <w:rPr/>
        <w:t>al</w:t>
      </w:r>
      <w:r>
        <w:rPr>
          <w:spacing w:val="31"/>
        </w:rPr>
        <w:t> </w:t>
      </w:r>
      <w:r>
        <w:rPr/>
        <w:t>plano</w:t>
      </w:r>
    </w:p>
    <w:p>
      <w:pPr>
        <w:pStyle w:val="BodyText"/>
        <w:spacing w:line="360" w:lineRule="auto" w:before="4"/>
        <w:ind w:left="122" w:right="195"/>
        <w:jc w:val="both"/>
      </w:pPr>
      <w:r>
        <w:rPr/>
        <w:t>(100) del nylon 6,6. El análisis dinámico mecánico reveló que el módulo de almacenamiento tuvo una cercana relación con la cristalinidad del polímero. Los nanocompositos con la mayor concentración de GO mostraron incrementos en el módulo de almacenamiento de 138% en  las fibras obtenidas por </w:t>
      </w:r>
      <w:r>
        <w:rPr>
          <w:i/>
        </w:rPr>
        <w:t>electrospinning </w:t>
      </w:r>
      <w:r>
        <w:rPr/>
        <w:t>y de 44% para las muestras obtenidas por inyección, respecto a los valores del nylon 6,6. La temperatura de transición vítrea fue mejorada con la adición de los distintos nanomateriales, en donde se observaron aumentos de hasta 9°C respecto a la matriz. La mayoría de los nanomateriales no tuvieron un efecto importante en la estabilidad térmica del nylon 6,6, cuando fueron analizados bajo una atmósfera de nitrógeno. Los resultados obtenidos en esta investigación mostraron el efecto superior del carbono bidimensional cuando es utilizado como agente nucleante y como refuerzo, así como el papel importante que tiene la funcionalización de los nanomateriales en las propiedades de los nanocompositos. Este estudio comparativo es de gran interés debido a que es el primer trabajo que muestra las diferentes características encontradas por  la adición de los dos alótropos de carbono en una matriz polimérica al ser procesados por dos métodos</w:t>
      </w:r>
      <w:r>
        <w:rPr>
          <w:spacing w:val="-2"/>
        </w:rPr>
        <w:t> </w:t>
      </w:r>
      <w:r>
        <w:rPr/>
        <w:t>diferentes.</w:t>
      </w:r>
    </w:p>
    <w:p>
      <w:pPr>
        <w:spacing w:after="0" w:line="360" w:lineRule="auto"/>
        <w:jc w:val="both"/>
        <w:sectPr>
          <w:headerReference w:type="default" r:id="rId6"/>
          <w:footerReference w:type="default" r:id="rId7"/>
          <w:pgSz w:w="12240" w:h="15840"/>
          <w:pgMar w:header="883" w:footer="1062" w:top="1860" w:bottom="1260" w:left="1580" w:right="1500"/>
          <w:pgNumType w:start="4"/>
        </w:sectPr>
      </w:pPr>
    </w:p>
    <w:p>
      <w:pPr>
        <w:pStyle w:val="BodyText"/>
        <w:rPr>
          <w:sz w:val="20"/>
        </w:rPr>
      </w:pPr>
    </w:p>
    <w:p>
      <w:pPr>
        <w:pStyle w:val="BodyText"/>
        <w:rPr>
          <w:sz w:val="20"/>
        </w:rPr>
      </w:pPr>
    </w:p>
    <w:p>
      <w:pPr>
        <w:pStyle w:val="BodyText"/>
        <w:spacing w:line="360" w:lineRule="auto" w:before="192"/>
        <w:ind w:left="122" w:right="135" w:firstLine="283"/>
        <w:jc w:val="both"/>
      </w:pPr>
      <w:r>
        <w:rPr/>
        <w:t>Carbon nanotubes (CNTs) and graphene have attracted considerable attention among different research groups due to their extraordinary physical, electrical and mechanical properties resulting from their nanometric structure. Low addition of these carbon nanomaterials has shown dramatic improvements in the properties of polymeric matrices. In addition, it is well known that  the presence of a second phase in semicrystalline polymers has the ability to modify the crystallisation behaviour. This work studied the crystallinity and thermo-mechanical properties of nanocomposites obtained from electrospinning and injection moulding. Three carbon nanomaterial loadings of pristine CNTs (p-CNT), oxidized CNTs (OCNT), amino functionalised CNTs (f-CNT), reduced graphene oxide (RGO), graphene oxide (GO) and amino functionalised graphene (f-Ge) were used in each process. Differential scanning calorimetry showed a slightly increase in crystallinity as the filler content was increased. The nanocomposites containing f-CNT exhibited an opposite behaviour. X-ray diffraction results are in accordance with the crystallinity trend observed in the nanocomposites. This technique also showed a decrease in the crystal size of electrospun nanocomposites and an increase in crystal size of injection moulded nanocomposites as compared  to the values of pure polymer. All nanocomposites showed preferential crystal  growth perpendicular to the (100) plane of nylon 6,6. Dynamical mechanical analysis revealed a close relationship between crystallinity degree and storage modulus. The nanocomposites containing the highest loading of GO showed a 138% improvement in the electrospun fibres and a 44% increase in the injection moulding samples when compared to the pure polymer storage modulus. The glass transition temperature was improved due to nanomaterial addition and this property was enhanced up to 9°C. Despite the improvements before mentioned the thermal stability of nylon 6,6 was not improved by the incorporation of carbon nanomaterials when tested in a nitrogen atmosphere. The results obtained in this research showed the superior effect of two-dimensional carbon as a nucleating agent and reinforcing filler and the key role that functionalisation of nanomaterials has in the crystallinity and mechanical properties of the nanocomposites. This comparative study is of great interest because it is the first work that shows the different characteristics found by the addition of two carbon allotropes in a polymeric matrix when processed by two different approaches.</w:t>
      </w:r>
    </w:p>
    <w:p>
      <w:pPr>
        <w:spacing w:after="0" w:line="360" w:lineRule="auto"/>
        <w:jc w:val="both"/>
        <w:sectPr>
          <w:headerReference w:type="default" r:id="rId8"/>
          <w:pgSz w:w="12240" w:h="15840"/>
          <w:pgMar w:header="883" w:footer="1062" w:top="1860" w:bottom="1260" w:left="1580" w:right="1560"/>
        </w:sectPr>
      </w:pPr>
    </w:p>
    <w:p>
      <w:pPr>
        <w:pStyle w:val="BodyText"/>
        <w:rPr>
          <w:sz w:val="20"/>
        </w:rPr>
      </w:pPr>
    </w:p>
    <w:p>
      <w:pPr>
        <w:pStyle w:val="BodyText"/>
        <w:spacing w:before="5"/>
        <w:rPr>
          <w:sz w:val="11"/>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56"/>
        <w:gridCol w:w="1851"/>
      </w:tblGrid>
      <w:tr>
        <w:trPr>
          <w:trHeight w:val="400" w:hRule="exact"/>
        </w:trPr>
        <w:tc>
          <w:tcPr>
            <w:tcW w:w="7056" w:type="dxa"/>
          </w:tcPr>
          <w:p>
            <w:pPr>
              <w:pStyle w:val="TableParagraph"/>
              <w:spacing w:before="72"/>
              <w:ind w:left="35"/>
              <w:jc w:val="left"/>
              <w:rPr>
                <w:sz w:val="22"/>
              </w:rPr>
            </w:pPr>
            <w:r>
              <w:rPr>
                <w:sz w:val="22"/>
              </w:rPr>
              <w:t>Agradecimientos</w:t>
            </w:r>
          </w:p>
        </w:tc>
        <w:tc>
          <w:tcPr>
            <w:tcW w:w="1851" w:type="dxa"/>
          </w:tcPr>
          <w:p>
            <w:pPr>
              <w:pStyle w:val="TableParagraph"/>
              <w:spacing w:before="72"/>
              <w:ind w:right="83"/>
              <w:jc w:val="right"/>
              <w:rPr>
                <w:sz w:val="22"/>
              </w:rPr>
            </w:pPr>
            <w:r>
              <w:rPr>
                <w:sz w:val="22"/>
              </w:rPr>
              <w:t>ii</w:t>
            </w:r>
          </w:p>
        </w:tc>
      </w:tr>
      <w:tr>
        <w:trPr>
          <w:trHeight w:val="379" w:hRule="exact"/>
        </w:trPr>
        <w:tc>
          <w:tcPr>
            <w:tcW w:w="7056" w:type="dxa"/>
          </w:tcPr>
          <w:p>
            <w:pPr>
              <w:pStyle w:val="TableParagraph"/>
              <w:spacing w:before="51"/>
              <w:ind w:left="35"/>
              <w:jc w:val="left"/>
              <w:rPr>
                <w:sz w:val="22"/>
              </w:rPr>
            </w:pPr>
            <w:r>
              <w:rPr>
                <w:sz w:val="22"/>
              </w:rPr>
              <w:t>Resumen</w:t>
            </w:r>
          </w:p>
        </w:tc>
        <w:tc>
          <w:tcPr>
            <w:tcW w:w="1851" w:type="dxa"/>
          </w:tcPr>
          <w:p>
            <w:pPr>
              <w:pStyle w:val="TableParagraph"/>
              <w:spacing w:before="51"/>
              <w:ind w:right="33"/>
              <w:jc w:val="right"/>
              <w:rPr>
                <w:sz w:val="22"/>
              </w:rPr>
            </w:pPr>
            <w:r>
              <w:rPr>
                <w:sz w:val="22"/>
              </w:rPr>
              <w:t>iv</w:t>
            </w:r>
          </w:p>
        </w:tc>
      </w:tr>
      <w:tr>
        <w:trPr>
          <w:trHeight w:val="379" w:hRule="exact"/>
        </w:trPr>
        <w:tc>
          <w:tcPr>
            <w:tcW w:w="7056" w:type="dxa"/>
          </w:tcPr>
          <w:p>
            <w:pPr>
              <w:pStyle w:val="TableParagraph"/>
              <w:spacing w:before="51"/>
              <w:ind w:left="35"/>
              <w:jc w:val="left"/>
              <w:rPr>
                <w:sz w:val="22"/>
              </w:rPr>
            </w:pPr>
            <w:r>
              <w:rPr>
                <w:sz w:val="22"/>
              </w:rPr>
              <w:t>Abstract</w:t>
            </w:r>
          </w:p>
        </w:tc>
        <w:tc>
          <w:tcPr>
            <w:tcW w:w="1851" w:type="dxa"/>
          </w:tcPr>
          <w:p>
            <w:pPr>
              <w:pStyle w:val="TableParagraph"/>
              <w:spacing w:before="51"/>
              <w:ind w:right="96"/>
              <w:jc w:val="right"/>
              <w:rPr>
                <w:sz w:val="22"/>
              </w:rPr>
            </w:pPr>
            <w:r>
              <w:rPr>
                <w:w w:val="100"/>
                <w:sz w:val="22"/>
              </w:rPr>
              <w:t>v</w:t>
            </w:r>
          </w:p>
        </w:tc>
      </w:tr>
      <w:tr>
        <w:trPr>
          <w:trHeight w:val="379" w:hRule="exact"/>
        </w:trPr>
        <w:tc>
          <w:tcPr>
            <w:tcW w:w="7056" w:type="dxa"/>
          </w:tcPr>
          <w:p>
            <w:pPr>
              <w:pStyle w:val="TableParagraph"/>
              <w:spacing w:before="51"/>
              <w:ind w:left="35"/>
              <w:jc w:val="left"/>
              <w:rPr>
                <w:sz w:val="22"/>
              </w:rPr>
            </w:pPr>
            <w:r>
              <w:rPr>
                <w:sz w:val="22"/>
              </w:rPr>
              <w:t>Contenido</w:t>
            </w:r>
          </w:p>
        </w:tc>
        <w:tc>
          <w:tcPr>
            <w:tcW w:w="1851" w:type="dxa"/>
          </w:tcPr>
          <w:p>
            <w:pPr>
              <w:pStyle w:val="TableParagraph"/>
              <w:spacing w:before="51"/>
              <w:ind w:right="37"/>
              <w:jc w:val="right"/>
              <w:rPr>
                <w:sz w:val="22"/>
              </w:rPr>
            </w:pPr>
            <w:r>
              <w:rPr>
                <w:sz w:val="22"/>
              </w:rPr>
              <w:t>vi</w:t>
            </w:r>
          </w:p>
        </w:tc>
      </w:tr>
      <w:tr>
        <w:trPr>
          <w:trHeight w:val="379" w:hRule="exact"/>
        </w:trPr>
        <w:tc>
          <w:tcPr>
            <w:tcW w:w="7056" w:type="dxa"/>
          </w:tcPr>
          <w:p>
            <w:pPr>
              <w:pStyle w:val="TableParagraph"/>
              <w:spacing w:before="51"/>
              <w:ind w:left="35"/>
              <w:jc w:val="left"/>
              <w:rPr>
                <w:sz w:val="22"/>
              </w:rPr>
            </w:pPr>
            <w:r>
              <w:rPr>
                <w:sz w:val="22"/>
              </w:rPr>
              <w:t>Índice de Figuras</w:t>
            </w:r>
          </w:p>
        </w:tc>
        <w:tc>
          <w:tcPr>
            <w:tcW w:w="1851" w:type="dxa"/>
          </w:tcPr>
          <w:p>
            <w:pPr>
              <w:pStyle w:val="TableParagraph"/>
              <w:spacing w:before="51"/>
              <w:ind w:right="34"/>
              <w:jc w:val="right"/>
              <w:rPr>
                <w:sz w:val="22"/>
              </w:rPr>
            </w:pPr>
            <w:r>
              <w:rPr>
                <w:sz w:val="22"/>
              </w:rPr>
              <w:t>ix</w:t>
            </w:r>
          </w:p>
        </w:tc>
      </w:tr>
      <w:tr>
        <w:trPr>
          <w:trHeight w:val="380" w:hRule="exact"/>
        </w:trPr>
        <w:tc>
          <w:tcPr>
            <w:tcW w:w="7056" w:type="dxa"/>
          </w:tcPr>
          <w:p>
            <w:pPr>
              <w:pStyle w:val="TableParagraph"/>
              <w:spacing w:before="51"/>
              <w:ind w:left="35"/>
              <w:jc w:val="left"/>
              <w:rPr>
                <w:sz w:val="22"/>
              </w:rPr>
            </w:pPr>
            <w:r>
              <w:rPr>
                <w:sz w:val="22"/>
              </w:rPr>
              <w:t>Índice de Tablas</w:t>
            </w:r>
          </w:p>
        </w:tc>
        <w:tc>
          <w:tcPr>
            <w:tcW w:w="1851" w:type="dxa"/>
          </w:tcPr>
          <w:p>
            <w:pPr>
              <w:pStyle w:val="TableParagraph"/>
              <w:spacing w:before="51"/>
              <w:ind w:right="41"/>
              <w:jc w:val="right"/>
              <w:rPr>
                <w:sz w:val="22"/>
              </w:rPr>
            </w:pPr>
            <w:r>
              <w:rPr>
                <w:w w:val="100"/>
                <w:sz w:val="22"/>
              </w:rPr>
              <w:t>x</w:t>
            </w:r>
          </w:p>
        </w:tc>
      </w:tr>
      <w:tr>
        <w:trPr>
          <w:trHeight w:val="382" w:hRule="exact"/>
        </w:trPr>
        <w:tc>
          <w:tcPr>
            <w:tcW w:w="7056" w:type="dxa"/>
          </w:tcPr>
          <w:p>
            <w:pPr>
              <w:pStyle w:val="TableParagraph"/>
              <w:spacing w:before="51"/>
              <w:ind w:left="35"/>
              <w:jc w:val="left"/>
              <w:rPr>
                <w:sz w:val="22"/>
              </w:rPr>
            </w:pPr>
            <w:r>
              <w:rPr>
                <w:sz w:val="22"/>
              </w:rPr>
              <w:t>Lista de abreviaturas</w:t>
            </w:r>
          </w:p>
        </w:tc>
        <w:tc>
          <w:tcPr>
            <w:tcW w:w="1851" w:type="dxa"/>
          </w:tcPr>
          <w:p>
            <w:pPr>
              <w:pStyle w:val="TableParagraph"/>
              <w:spacing w:before="51"/>
              <w:ind w:right="35"/>
              <w:jc w:val="right"/>
              <w:rPr>
                <w:sz w:val="22"/>
              </w:rPr>
            </w:pPr>
            <w:r>
              <w:rPr>
                <w:sz w:val="22"/>
              </w:rPr>
              <w:t>xi</w:t>
            </w:r>
          </w:p>
        </w:tc>
      </w:tr>
      <w:tr>
        <w:trPr>
          <w:trHeight w:val="380" w:hRule="exact"/>
        </w:trPr>
        <w:tc>
          <w:tcPr>
            <w:tcW w:w="7056" w:type="dxa"/>
          </w:tcPr>
          <w:p>
            <w:pPr>
              <w:pStyle w:val="TableParagraph"/>
              <w:tabs>
                <w:tab w:pos="742" w:val="left" w:leader="none"/>
              </w:tabs>
              <w:spacing w:before="54"/>
              <w:ind w:left="35"/>
              <w:jc w:val="left"/>
              <w:rPr>
                <w:b/>
                <w:sz w:val="22"/>
              </w:rPr>
            </w:pPr>
            <w:r>
              <w:rPr>
                <w:b/>
                <w:sz w:val="22"/>
              </w:rPr>
              <w:t>1</w:t>
              <w:tab/>
              <w:t>Protocolo de</w:t>
            </w:r>
            <w:r>
              <w:rPr>
                <w:b/>
                <w:spacing w:val="-3"/>
                <w:sz w:val="22"/>
              </w:rPr>
              <w:t> </w:t>
            </w:r>
            <w:r>
              <w:rPr>
                <w:b/>
                <w:sz w:val="22"/>
              </w:rPr>
              <w:t>Tesis</w:t>
            </w:r>
          </w:p>
        </w:tc>
        <w:tc>
          <w:tcPr>
            <w:tcW w:w="1851" w:type="dxa"/>
          </w:tcPr>
          <w:p>
            <w:pPr/>
          </w:p>
        </w:tc>
      </w:tr>
      <w:tr>
        <w:trPr>
          <w:trHeight w:val="378" w:hRule="exact"/>
        </w:trPr>
        <w:tc>
          <w:tcPr>
            <w:tcW w:w="7056" w:type="dxa"/>
          </w:tcPr>
          <w:p>
            <w:pPr>
              <w:pStyle w:val="TableParagraph"/>
              <w:spacing w:before="50"/>
              <w:ind w:left="35"/>
              <w:jc w:val="left"/>
              <w:rPr>
                <w:sz w:val="22"/>
              </w:rPr>
            </w:pPr>
            <w:r>
              <w:rPr>
                <w:sz w:val="22"/>
              </w:rPr>
              <w:t>1.1 Introducción</w:t>
            </w:r>
          </w:p>
        </w:tc>
        <w:tc>
          <w:tcPr>
            <w:tcW w:w="1851" w:type="dxa"/>
          </w:tcPr>
          <w:p>
            <w:pPr>
              <w:pStyle w:val="TableParagraph"/>
              <w:spacing w:before="50"/>
              <w:ind w:right="41"/>
              <w:jc w:val="right"/>
              <w:rPr>
                <w:sz w:val="22"/>
              </w:rPr>
            </w:pPr>
            <w:r>
              <w:rPr>
                <w:w w:val="100"/>
                <w:sz w:val="22"/>
              </w:rPr>
              <w:t>2</w:t>
            </w:r>
          </w:p>
        </w:tc>
      </w:tr>
      <w:tr>
        <w:trPr>
          <w:trHeight w:val="379" w:hRule="exact"/>
        </w:trPr>
        <w:tc>
          <w:tcPr>
            <w:tcW w:w="7056" w:type="dxa"/>
          </w:tcPr>
          <w:p>
            <w:pPr>
              <w:pStyle w:val="TableParagraph"/>
              <w:spacing w:before="51"/>
              <w:ind w:left="35"/>
              <w:jc w:val="left"/>
              <w:rPr>
                <w:sz w:val="22"/>
              </w:rPr>
            </w:pPr>
            <w:r>
              <w:rPr>
                <w:sz w:val="22"/>
              </w:rPr>
              <w:t>1.2  Nanomateriales de carbono</w:t>
            </w:r>
          </w:p>
        </w:tc>
        <w:tc>
          <w:tcPr>
            <w:tcW w:w="1851" w:type="dxa"/>
          </w:tcPr>
          <w:p>
            <w:pPr>
              <w:pStyle w:val="TableParagraph"/>
              <w:spacing w:before="51"/>
              <w:ind w:right="41"/>
              <w:jc w:val="right"/>
              <w:rPr>
                <w:sz w:val="22"/>
              </w:rPr>
            </w:pPr>
            <w:r>
              <w:rPr>
                <w:w w:val="100"/>
                <w:sz w:val="22"/>
              </w:rPr>
              <w:t>3</w:t>
            </w:r>
          </w:p>
        </w:tc>
      </w:tr>
      <w:tr>
        <w:trPr>
          <w:trHeight w:val="379" w:hRule="exact"/>
        </w:trPr>
        <w:tc>
          <w:tcPr>
            <w:tcW w:w="7056" w:type="dxa"/>
          </w:tcPr>
          <w:p>
            <w:pPr>
              <w:pStyle w:val="TableParagraph"/>
              <w:spacing w:before="51"/>
              <w:ind w:left="318"/>
              <w:jc w:val="left"/>
              <w:rPr>
                <w:sz w:val="22"/>
              </w:rPr>
            </w:pPr>
            <w:r>
              <w:rPr>
                <w:sz w:val="22"/>
              </w:rPr>
              <w:t>1.2.1  Nanotubos de carbono</w:t>
            </w:r>
          </w:p>
        </w:tc>
        <w:tc>
          <w:tcPr>
            <w:tcW w:w="1851" w:type="dxa"/>
          </w:tcPr>
          <w:p>
            <w:pPr>
              <w:pStyle w:val="TableParagraph"/>
              <w:spacing w:before="51"/>
              <w:ind w:right="41"/>
              <w:jc w:val="right"/>
              <w:rPr>
                <w:sz w:val="22"/>
              </w:rPr>
            </w:pPr>
            <w:r>
              <w:rPr>
                <w:w w:val="100"/>
                <w:sz w:val="22"/>
              </w:rPr>
              <w:t>5</w:t>
            </w:r>
          </w:p>
        </w:tc>
      </w:tr>
      <w:tr>
        <w:trPr>
          <w:trHeight w:val="379" w:hRule="exact"/>
        </w:trPr>
        <w:tc>
          <w:tcPr>
            <w:tcW w:w="7056" w:type="dxa"/>
          </w:tcPr>
          <w:p>
            <w:pPr>
              <w:pStyle w:val="TableParagraph"/>
              <w:tabs>
                <w:tab w:pos="1450" w:val="left" w:leader="none"/>
              </w:tabs>
              <w:spacing w:before="51"/>
              <w:ind w:left="601"/>
              <w:jc w:val="left"/>
              <w:rPr>
                <w:sz w:val="22"/>
              </w:rPr>
            </w:pPr>
            <w:r>
              <w:rPr>
                <w:sz w:val="22"/>
              </w:rPr>
              <w:t>1.2.1.1</w:t>
              <w:tab/>
              <w:t>Métodos de</w:t>
            </w:r>
            <w:r>
              <w:rPr>
                <w:spacing w:val="-3"/>
                <w:sz w:val="22"/>
              </w:rPr>
              <w:t> </w:t>
            </w:r>
            <w:r>
              <w:rPr>
                <w:sz w:val="22"/>
              </w:rPr>
              <w:t>obtención</w:t>
            </w:r>
          </w:p>
        </w:tc>
        <w:tc>
          <w:tcPr>
            <w:tcW w:w="1851" w:type="dxa"/>
          </w:tcPr>
          <w:p>
            <w:pPr>
              <w:pStyle w:val="TableParagraph"/>
              <w:spacing w:before="51"/>
              <w:ind w:right="41"/>
              <w:jc w:val="right"/>
              <w:rPr>
                <w:sz w:val="22"/>
              </w:rPr>
            </w:pPr>
            <w:r>
              <w:rPr>
                <w:w w:val="100"/>
                <w:sz w:val="22"/>
              </w:rPr>
              <w:t>6</w:t>
            </w:r>
          </w:p>
        </w:tc>
      </w:tr>
      <w:tr>
        <w:trPr>
          <w:trHeight w:val="379" w:hRule="exact"/>
        </w:trPr>
        <w:tc>
          <w:tcPr>
            <w:tcW w:w="7056" w:type="dxa"/>
          </w:tcPr>
          <w:p>
            <w:pPr>
              <w:pStyle w:val="TableParagraph"/>
              <w:tabs>
                <w:tab w:pos="1450" w:val="left" w:leader="none"/>
              </w:tabs>
              <w:spacing w:before="51"/>
              <w:ind w:left="601"/>
              <w:jc w:val="left"/>
              <w:rPr>
                <w:sz w:val="22"/>
              </w:rPr>
            </w:pPr>
            <w:r>
              <w:rPr>
                <w:sz w:val="22"/>
              </w:rPr>
              <w:t>1.2.1.2</w:t>
              <w:tab/>
              <w:t>Funcionalización</w:t>
            </w:r>
          </w:p>
        </w:tc>
        <w:tc>
          <w:tcPr>
            <w:tcW w:w="1851" w:type="dxa"/>
          </w:tcPr>
          <w:p>
            <w:pPr>
              <w:pStyle w:val="TableParagraph"/>
              <w:spacing w:before="51"/>
              <w:ind w:right="41"/>
              <w:jc w:val="right"/>
              <w:rPr>
                <w:sz w:val="22"/>
              </w:rPr>
            </w:pPr>
            <w:r>
              <w:rPr>
                <w:w w:val="100"/>
                <w:sz w:val="22"/>
              </w:rPr>
              <w:t>8</w:t>
            </w:r>
          </w:p>
        </w:tc>
      </w:tr>
      <w:tr>
        <w:trPr>
          <w:trHeight w:val="379" w:hRule="exact"/>
        </w:trPr>
        <w:tc>
          <w:tcPr>
            <w:tcW w:w="7056" w:type="dxa"/>
          </w:tcPr>
          <w:p>
            <w:pPr>
              <w:pStyle w:val="TableParagraph"/>
              <w:tabs>
                <w:tab w:pos="1450" w:val="left" w:leader="none"/>
              </w:tabs>
              <w:spacing w:before="51"/>
              <w:ind w:left="601"/>
              <w:jc w:val="left"/>
              <w:rPr>
                <w:sz w:val="22"/>
              </w:rPr>
            </w:pPr>
            <w:r>
              <w:rPr>
                <w:sz w:val="22"/>
              </w:rPr>
              <w:t>1.2.1.3</w:t>
              <w:tab/>
              <w:t>Propiedades y</w:t>
            </w:r>
            <w:r>
              <w:rPr>
                <w:spacing w:val="-5"/>
                <w:sz w:val="22"/>
              </w:rPr>
              <w:t> </w:t>
            </w:r>
            <w:r>
              <w:rPr>
                <w:sz w:val="22"/>
              </w:rPr>
              <w:t>aplicaciones</w:t>
            </w:r>
          </w:p>
        </w:tc>
        <w:tc>
          <w:tcPr>
            <w:tcW w:w="1851" w:type="dxa"/>
          </w:tcPr>
          <w:p>
            <w:pPr>
              <w:pStyle w:val="TableParagraph"/>
              <w:spacing w:before="51"/>
              <w:ind w:right="41"/>
              <w:jc w:val="right"/>
              <w:rPr>
                <w:sz w:val="22"/>
              </w:rPr>
            </w:pPr>
            <w:r>
              <w:rPr>
                <w:w w:val="100"/>
                <w:sz w:val="22"/>
              </w:rPr>
              <w:t>9</w:t>
            </w:r>
          </w:p>
        </w:tc>
      </w:tr>
      <w:tr>
        <w:trPr>
          <w:trHeight w:val="379" w:hRule="exact"/>
        </w:trPr>
        <w:tc>
          <w:tcPr>
            <w:tcW w:w="7056" w:type="dxa"/>
          </w:tcPr>
          <w:p>
            <w:pPr>
              <w:pStyle w:val="TableParagraph"/>
              <w:spacing w:before="51"/>
              <w:ind w:left="318"/>
              <w:jc w:val="left"/>
              <w:rPr>
                <w:sz w:val="22"/>
              </w:rPr>
            </w:pPr>
            <w:r>
              <w:rPr>
                <w:sz w:val="22"/>
              </w:rPr>
              <w:t>1.2.2  Grafeno</w:t>
            </w:r>
          </w:p>
        </w:tc>
        <w:tc>
          <w:tcPr>
            <w:tcW w:w="1851" w:type="dxa"/>
          </w:tcPr>
          <w:p>
            <w:pPr>
              <w:pStyle w:val="TableParagraph"/>
              <w:spacing w:before="51"/>
              <w:ind w:right="41"/>
              <w:jc w:val="right"/>
              <w:rPr>
                <w:sz w:val="22"/>
              </w:rPr>
            </w:pPr>
            <w:r>
              <w:rPr>
                <w:sz w:val="22"/>
              </w:rPr>
              <w:t>10</w:t>
            </w:r>
          </w:p>
        </w:tc>
      </w:tr>
      <w:tr>
        <w:trPr>
          <w:trHeight w:val="379" w:hRule="exact"/>
        </w:trPr>
        <w:tc>
          <w:tcPr>
            <w:tcW w:w="7056" w:type="dxa"/>
          </w:tcPr>
          <w:p>
            <w:pPr>
              <w:pStyle w:val="TableParagraph"/>
              <w:tabs>
                <w:tab w:pos="1450" w:val="left" w:leader="none"/>
              </w:tabs>
              <w:spacing w:before="51"/>
              <w:ind w:left="601"/>
              <w:jc w:val="left"/>
              <w:rPr>
                <w:sz w:val="22"/>
              </w:rPr>
            </w:pPr>
            <w:r>
              <w:rPr>
                <w:sz w:val="22"/>
              </w:rPr>
              <w:t>1.2.2.1</w:t>
              <w:tab/>
              <w:t>Métodos de</w:t>
            </w:r>
            <w:r>
              <w:rPr>
                <w:spacing w:val="-2"/>
                <w:sz w:val="22"/>
              </w:rPr>
              <w:t> </w:t>
            </w:r>
            <w:r>
              <w:rPr>
                <w:sz w:val="22"/>
              </w:rPr>
              <w:t>obtención</w:t>
            </w:r>
          </w:p>
        </w:tc>
        <w:tc>
          <w:tcPr>
            <w:tcW w:w="1851" w:type="dxa"/>
          </w:tcPr>
          <w:p>
            <w:pPr>
              <w:pStyle w:val="TableParagraph"/>
              <w:spacing w:before="51"/>
              <w:ind w:right="41"/>
              <w:jc w:val="right"/>
              <w:rPr>
                <w:sz w:val="22"/>
              </w:rPr>
            </w:pPr>
            <w:r>
              <w:rPr>
                <w:sz w:val="22"/>
              </w:rPr>
              <w:t>12</w:t>
            </w:r>
          </w:p>
        </w:tc>
      </w:tr>
      <w:tr>
        <w:trPr>
          <w:trHeight w:val="380" w:hRule="exact"/>
        </w:trPr>
        <w:tc>
          <w:tcPr>
            <w:tcW w:w="7056" w:type="dxa"/>
          </w:tcPr>
          <w:p>
            <w:pPr>
              <w:pStyle w:val="TableParagraph"/>
              <w:tabs>
                <w:tab w:pos="1450" w:val="left" w:leader="none"/>
              </w:tabs>
              <w:spacing w:before="51"/>
              <w:ind w:left="601"/>
              <w:jc w:val="left"/>
              <w:rPr>
                <w:sz w:val="22"/>
              </w:rPr>
            </w:pPr>
            <w:r>
              <w:rPr>
                <w:sz w:val="22"/>
              </w:rPr>
              <w:t>1.2.2.2</w:t>
              <w:tab/>
              <w:t>Funcionalización</w:t>
            </w:r>
          </w:p>
        </w:tc>
        <w:tc>
          <w:tcPr>
            <w:tcW w:w="1851" w:type="dxa"/>
          </w:tcPr>
          <w:p>
            <w:pPr>
              <w:pStyle w:val="TableParagraph"/>
              <w:spacing w:before="51"/>
              <w:ind w:right="41"/>
              <w:jc w:val="right"/>
              <w:rPr>
                <w:sz w:val="22"/>
              </w:rPr>
            </w:pPr>
            <w:r>
              <w:rPr>
                <w:sz w:val="22"/>
              </w:rPr>
              <w:t>13</w:t>
            </w:r>
          </w:p>
        </w:tc>
      </w:tr>
      <w:tr>
        <w:trPr>
          <w:trHeight w:val="380" w:hRule="exact"/>
        </w:trPr>
        <w:tc>
          <w:tcPr>
            <w:tcW w:w="7056" w:type="dxa"/>
          </w:tcPr>
          <w:p>
            <w:pPr>
              <w:pStyle w:val="TableParagraph"/>
              <w:tabs>
                <w:tab w:pos="1450" w:val="left" w:leader="none"/>
              </w:tabs>
              <w:spacing w:before="52"/>
              <w:ind w:left="601"/>
              <w:jc w:val="left"/>
              <w:rPr>
                <w:sz w:val="22"/>
              </w:rPr>
            </w:pPr>
            <w:r>
              <w:rPr>
                <w:sz w:val="22"/>
              </w:rPr>
              <w:t>1.2.2.3</w:t>
              <w:tab/>
              <w:t>Propiedades y</w:t>
            </w:r>
            <w:r>
              <w:rPr>
                <w:spacing w:val="-5"/>
                <w:sz w:val="22"/>
              </w:rPr>
              <w:t> </w:t>
            </w:r>
            <w:r>
              <w:rPr>
                <w:sz w:val="22"/>
              </w:rPr>
              <w:t>aplicaciones</w:t>
            </w:r>
          </w:p>
        </w:tc>
        <w:tc>
          <w:tcPr>
            <w:tcW w:w="1851" w:type="dxa"/>
          </w:tcPr>
          <w:p>
            <w:pPr>
              <w:pStyle w:val="TableParagraph"/>
              <w:spacing w:before="52"/>
              <w:ind w:right="41"/>
              <w:jc w:val="right"/>
              <w:rPr>
                <w:sz w:val="22"/>
              </w:rPr>
            </w:pPr>
            <w:r>
              <w:rPr>
                <w:sz w:val="22"/>
              </w:rPr>
              <w:t>14</w:t>
            </w:r>
          </w:p>
        </w:tc>
      </w:tr>
      <w:tr>
        <w:trPr>
          <w:trHeight w:val="379" w:hRule="exact"/>
        </w:trPr>
        <w:tc>
          <w:tcPr>
            <w:tcW w:w="7056" w:type="dxa"/>
          </w:tcPr>
          <w:p>
            <w:pPr>
              <w:pStyle w:val="TableParagraph"/>
              <w:spacing w:before="51"/>
              <w:ind w:left="35"/>
              <w:jc w:val="left"/>
              <w:rPr>
                <w:sz w:val="22"/>
              </w:rPr>
            </w:pPr>
            <w:r>
              <w:rPr>
                <w:sz w:val="22"/>
              </w:rPr>
              <w:t>1.3 Polímeros</w:t>
            </w:r>
          </w:p>
        </w:tc>
        <w:tc>
          <w:tcPr>
            <w:tcW w:w="1851" w:type="dxa"/>
          </w:tcPr>
          <w:p>
            <w:pPr>
              <w:pStyle w:val="TableParagraph"/>
              <w:spacing w:before="51"/>
              <w:ind w:right="41"/>
              <w:jc w:val="right"/>
              <w:rPr>
                <w:sz w:val="22"/>
              </w:rPr>
            </w:pPr>
            <w:r>
              <w:rPr>
                <w:sz w:val="22"/>
              </w:rPr>
              <w:t>16</w:t>
            </w:r>
          </w:p>
        </w:tc>
      </w:tr>
      <w:tr>
        <w:trPr>
          <w:trHeight w:val="379" w:hRule="exact"/>
        </w:trPr>
        <w:tc>
          <w:tcPr>
            <w:tcW w:w="7056" w:type="dxa"/>
          </w:tcPr>
          <w:p>
            <w:pPr>
              <w:pStyle w:val="TableParagraph"/>
              <w:spacing w:before="51"/>
              <w:ind w:left="318"/>
              <w:jc w:val="left"/>
              <w:rPr>
                <w:sz w:val="22"/>
              </w:rPr>
            </w:pPr>
            <w:r>
              <w:rPr>
                <w:sz w:val="22"/>
              </w:rPr>
              <w:t>1.3.1  Nanocompositos poliméricos</w:t>
            </w:r>
          </w:p>
        </w:tc>
        <w:tc>
          <w:tcPr>
            <w:tcW w:w="1851" w:type="dxa"/>
          </w:tcPr>
          <w:p>
            <w:pPr>
              <w:pStyle w:val="TableParagraph"/>
              <w:spacing w:before="51"/>
              <w:ind w:right="41"/>
              <w:jc w:val="right"/>
              <w:rPr>
                <w:sz w:val="22"/>
              </w:rPr>
            </w:pPr>
            <w:r>
              <w:rPr>
                <w:sz w:val="22"/>
              </w:rPr>
              <w:t>16</w:t>
            </w:r>
          </w:p>
        </w:tc>
      </w:tr>
      <w:tr>
        <w:trPr>
          <w:trHeight w:val="379" w:hRule="exact"/>
        </w:trPr>
        <w:tc>
          <w:tcPr>
            <w:tcW w:w="7056" w:type="dxa"/>
          </w:tcPr>
          <w:p>
            <w:pPr>
              <w:pStyle w:val="TableParagraph"/>
              <w:spacing w:before="51"/>
              <w:ind w:left="678"/>
              <w:jc w:val="left"/>
              <w:rPr>
                <w:sz w:val="22"/>
              </w:rPr>
            </w:pPr>
            <w:r>
              <w:rPr>
                <w:sz w:val="22"/>
              </w:rPr>
              <w:t>1.3.1.1   Métodos de obtención</w:t>
            </w:r>
          </w:p>
        </w:tc>
        <w:tc>
          <w:tcPr>
            <w:tcW w:w="1851" w:type="dxa"/>
          </w:tcPr>
          <w:p>
            <w:pPr>
              <w:pStyle w:val="TableParagraph"/>
              <w:spacing w:before="51"/>
              <w:ind w:right="41"/>
              <w:jc w:val="right"/>
              <w:rPr>
                <w:sz w:val="22"/>
              </w:rPr>
            </w:pPr>
            <w:r>
              <w:rPr>
                <w:sz w:val="22"/>
              </w:rPr>
              <w:t>17</w:t>
            </w:r>
          </w:p>
        </w:tc>
      </w:tr>
      <w:tr>
        <w:trPr>
          <w:trHeight w:val="379" w:hRule="exact"/>
        </w:trPr>
        <w:tc>
          <w:tcPr>
            <w:tcW w:w="7056" w:type="dxa"/>
          </w:tcPr>
          <w:p>
            <w:pPr>
              <w:pStyle w:val="TableParagraph"/>
              <w:spacing w:before="51"/>
              <w:ind w:left="678"/>
              <w:jc w:val="left"/>
              <w:rPr>
                <w:sz w:val="22"/>
              </w:rPr>
            </w:pPr>
            <w:r>
              <w:rPr>
                <w:sz w:val="22"/>
              </w:rPr>
              <w:t>1.3.1.2   Propiedades y aplicaciones de los compositos</w:t>
            </w:r>
          </w:p>
        </w:tc>
        <w:tc>
          <w:tcPr>
            <w:tcW w:w="1851" w:type="dxa"/>
          </w:tcPr>
          <w:p>
            <w:pPr>
              <w:pStyle w:val="TableParagraph"/>
              <w:spacing w:before="51"/>
              <w:ind w:right="41"/>
              <w:jc w:val="right"/>
              <w:rPr>
                <w:sz w:val="22"/>
              </w:rPr>
            </w:pPr>
            <w:r>
              <w:rPr>
                <w:sz w:val="22"/>
              </w:rPr>
              <w:t>18</w:t>
            </w:r>
          </w:p>
        </w:tc>
      </w:tr>
      <w:tr>
        <w:trPr>
          <w:trHeight w:val="379" w:hRule="exact"/>
        </w:trPr>
        <w:tc>
          <w:tcPr>
            <w:tcW w:w="7056" w:type="dxa"/>
          </w:tcPr>
          <w:p>
            <w:pPr>
              <w:pStyle w:val="TableParagraph"/>
              <w:spacing w:before="51"/>
              <w:ind w:left="318"/>
              <w:jc w:val="left"/>
              <w:rPr>
                <w:sz w:val="22"/>
              </w:rPr>
            </w:pPr>
            <w:r>
              <w:rPr>
                <w:sz w:val="22"/>
              </w:rPr>
              <w:t>1.3.2  Principios de cristalización en polímeros</w:t>
            </w:r>
          </w:p>
        </w:tc>
        <w:tc>
          <w:tcPr>
            <w:tcW w:w="1851" w:type="dxa"/>
          </w:tcPr>
          <w:p>
            <w:pPr>
              <w:pStyle w:val="TableParagraph"/>
              <w:spacing w:before="51"/>
              <w:ind w:right="41"/>
              <w:jc w:val="right"/>
              <w:rPr>
                <w:sz w:val="22"/>
              </w:rPr>
            </w:pPr>
            <w:r>
              <w:rPr>
                <w:sz w:val="22"/>
              </w:rPr>
              <w:t>20</w:t>
            </w:r>
          </w:p>
        </w:tc>
      </w:tr>
      <w:tr>
        <w:trPr>
          <w:trHeight w:val="379" w:hRule="exact"/>
        </w:trPr>
        <w:tc>
          <w:tcPr>
            <w:tcW w:w="7056" w:type="dxa"/>
          </w:tcPr>
          <w:p>
            <w:pPr>
              <w:pStyle w:val="TableParagraph"/>
              <w:spacing w:before="51"/>
              <w:ind w:left="678"/>
              <w:jc w:val="left"/>
              <w:rPr>
                <w:sz w:val="22"/>
              </w:rPr>
            </w:pPr>
            <w:r>
              <w:rPr>
                <w:sz w:val="22"/>
              </w:rPr>
              <w:t>1.3.2.1   Nucleación homogénea y heterogénea</w:t>
            </w:r>
          </w:p>
        </w:tc>
        <w:tc>
          <w:tcPr>
            <w:tcW w:w="1851" w:type="dxa"/>
          </w:tcPr>
          <w:p>
            <w:pPr>
              <w:pStyle w:val="TableParagraph"/>
              <w:spacing w:before="51"/>
              <w:ind w:right="41"/>
              <w:jc w:val="right"/>
              <w:rPr>
                <w:sz w:val="22"/>
              </w:rPr>
            </w:pPr>
            <w:r>
              <w:rPr>
                <w:sz w:val="22"/>
              </w:rPr>
              <w:t>24</w:t>
            </w:r>
          </w:p>
        </w:tc>
      </w:tr>
      <w:tr>
        <w:trPr>
          <w:trHeight w:val="379" w:hRule="exact"/>
        </w:trPr>
        <w:tc>
          <w:tcPr>
            <w:tcW w:w="7056" w:type="dxa"/>
          </w:tcPr>
          <w:p>
            <w:pPr>
              <w:pStyle w:val="TableParagraph"/>
              <w:spacing w:before="51"/>
              <w:ind w:left="318"/>
              <w:jc w:val="left"/>
              <w:rPr>
                <w:sz w:val="22"/>
              </w:rPr>
            </w:pPr>
            <w:r>
              <w:rPr>
                <w:sz w:val="22"/>
              </w:rPr>
              <w:t>1.3.3   Cristalización en nanocompositos</w:t>
            </w:r>
          </w:p>
        </w:tc>
        <w:tc>
          <w:tcPr>
            <w:tcW w:w="1851" w:type="dxa"/>
          </w:tcPr>
          <w:p>
            <w:pPr>
              <w:pStyle w:val="TableParagraph"/>
              <w:spacing w:before="51"/>
              <w:ind w:right="41"/>
              <w:jc w:val="right"/>
              <w:rPr>
                <w:sz w:val="22"/>
              </w:rPr>
            </w:pPr>
            <w:r>
              <w:rPr>
                <w:sz w:val="22"/>
              </w:rPr>
              <w:t>26</w:t>
            </w:r>
          </w:p>
        </w:tc>
      </w:tr>
      <w:tr>
        <w:trPr>
          <w:trHeight w:val="380" w:hRule="exact"/>
        </w:trPr>
        <w:tc>
          <w:tcPr>
            <w:tcW w:w="7056" w:type="dxa"/>
          </w:tcPr>
          <w:p>
            <w:pPr>
              <w:pStyle w:val="TableParagraph"/>
              <w:spacing w:before="51"/>
              <w:ind w:left="318"/>
              <w:jc w:val="left"/>
              <w:rPr>
                <w:sz w:val="22"/>
              </w:rPr>
            </w:pPr>
            <w:r>
              <w:rPr>
                <w:sz w:val="22"/>
              </w:rPr>
              <w:t>1.3.4   Procesamiento de polímeros</w:t>
            </w:r>
          </w:p>
        </w:tc>
        <w:tc>
          <w:tcPr>
            <w:tcW w:w="1851" w:type="dxa"/>
          </w:tcPr>
          <w:p>
            <w:pPr>
              <w:pStyle w:val="TableParagraph"/>
              <w:spacing w:before="51"/>
              <w:ind w:right="41"/>
              <w:jc w:val="right"/>
              <w:rPr>
                <w:sz w:val="22"/>
              </w:rPr>
            </w:pPr>
            <w:r>
              <w:rPr>
                <w:sz w:val="22"/>
              </w:rPr>
              <w:t>27</w:t>
            </w:r>
          </w:p>
        </w:tc>
      </w:tr>
      <w:tr>
        <w:trPr>
          <w:trHeight w:val="380" w:hRule="exact"/>
        </w:trPr>
        <w:tc>
          <w:tcPr>
            <w:tcW w:w="7056" w:type="dxa"/>
          </w:tcPr>
          <w:p>
            <w:pPr>
              <w:pStyle w:val="TableParagraph"/>
              <w:spacing w:before="52"/>
              <w:ind w:left="678"/>
              <w:jc w:val="left"/>
              <w:rPr>
                <w:i/>
                <w:sz w:val="22"/>
              </w:rPr>
            </w:pPr>
            <w:r>
              <w:rPr>
                <w:sz w:val="22"/>
              </w:rPr>
              <w:t>1.3.4.1   </w:t>
            </w:r>
            <w:r>
              <w:rPr>
                <w:i/>
                <w:sz w:val="22"/>
              </w:rPr>
              <w:t>Electrospinning</w:t>
            </w:r>
          </w:p>
        </w:tc>
        <w:tc>
          <w:tcPr>
            <w:tcW w:w="1851" w:type="dxa"/>
          </w:tcPr>
          <w:p>
            <w:pPr>
              <w:pStyle w:val="TableParagraph"/>
              <w:spacing w:before="52"/>
              <w:ind w:right="41"/>
              <w:jc w:val="right"/>
              <w:rPr>
                <w:sz w:val="22"/>
              </w:rPr>
            </w:pPr>
            <w:r>
              <w:rPr>
                <w:sz w:val="22"/>
              </w:rPr>
              <w:t>27</w:t>
            </w:r>
          </w:p>
        </w:tc>
      </w:tr>
      <w:tr>
        <w:trPr>
          <w:trHeight w:val="379" w:hRule="exact"/>
        </w:trPr>
        <w:tc>
          <w:tcPr>
            <w:tcW w:w="7056" w:type="dxa"/>
          </w:tcPr>
          <w:p>
            <w:pPr>
              <w:pStyle w:val="TableParagraph"/>
              <w:spacing w:before="51"/>
              <w:ind w:left="678"/>
              <w:jc w:val="left"/>
              <w:rPr>
                <w:sz w:val="22"/>
              </w:rPr>
            </w:pPr>
            <w:r>
              <w:rPr>
                <w:sz w:val="22"/>
              </w:rPr>
              <w:t>1.3.4.2   Moldeo por inyección</w:t>
            </w:r>
          </w:p>
        </w:tc>
        <w:tc>
          <w:tcPr>
            <w:tcW w:w="1851" w:type="dxa"/>
          </w:tcPr>
          <w:p>
            <w:pPr>
              <w:pStyle w:val="TableParagraph"/>
              <w:spacing w:before="51"/>
              <w:ind w:right="41"/>
              <w:jc w:val="right"/>
              <w:rPr>
                <w:sz w:val="22"/>
              </w:rPr>
            </w:pPr>
            <w:r>
              <w:rPr>
                <w:sz w:val="22"/>
              </w:rPr>
              <w:t>30</w:t>
            </w:r>
          </w:p>
        </w:tc>
      </w:tr>
      <w:tr>
        <w:trPr>
          <w:trHeight w:val="379" w:hRule="exact"/>
        </w:trPr>
        <w:tc>
          <w:tcPr>
            <w:tcW w:w="7056" w:type="dxa"/>
          </w:tcPr>
          <w:p>
            <w:pPr>
              <w:pStyle w:val="TableParagraph"/>
              <w:spacing w:before="51"/>
              <w:ind w:left="318"/>
              <w:jc w:val="left"/>
              <w:rPr>
                <w:sz w:val="22"/>
              </w:rPr>
            </w:pPr>
            <w:r>
              <w:rPr>
                <w:sz w:val="22"/>
              </w:rPr>
              <w:t>1.3.5  Nylon 6,6</w:t>
            </w:r>
          </w:p>
        </w:tc>
        <w:tc>
          <w:tcPr>
            <w:tcW w:w="1851" w:type="dxa"/>
          </w:tcPr>
          <w:p>
            <w:pPr>
              <w:pStyle w:val="TableParagraph"/>
              <w:spacing w:before="51"/>
              <w:ind w:right="41"/>
              <w:jc w:val="right"/>
              <w:rPr>
                <w:sz w:val="22"/>
              </w:rPr>
            </w:pPr>
            <w:r>
              <w:rPr>
                <w:sz w:val="22"/>
              </w:rPr>
              <w:t>31</w:t>
            </w:r>
          </w:p>
        </w:tc>
      </w:tr>
      <w:tr>
        <w:trPr>
          <w:trHeight w:val="379" w:hRule="exact"/>
        </w:trPr>
        <w:tc>
          <w:tcPr>
            <w:tcW w:w="7056" w:type="dxa"/>
          </w:tcPr>
          <w:p>
            <w:pPr>
              <w:pStyle w:val="TableParagraph"/>
              <w:spacing w:before="51"/>
              <w:ind w:left="678"/>
              <w:jc w:val="left"/>
              <w:rPr>
                <w:sz w:val="22"/>
              </w:rPr>
            </w:pPr>
            <w:r>
              <w:rPr>
                <w:sz w:val="22"/>
              </w:rPr>
              <w:t>1.3.5.1   Propiedades y aplicaciones</w:t>
            </w:r>
          </w:p>
        </w:tc>
        <w:tc>
          <w:tcPr>
            <w:tcW w:w="1851" w:type="dxa"/>
          </w:tcPr>
          <w:p>
            <w:pPr>
              <w:pStyle w:val="TableParagraph"/>
              <w:spacing w:before="51"/>
              <w:ind w:right="41"/>
              <w:jc w:val="right"/>
              <w:rPr>
                <w:sz w:val="22"/>
              </w:rPr>
            </w:pPr>
            <w:r>
              <w:rPr>
                <w:sz w:val="22"/>
              </w:rPr>
              <w:t>32</w:t>
            </w:r>
          </w:p>
        </w:tc>
      </w:tr>
      <w:tr>
        <w:trPr>
          <w:trHeight w:val="400" w:hRule="exact"/>
        </w:trPr>
        <w:tc>
          <w:tcPr>
            <w:tcW w:w="7056" w:type="dxa"/>
          </w:tcPr>
          <w:p>
            <w:pPr>
              <w:pStyle w:val="TableParagraph"/>
              <w:spacing w:before="51"/>
              <w:ind w:left="678"/>
              <w:jc w:val="left"/>
              <w:rPr>
                <w:sz w:val="22"/>
              </w:rPr>
            </w:pPr>
            <w:r>
              <w:rPr>
                <w:sz w:val="22"/>
              </w:rPr>
              <w:t>1.3.5.2   Cristalización del nylon 6,6</w:t>
            </w:r>
          </w:p>
        </w:tc>
        <w:tc>
          <w:tcPr>
            <w:tcW w:w="1851" w:type="dxa"/>
          </w:tcPr>
          <w:p>
            <w:pPr>
              <w:pStyle w:val="TableParagraph"/>
              <w:spacing w:before="51"/>
              <w:ind w:right="41"/>
              <w:jc w:val="right"/>
              <w:rPr>
                <w:sz w:val="22"/>
              </w:rPr>
            </w:pPr>
            <w:r>
              <w:rPr>
                <w:sz w:val="22"/>
              </w:rPr>
              <w:t>35</w:t>
            </w:r>
          </w:p>
        </w:tc>
      </w:tr>
    </w:tbl>
    <w:p>
      <w:pPr>
        <w:spacing w:after="0"/>
        <w:jc w:val="right"/>
        <w:rPr>
          <w:sz w:val="22"/>
        </w:rPr>
        <w:sectPr>
          <w:headerReference w:type="default" r:id="rId9"/>
          <w:pgSz w:w="12240" w:h="15840"/>
          <w:pgMar w:header="883" w:footer="1062" w:top="1860" w:bottom="1260" w:left="1560" w:right="1500"/>
        </w:sectPr>
      </w:pPr>
    </w:p>
    <w:p>
      <w:pPr>
        <w:pStyle w:val="BodyText"/>
        <w:rPr>
          <w:sz w:val="20"/>
        </w:rPr>
      </w:pPr>
    </w:p>
    <w:p>
      <w:pPr>
        <w:pStyle w:val="BodyText"/>
        <w:spacing w:before="2"/>
        <w:rPr>
          <w:sz w:val="16"/>
        </w:rPr>
      </w:pPr>
    </w:p>
    <w:sdt>
      <w:sdtPr>
        <w:docPartObj>
          <w:docPartGallery w:val="Table of Contents"/>
          <w:docPartUnique/>
        </w:docPartObj>
      </w:sdtPr>
      <w:sdtEndPr/>
      <w:sdtContent>
        <w:p>
          <w:pPr>
            <w:pStyle w:val="TOC6"/>
            <w:tabs>
              <w:tab w:pos="8950" w:val="right" w:leader="none"/>
            </w:tabs>
          </w:pPr>
          <w:hyperlink w:history="true" w:anchor="_TOC_250020">
            <w:r>
              <w:rPr/>
              <w:t>1.3.5.3   Cristalización en nanocompositos de</w:t>
            </w:r>
            <w:r>
              <w:rPr>
                <w:spacing w:val="-3"/>
              </w:rPr>
              <w:t> </w:t>
            </w:r>
            <w:r>
              <w:rPr/>
              <w:t>nylon</w:t>
            </w:r>
            <w:r>
              <w:rPr>
                <w:spacing w:val="-1"/>
              </w:rPr>
              <w:t> </w:t>
            </w:r>
            <w:r>
              <w:rPr/>
              <w:t>6,6</w:t>
              <w:tab/>
              <w:t>37</w:t>
            </w:r>
          </w:hyperlink>
        </w:p>
        <w:p>
          <w:pPr>
            <w:pStyle w:val="TOC2"/>
            <w:numPr>
              <w:ilvl w:val="1"/>
              <w:numId w:val="1"/>
            </w:numPr>
            <w:tabs>
              <w:tab w:pos="497" w:val="left" w:leader="none"/>
              <w:tab w:pos="8950" w:val="right" w:leader="none"/>
            </w:tabs>
            <w:spacing w:line="240" w:lineRule="auto" w:before="126" w:after="0"/>
            <w:ind w:left="496" w:right="0" w:hanging="374"/>
            <w:jc w:val="left"/>
          </w:pPr>
          <w:hyperlink w:history="true" w:anchor="_TOC_250019">
            <w:r>
              <w:rPr/>
              <w:t>Objetivo</w:t>
              <w:tab/>
              <w:t>41</w:t>
            </w:r>
          </w:hyperlink>
        </w:p>
        <w:p>
          <w:pPr>
            <w:pStyle w:val="TOC3"/>
            <w:tabs>
              <w:tab w:pos="8950" w:val="right" w:leader="none"/>
            </w:tabs>
            <w:ind w:left="405" w:firstLine="0"/>
          </w:pPr>
          <w:r>
            <w:rPr/>
            <w:t>1.4.1 </w:t>
          </w:r>
          <w:r>
            <w:rPr>
              <w:spacing w:val="16"/>
            </w:rPr>
            <w:t> </w:t>
          </w:r>
          <w:r>
            <w:rPr/>
            <w:t>Objetivos</w:t>
          </w:r>
          <w:r>
            <w:rPr>
              <w:spacing w:val="-1"/>
            </w:rPr>
            <w:t> </w:t>
          </w:r>
          <w:r>
            <w:rPr/>
            <w:t>específicos</w:t>
            <w:tab/>
            <w:t>41</w:t>
          </w:r>
        </w:p>
        <w:p>
          <w:pPr>
            <w:pStyle w:val="TOC2"/>
            <w:numPr>
              <w:ilvl w:val="1"/>
              <w:numId w:val="1"/>
            </w:numPr>
            <w:tabs>
              <w:tab w:pos="497" w:val="left" w:leader="none"/>
              <w:tab w:pos="8950" w:val="right" w:leader="none"/>
            </w:tabs>
            <w:spacing w:line="240" w:lineRule="auto" w:before="126" w:after="0"/>
            <w:ind w:left="496" w:right="0" w:hanging="374"/>
            <w:jc w:val="left"/>
          </w:pPr>
          <w:hyperlink w:history="true" w:anchor="_TOC_250018">
            <w:r>
              <w:rPr/>
              <w:t>Hipótesis</w:t>
              <w:tab/>
              <w:t>41</w:t>
            </w:r>
          </w:hyperlink>
        </w:p>
        <w:p>
          <w:pPr>
            <w:pStyle w:val="TOC2"/>
            <w:numPr>
              <w:ilvl w:val="1"/>
              <w:numId w:val="1"/>
            </w:numPr>
            <w:tabs>
              <w:tab w:pos="497" w:val="left" w:leader="none"/>
              <w:tab w:pos="8950" w:val="right" w:leader="none"/>
            </w:tabs>
            <w:spacing w:line="240" w:lineRule="auto" w:before="126" w:after="0"/>
            <w:ind w:left="496" w:right="0" w:hanging="374"/>
            <w:jc w:val="left"/>
          </w:pPr>
          <w:hyperlink w:history="true" w:anchor="_TOC_250017">
            <w:r>
              <w:rPr/>
              <w:t>Motivación</w:t>
              <w:tab/>
              <w:t>41</w:t>
            </w:r>
          </w:hyperlink>
        </w:p>
        <w:p>
          <w:pPr>
            <w:pStyle w:val="TOC1"/>
            <w:numPr>
              <w:ilvl w:val="0"/>
              <w:numId w:val="1"/>
            </w:numPr>
            <w:tabs>
              <w:tab w:pos="829" w:val="left" w:leader="none"/>
              <w:tab w:pos="830" w:val="left" w:leader="none"/>
            </w:tabs>
            <w:spacing w:line="240" w:lineRule="auto" w:before="131" w:after="0"/>
            <w:ind w:left="830" w:right="0" w:hanging="708"/>
            <w:jc w:val="left"/>
          </w:pPr>
          <w:r>
            <w:rPr/>
            <w:t>Metodología</w:t>
          </w:r>
          <w:r>
            <w:rPr>
              <w:spacing w:val="-9"/>
            </w:rPr>
            <w:t> </w:t>
          </w:r>
          <w:r>
            <w:rPr/>
            <w:t>Experimental</w:t>
          </w:r>
        </w:p>
        <w:p>
          <w:pPr>
            <w:pStyle w:val="TOC2"/>
            <w:numPr>
              <w:ilvl w:val="1"/>
              <w:numId w:val="2"/>
            </w:numPr>
            <w:tabs>
              <w:tab w:pos="550" w:val="left" w:leader="none"/>
              <w:tab w:pos="8950" w:val="right" w:leader="none"/>
            </w:tabs>
            <w:spacing w:line="240" w:lineRule="auto" w:before="124" w:after="0"/>
            <w:ind w:left="549" w:right="0" w:hanging="427"/>
            <w:jc w:val="left"/>
          </w:pPr>
          <w:hyperlink w:history="true" w:anchor="_TOC_250016">
            <w:r>
              <w:rPr/>
              <w:t>Materiales y</w:t>
            </w:r>
            <w:r>
              <w:rPr>
                <w:spacing w:val="-3"/>
              </w:rPr>
              <w:t> </w:t>
            </w:r>
            <w:r>
              <w:rPr/>
              <w:t>equipo</w:t>
              <w:tab/>
              <w:t>44</w:t>
            </w:r>
          </w:hyperlink>
        </w:p>
        <w:p>
          <w:pPr>
            <w:pStyle w:val="TOC2"/>
            <w:numPr>
              <w:ilvl w:val="1"/>
              <w:numId w:val="2"/>
            </w:numPr>
            <w:tabs>
              <w:tab w:pos="550" w:val="left" w:leader="none"/>
              <w:tab w:pos="8950" w:val="right" w:leader="none"/>
            </w:tabs>
            <w:spacing w:line="240" w:lineRule="auto" w:before="126" w:after="0"/>
            <w:ind w:left="549" w:right="0" w:hanging="427"/>
            <w:jc w:val="left"/>
          </w:pPr>
          <w:hyperlink w:history="true" w:anchor="_TOC_250015">
            <w:r>
              <w:rPr/>
              <w:t>Procedimientos</w:t>
            </w:r>
            <w:r>
              <w:rPr>
                <w:spacing w:val="-1"/>
              </w:rPr>
              <w:t> </w:t>
            </w:r>
            <w:r>
              <w:rPr/>
              <w:t>experimentales</w:t>
              <w:tab/>
              <w:t>44</w:t>
            </w:r>
          </w:hyperlink>
        </w:p>
        <w:p>
          <w:pPr>
            <w:pStyle w:val="TOC3"/>
            <w:numPr>
              <w:ilvl w:val="2"/>
              <w:numId w:val="2"/>
            </w:numPr>
            <w:tabs>
              <w:tab w:pos="974" w:val="left" w:leader="none"/>
              <w:tab w:pos="8950" w:val="right" w:leader="none"/>
            </w:tabs>
            <w:spacing w:line="240" w:lineRule="auto" w:before="126" w:after="0"/>
            <w:ind w:left="974" w:right="0" w:hanging="569"/>
            <w:jc w:val="left"/>
          </w:pPr>
          <w:hyperlink w:history="true" w:anchor="_TOC_250014">
            <w:r>
              <w:rPr/>
              <w:t>Oxidación de los nanotubos</w:t>
            </w:r>
            <w:r>
              <w:rPr>
                <w:spacing w:val="-3"/>
              </w:rPr>
              <w:t> </w:t>
            </w:r>
            <w:r>
              <w:rPr/>
              <w:t>de</w:t>
            </w:r>
            <w:r>
              <w:rPr>
                <w:spacing w:val="-1"/>
              </w:rPr>
              <w:t> </w:t>
            </w:r>
            <w:r>
              <w:rPr/>
              <w:t>carbono</w:t>
              <w:tab/>
              <w:t>44</w:t>
            </w:r>
          </w:hyperlink>
        </w:p>
        <w:p>
          <w:pPr>
            <w:pStyle w:val="TOC3"/>
            <w:numPr>
              <w:ilvl w:val="2"/>
              <w:numId w:val="2"/>
            </w:numPr>
            <w:tabs>
              <w:tab w:pos="974" w:val="left" w:leader="none"/>
              <w:tab w:pos="8950" w:val="right" w:leader="none"/>
            </w:tabs>
            <w:spacing w:line="240" w:lineRule="auto" w:before="127" w:after="0"/>
            <w:ind w:left="974" w:right="0" w:hanging="569"/>
            <w:jc w:val="left"/>
          </w:pPr>
          <w:hyperlink w:history="true" w:anchor="_TOC_250013">
            <w:r>
              <w:rPr/>
              <w:t>Obtención del óxido</w:t>
            </w:r>
            <w:r>
              <w:rPr>
                <w:spacing w:val="-3"/>
              </w:rPr>
              <w:t> </w:t>
            </w:r>
            <w:r>
              <w:rPr/>
              <w:t>de</w:t>
            </w:r>
            <w:r>
              <w:rPr>
                <w:spacing w:val="-1"/>
              </w:rPr>
              <w:t> </w:t>
            </w:r>
            <w:r>
              <w:rPr/>
              <w:t>grafeno</w:t>
              <w:tab/>
              <w:t>45</w:t>
            </w:r>
          </w:hyperlink>
        </w:p>
        <w:p>
          <w:pPr>
            <w:pStyle w:val="TOC3"/>
            <w:numPr>
              <w:ilvl w:val="2"/>
              <w:numId w:val="2"/>
            </w:numPr>
            <w:tabs>
              <w:tab w:pos="974" w:val="left" w:leader="none"/>
              <w:tab w:pos="8950" w:val="right" w:leader="none"/>
            </w:tabs>
            <w:spacing w:line="240" w:lineRule="auto" w:before="126" w:after="0"/>
            <w:ind w:left="974" w:right="0" w:hanging="569"/>
            <w:jc w:val="left"/>
          </w:pPr>
          <w:hyperlink w:history="true" w:anchor="_TOC_250012">
            <w:r>
              <w:rPr/>
              <w:t>Reducción del óxido</w:t>
            </w:r>
            <w:r>
              <w:rPr>
                <w:spacing w:val="-3"/>
              </w:rPr>
              <w:t> </w:t>
            </w:r>
            <w:r>
              <w:rPr/>
              <w:t>de</w:t>
            </w:r>
            <w:r>
              <w:rPr>
                <w:spacing w:val="-1"/>
              </w:rPr>
              <w:t> </w:t>
            </w:r>
            <w:r>
              <w:rPr/>
              <w:t>grafeno</w:t>
              <w:tab/>
              <w:t>45</w:t>
            </w:r>
          </w:hyperlink>
        </w:p>
        <w:p>
          <w:pPr>
            <w:pStyle w:val="TOC3"/>
            <w:numPr>
              <w:ilvl w:val="2"/>
              <w:numId w:val="2"/>
            </w:numPr>
            <w:tabs>
              <w:tab w:pos="974" w:val="left" w:leader="none"/>
              <w:tab w:pos="8950" w:val="right" w:leader="none"/>
            </w:tabs>
            <w:spacing w:line="240" w:lineRule="auto" w:before="126" w:after="0"/>
            <w:ind w:left="974" w:right="0" w:hanging="569"/>
            <w:jc w:val="left"/>
          </w:pPr>
          <w:hyperlink w:history="true" w:anchor="_TOC_250011">
            <w:r>
              <w:rPr/>
              <w:t>Titulación de los</w:t>
            </w:r>
            <w:r>
              <w:rPr>
                <w:spacing w:val="-1"/>
              </w:rPr>
              <w:t> </w:t>
            </w:r>
            <w:r>
              <w:rPr/>
              <w:t>sitios</w:t>
            </w:r>
            <w:r>
              <w:rPr>
                <w:spacing w:val="-3"/>
              </w:rPr>
              <w:t> </w:t>
            </w:r>
            <w:r>
              <w:rPr/>
              <w:t>carboxílicos</w:t>
              <w:tab/>
              <w:t>47</w:t>
            </w:r>
          </w:hyperlink>
        </w:p>
        <w:p>
          <w:pPr>
            <w:pStyle w:val="TOC3"/>
            <w:numPr>
              <w:ilvl w:val="2"/>
              <w:numId w:val="2"/>
            </w:numPr>
            <w:tabs>
              <w:tab w:pos="974" w:val="left" w:leader="none"/>
              <w:tab w:pos="8950" w:val="right" w:leader="none"/>
            </w:tabs>
            <w:spacing w:line="240" w:lineRule="auto" w:before="126" w:after="0"/>
            <w:ind w:left="974" w:right="0" w:hanging="569"/>
            <w:jc w:val="left"/>
          </w:pPr>
          <w:hyperlink w:history="true" w:anchor="_TOC_250010">
            <w:r>
              <w:rPr/>
              <w:t>Aminación de los nanomateriales</w:t>
            </w:r>
            <w:r>
              <w:rPr>
                <w:spacing w:val="-5"/>
              </w:rPr>
              <w:t> </w:t>
            </w:r>
            <w:r>
              <w:rPr/>
              <w:t>de</w:t>
            </w:r>
            <w:r>
              <w:rPr>
                <w:spacing w:val="-2"/>
              </w:rPr>
              <w:t> </w:t>
            </w:r>
            <w:r>
              <w:rPr/>
              <w:t>carbono</w:t>
              <w:tab/>
              <w:t>47</w:t>
            </w:r>
          </w:hyperlink>
        </w:p>
        <w:p>
          <w:pPr>
            <w:pStyle w:val="TOC4"/>
            <w:numPr>
              <w:ilvl w:val="2"/>
              <w:numId w:val="2"/>
            </w:numPr>
            <w:tabs>
              <w:tab w:pos="974" w:val="left" w:leader="none"/>
              <w:tab w:pos="8950" w:val="right" w:leader="none"/>
            </w:tabs>
            <w:spacing w:line="240" w:lineRule="auto" w:before="126" w:after="0"/>
            <w:ind w:left="974" w:right="0" w:hanging="569"/>
            <w:jc w:val="left"/>
            <w:rPr>
              <w:i w:val="0"/>
            </w:rPr>
          </w:pPr>
          <w:hyperlink w:history="true" w:anchor="_TOC_250009">
            <w:r>
              <w:rPr>
                <w:i/>
              </w:rPr>
              <w:t>Electrospinning</w:t>
            </w:r>
            <w:r>
              <w:rPr>
                <w:i w:val="0"/>
              </w:rPr>
              <w:tab/>
              <w:t>47</w:t>
            </w:r>
          </w:hyperlink>
        </w:p>
        <w:p>
          <w:pPr>
            <w:pStyle w:val="TOC3"/>
            <w:numPr>
              <w:ilvl w:val="2"/>
              <w:numId w:val="2"/>
            </w:numPr>
            <w:tabs>
              <w:tab w:pos="974" w:val="left" w:leader="none"/>
              <w:tab w:pos="8950" w:val="right" w:leader="none"/>
            </w:tabs>
            <w:spacing w:line="240" w:lineRule="auto" w:before="126" w:after="0"/>
            <w:ind w:left="974" w:right="0" w:hanging="569"/>
            <w:jc w:val="left"/>
          </w:pPr>
          <w:hyperlink w:history="true" w:anchor="_TOC_250008">
            <w:r>
              <w:rPr/>
              <w:t>Moldeo por inyección</w:t>
              <w:tab/>
              <w:t>48</w:t>
            </w:r>
          </w:hyperlink>
        </w:p>
        <w:p>
          <w:pPr>
            <w:pStyle w:val="TOC2"/>
            <w:numPr>
              <w:ilvl w:val="1"/>
              <w:numId w:val="2"/>
            </w:numPr>
            <w:tabs>
              <w:tab w:pos="550" w:val="left" w:leader="none"/>
              <w:tab w:pos="8950" w:val="right" w:leader="none"/>
            </w:tabs>
            <w:spacing w:line="240" w:lineRule="auto" w:before="128" w:after="0"/>
            <w:ind w:left="549" w:right="0" w:hanging="427"/>
            <w:jc w:val="left"/>
          </w:pPr>
          <w:hyperlink w:history="true" w:anchor="_TOC_250007">
            <w:r>
              <w:rPr/>
              <w:t>Técnicas</w:t>
            </w:r>
            <w:r>
              <w:rPr>
                <w:spacing w:val="-2"/>
              </w:rPr>
              <w:t> </w:t>
            </w:r>
            <w:r>
              <w:rPr/>
              <w:t>de caracterización</w:t>
              <w:tab/>
              <w:t>48</w:t>
            </w:r>
          </w:hyperlink>
        </w:p>
        <w:p>
          <w:pPr>
            <w:pStyle w:val="TOC3"/>
            <w:numPr>
              <w:ilvl w:val="2"/>
              <w:numId w:val="2"/>
            </w:numPr>
            <w:tabs>
              <w:tab w:pos="974" w:val="left" w:leader="none"/>
              <w:tab w:pos="8950" w:val="right" w:leader="none"/>
            </w:tabs>
            <w:spacing w:line="240" w:lineRule="auto" w:before="126" w:after="0"/>
            <w:ind w:left="974" w:right="0" w:hanging="569"/>
            <w:jc w:val="left"/>
          </w:pPr>
          <w:hyperlink w:history="true" w:anchor="_TOC_250006">
            <w:r>
              <w:rPr/>
              <w:t>Espectroscopías</w:t>
              <w:tab/>
              <w:t>49</w:t>
            </w:r>
          </w:hyperlink>
        </w:p>
        <w:p>
          <w:pPr>
            <w:pStyle w:val="TOC5"/>
            <w:numPr>
              <w:ilvl w:val="3"/>
              <w:numId w:val="2"/>
            </w:numPr>
            <w:tabs>
              <w:tab w:pos="1537" w:val="left" w:leader="none"/>
              <w:tab w:pos="1538" w:val="left" w:leader="none"/>
              <w:tab w:pos="8950" w:val="right" w:leader="none"/>
            </w:tabs>
            <w:spacing w:line="240" w:lineRule="auto" w:before="126" w:after="0"/>
            <w:ind w:left="1538" w:right="0" w:hanging="850"/>
            <w:jc w:val="left"/>
          </w:pPr>
          <w:r>
            <w:rPr/>
            <w:t>Espectroscopía</w:t>
          </w:r>
          <w:r>
            <w:rPr>
              <w:spacing w:val="-1"/>
            </w:rPr>
            <w:t> </w:t>
          </w:r>
          <w:r>
            <w:rPr/>
            <w:t>de</w:t>
          </w:r>
          <w:r>
            <w:rPr>
              <w:spacing w:val="-1"/>
            </w:rPr>
            <w:t> </w:t>
          </w:r>
          <w:r>
            <w:rPr/>
            <w:t>Infrarrojo</w:t>
            <w:tab/>
            <w:t>49</w:t>
          </w:r>
        </w:p>
        <w:p>
          <w:pPr>
            <w:pStyle w:val="TOC5"/>
            <w:numPr>
              <w:ilvl w:val="3"/>
              <w:numId w:val="2"/>
            </w:numPr>
            <w:tabs>
              <w:tab w:pos="1537" w:val="left" w:leader="none"/>
              <w:tab w:pos="1538" w:val="left" w:leader="none"/>
              <w:tab w:pos="8950" w:val="right" w:leader="none"/>
            </w:tabs>
            <w:spacing w:line="240" w:lineRule="auto" w:before="126" w:after="0"/>
            <w:ind w:left="1538" w:right="0" w:hanging="850"/>
            <w:jc w:val="left"/>
          </w:pPr>
          <w:r>
            <w:rPr/>
            <w:t>Espectroscopía</w:t>
          </w:r>
          <w:r>
            <w:rPr>
              <w:spacing w:val="-1"/>
            </w:rPr>
            <w:t> </w:t>
          </w:r>
          <w:r>
            <w:rPr/>
            <w:t>Raman</w:t>
            <w:tab/>
            <w:t>50</w:t>
          </w:r>
        </w:p>
        <w:p>
          <w:pPr>
            <w:pStyle w:val="TOC3"/>
            <w:numPr>
              <w:ilvl w:val="2"/>
              <w:numId w:val="2"/>
            </w:numPr>
            <w:tabs>
              <w:tab w:pos="974" w:val="left" w:leader="none"/>
              <w:tab w:pos="8950" w:val="right" w:leader="none"/>
            </w:tabs>
            <w:spacing w:line="240" w:lineRule="auto" w:before="126" w:after="0"/>
            <w:ind w:left="974" w:right="0" w:hanging="569"/>
            <w:jc w:val="left"/>
          </w:pPr>
          <w:hyperlink w:history="true" w:anchor="_TOC_250005">
            <w:r>
              <w:rPr/>
              <w:t>Microscopía de transmisión</w:t>
            </w:r>
            <w:r>
              <w:rPr>
                <w:spacing w:val="-6"/>
              </w:rPr>
              <w:t> </w:t>
            </w:r>
            <w:r>
              <w:rPr/>
              <w:t>de</w:t>
            </w:r>
            <w:r>
              <w:rPr>
                <w:spacing w:val="-1"/>
              </w:rPr>
              <w:t> </w:t>
            </w:r>
            <w:r>
              <w:rPr/>
              <w:t>electrones</w:t>
              <w:tab/>
              <w:t>51</w:t>
            </w:r>
          </w:hyperlink>
        </w:p>
        <w:p>
          <w:pPr>
            <w:pStyle w:val="TOC3"/>
            <w:numPr>
              <w:ilvl w:val="2"/>
              <w:numId w:val="2"/>
            </w:numPr>
            <w:tabs>
              <w:tab w:pos="974" w:val="left" w:leader="none"/>
              <w:tab w:pos="8950" w:val="right" w:leader="none"/>
            </w:tabs>
            <w:spacing w:line="240" w:lineRule="auto" w:before="126" w:after="0"/>
            <w:ind w:left="974" w:right="0" w:hanging="569"/>
            <w:jc w:val="left"/>
          </w:pPr>
          <w:hyperlink w:history="true" w:anchor="_TOC_250004">
            <w:r>
              <w:rPr/>
              <w:t>Calorimetría diferencial de</w:t>
            </w:r>
            <w:r>
              <w:rPr>
                <w:spacing w:val="-6"/>
              </w:rPr>
              <w:t> </w:t>
            </w:r>
            <w:r>
              <w:rPr/>
              <w:t>barrido</w:t>
              <w:tab/>
              <w:t>52</w:t>
            </w:r>
          </w:hyperlink>
        </w:p>
        <w:p>
          <w:pPr>
            <w:pStyle w:val="TOC3"/>
            <w:numPr>
              <w:ilvl w:val="2"/>
              <w:numId w:val="2"/>
            </w:numPr>
            <w:tabs>
              <w:tab w:pos="974" w:val="left" w:leader="none"/>
              <w:tab w:pos="8950" w:val="right" w:leader="none"/>
            </w:tabs>
            <w:spacing w:line="240" w:lineRule="auto" w:before="126" w:after="0"/>
            <w:ind w:left="974" w:right="0" w:hanging="569"/>
            <w:jc w:val="left"/>
          </w:pPr>
          <w:hyperlink w:history="true" w:anchor="_TOC_250003">
            <w:r>
              <w:rPr/>
              <w:t>Difracción de</w:t>
            </w:r>
            <w:r>
              <w:rPr>
                <w:spacing w:val="-1"/>
              </w:rPr>
              <w:t> </w:t>
            </w:r>
            <w:r>
              <w:rPr/>
              <w:t>rayos</w:t>
            </w:r>
            <w:r>
              <w:rPr>
                <w:spacing w:val="-2"/>
              </w:rPr>
              <w:t> </w:t>
            </w:r>
            <w:r>
              <w:rPr/>
              <w:t>X</w:t>
              <w:tab/>
              <w:t>53</w:t>
            </w:r>
          </w:hyperlink>
        </w:p>
        <w:p>
          <w:pPr>
            <w:pStyle w:val="TOC3"/>
            <w:numPr>
              <w:ilvl w:val="2"/>
              <w:numId w:val="2"/>
            </w:numPr>
            <w:tabs>
              <w:tab w:pos="974" w:val="left" w:leader="none"/>
              <w:tab w:pos="8950" w:val="right" w:leader="none"/>
            </w:tabs>
            <w:spacing w:line="240" w:lineRule="auto" w:before="126" w:after="0"/>
            <w:ind w:left="974" w:right="0" w:hanging="569"/>
            <w:jc w:val="left"/>
          </w:pPr>
          <w:hyperlink w:history="true" w:anchor="_TOC_250002">
            <w:r>
              <w:rPr/>
              <w:t>Análisis</w:t>
            </w:r>
            <w:r>
              <w:rPr>
                <w:spacing w:val="-1"/>
              </w:rPr>
              <w:t> </w:t>
            </w:r>
            <w:r>
              <w:rPr/>
              <w:t>dinámico</w:t>
            </w:r>
            <w:r>
              <w:rPr>
                <w:spacing w:val="-1"/>
              </w:rPr>
              <w:t> </w:t>
            </w:r>
            <w:r>
              <w:rPr/>
              <w:t>mecánico</w:t>
              <w:tab/>
              <w:t>55</w:t>
            </w:r>
          </w:hyperlink>
        </w:p>
        <w:p>
          <w:pPr>
            <w:pStyle w:val="TOC3"/>
            <w:numPr>
              <w:ilvl w:val="2"/>
              <w:numId w:val="2"/>
            </w:numPr>
            <w:tabs>
              <w:tab w:pos="974" w:val="left" w:leader="none"/>
              <w:tab w:pos="8950" w:val="right" w:leader="none"/>
            </w:tabs>
            <w:spacing w:line="240" w:lineRule="auto" w:before="126" w:after="0"/>
            <w:ind w:left="974" w:right="0" w:hanging="569"/>
            <w:jc w:val="left"/>
          </w:pPr>
          <w:hyperlink w:history="true" w:anchor="_TOC_250001">
            <w:r>
              <w:rPr/>
              <w:t>Análisis</w:t>
            </w:r>
            <w:r>
              <w:rPr>
                <w:spacing w:val="-1"/>
              </w:rPr>
              <w:t> </w:t>
            </w:r>
            <w:r>
              <w:rPr/>
              <w:t>termo-gravimétrico</w:t>
              <w:tab/>
              <w:t>57</w:t>
            </w:r>
          </w:hyperlink>
        </w:p>
        <w:p>
          <w:pPr>
            <w:pStyle w:val="TOC1"/>
            <w:numPr>
              <w:ilvl w:val="0"/>
              <w:numId w:val="2"/>
            </w:numPr>
            <w:tabs>
              <w:tab w:pos="829" w:val="left" w:leader="none"/>
              <w:tab w:pos="830" w:val="left" w:leader="none"/>
            </w:tabs>
            <w:spacing w:line="240" w:lineRule="auto" w:before="133" w:after="0"/>
            <w:ind w:left="830" w:right="0" w:hanging="708"/>
            <w:jc w:val="left"/>
          </w:pPr>
          <w:r>
            <w:rPr/>
            <w:t>Artículos</w:t>
          </w:r>
        </w:p>
        <w:p>
          <w:pPr>
            <w:pStyle w:val="TOC7"/>
            <w:spacing w:before="122"/>
          </w:pPr>
          <w:r>
            <w:rPr/>
            <w:t>Nylon 6,6 electrospun fibres reinforced by amino functionalised</w:t>
          </w:r>
        </w:p>
        <w:p>
          <w:pPr>
            <w:pStyle w:val="TOC7"/>
            <w:tabs>
              <w:tab w:pos="8950" w:val="right" w:leader="none"/>
            </w:tabs>
          </w:pPr>
          <w:r>
            <w:rPr/>
            <w:t>1D and</w:t>
          </w:r>
          <w:r>
            <w:rPr>
              <w:spacing w:val="-1"/>
            </w:rPr>
            <w:t> </w:t>
          </w:r>
          <w:r>
            <w:rPr/>
            <w:t>2D carbon</w:t>
            <w:tab/>
            <w:t>59</w:t>
          </w:r>
        </w:p>
        <w:p>
          <w:pPr>
            <w:pStyle w:val="TOC7"/>
          </w:pPr>
          <w:r>
            <w:rPr/>
            <w:t>Effects on the thermo-mechanical and crystallinity properties of</w:t>
          </w:r>
        </w:p>
        <w:p>
          <w:pPr>
            <w:pStyle w:val="TOC7"/>
            <w:tabs>
              <w:tab w:pos="8950" w:val="right" w:leader="none"/>
            </w:tabs>
          </w:pPr>
          <w:r>
            <w:rPr/>
            <w:t>Nylon 6,6 electrospun fibres reinforced with 1D and</w:t>
          </w:r>
          <w:r>
            <w:rPr>
              <w:spacing w:val="-3"/>
            </w:rPr>
            <w:t> </w:t>
          </w:r>
          <w:r>
            <w:rPr/>
            <w:t>2D</w:t>
          </w:r>
          <w:r>
            <w:rPr>
              <w:spacing w:val="1"/>
            </w:rPr>
            <w:t> </w:t>
          </w:r>
          <w:r>
            <w:rPr/>
            <w:t>carbon</w:t>
            <w:tab/>
            <w:t>65</w:t>
          </w:r>
        </w:p>
        <w:p>
          <w:pPr>
            <w:pStyle w:val="TOC7"/>
          </w:pPr>
          <w:r>
            <w:rPr/>
            <w:t>Influence of 1D and 2D carbon fillers and their functionalisation on crystallisation</w:t>
          </w:r>
        </w:p>
        <w:p>
          <w:pPr>
            <w:pStyle w:val="TOC7"/>
            <w:tabs>
              <w:tab w:pos="8950" w:val="right" w:leader="none"/>
            </w:tabs>
          </w:pPr>
          <w:r>
            <w:rPr/>
            <w:t>and thermo-mechanical properties of injection moulded nylon</w:t>
          </w:r>
          <w:r>
            <w:rPr>
              <w:spacing w:val="-7"/>
            </w:rPr>
            <w:t> </w:t>
          </w:r>
          <w:r>
            <w:rPr/>
            <w:t>6,6</w:t>
          </w:r>
          <w:r>
            <w:rPr>
              <w:spacing w:val="-1"/>
            </w:rPr>
            <w:t> </w:t>
          </w:r>
          <w:r>
            <w:rPr/>
            <w:t>nanocomposites</w:t>
            <w:tab/>
            <w:t>89</w:t>
          </w:r>
        </w:p>
        <w:p>
          <w:pPr>
            <w:pStyle w:val="TOC1"/>
            <w:numPr>
              <w:ilvl w:val="0"/>
              <w:numId w:val="2"/>
            </w:numPr>
            <w:tabs>
              <w:tab w:pos="829" w:val="left" w:leader="none"/>
              <w:tab w:pos="830" w:val="left" w:leader="none"/>
            </w:tabs>
            <w:spacing w:line="240" w:lineRule="auto" w:before="131" w:after="0"/>
            <w:ind w:left="830" w:right="0" w:hanging="708"/>
            <w:jc w:val="left"/>
          </w:pPr>
          <w:r>
            <w:rPr/>
            <w:t>Sumario</w:t>
          </w:r>
        </w:p>
        <w:p>
          <w:pPr>
            <w:pStyle w:val="TOC2"/>
            <w:numPr>
              <w:ilvl w:val="1"/>
              <w:numId w:val="2"/>
            </w:numPr>
            <w:tabs>
              <w:tab w:pos="550" w:val="left" w:leader="none"/>
              <w:tab w:pos="8950" w:val="right" w:leader="none"/>
            </w:tabs>
            <w:spacing w:line="240" w:lineRule="auto" w:before="121" w:after="0"/>
            <w:ind w:left="549" w:right="0" w:hanging="427"/>
            <w:jc w:val="left"/>
          </w:pPr>
          <w:hyperlink w:history="true" w:anchor="_TOC_250000">
            <w:r>
              <w:rPr/>
              <w:t>Introducción</w:t>
              <w:tab/>
              <w:t>107</w:t>
            </w:r>
          </w:hyperlink>
        </w:p>
      </w:sdtContent>
    </w:sdt>
    <w:p>
      <w:pPr>
        <w:spacing w:after="0" w:line="240" w:lineRule="auto"/>
        <w:jc w:val="left"/>
        <w:sectPr>
          <w:headerReference w:type="default" r:id="rId10"/>
          <w:pgSz w:w="12240" w:h="15840"/>
          <w:pgMar w:header="724" w:footer="1062" w:top="920" w:bottom="1260" w:left="1580" w:right="1440"/>
        </w:sectPr>
      </w:pPr>
    </w:p>
    <w:p>
      <w:pPr>
        <w:pStyle w:val="ListParagraph"/>
        <w:numPr>
          <w:ilvl w:val="1"/>
          <w:numId w:val="2"/>
        </w:numPr>
        <w:tabs>
          <w:tab w:pos="454" w:val="left" w:leader="none"/>
          <w:tab w:pos="8950" w:val="right" w:leader="none"/>
        </w:tabs>
        <w:spacing w:line="240" w:lineRule="auto" w:before="488" w:after="0"/>
        <w:ind w:left="453" w:right="0" w:hanging="331"/>
        <w:jc w:val="left"/>
        <w:rPr>
          <w:sz w:val="22"/>
        </w:rPr>
      </w:pPr>
      <w:r>
        <w:rPr>
          <w:sz w:val="22"/>
        </w:rPr>
        <w:t>Caracterización de</w:t>
      </w:r>
      <w:r>
        <w:rPr>
          <w:spacing w:val="-5"/>
          <w:sz w:val="22"/>
        </w:rPr>
        <w:t> </w:t>
      </w:r>
      <w:r>
        <w:rPr>
          <w:sz w:val="22"/>
        </w:rPr>
        <w:t>los</w:t>
      </w:r>
      <w:r>
        <w:rPr>
          <w:spacing w:val="-1"/>
          <w:sz w:val="22"/>
        </w:rPr>
        <w:t> </w:t>
      </w:r>
      <w:r>
        <w:rPr>
          <w:sz w:val="22"/>
        </w:rPr>
        <w:t>nanomateriales</w:t>
        <w:tab/>
        <w:t>108</w:t>
      </w:r>
    </w:p>
    <w:p>
      <w:pPr>
        <w:pStyle w:val="ListParagraph"/>
        <w:numPr>
          <w:ilvl w:val="1"/>
          <w:numId w:val="2"/>
        </w:numPr>
        <w:tabs>
          <w:tab w:pos="454" w:val="left" w:leader="none"/>
          <w:tab w:pos="8950" w:val="right" w:leader="none"/>
        </w:tabs>
        <w:spacing w:line="240" w:lineRule="auto" w:before="126" w:after="0"/>
        <w:ind w:left="453" w:right="0" w:hanging="331"/>
        <w:jc w:val="left"/>
        <w:rPr>
          <w:sz w:val="22"/>
        </w:rPr>
      </w:pPr>
      <w:r>
        <w:rPr>
          <w:sz w:val="22"/>
        </w:rPr>
        <w:t>Caracterización estructural de</w:t>
      </w:r>
      <w:r>
        <w:rPr>
          <w:spacing w:val="-7"/>
          <w:sz w:val="22"/>
        </w:rPr>
        <w:t> </w:t>
      </w:r>
      <w:r>
        <w:rPr>
          <w:sz w:val="22"/>
        </w:rPr>
        <w:t>los</w:t>
      </w:r>
      <w:r>
        <w:rPr>
          <w:spacing w:val="-1"/>
          <w:sz w:val="22"/>
        </w:rPr>
        <w:t> </w:t>
      </w:r>
      <w:r>
        <w:rPr>
          <w:sz w:val="22"/>
        </w:rPr>
        <w:t>nanocompositos</w:t>
        <w:tab/>
        <w:t>109</w:t>
      </w:r>
    </w:p>
    <w:p>
      <w:pPr>
        <w:pStyle w:val="ListParagraph"/>
        <w:numPr>
          <w:ilvl w:val="1"/>
          <w:numId w:val="2"/>
        </w:numPr>
        <w:tabs>
          <w:tab w:pos="509" w:val="left" w:leader="none"/>
          <w:tab w:pos="8950" w:val="right" w:leader="none"/>
        </w:tabs>
        <w:spacing w:line="240" w:lineRule="auto" w:before="126" w:after="0"/>
        <w:ind w:left="508" w:right="0" w:hanging="386"/>
        <w:jc w:val="left"/>
        <w:rPr>
          <w:sz w:val="22"/>
        </w:rPr>
      </w:pPr>
      <w:r>
        <w:rPr>
          <w:sz w:val="22"/>
        </w:rPr>
        <w:t>Nanocompositos obtenidos</w:t>
      </w:r>
      <w:r>
        <w:rPr>
          <w:spacing w:val="-3"/>
          <w:sz w:val="22"/>
        </w:rPr>
        <w:t> </w:t>
      </w:r>
      <w:r>
        <w:rPr>
          <w:sz w:val="22"/>
        </w:rPr>
        <w:t>por</w:t>
      </w:r>
      <w:r>
        <w:rPr>
          <w:spacing w:val="1"/>
          <w:sz w:val="22"/>
        </w:rPr>
        <w:t> </w:t>
      </w:r>
      <w:r>
        <w:rPr>
          <w:i/>
          <w:sz w:val="22"/>
        </w:rPr>
        <w:t>electrospinning</w:t>
      </w:r>
      <w:r>
        <w:rPr>
          <w:sz w:val="22"/>
        </w:rPr>
        <w:tab/>
        <w:t>109</w:t>
      </w:r>
    </w:p>
    <w:p>
      <w:pPr>
        <w:pStyle w:val="ListParagraph"/>
        <w:numPr>
          <w:ilvl w:val="2"/>
          <w:numId w:val="2"/>
        </w:numPr>
        <w:tabs>
          <w:tab w:pos="1046" w:val="left" w:leader="none"/>
          <w:tab w:pos="8950" w:val="right" w:leader="none"/>
        </w:tabs>
        <w:spacing w:line="240" w:lineRule="auto" w:before="126" w:after="0"/>
        <w:ind w:left="1046" w:right="0" w:hanging="497"/>
        <w:jc w:val="left"/>
        <w:rPr>
          <w:sz w:val="22"/>
        </w:rPr>
      </w:pPr>
      <w:r>
        <w:rPr>
          <w:sz w:val="22"/>
        </w:rPr>
        <w:t>Propiedades</w:t>
      </w:r>
      <w:r>
        <w:rPr>
          <w:spacing w:val="-1"/>
          <w:sz w:val="22"/>
        </w:rPr>
        <w:t> </w:t>
      </w:r>
      <w:r>
        <w:rPr>
          <w:sz w:val="22"/>
        </w:rPr>
        <w:t>de</w:t>
      </w:r>
      <w:r>
        <w:rPr>
          <w:spacing w:val="-3"/>
          <w:sz w:val="22"/>
        </w:rPr>
        <w:t> </w:t>
      </w:r>
      <w:r>
        <w:rPr>
          <w:sz w:val="22"/>
        </w:rPr>
        <w:t>cristalinidad</w:t>
        <w:tab/>
        <w:t>110</w:t>
      </w:r>
    </w:p>
    <w:p>
      <w:pPr>
        <w:pStyle w:val="ListParagraph"/>
        <w:numPr>
          <w:ilvl w:val="2"/>
          <w:numId w:val="2"/>
        </w:numPr>
        <w:tabs>
          <w:tab w:pos="1046" w:val="left" w:leader="none"/>
          <w:tab w:pos="8950" w:val="right" w:leader="none"/>
        </w:tabs>
        <w:spacing w:line="240" w:lineRule="auto" w:before="126" w:after="0"/>
        <w:ind w:left="1046" w:right="0" w:hanging="497"/>
        <w:jc w:val="left"/>
        <w:rPr>
          <w:sz w:val="22"/>
        </w:rPr>
      </w:pPr>
      <w:r>
        <w:rPr>
          <w:sz w:val="22"/>
        </w:rPr>
        <w:t>Propiedades</w:t>
      </w:r>
      <w:r>
        <w:rPr>
          <w:spacing w:val="-1"/>
          <w:sz w:val="22"/>
        </w:rPr>
        <w:t> </w:t>
      </w:r>
      <w:r>
        <w:rPr>
          <w:sz w:val="22"/>
        </w:rPr>
        <w:t>termo-mecánicas</w:t>
        <w:tab/>
        <w:t>111</w:t>
      </w:r>
    </w:p>
    <w:p>
      <w:pPr>
        <w:pStyle w:val="ListParagraph"/>
        <w:numPr>
          <w:ilvl w:val="1"/>
          <w:numId w:val="2"/>
        </w:numPr>
        <w:tabs>
          <w:tab w:pos="509" w:val="left" w:leader="none"/>
          <w:tab w:pos="8950" w:val="right" w:leader="none"/>
        </w:tabs>
        <w:spacing w:line="240" w:lineRule="auto" w:before="126" w:after="0"/>
        <w:ind w:left="508" w:right="0" w:hanging="386"/>
        <w:jc w:val="left"/>
        <w:rPr>
          <w:sz w:val="22"/>
        </w:rPr>
      </w:pPr>
      <w:r>
        <w:rPr>
          <w:sz w:val="22"/>
        </w:rPr>
        <w:t>Nanocompositos obtenidos mediante moldeo</w:t>
      </w:r>
      <w:r>
        <w:rPr>
          <w:spacing w:val="-5"/>
          <w:sz w:val="22"/>
        </w:rPr>
        <w:t> </w:t>
      </w:r>
      <w:r>
        <w:rPr>
          <w:sz w:val="22"/>
        </w:rPr>
        <w:t>por</w:t>
      </w:r>
      <w:r>
        <w:rPr>
          <w:spacing w:val="-3"/>
          <w:sz w:val="22"/>
        </w:rPr>
        <w:t> </w:t>
      </w:r>
      <w:r>
        <w:rPr>
          <w:sz w:val="22"/>
        </w:rPr>
        <w:t>inyección</w:t>
        <w:tab/>
        <w:t>111</w:t>
      </w:r>
    </w:p>
    <w:p>
      <w:pPr>
        <w:pStyle w:val="ListParagraph"/>
        <w:numPr>
          <w:ilvl w:val="2"/>
          <w:numId w:val="2"/>
        </w:numPr>
        <w:tabs>
          <w:tab w:pos="903" w:val="left" w:leader="none"/>
          <w:tab w:pos="8950" w:val="right" w:leader="none"/>
        </w:tabs>
        <w:spacing w:line="240" w:lineRule="auto" w:before="128" w:after="0"/>
        <w:ind w:left="902" w:right="0" w:hanging="497"/>
        <w:jc w:val="left"/>
        <w:rPr>
          <w:sz w:val="22"/>
        </w:rPr>
      </w:pPr>
      <w:r>
        <w:rPr>
          <w:sz w:val="22"/>
        </w:rPr>
        <w:t>Propiedades</w:t>
      </w:r>
      <w:r>
        <w:rPr>
          <w:spacing w:val="-1"/>
          <w:sz w:val="22"/>
        </w:rPr>
        <w:t> </w:t>
      </w:r>
      <w:r>
        <w:rPr>
          <w:sz w:val="22"/>
        </w:rPr>
        <w:t>de</w:t>
      </w:r>
      <w:r>
        <w:rPr>
          <w:spacing w:val="-3"/>
          <w:sz w:val="22"/>
        </w:rPr>
        <w:t> </w:t>
      </w:r>
      <w:r>
        <w:rPr>
          <w:sz w:val="22"/>
        </w:rPr>
        <w:t>cristalinidad</w:t>
        <w:tab/>
        <w:t>112</w:t>
      </w:r>
    </w:p>
    <w:p>
      <w:pPr>
        <w:pStyle w:val="ListParagraph"/>
        <w:numPr>
          <w:ilvl w:val="2"/>
          <w:numId w:val="2"/>
        </w:numPr>
        <w:tabs>
          <w:tab w:pos="903" w:val="left" w:leader="none"/>
          <w:tab w:pos="8950" w:val="right" w:leader="none"/>
        </w:tabs>
        <w:spacing w:line="240" w:lineRule="auto" w:before="126" w:after="0"/>
        <w:ind w:left="902" w:right="0" w:hanging="497"/>
        <w:jc w:val="left"/>
        <w:rPr>
          <w:sz w:val="22"/>
        </w:rPr>
      </w:pPr>
      <w:r>
        <w:rPr>
          <w:sz w:val="22"/>
        </w:rPr>
        <w:t>Propiedades</w:t>
      </w:r>
      <w:r>
        <w:rPr>
          <w:spacing w:val="-1"/>
          <w:sz w:val="22"/>
        </w:rPr>
        <w:t> </w:t>
      </w:r>
      <w:r>
        <w:rPr>
          <w:sz w:val="22"/>
        </w:rPr>
        <w:t>termo-mecánicas</w:t>
        <w:tab/>
        <w:t>113</w:t>
      </w:r>
    </w:p>
    <w:p>
      <w:pPr>
        <w:pStyle w:val="ListParagraph"/>
        <w:numPr>
          <w:ilvl w:val="1"/>
          <w:numId w:val="2"/>
        </w:numPr>
        <w:tabs>
          <w:tab w:pos="454" w:val="left" w:leader="none"/>
          <w:tab w:pos="8950" w:val="right" w:leader="none"/>
        </w:tabs>
        <w:spacing w:line="240" w:lineRule="auto" w:before="126" w:after="0"/>
        <w:ind w:left="453" w:right="0" w:hanging="331"/>
        <w:jc w:val="left"/>
        <w:rPr>
          <w:sz w:val="22"/>
        </w:rPr>
      </w:pPr>
      <w:r>
        <w:rPr>
          <w:sz w:val="22"/>
        </w:rPr>
        <w:t>Comparación entre los</w:t>
      </w:r>
      <w:r>
        <w:rPr>
          <w:spacing w:val="-5"/>
          <w:sz w:val="22"/>
        </w:rPr>
        <w:t> </w:t>
      </w:r>
      <w:r>
        <w:rPr>
          <w:sz w:val="22"/>
        </w:rPr>
        <w:t>dos</w:t>
      </w:r>
      <w:r>
        <w:rPr>
          <w:spacing w:val="-1"/>
          <w:sz w:val="22"/>
        </w:rPr>
        <w:t> </w:t>
      </w:r>
      <w:r>
        <w:rPr>
          <w:sz w:val="22"/>
        </w:rPr>
        <w:t>procesos</w:t>
        <w:tab/>
        <w:t>115</w:t>
      </w:r>
    </w:p>
    <w:p>
      <w:pPr>
        <w:pStyle w:val="ListParagraph"/>
        <w:numPr>
          <w:ilvl w:val="2"/>
          <w:numId w:val="2"/>
        </w:numPr>
        <w:tabs>
          <w:tab w:pos="903" w:val="left" w:leader="none"/>
          <w:tab w:pos="8950" w:val="right" w:leader="none"/>
        </w:tabs>
        <w:spacing w:line="240" w:lineRule="auto" w:before="127" w:after="0"/>
        <w:ind w:left="902" w:right="0" w:hanging="497"/>
        <w:jc w:val="left"/>
        <w:rPr>
          <w:sz w:val="22"/>
        </w:rPr>
      </w:pPr>
      <w:r>
        <w:rPr>
          <w:sz w:val="22"/>
        </w:rPr>
        <w:t>Comportamiento</w:t>
      </w:r>
      <w:r>
        <w:rPr>
          <w:spacing w:val="-4"/>
          <w:sz w:val="22"/>
        </w:rPr>
        <w:t> </w:t>
      </w:r>
      <w:r>
        <w:rPr>
          <w:sz w:val="22"/>
        </w:rPr>
        <w:t>de</w:t>
      </w:r>
      <w:r>
        <w:rPr>
          <w:spacing w:val="-1"/>
          <w:sz w:val="22"/>
        </w:rPr>
        <w:t> </w:t>
      </w:r>
      <w:r>
        <w:rPr>
          <w:sz w:val="22"/>
        </w:rPr>
        <w:t>cristalización</w:t>
        <w:tab/>
        <w:t>115</w:t>
      </w:r>
    </w:p>
    <w:p>
      <w:pPr>
        <w:pStyle w:val="ListParagraph"/>
        <w:numPr>
          <w:ilvl w:val="2"/>
          <w:numId w:val="2"/>
        </w:numPr>
        <w:tabs>
          <w:tab w:pos="902" w:val="left" w:leader="none"/>
          <w:tab w:pos="8950" w:val="right" w:leader="none"/>
        </w:tabs>
        <w:spacing w:line="240" w:lineRule="auto" w:before="126" w:after="0"/>
        <w:ind w:left="902" w:right="0" w:hanging="497"/>
        <w:jc w:val="left"/>
        <w:rPr>
          <w:sz w:val="22"/>
        </w:rPr>
      </w:pPr>
      <w:r>
        <w:rPr>
          <w:sz w:val="22"/>
        </w:rPr>
        <w:t>Respuesta</w:t>
      </w:r>
      <w:r>
        <w:rPr>
          <w:spacing w:val="-3"/>
          <w:sz w:val="22"/>
        </w:rPr>
        <w:t> </w:t>
      </w:r>
      <w:r>
        <w:rPr>
          <w:sz w:val="22"/>
        </w:rPr>
        <w:t>termo-mecánica</w:t>
        <w:tab/>
        <w:t>119</w:t>
      </w:r>
    </w:p>
    <w:p>
      <w:pPr>
        <w:pStyle w:val="ListParagraph"/>
        <w:numPr>
          <w:ilvl w:val="0"/>
          <w:numId w:val="2"/>
        </w:numPr>
        <w:tabs>
          <w:tab w:pos="829" w:val="left" w:leader="none"/>
          <w:tab w:pos="830" w:val="left" w:leader="none"/>
          <w:tab w:pos="8957" w:val="right" w:leader="none"/>
        </w:tabs>
        <w:spacing w:line="240" w:lineRule="auto" w:before="126" w:after="0"/>
        <w:ind w:left="830" w:right="0" w:hanging="708"/>
        <w:jc w:val="left"/>
        <w:rPr>
          <w:sz w:val="22"/>
        </w:rPr>
      </w:pPr>
      <w:r>
        <w:rPr>
          <w:b/>
          <w:sz w:val="22"/>
        </w:rPr>
        <w:t>Conclusiones</w:t>
      </w:r>
      <w:r>
        <w:rPr>
          <w:sz w:val="22"/>
        </w:rPr>
        <w:tab/>
        <w:t>123</w:t>
      </w:r>
    </w:p>
    <w:p>
      <w:pPr>
        <w:pStyle w:val="Heading4"/>
        <w:tabs>
          <w:tab w:pos="8957" w:val="right" w:leader="none"/>
        </w:tabs>
        <w:spacing w:before="126"/>
        <w:ind w:left="830"/>
        <w:rPr>
          <w:b w:val="0"/>
        </w:rPr>
      </w:pPr>
      <w:r>
        <w:rPr/>
        <w:t>Referencias</w:t>
      </w:r>
      <w:r>
        <w:rPr>
          <w:spacing w:val="-1"/>
        </w:rPr>
        <w:t> </w:t>
      </w:r>
      <w:r>
        <w:rPr/>
        <w:t>bibliográficas</w:t>
      </w:r>
      <w:r>
        <w:rPr>
          <w:b w:val="0"/>
        </w:rPr>
        <w:tab/>
        <w:t>125</w:t>
      </w:r>
    </w:p>
    <w:p>
      <w:pPr>
        <w:tabs>
          <w:tab w:pos="8957" w:val="right" w:leader="none"/>
        </w:tabs>
        <w:spacing w:before="126"/>
        <w:ind w:left="841" w:right="0" w:firstLine="0"/>
        <w:jc w:val="left"/>
        <w:rPr>
          <w:sz w:val="22"/>
        </w:rPr>
      </w:pPr>
      <w:r>
        <w:rPr>
          <w:b/>
          <w:sz w:val="22"/>
        </w:rPr>
        <w:t>Apéndice</w:t>
      </w:r>
      <w:r>
        <w:rPr>
          <w:sz w:val="22"/>
        </w:rPr>
        <w:tab/>
        <w:t>138</w:t>
      </w:r>
    </w:p>
    <w:p>
      <w:pPr>
        <w:spacing w:after="0"/>
        <w:jc w:val="left"/>
        <w:rPr>
          <w:sz w:val="22"/>
        </w:rPr>
        <w:sectPr>
          <w:pgSz w:w="12240" w:h="15840"/>
          <w:pgMar w:header="724" w:footer="1062" w:top="920" w:bottom="1260" w:left="1580" w:right="1380"/>
        </w:sectPr>
      </w:pPr>
    </w:p>
    <w:p>
      <w:pPr>
        <w:pStyle w:val="Heading1"/>
        <w:spacing w:before="493"/>
        <w:ind w:left="302" w:right="1144"/>
      </w:pPr>
      <w:r>
        <w:rPr/>
        <w:t>Índice de Figuras</w:t>
      </w:r>
    </w:p>
    <w:p>
      <w:pPr>
        <w:pStyle w:val="BodyText"/>
        <w:rPr>
          <w:b/>
          <w:sz w:val="20"/>
        </w:rPr>
      </w:pPr>
    </w:p>
    <w:p>
      <w:pPr>
        <w:pStyle w:val="BodyText"/>
        <w:spacing w:before="4" w:after="1"/>
        <w:rPr>
          <w:b/>
          <w:sz w:val="19"/>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00"/>
        <w:gridCol w:w="7074"/>
        <w:gridCol w:w="690"/>
      </w:tblGrid>
      <w:tr>
        <w:trPr>
          <w:trHeight w:val="300" w:hRule="exact"/>
        </w:trPr>
        <w:tc>
          <w:tcPr>
            <w:tcW w:w="1400" w:type="dxa"/>
          </w:tcPr>
          <w:p>
            <w:pPr>
              <w:pStyle w:val="TableParagraph"/>
              <w:spacing w:line="225" w:lineRule="exact"/>
              <w:ind w:left="200"/>
              <w:jc w:val="left"/>
              <w:rPr>
                <w:sz w:val="22"/>
              </w:rPr>
            </w:pPr>
            <w:r>
              <w:rPr>
                <w:sz w:val="22"/>
              </w:rPr>
              <w:t>Figura 1.1</w:t>
            </w:r>
          </w:p>
        </w:tc>
        <w:tc>
          <w:tcPr>
            <w:tcW w:w="7074" w:type="dxa"/>
          </w:tcPr>
          <w:p>
            <w:pPr>
              <w:pStyle w:val="TableParagraph"/>
              <w:spacing w:line="225" w:lineRule="exact"/>
              <w:ind w:left="182" w:right="237"/>
              <w:jc w:val="left"/>
              <w:rPr>
                <w:sz w:val="22"/>
              </w:rPr>
            </w:pPr>
            <w:r>
              <w:rPr>
                <w:sz w:val="22"/>
              </w:rPr>
              <w:t>Distintos alótropos de carbono</w:t>
            </w:r>
          </w:p>
        </w:tc>
        <w:tc>
          <w:tcPr>
            <w:tcW w:w="690" w:type="dxa"/>
          </w:tcPr>
          <w:p>
            <w:pPr>
              <w:pStyle w:val="TableParagraph"/>
              <w:spacing w:line="225" w:lineRule="exact"/>
              <w:ind w:right="198"/>
              <w:jc w:val="right"/>
              <w:rPr>
                <w:sz w:val="22"/>
              </w:rPr>
            </w:pPr>
            <w:r>
              <w:rPr>
                <w:w w:val="100"/>
                <w:sz w:val="22"/>
              </w:rPr>
              <w:t>4</w:t>
            </w:r>
          </w:p>
        </w:tc>
      </w:tr>
      <w:tr>
        <w:trPr>
          <w:trHeight w:val="379" w:hRule="exact"/>
        </w:trPr>
        <w:tc>
          <w:tcPr>
            <w:tcW w:w="1400" w:type="dxa"/>
          </w:tcPr>
          <w:p>
            <w:pPr>
              <w:pStyle w:val="TableParagraph"/>
              <w:spacing w:before="51"/>
              <w:ind w:left="200"/>
              <w:jc w:val="left"/>
              <w:rPr>
                <w:sz w:val="22"/>
              </w:rPr>
            </w:pPr>
            <w:r>
              <w:rPr>
                <w:sz w:val="22"/>
              </w:rPr>
              <w:t>Figura 1.2</w:t>
            </w:r>
          </w:p>
        </w:tc>
        <w:tc>
          <w:tcPr>
            <w:tcW w:w="7074" w:type="dxa"/>
          </w:tcPr>
          <w:p>
            <w:pPr>
              <w:pStyle w:val="TableParagraph"/>
              <w:spacing w:before="51"/>
              <w:ind w:left="182" w:right="237"/>
              <w:jc w:val="left"/>
              <w:rPr>
                <w:sz w:val="22"/>
              </w:rPr>
            </w:pPr>
            <w:r>
              <w:rPr>
                <w:sz w:val="22"/>
              </w:rPr>
              <w:t>Hibridación del carbono</w:t>
            </w:r>
          </w:p>
        </w:tc>
        <w:tc>
          <w:tcPr>
            <w:tcW w:w="690" w:type="dxa"/>
          </w:tcPr>
          <w:p>
            <w:pPr>
              <w:pStyle w:val="TableParagraph"/>
              <w:spacing w:before="51"/>
              <w:ind w:right="198"/>
              <w:jc w:val="right"/>
              <w:rPr>
                <w:sz w:val="22"/>
              </w:rPr>
            </w:pPr>
            <w:r>
              <w:rPr>
                <w:w w:val="100"/>
                <w:sz w:val="22"/>
              </w:rPr>
              <w:t>5</w:t>
            </w:r>
          </w:p>
        </w:tc>
      </w:tr>
      <w:tr>
        <w:trPr>
          <w:trHeight w:val="758" w:hRule="exact"/>
        </w:trPr>
        <w:tc>
          <w:tcPr>
            <w:tcW w:w="1400" w:type="dxa"/>
          </w:tcPr>
          <w:p>
            <w:pPr>
              <w:pStyle w:val="TableParagraph"/>
              <w:spacing w:before="51"/>
              <w:ind w:left="200"/>
              <w:jc w:val="left"/>
              <w:rPr>
                <w:sz w:val="22"/>
              </w:rPr>
            </w:pPr>
            <w:r>
              <w:rPr>
                <w:sz w:val="22"/>
              </w:rPr>
              <w:t>Figura 1.3</w:t>
            </w:r>
          </w:p>
        </w:tc>
        <w:tc>
          <w:tcPr>
            <w:tcW w:w="7074" w:type="dxa"/>
          </w:tcPr>
          <w:p>
            <w:pPr>
              <w:pStyle w:val="TableParagraph"/>
              <w:spacing w:line="360" w:lineRule="auto" w:before="51"/>
              <w:ind w:left="182" w:right="237"/>
              <w:jc w:val="left"/>
              <w:rPr>
                <w:sz w:val="22"/>
              </w:rPr>
            </w:pPr>
            <w:r>
              <w:rPr>
                <w:sz w:val="22"/>
              </w:rPr>
              <w:t>Diagrama conceptual de a) SWNTs y b) MWNTs mostrando las sus características típicas y los tipos de orientación</w:t>
            </w:r>
          </w:p>
        </w:tc>
        <w:tc>
          <w:tcPr>
            <w:tcW w:w="690" w:type="dxa"/>
          </w:tcPr>
          <w:p>
            <w:pPr>
              <w:pStyle w:val="TableParagraph"/>
              <w:jc w:val="left"/>
              <w:rPr>
                <w:b/>
                <w:sz w:val="22"/>
              </w:rPr>
            </w:pPr>
          </w:p>
          <w:p>
            <w:pPr>
              <w:pStyle w:val="TableParagraph"/>
              <w:spacing w:before="177"/>
              <w:ind w:right="198"/>
              <w:jc w:val="right"/>
              <w:rPr>
                <w:sz w:val="22"/>
              </w:rPr>
            </w:pPr>
            <w:r>
              <w:rPr>
                <w:w w:val="100"/>
                <w:sz w:val="22"/>
              </w:rPr>
              <w:t>6</w:t>
            </w:r>
          </w:p>
        </w:tc>
      </w:tr>
      <w:tr>
        <w:trPr>
          <w:trHeight w:val="379" w:hRule="exact"/>
        </w:trPr>
        <w:tc>
          <w:tcPr>
            <w:tcW w:w="1400" w:type="dxa"/>
          </w:tcPr>
          <w:p>
            <w:pPr>
              <w:pStyle w:val="TableParagraph"/>
              <w:spacing w:before="51"/>
              <w:ind w:left="200"/>
              <w:jc w:val="left"/>
              <w:rPr>
                <w:sz w:val="22"/>
              </w:rPr>
            </w:pPr>
            <w:r>
              <w:rPr>
                <w:sz w:val="22"/>
              </w:rPr>
              <w:t>Figura 1.4</w:t>
            </w:r>
          </w:p>
        </w:tc>
        <w:tc>
          <w:tcPr>
            <w:tcW w:w="7074" w:type="dxa"/>
          </w:tcPr>
          <w:p>
            <w:pPr>
              <w:pStyle w:val="TableParagraph"/>
              <w:spacing w:before="51"/>
              <w:ind w:left="182" w:right="237"/>
              <w:jc w:val="left"/>
              <w:rPr>
                <w:sz w:val="22"/>
              </w:rPr>
            </w:pPr>
            <w:r>
              <w:rPr>
                <w:sz w:val="22"/>
              </w:rPr>
              <w:t>Estructura atómica del grafeno</w:t>
            </w:r>
          </w:p>
        </w:tc>
        <w:tc>
          <w:tcPr>
            <w:tcW w:w="690" w:type="dxa"/>
          </w:tcPr>
          <w:p>
            <w:pPr>
              <w:pStyle w:val="TableParagraph"/>
              <w:spacing w:before="51"/>
              <w:ind w:right="198"/>
              <w:jc w:val="right"/>
              <w:rPr>
                <w:sz w:val="22"/>
              </w:rPr>
            </w:pPr>
            <w:r>
              <w:rPr>
                <w:sz w:val="22"/>
              </w:rPr>
              <w:t>11</w:t>
            </w:r>
          </w:p>
        </w:tc>
      </w:tr>
      <w:tr>
        <w:trPr>
          <w:trHeight w:val="759" w:hRule="exact"/>
        </w:trPr>
        <w:tc>
          <w:tcPr>
            <w:tcW w:w="1400" w:type="dxa"/>
          </w:tcPr>
          <w:p>
            <w:pPr>
              <w:pStyle w:val="TableParagraph"/>
              <w:spacing w:before="51"/>
              <w:ind w:left="200"/>
              <w:jc w:val="left"/>
              <w:rPr>
                <w:sz w:val="22"/>
              </w:rPr>
            </w:pPr>
            <w:r>
              <w:rPr>
                <w:sz w:val="22"/>
              </w:rPr>
              <w:t>Figura 1.5</w:t>
            </w:r>
          </w:p>
        </w:tc>
        <w:tc>
          <w:tcPr>
            <w:tcW w:w="7074" w:type="dxa"/>
          </w:tcPr>
          <w:p>
            <w:pPr>
              <w:pStyle w:val="TableParagraph"/>
              <w:spacing w:line="360" w:lineRule="auto" w:before="51"/>
              <w:ind w:left="182" w:right="237"/>
              <w:jc w:val="left"/>
              <w:rPr>
                <w:sz w:val="22"/>
              </w:rPr>
            </w:pPr>
            <w:r>
              <w:rPr>
                <w:sz w:val="22"/>
              </w:rPr>
              <w:t>Clasificación de los alótropos de carbono de acuerdo a su dimensión: a) 2D grafeno, b) 0D fulerenos, c) 1D nanotubos de carbono y  d) 3D grafito</w:t>
            </w:r>
          </w:p>
        </w:tc>
        <w:tc>
          <w:tcPr>
            <w:tcW w:w="690" w:type="dxa"/>
          </w:tcPr>
          <w:p>
            <w:pPr>
              <w:pStyle w:val="TableParagraph"/>
              <w:jc w:val="left"/>
              <w:rPr>
                <w:b/>
                <w:sz w:val="22"/>
              </w:rPr>
            </w:pPr>
          </w:p>
          <w:p>
            <w:pPr>
              <w:pStyle w:val="TableParagraph"/>
              <w:spacing w:before="178"/>
              <w:ind w:right="198"/>
              <w:jc w:val="right"/>
              <w:rPr>
                <w:sz w:val="22"/>
              </w:rPr>
            </w:pPr>
            <w:r>
              <w:rPr>
                <w:sz w:val="22"/>
              </w:rPr>
              <w:t>11</w:t>
            </w:r>
          </w:p>
        </w:tc>
      </w:tr>
      <w:tr>
        <w:trPr>
          <w:trHeight w:val="380" w:hRule="exact"/>
        </w:trPr>
        <w:tc>
          <w:tcPr>
            <w:tcW w:w="1400" w:type="dxa"/>
          </w:tcPr>
          <w:p>
            <w:pPr>
              <w:pStyle w:val="TableParagraph"/>
              <w:spacing w:before="51"/>
              <w:ind w:left="200"/>
              <w:jc w:val="left"/>
              <w:rPr>
                <w:sz w:val="22"/>
              </w:rPr>
            </w:pPr>
            <w:r>
              <w:rPr>
                <w:sz w:val="22"/>
              </w:rPr>
              <w:t>Figura 1.6</w:t>
            </w:r>
          </w:p>
        </w:tc>
        <w:tc>
          <w:tcPr>
            <w:tcW w:w="7074" w:type="dxa"/>
          </w:tcPr>
          <w:p>
            <w:pPr>
              <w:pStyle w:val="TableParagraph"/>
              <w:spacing w:before="51"/>
              <w:ind w:left="182" w:right="237"/>
              <w:jc w:val="left"/>
              <w:rPr>
                <w:sz w:val="22"/>
              </w:rPr>
            </w:pPr>
            <w:r>
              <w:rPr>
                <w:sz w:val="22"/>
              </w:rPr>
              <w:t>Modelo esquemático de una hoja de óxido de grafeno</w:t>
            </w:r>
          </w:p>
        </w:tc>
        <w:tc>
          <w:tcPr>
            <w:tcW w:w="690" w:type="dxa"/>
          </w:tcPr>
          <w:p>
            <w:pPr>
              <w:pStyle w:val="TableParagraph"/>
              <w:spacing w:before="51"/>
              <w:ind w:right="198"/>
              <w:jc w:val="right"/>
              <w:rPr>
                <w:sz w:val="22"/>
              </w:rPr>
            </w:pPr>
            <w:r>
              <w:rPr>
                <w:sz w:val="22"/>
              </w:rPr>
              <w:t>13</w:t>
            </w:r>
          </w:p>
        </w:tc>
      </w:tr>
      <w:tr>
        <w:trPr>
          <w:trHeight w:val="760" w:hRule="exact"/>
        </w:trPr>
        <w:tc>
          <w:tcPr>
            <w:tcW w:w="1400" w:type="dxa"/>
          </w:tcPr>
          <w:p>
            <w:pPr>
              <w:pStyle w:val="TableParagraph"/>
              <w:spacing w:before="52"/>
              <w:ind w:left="200"/>
              <w:jc w:val="left"/>
              <w:rPr>
                <w:sz w:val="22"/>
              </w:rPr>
            </w:pPr>
            <w:r>
              <w:rPr>
                <w:sz w:val="22"/>
              </w:rPr>
              <w:t>Figura 1.7</w:t>
            </w:r>
          </w:p>
        </w:tc>
        <w:tc>
          <w:tcPr>
            <w:tcW w:w="7074" w:type="dxa"/>
          </w:tcPr>
          <w:p>
            <w:pPr>
              <w:pStyle w:val="TableParagraph"/>
              <w:spacing w:line="360" w:lineRule="auto" w:before="52"/>
              <w:ind w:left="182" w:right="237"/>
              <w:jc w:val="left"/>
              <w:rPr>
                <w:sz w:val="22"/>
              </w:rPr>
            </w:pPr>
            <w:r>
              <w:rPr>
                <w:sz w:val="22"/>
              </w:rPr>
              <w:t>Esquema de la energía libre en: (a) moléculas pequeñas, (b) cadenas de polímero</w:t>
            </w:r>
          </w:p>
        </w:tc>
        <w:tc>
          <w:tcPr>
            <w:tcW w:w="690" w:type="dxa"/>
          </w:tcPr>
          <w:p>
            <w:pPr>
              <w:pStyle w:val="TableParagraph"/>
              <w:jc w:val="left"/>
              <w:rPr>
                <w:b/>
                <w:sz w:val="22"/>
              </w:rPr>
            </w:pPr>
          </w:p>
          <w:p>
            <w:pPr>
              <w:pStyle w:val="TableParagraph"/>
              <w:spacing w:before="179"/>
              <w:ind w:right="198"/>
              <w:jc w:val="right"/>
              <w:rPr>
                <w:sz w:val="22"/>
              </w:rPr>
            </w:pPr>
            <w:r>
              <w:rPr>
                <w:sz w:val="22"/>
              </w:rPr>
              <w:t>21</w:t>
            </w:r>
          </w:p>
        </w:tc>
      </w:tr>
      <w:tr>
        <w:trPr>
          <w:trHeight w:val="379" w:hRule="exact"/>
        </w:trPr>
        <w:tc>
          <w:tcPr>
            <w:tcW w:w="1400" w:type="dxa"/>
          </w:tcPr>
          <w:p>
            <w:pPr>
              <w:pStyle w:val="TableParagraph"/>
              <w:spacing w:before="51"/>
              <w:ind w:left="200"/>
              <w:jc w:val="left"/>
              <w:rPr>
                <w:sz w:val="22"/>
              </w:rPr>
            </w:pPr>
            <w:r>
              <w:rPr>
                <w:sz w:val="22"/>
              </w:rPr>
              <w:t>Figura 1.8</w:t>
            </w:r>
          </w:p>
        </w:tc>
        <w:tc>
          <w:tcPr>
            <w:tcW w:w="7074" w:type="dxa"/>
          </w:tcPr>
          <w:p>
            <w:pPr>
              <w:pStyle w:val="TableParagraph"/>
              <w:spacing w:before="51"/>
              <w:ind w:left="182" w:right="237"/>
              <w:jc w:val="left"/>
              <w:rPr>
                <w:sz w:val="22"/>
              </w:rPr>
            </w:pPr>
            <w:r>
              <w:rPr>
                <w:sz w:val="22"/>
              </w:rPr>
              <w:t>Esquema del modelo de la micela-orlada en los polímeros semicristalinos</w:t>
            </w:r>
          </w:p>
        </w:tc>
        <w:tc>
          <w:tcPr>
            <w:tcW w:w="690" w:type="dxa"/>
          </w:tcPr>
          <w:p>
            <w:pPr>
              <w:pStyle w:val="TableParagraph"/>
              <w:spacing w:before="51"/>
              <w:ind w:right="198"/>
              <w:jc w:val="right"/>
              <w:rPr>
                <w:sz w:val="22"/>
              </w:rPr>
            </w:pPr>
            <w:r>
              <w:rPr>
                <w:sz w:val="22"/>
              </w:rPr>
              <w:t>22</w:t>
            </w:r>
          </w:p>
        </w:tc>
      </w:tr>
      <w:tr>
        <w:trPr>
          <w:trHeight w:val="1138" w:hRule="exact"/>
        </w:trPr>
        <w:tc>
          <w:tcPr>
            <w:tcW w:w="1400" w:type="dxa"/>
          </w:tcPr>
          <w:p>
            <w:pPr>
              <w:pStyle w:val="TableParagraph"/>
              <w:spacing w:before="51"/>
              <w:ind w:left="200"/>
              <w:jc w:val="left"/>
              <w:rPr>
                <w:sz w:val="22"/>
              </w:rPr>
            </w:pPr>
            <w:r>
              <w:rPr>
                <w:sz w:val="22"/>
              </w:rPr>
              <w:t>Figura 1.9</w:t>
            </w:r>
          </w:p>
        </w:tc>
        <w:tc>
          <w:tcPr>
            <w:tcW w:w="7074" w:type="dxa"/>
          </w:tcPr>
          <w:p>
            <w:pPr>
              <w:pStyle w:val="TableParagraph"/>
              <w:spacing w:line="352" w:lineRule="auto" w:before="51"/>
              <w:ind w:left="182" w:right="158"/>
              <w:jc w:val="both"/>
              <w:rPr>
                <w:sz w:val="22"/>
              </w:rPr>
            </w:pPr>
            <w:r>
              <w:rPr>
                <w:sz w:val="22"/>
              </w:rPr>
              <w:t>Esquema de una estructura lamelar en un polímero semicristalino con dimensiones laterales X, Y y espesor l, σ y σ</w:t>
            </w:r>
            <w:r>
              <w:rPr>
                <w:position w:val="-2"/>
                <w:sz w:val="14"/>
              </w:rPr>
              <w:t>e </w:t>
            </w:r>
            <w:r>
              <w:rPr>
                <w:sz w:val="22"/>
              </w:rPr>
              <w:t>son las energías de superficie libres</w:t>
            </w:r>
          </w:p>
        </w:tc>
        <w:tc>
          <w:tcPr>
            <w:tcW w:w="690" w:type="dxa"/>
          </w:tcPr>
          <w:p>
            <w:pPr>
              <w:pStyle w:val="TableParagraph"/>
              <w:jc w:val="left"/>
              <w:rPr>
                <w:b/>
                <w:sz w:val="22"/>
              </w:rPr>
            </w:pPr>
          </w:p>
          <w:p>
            <w:pPr>
              <w:pStyle w:val="TableParagraph"/>
              <w:jc w:val="left"/>
              <w:rPr>
                <w:b/>
                <w:sz w:val="22"/>
              </w:rPr>
            </w:pPr>
          </w:p>
          <w:p>
            <w:pPr>
              <w:pStyle w:val="TableParagraph"/>
              <w:spacing w:before="4"/>
              <w:jc w:val="left"/>
              <w:rPr>
                <w:b/>
                <w:sz w:val="26"/>
              </w:rPr>
            </w:pPr>
          </w:p>
          <w:p>
            <w:pPr>
              <w:pStyle w:val="TableParagraph"/>
              <w:spacing w:before="1"/>
              <w:ind w:right="198"/>
              <w:jc w:val="right"/>
              <w:rPr>
                <w:sz w:val="22"/>
              </w:rPr>
            </w:pPr>
            <w:r>
              <w:rPr>
                <w:sz w:val="22"/>
              </w:rPr>
              <w:t>23</w:t>
            </w:r>
          </w:p>
        </w:tc>
      </w:tr>
      <w:tr>
        <w:trPr>
          <w:trHeight w:val="1139" w:hRule="exact"/>
        </w:trPr>
        <w:tc>
          <w:tcPr>
            <w:tcW w:w="1400" w:type="dxa"/>
          </w:tcPr>
          <w:p>
            <w:pPr>
              <w:pStyle w:val="TableParagraph"/>
              <w:spacing w:before="51"/>
              <w:ind w:left="200"/>
              <w:jc w:val="left"/>
              <w:rPr>
                <w:sz w:val="22"/>
              </w:rPr>
            </w:pPr>
            <w:r>
              <w:rPr>
                <w:sz w:val="22"/>
              </w:rPr>
              <w:t>Figura 1.10</w:t>
            </w:r>
          </w:p>
        </w:tc>
        <w:tc>
          <w:tcPr>
            <w:tcW w:w="7074" w:type="dxa"/>
          </w:tcPr>
          <w:p>
            <w:pPr>
              <w:pStyle w:val="TableParagraph"/>
              <w:spacing w:line="360" w:lineRule="auto" w:before="51"/>
              <w:ind w:left="182" w:right="157"/>
              <w:jc w:val="both"/>
              <w:rPr>
                <w:sz w:val="22"/>
              </w:rPr>
            </w:pPr>
            <w:r>
              <w:rPr>
                <w:sz w:val="22"/>
              </w:rPr>
              <w:t>Representación de la configuración de la cadena en una región de crecimiento lamelar (el plano de la estructura lamelar es perpendicular al de la hoja)</w:t>
            </w:r>
          </w:p>
        </w:tc>
        <w:tc>
          <w:tcPr>
            <w:tcW w:w="690" w:type="dxa"/>
          </w:tcPr>
          <w:p>
            <w:pPr>
              <w:pStyle w:val="TableParagraph"/>
              <w:jc w:val="left"/>
              <w:rPr>
                <w:b/>
                <w:sz w:val="22"/>
              </w:rPr>
            </w:pPr>
          </w:p>
          <w:p>
            <w:pPr>
              <w:pStyle w:val="TableParagraph"/>
              <w:jc w:val="left"/>
              <w:rPr>
                <w:b/>
                <w:sz w:val="22"/>
              </w:rPr>
            </w:pPr>
          </w:p>
          <w:p>
            <w:pPr>
              <w:pStyle w:val="TableParagraph"/>
              <w:spacing w:before="5"/>
              <w:jc w:val="left"/>
              <w:rPr>
                <w:b/>
                <w:sz w:val="26"/>
              </w:rPr>
            </w:pPr>
          </w:p>
          <w:p>
            <w:pPr>
              <w:pStyle w:val="TableParagraph"/>
              <w:ind w:right="198"/>
              <w:jc w:val="right"/>
              <w:rPr>
                <w:sz w:val="22"/>
              </w:rPr>
            </w:pPr>
            <w:r>
              <w:rPr>
                <w:sz w:val="22"/>
              </w:rPr>
              <w:t>25</w:t>
            </w:r>
          </w:p>
        </w:tc>
      </w:tr>
      <w:tr>
        <w:trPr>
          <w:trHeight w:val="380" w:hRule="exact"/>
        </w:trPr>
        <w:tc>
          <w:tcPr>
            <w:tcW w:w="1400" w:type="dxa"/>
          </w:tcPr>
          <w:p>
            <w:pPr>
              <w:pStyle w:val="TableParagraph"/>
              <w:spacing w:before="52"/>
              <w:ind w:left="200"/>
              <w:jc w:val="left"/>
              <w:rPr>
                <w:sz w:val="22"/>
              </w:rPr>
            </w:pPr>
            <w:r>
              <w:rPr>
                <w:sz w:val="22"/>
              </w:rPr>
              <w:t>Figura 1.11</w:t>
            </w:r>
          </w:p>
        </w:tc>
        <w:tc>
          <w:tcPr>
            <w:tcW w:w="7074" w:type="dxa"/>
          </w:tcPr>
          <w:p>
            <w:pPr>
              <w:pStyle w:val="TableParagraph"/>
              <w:spacing w:before="52"/>
              <w:ind w:left="182" w:right="237"/>
              <w:jc w:val="left"/>
              <w:rPr>
                <w:sz w:val="22"/>
              </w:rPr>
            </w:pPr>
            <w:r>
              <w:rPr>
                <w:sz w:val="22"/>
              </w:rPr>
              <w:t>Configuración de un equipo de </w:t>
            </w:r>
            <w:r>
              <w:rPr>
                <w:i/>
                <w:sz w:val="22"/>
              </w:rPr>
              <w:t>electrospinning </w:t>
            </w:r>
            <w:r>
              <w:rPr>
                <w:sz w:val="22"/>
              </w:rPr>
              <w:t>horizontal</w:t>
            </w:r>
          </w:p>
        </w:tc>
        <w:tc>
          <w:tcPr>
            <w:tcW w:w="690" w:type="dxa"/>
          </w:tcPr>
          <w:p>
            <w:pPr>
              <w:pStyle w:val="TableParagraph"/>
              <w:spacing w:before="52"/>
              <w:ind w:right="198"/>
              <w:jc w:val="right"/>
              <w:rPr>
                <w:sz w:val="22"/>
              </w:rPr>
            </w:pPr>
            <w:r>
              <w:rPr>
                <w:sz w:val="22"/>
              </w:rPr>
              <w:t>28</w:t>
            </w:r>
          </w:p>
        </w:tc>
      </w:tr>
      <w:tr>
        <w:trPr>
          <w:trHeight w:val="379" w:hRule="exact"/>
        </w:trPr>
        <w:tc>
          <w:tcPr>
            <w:tcW w:w="1400" w:type="dxa"/>
          </w:tcPr>
          <w:p>
            <w:pPr>
              <w:pStyle w:val="TableParagraph"/>
              <w:spacing w:before="51"/>
              <w:ind w:left="200"/>
              <w:jc w:val="left"/>
              <w:rPr>
                <w:sz w:val="22"/>
              </w:rPr>
            </w:pPr>
            <w:r>
              <w:rPr>
                <w:sz w:val="22"/>
              </w:rPr>
              <w:t>Figura 1.12</w:t>
            </w:r>
          </w:p>
        </w:tc>
        <w:tc>
          <w:tcPr>
            <w:tcW w:w="7074" w:type="dxa"/>
          </w:tcPr>
          <w:p>
            <w:pPr>
              <w:pStyle w:val="TableParagraph"/>
              <w:spacing w:before="51"/>
              <w:ind w:left="182" w:right="237"/>
              <w:jc w:val="left"/>
              <w:rPr>
                <w:sz w:val="22"/>
              </w:rPr>
            </w:pPr>
            <w:r>
              <w:rPr>
                <w:sz w:val="22"/>
              </w:rPr>
              <w:t>Equipo de moldeo por inyección</w:t>
            </w:r>
          </w:p>
        </w:tc>
        <w:tc>
          <w:tcPr>
            <w:tcW w:w="690" w:type="dxa"/>
          </w:tcPr>
          <w:p>
            <w:pPr>
              <w:pStyle w:val="TableParagraph"/>
              <w:spacing w:before="51"/>
              <w:ind w:right="198"/>
              <w:jc w:val="right"/>
              <w:rPr>
                <w:sz w:val="22"/>
              </w:rPr>
            </w:pPr>
            <w:r>
              <w:rPr>
                <w:sz w:val="22"/>
              </w:rPr>
              <w:t>31</w:t>
            </w:r>
          </w:p>
        </w:tc>
      </w:tr>
      <w:tr>
        <w:trPr>
          <w:trHeight w:val="379" w:hRule="exact"/>
        </w:trPr>
        <w:tc>
          <w:tcPr>
            <w:tcW w:w="1400" w:type="dxa"/>
          </w:tcPr>
          <w:p>
            <w:pPr>
              <w:pStyle w:val="TableParagraph"/>
              <w:spacing w:before="51"/>
              <w:ind w:left="200"/>
              <w:jc w:val="left"/>
              <w:rPr>
                <w:sz w:val="22"/>
              </w:rPr>
            </w:pPr>
            <w:r>
              <w:rPr>
                <w:sz w:val="22"/>
              </w:rPr>
              <w:t>Figura 1.13</w:t>
            </w:r>
          </w:p>
        </w:tc>
        <w:tc>
          <w:tcPr>
            <w:tcW w:w="7074" w:type="dxa"/>
          </w:tcPr>
          <w:p>
            <w:pPr>
              <w:pStyle w:val="TableParagraph"/>
              <w:spacing w:before="51"/>
              <w:ind w:left="182" w:right="237"/>
              <w:jc w:val="left"/>
              <w:rPr>
                <w:sz w:val="22"/>
              </w:rPr>
            </w:pPr>
            <w:r>
              <w:rPr>
                <w:sz w:val="22"/>
              </w:rPr>
              <w:t>Polimerización del nylon 6,6</w:t>
            </w:r>
          </w:p>
        </w:tc>
        <w:tc>
          <w:tcPr>
            <w:tcW w:w="690" w:type="dxa"/>
          </w:tcPr>
          <w:p>
            <w:pPr>
              <w:pStyle w:val="TableParagraph"/>
              <w:spacing w:before="51"/>
              <w:ind w:right="198"/>
              <w:jc w:val="right"/>
              <w:rPr>
                <w:sz w:val="22"/>
              </w:rPr>
            </w:pPr>
            <w:r>
              <w:rPr>
                <w:sz w:val="22"/>
              </w:rPr>
              <w:t>32</w:t>
            </w:r>
          </w:p>
        </w:tc>
      </w:tr>
      <w:tr>
        <w:trPr>
          <w:trHeight w:val="758" w:hRule="exact"/>
        </w:trPr>
        <w:tc>
          <w:tcPr>
            <w:tcW w:w="1400" w:type="dxa"/>
          </w:tcPr>
          <w:p>
            <w:pPr>
              <w:pStyle w:val="TableParagraph"/>
              <w:spacing w:before="51"/>
              <w:ind w:left="200"/>
              <w:jc w:val="left"/>
              <w:rPr>
                <w:sz w:val="22"/>
              </w:rPr>
            </w:pPr>
            <w:r>
              <w:rPr>
                <w:sz w:val="22"/>
              </w:rPr>
              <w:t>Figura 1.14</w:t>
            </w:r>
          </w:p>
        </w:tc>
        <w:tc>
          <w:tcPr>
            <w:tcW w:w="7074" w:type="dxa"/>
          </w:tcPr>
          <w:p>
            <w:pPr>
              <w:pStyle w:val="TableParagraph"/>
              <w:spacing w:line="360" w:lineRule="auto" w:before="51"/>
              <w:ind w:left="182" w:right="237"/>
              <w:jc w:val="left"/>
              <w:rPr>
                <w:sz w:val="22"/>
              </w:rPr>
            </w:pPr>
            <w:r>
              <w:rPr>
                <w:sz w:val="22"/>
              </w:rPr>
              <w:t>Representación de la celda unitaria del nylon 6,6, mostrando los planos de difracción</w:t>
            </w:r>
          </w:p>
        </w:tc>
        <w:tc>
          <w:tcPr>
            <w:tcW w:w="690" w:type="dxa"/>
          </w:tcPr>
          <w:p>
            <w:pPr>
              <w:pStyle w:val="TableParagraph"/>
              <w:jc w:val="left"/>
              <w:rPr>
                <w:b/>
                <w:sz w:val="22"/>
              </w:rPr>
            </w:pPr>
          </w:p>
          <w:p>
            <w:pPr>
              <w:pStyle w:val="TableParagraph"/>
              <w:spacing w:before="177"/>
              <w:ind w:right="198"/>
              <w:jc w:val="right"/>
              <w:rPr>
                <w:sz w:val="22"/>
              </w:rPr>
            </w:pPr>
            <w:r>
              <w:rPr>
                <w:sz w:val="22"/>
              </w:rPr>
              <w:t>36</w:t>
            </w:r>
          </w:p>
        </w:tc>
      </w:tr>
      <w:tr>
        <w:trPr>
          <w:trHeight w:val="759" w:hRule="exact"/>
        </w:trPr>
        <w:tc>
          <w:tcPr>
            <w:tcW w:w="1400" w:type="dxa"/>
          </w:tcPr>
          <w:p>
            <w:pPr>
              <w:pStyle w:val="TableParagraph"/>
              <w:spacing w:before="51"/>
              <w:ind w:left="200"/>
              <w:jc w:val="left"/>
              <w:rPr>
                <w:sz w:val="22"/>
              </w:rPr>
            </w:pPr>
            <w:r>
              <w:rPr>
                <w:sz w:val="22"/>
              </w:rPr>
              <w:t>Figura 1.15</w:t>
            </w:r>
          </w:p>
        </w:tc>
        <w:tc>
          <w:tcPr>
            <w:tcW w:w="7074" w:type="dxa"/>
          </w:tcPr>
          <w:p>
            <w:pPr>
              <w:pStyle w:val="TableParagraph"/>
              <w:spacing w:line="360" w:lineRule="auto" w:before="51"/>
              <w:ind w:left="182" w:right="237"/>
              <w:jc w:val="left"/>
              <w:rPr>
                <w:sz w:val="22"/>
              </w:rPr>
            </w:pPr>
            <w:r>
              <w:rPr>
                <w:sz w:val="22"/>
              </w:rPr>
              <w:t>Esquema representativo de las estructuras cristalinas obtenidas a través del método por fundido y del método por solución</w:t>
            </w:r>
          </w:p>
        </w:tc>
        <w:tc>
          <w:tcPr>
            <w:tcW w:w="690" w:type="dxa"/>
          </w:tcPr>
          <w:p>
            <w:pPr>
              <w:pStyle w:val="TableParagraph"/>
              <w:jc w:val="left"/>
              <w:rPr>
                <w:b/>
                <w:sz w:val="22"/>
              </w:rPr>
            </w:pPr>
          </w:p>
          <w:p>
            <w:pPr>
              <w:pStyle w:val="TableParagraph"/>
              <w:spacing w:before="178"/>
              <w:ind w:right="198"/>
              <w:jc w:val="right"/>
              <w:rPr>
                <w:sz w:val="22"/>
              </w:rPr>
            </w:pPr>
            <w:r>
              <w:rPr>
                <w:sz w:val="22"/>
              </w:rPr>
              <w:t>40</w:t>
            </w:r>
          </w:p>
        </w:tc>
      </w:tr>
      <w:tr>
        <w:trPr>
          <w:trHeight w:val="379" w:hRule="exact"/>
        </w:trPr>
        <w:tc>
          <w:tcPr>
            <w:tcW w:w="1400" w:type="dxa"/>
          </w:tcPr>
          <w:p>
            <w:pPr>
              <w:pStyle w:val="TableParagraph"/>
              <w:spacing w:before="51"/>
              <w:ind w:left="200"/>
              <w:jc w:val="left"/>
              <w:rPr>
                <w:sz w:val="22"/>
              </w:rPr>
            </w:pPr>
            <w:r>
              <w:rPr>
                <w:sz w:val="22"/>
              </w:rPr>
              <w:t>Figura 2.1</w:t>
            </w:r>
          </w:p>
        </w:tc>
        <w:tc>
          <w:tcPr>
            <w:tcW w:w="7074" w:type="dxa"/>
          </w:tcPr>
          <w:p>
            <w:pPr>
              <w:pStyle w:val="TableParagraph"/>
              <w:spacing w:before="51"/>
              <w:ind w:left="182" w:right="237"/>
              <w:jc w:val="left"/>
              <w:rPr>
                <w:sz w:val="22"/>
              </w:rPr>
            </w:pPr>
            <w:r>
              <w:rPr>
                <w:sz w:val="22"/>
              </w:rPr>
              <w:t>Esquema de oxidación de los CNTs</w:t>
            </w:r>
          </w:p>
        </w:tc>
        <w:tc>
          <w:tcPr>
            <w:tcW w:w="690" w:type="dxa"/>
          </w:tcPr>
          <w:p>
            <w:pPr>
              <w:pStyle w:val="TableParagraph"/>
              <w:spacing w:before="51"/>
              <w:ind w:right="198"/>
              <w:jc w:val="right"/>
              <w:rPr>
                <w:sz w:val="22"/>
              </w:rPr>
            </w:pPr>
            <w:r>
              <w:rPr>
                <w:sz w:val="22"/>
              </w:rPr>
              <w:t>45</w:t>
            </w:r>
          </w:p>
        </w:tc>
      </w:tr>
      <w:tr>
        <w:trPr>
          <w:trHeight w:val="380" w:hRule="exact"/>
        </w:trPr>
        <w:tc>
          <w:tcPr>
            <w:tcW w:w="1400" w:type="dxa"/>
          </w:tcPr>
          <w:p>
            <w:pPr>
              <w:pStyle w:val="TableParagraph"/>
              <w:spacing w:before="51"/>
              <w:ind w:left="200"/>
              <w:jc w:val="left"/>
              <w:rPr>
                <w:sz w:val="22"/>
              </w:rPr>
            </w:pPr>
            <w:r>
              <w:rPr>
                <w:sz w:val="22"/>
              </w:rPr>
              <w:t>Figura 2.2</w:t>
            </w:r>
          </w:p>
        </w:tc>
        <w:tc>
          <w:tcPr>
            <w:tcW w:w="7074" w:type="dxa"/>
          </w:tcPr>
          <w:p>
            <w:pPr>
              <w:pStyle w:val="TableParagraph"/>
              <w:spacing w:before="51"/>
              <w:ind w:left="182" w:right="237"/>
              <w:jc w:val="left"/>
              <w:rPr>
                <w:sz w:val="22"/>
              </w:rPr>
            </w:pPr>
            <w:r>
              <w:rPr>
                <w:sz w:val="22"/>
              </w:rPr>
              <w:t>Obtención del óxido de grafeno</w:t>
            </w:r>
          </w:p>
        </w:tc>
        <w:tc>
          <w:tcPr>
            <w:tcW w:w="690" w:type="dxa"/>
          </w:tcPr>
          <w:p>
            <w:pPr>
              <w:pStyle w:val="TableParagraph"/>
              <w:spacing w:before="51"/>
              <w:ind w:right="198"/>
              <w:jc w:val="right"/>
              <w:rPr>
                <w:sz w:val="22"/>
              </w:rPr>
            </w:pPr>
            <w:r>
              <w:rPr>
                <w:sz w:val="22"/>
              </w:rPr>
              <w:t>46</w:t>
            </w:r>
          </w:p>
        </w:tc>
      </w:tr>
      <w:tr>
        <w:trPr>
          <w:trHeight w:val="380" w:hRule="exact"/>
        </w:trPr>
        <w:tc>
          <w:tcPr>
            <w:tcW w:w="1400" w:type="dxa"/>
          </w:tcPr>
          <w:p>
            <w:pPr>
              <w:pStyle w:val="TableParagraph"/>
              <w:spacing w:before="52"/>
              <w:ind w:left="200"/>
              <w:jc w:val="left"/>
              <w:rPr>
                <w:sz w:val="22"/>
              </w:rPr>
            </w:pPr>
            <w:r>
              <w:rPr>
                <w:sz w:val="22"/>
              </w:rPr>
              <w:t>Figura 2.3</w:t>
            </w:r>
          </w:p>
        </w:tc>
        <w:tc>
          <w:tcPr>
            <w:tcW w:w="7074" w:type="dxa"/>
          </w:tcPr>
          <w:p>
            <w:pPr>
              <w:pStyle w:val="TableParagraph"/>
              <w:spacing w:before="52"/>
              <w:ind w:left="182" w:right="237"/>
              <w:jc w:val="left"/>
              <w:rPr>
                <w:sz w:val="22"/>
              </w:rPr>
            </w:pPr>
            <w:r>
              <w:rPr>
                <w:sz w:val="22"/>
              </w:rPr>
              <w:t>Amidación de: a) CNTs y b) Grafeno</w:t>
            </w:r>
          </w:p>
        </w:tc>
        <w:tc>
          <w:tcPr>
            <w:tcW w:w="690" w:type="dxa"/>
          </w:tcPr>
          <w:p>
            <w:pPr>
              <w:pStyle w:val="TableParagraph"/>
              <w:spacing w:before="52"/>
              <w:ind w:right="198"/>
              <w:jc w:val="right"/>
              <w:rPr>
                <w:sz w:val="22"/>
              </w:rPr>
            </w:pPr>
            <w:r>
              <w:rPr>
                <w:sz w:val="22"/>
              </w:rPr>
              <w:t>48</w:t>
            </w:r>
          </w:p>
        </w:tc>
      </w:tr>
      <w:tr>
        <w:trPr>
          <w:trHeight w:val="379" w:hRule="exact"/>
        </w:trPr>
        <w:tc>
          <w:tcPr>
            <w:tcW w:w="1400" w:type="dxa"/>
          </w:tcPr>
          <w:p>
            <w:pPr>
              <w:pStyle w:val="TableParagraph"/>
              <w:spacing w:before="51"/>
              <w:ind w:left="200"/>
              <w:jc w:val="left"/>
              <w:rPr>
                <w:sz w:val="22"/>
              </w:rPr>
            </w:pPr>
            <w:r>
              <w:rPr>
                <w:sz w:val="22"/>
              </w:rPr>
              <w:t>Figura A1</w:t>
            </w:r>
          </w:p>
        </w:tc>
        <w:tc>
          <w:tcPr>
            <w:tcW w:w="7074" w:type="dxa"/>
          </w:tcPr>
          <w:p>
            <w:pPr>
              <w:pStyle w:val="TableParagraph"/>
              <w:spacing w:before="51"/>
              <w:ind w:left="182" w:right="237"/>
              <w:jc w:val="left"/>
              <w:rPr>
                <w:sz w:val="22"/>
              </w:rPr>
            </w:pPr>
            <w:r>
              <w:rPr>
                <w:sz w:val="22"/>
              </w:rPr>
              <w:t>Micrografias de los :  a), b)  p-CNT, c),d) OCNT y e),f) f-CNT</w:t>
            </w:r>
          </w:p>
        </w:tc>
        <w:tc>
          <w:tcPr>
            <w:tcW w:w="690" w:type="dxa"/>
          </w:tcPr>
          <w:p>
            <w:pPr>
              <w:pStyle w:val="TableParagraph"/>
              <w:spacing w:before="51"/>
              <w:ind w:right="198"/>
              <w:jc w:val="right"/>
              <w:rPr>
                <w:sz w:val="22"/>
              </w:rPr>
            </w:pPr>
            <w:r>
              <w:rPr>
                <w:sz w:val="22"/>
              </w:rPr>
              <w:t>138</w:t>
            </w:r>
          </w:p>
        </w:tc>
      </w:tr>
      <w:tr>
        <w:trPr>
          <w:trHeight w:val="379" w:hRule="exact"/>
        </w:trPr>
        <w:tc>
          <w:tcPr>
            <w:tcW w:w="1400" w:type="dxa"/>
          </w:tcPr>
          <w:p>
            <w:pPr>
              <w:pStyle w:val="TableParagraph"/>
              <w:spacing w:before="51"/>
              <w:ind w:left="200"/>
              <w:jc w:val="left"/>
              <w:rPr>
                <w:sz w:val="22"/>
              </w:rPr>
            </w:pPr>
            <w:r>
              <w:rPr>
                <w:sz w:val="22"/>
              </w:rPr>
              <w:t>Figura A2</w:t>
            </w:r>
          </w:p>
        </w:tc>
        <w:tc>
          <w:tcPr>
            <w:tcW w:w="7074" w:type="dxa"/>
          </w:tcPr>
          <w:p>
            <w:pPr>
              <w:pStyle w:val="TableParagraph"/>
              <w:spacing w:before="51"/>
              <w:ind w:left="182" w:right="237"/>
              <w:jc w:val="left"/>
              <w:rPr>
                <w:sz w:val="22"/>
              </w:rPr>
            </w:pPr>
            <w:r>
              <w:rPr>
                <w:sz w:val="22"/>
              </w:rPr>
              <w:t>Micrografias de :  a), b)  RGO, c),d) GO y e),f) f-Ge</w:t>
            </w:r>
          </w:p>
        </w:tc>
        <w:tc>
          <w:tcPr>
            <w:tcW w:w="690" w:type="dxa"/>
          </w:tcPr>
          <w:p>
            <w:pPr>
              <w:pStyle w:val="TableParagraph"/>
              <w:spacing w:before="51"/>
              <w:ind w:right="198"/>
              <w:jc w:val="right"/>
              <w:rPr>
                <w:sz w:val="22"/>
              </w:rPr>
            </w:pPr>
            <w:r>
              <w:rPr>
                <w:sz w:val="22"/>
              </w:rPr>
              <w:t>139</w:t>
            </w:r>
          </w:p>
        </w:tc>
      </w:tr>
      <w:tr>
        <w:trPr>
          <w:trHeight w:val="379" w:hRule="exact"/>
        </w:trPr>
        <w:tc>
          <w:tcPr>
            <w:tcW w:w="1400" w:type="dxa"/>
          </w:tcPr>
          <w:p>
            <w:pPr>
              <w:pStyle w:val="TableParagraph"/>
              <w:spacing w:before="51"/>
              <w:ind w:left="200"/>
              <w:jc w:val="left"/>
              <w:rPr>
                <w:sz w:val="22"/>
              </w:rPr>
            </w:pPr>
            <w:r>
              <w:rPr>
                <w:sz w:val="22"/>
              </w:rPr>
              <w:t>Figura A3</w:t>
            </w:r>
          </w:p>
        </w:tc>
        <w:tc>
          <w:tcPr>
            <w:tcW w:w="7074" w:type="dxa"/>
          </w:tcPr>
          <w:p>
            <w:pPr>
              <w:pStyle w:val="TableParagraph"/>
              <w:spacing w:before="51"/>
              <w:ind w:left="182" w:right="237"/>
              <w:jc w:val="left"/>
              <w:rPr>
                <w:sz w:val="22"/>
              </w:rPr>
            </w:pPr>
            <w:r>
              <w:rPr>
                <w:sz w:val="22"/>
              </w:rPr>
              <w:t>Micrografias de fibras de nylon 6,6</w:t>
            </w:r>
          </w:p>
        </w:tc>
        <w:tc>
          <w:tcPr>
            <w:tcW w:w="690" w:type="dxa"/>
          </w:tcPr>
          <w:p>
            <w:pPr>
              <w:pStyle w:val="TableParagraph"/>
              <w:spacing w:before="51"/>
              <w:ind w:right="198"/>
              <w:jc w:val="right"/>
              <w:rPr>
                <w:sz w:val="22"/>
              </w:rPr>
            </w:pPr>
            <w:r>
              <w:rPr>
                <w:sz w:val="22"/>
              </w:rPr>
              <w:t>139</w:t>
            </w:r>
          </w:p>
        </w:tc>
      </w:tr>
      <w:tr>
        <w:trPr>
          <w:trHeight w:val="300" w:hRule="exact"/>
        </w:trPr>
        <w:tc>
          <w:tcPr>
            <w:tcW w:w="1400" w:type="dxa"/>
          </w:tcPr>
          <w:p>
            <w:pPr>
              <w:pStyle w:val="TableParagraph"/>
              <w:spacing w:before="51"/>
              <w:ind w:left="200"/>
              <w:jc w:val="left"/>
              <w:rPr>
                <w:sz w:val="22"/>
              </w:rPr>
            </w:pPr>
            <w:r>
              <w:rPr>
                <w:sz w:val="22"/>
              </w:rPr>
              <w:t>Figura A4</w:t>
            </w:r>
          </w:p>
        </w:tc>
        <w:tc>
          <w:tcPr>
            <w:tcW w:w="7074" w:type="dxa"/>
          </w:tcPr>
          <w:p>
            <w:pPr>
              <w:pStyle w:val="TableParagraph"/>
              <w:spacing w:before="51"/>
              <w:ind w:left="182"/>
              <w:jc w:val="left"/>
              <w:rPr>
                <w:sz w:val="22"/>
              </w:rPr>
            </w:pPr>
            <w:r>
              <w:rPr>
                <w:sz w:val="22"/>
              </w:rPr>
              <w:t>Microscopía confocal de los nanocompositos obtenidos por electrospinning</w:t>
            </w:r>
          </w:p>
        </w:tc>
        <w:tc>
          <w:tcPr>
            <w:tcW w:w="690" w:type="dxa"/>
          </w:tcPr>
          <w:p>
            <w:pPr>
              <w:pStyle w:val="TableParagraph"/>
              <w:spacing w:before="51"/>
              <w:ind w:right="198"/>
              <w:jc w:val="right"/>
              <w:rPr>
                <w:sz w:val="22"/>
              </w:rPr>
            </w:pPr>
            <w:r>
              <w:rPr>
                <w:sz w:val="22"/>
              </w:rPr>
              <w:t>140</w:t>
            </w:r>
          </w:p>
        </w:tc>
      </w:tr>
    </w:tbl>
    <w:p>
      <w:pPr>
        <w:spacing w:after="0"/>
        <w:jc w:val="right"/>
        <w:rPr>
          <w:sz w:val="22"/>
        </w:rPr>
        <w:sectPr>
          <w:footerReference w:type="default" r:id="rId11"/>
          <w:pgSz w:w="12240" w:h="15840"/>
          <w:pgMar w:footer="1062" w:header="724" w:top="920" w:bottom="1260" w:left="1400" w:right="1460"/>
          <w:pgNumType w:start="9"/>
        </w:sectPr>
      </w:pPr>
    </w:p>
    <w:p>
      <w:pPr>
        <w:pStyle w:val="BodyText"/>
        <w:rPr>
          <w:b/>
          <w:sz w:val="20"/>
        </w:rPr>
      </w:pPr>
    </w:p>
    <w:p>
      <w:pPr>
        <w:pStyle w:val="BodyText"/>
        <w:spacing w:before="10"/>
        <w:rPr>
          <w:b/>
          <w:sz w:val="24"/>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41"/>
        <w:gridCol w:w="7073"/>
        <w:gridCol w:w="750"/>
      </w:tblGrid>
      <w:tr>
        <w:trPr>
          <w:trHeight w:val="300" w:hRule="exact"/>
        </w:trPr>
        <w:tc>
          <w:tcPr>
            <w:tcW w:w="1341" w:type="dxa"/>
          </w:tcPr>
          <w:p>
            <w:pPr>
              <w:pStyle w:val="TableParagraph"/>
              <w:spacing w:line="225" w:lineRule="exact"/>
              <w:ind w:left="200"/>
              <w:jc w:val="left"/>
              <w:rPr>
                <w:sz w:val="22"/>
              </w:rPr>
            </w:pPr>
            <w:r>
              <w:rPr>
                <w:sz w:val="22"/>
              </w:rPr>
              <w:t>Figura A5</w:t>
            </w:r>
          </w:p>
        </w:tc>
        <w:tc>
          <w:tcPr>
            <w:tcW w:w="7073" w:type="dxa"/>
          </w:tcPr>
          <w:p>
            <w:pPr>
              <w:pStyle w:val="TableParagraph"/>
              <w:spacing w:line="225" w:lineRule="exact"/>
              <w:ind w:left="240"/>
              <w:jc w:val="left"/>
              <w:rPr>
                <w:sz w:val="22"/>
              </w:rPr>
            </w:pPr>
            <w:r>
              <w:rPr>
                <w:sz w:val="22"/>
              </w:rPr>
              <w:t>Micrografias de SEM de muestra obtenida por inyección de nylon 6,6</w:t>
            </w:r>
          </w:p>
        </w:tc>
        <w:tc>
          <w:tcPr>
            <w:tcW w:w="750" w:type="dxa"/>
          </w:tcPr>
          <w:p>
            <w:pPr>
              <w:pStyle w:val="TableParagraph"/>
              <w:spacing w:line="225" w:lineRule="exact"/>
              <w:ind w:right="198"/>
              <w:jc w:val="right"/>
              <w:rPr>
                <w:sz w:val="22"/>
              </w:rPr>
            </w:pPr>
            <w:r>
              <w:rPr>
                <w:sz w:val="22"/>
              </w:rPr>
              <w:t>141</w:t>
            </w:r>
          </w:p>
        </w:tc>
      </w:tr>
      <w:tr>
        <w:trPr>
          <w:trHeight w:val="379" w:hRule="exact"/>
        </w:trPr>
        <w:tc>
          <w:tcPr>
            <w:tcW w:w="1341" w:type="dxa"/>
          </w:tcPr>
          <w:p>
            <w:pPr>
              <w:pStyle w:val="TableParagraph"/>
              <w:spacing w:before="51"/>
              <w:ind w:left="200"/>
              <w:jc w:val="left"/>
              <w:rPr>
                <w:sz w:val="22"/>
              </w:rPr>
            </w:pPr>
            <w:r>
              <w:rPr>
                <w:sz w:val="22"/>
              </w:rPr>
              <w:t>Figura A6</w:t>
            </w:r>
          </w:p>
        </w:tc>
        <w:tc>
          <w:tcPr>
            <w:tcW w:w="7073" w:type="dxa"/>
          </w:tcPr>
          <w:p>
            <w:pPr>
              <w:pStyle w:val="TableParagraph"/>
              <w:spacing w:before="51"/>
              <w:ind w:left="428"/>
              <w:jc w:val="left"/>
              <w:rPr>
                <w:sz w:val="22"/>
              </w:rPr>
            </w:pPr>
            <w:r>
              <w:rPr>
                <w:sz w:val="22"/>
              </w:rPr>
              <w:t>Micrografías de SEM de nanocompositos por inyección en base a CNTs</w:t>
            </w:r>
          </w:p>
        </w:tc>
        <w:tc>
          <w:tcPr>
            <w:tcW w:w="750" w:type="dxa"/>
          </w:tcPr>
          <w:p>
            <w:pPr>
              <w:pStyle w:val="TableParagraph"/>
              <w:spacing w:before="51"/>
              <w:ind w:right="198"/>
              <w:jc w:val="right"/>
              <w:rPr>
                <w:sz w:val="22"/>
              </w:rPr>
            </w:pPr>
            <w:r>
              <w:rPr>
                <w:sz w:val="22"/>
              </w:rPr>
              <w:t>142</w:t>
            </w:r>
          </w:p>
        </w:tc>
      </w:tr>
      <w:tr>
        <w:trPr>
          <w:trHeight w:val="300" w:hRule="exact"/>
        </w:trPr>
        <w:tc>
          <w:tcPr>
            <w:tcW w:w="1341" w:type="dxa"/>
          </w:tcPr>
          <w:p>
            <w:pPr>
              <w:pStyle w:val="TableParagraph"/>
              <w:spacing w:before="51"/>
              <w:ind w:left="200"/>
              <w:jc w:val="left"/>
              <w:rPr>
                <w:sz w:val="22"/>
              </w:rPr>
            </w:pPr>
            <w:r>
              <w:rPr>
                <w:sz w:val="22"/>
              </w:rPr>
              <w:t>Figura A7</w:t>
            </w:r>
          </w:p>
        </w:tc>
        <w:tc>
          <w:tcPr>
            <w:tcW w:w="7073" w:type="dxa"/>
          </w:tcPr>
          <w:p>
            <w:pPr>
              <w:pStyle w:val="TableParagraph"/>
              <w:spacing w:before="51"/>
              <w:ind w:left="353"/>
              <w:jc w:val="left"/>
              <w:rPr>
                <w:sz w:val="22"/>
              </w:rPr>
            </w:pPr>
            <w:r>
              <w:rPr>
                <w:sz w:val="22"/>
              </w:rPr>
              <w:t>Micrografías de SEM de nanocompositos por inyección en base a grafeno</w:t>
            </w:r>
          </w:p>
        </w:tc>
        <w:tc>
          <w:tcPr>
            <w:tcW w:w="750" w:type="dxa"/>
          </w:tcPr>
          <w:p>
            <w:pPr>
              <w:pStyle w:val="TableParagraph"/>
              <w:spacing w:before="51"/>
              <w:ind w:right="198"/>
              <w:jc w:val="right"/>
              <w:rPr>
                <w:sz w:val="22"/>
              </w:rPr>
            </w:pPr>
            <w:r>
              <w:rPr>
                <w:sz w:val="22"/>
              </w:rPr>
              <w:t>143</w:t>
            </w:r>
          </w:p>
        </w:tc>
      </w:tr>
    </w:tbl>
    <w:p>
      <w:pPr>
        <w:pStyle w:val="BodyText"/>
        <w:rPr>
          <w:b/>
          <w:sz w:val="20"/>
        </w:rPr>
      </w:pPr>
    </w:p>
    <w:p>
      <w:pPr>
        <w:pStyle w:val="BodyText"/>
        <w:spacing w:before="7"/>
        <w:rPr>
          <w:b/>
          <w:sz w:val="23"/>
        </w:rPr>
      </w:pPr>
    </w:p>
    <w:p>
      <w:pPr>
        <w:spacing w:before="49"/>
        <w:ind w:left="302" w:right="1144" w:firstLine="0"/>
        <w:jc w:val="left"/>
        <w:rPr>
          <w:b/>
          <w:sz w:val="40"/>
        </w:rPr>
      </w:pPr>
      <w:r>
        <w:rPr>
          <w:b/>
          <w:sz w:val="40"/>
        </w:rPr>
        <w:t>Índice de Tablas</w:t>
      </w:r>
    </w:p>
    <w:p>
      <w:pPr>
        <w:pStyle w:val="BodyText"/>
        <w:rPr>
          <w:b/>
          <w:sz w:val="20"/>
        </w:rPr>
      </w:pPr>
    </w:p>
    <w:p>
      <w:pPr>
        <w:pStyle w:val="BodyText"/>
        <w:spacing w:before="2"/>
        <w:rPr>
          <w:b/>
          <w:sz w:val="19"/>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07"/>
        <w:gridCol w:w="7165"/>
        <w:gridCol w:w="691"/>
      </w:tblGrid>
      <w:tr>
        <w:trPr>
          <w:trHeight w:val="301" w:hRule="exact"/>
        </w:trPr>
        <w:tc>
          <w:tcPr>
            <w:tcW w:w="1307" w:type="dxa"/>
          </w:tcPr>
          <w:p>
            <w:pPr>
              <w:pStyle w:val="TableParagraph"/>
              <w:spacing w:line="225" w:lineRule="exact"/>
              <w:ind w:left="200"/>
              <w:jc w:val="left"/>
              <w:rPr>
                <w:sz w:val="22"/>
              </w:rPr>
            </w:pPr>
            <w:r>
              <w:rPr>
                <w:sz w:val="22"/>
              </w:rPr>
              <w:t>Tabla 1.1</w:t>
            </w:r>
          </w:p>
        </w:tc>
        <w:tc>
          <w:tcPr>
            <w:tcW w:w="7165" w:type="dxa"/>
          </w:tcPr>
          <w:p>
            <w:pPr>
              <w:pStyle w:val="TableParagraph"/>
              <w:spacing w:line="225" w:lineRule="exact"/>
              <w:ind w:left="274" w:right="104"/>
              <w:jc w:val="left"/>
              <w:rPr>
                <w:sz w:val="22"/>
              </w:rPr>
            </w:pPr>
            <w:r>
              <w:rPr>
                <w:sz w:val="22"/>
              </w:rPr>
              <w:t>Parámetros importantes de los nanomateriales de carbono</w:t>
            </w:r>
          </w:p>
        </w:tc>
        <w:tc>
          <w:tcPr>
            <w:tcW w:w="691" w:type="dxa"/>
          </w:tcPr>
          <w:p>
            <w:pPr>
              <w:pStyle w:val="TableParagraph"/>
              <w:spacing w:line="225" w:lineRule="exact"/>
              <w:ind w:right="198"/>
              <w:jc w:val="right"/>
              <w:rPr>
                <w:sz w:val="22"/>
              </w:rPr>
            </w:pPr>
            <w:r>
              <w:rPr>
                <w:w w:val="100"/>
                <w:sz w:val="22"/>
              </w:rPr>
              <w:t>4</w:t>
            </w:r>
          </w:p>
        </w:tc>
      </w:tr>
      <w:tr>
        <w:trPr>
          <w:trHeight w:val="381" w:hRule="exact"/>
        </w:trPr>
        <w:tc>
          <w:tcPr>
            <w:tcW w:w="1307" w:type="dxa"/>
          </w:tcPr>
          <w:p>
            <w:pPr>
              <w:pStyle w:val="TableParagraph"/>
              <w:spacing w:before="52"/>
              <w:ind w:left="200"/>
              <w:jc w:val="left"/>
              <w:rPr>
                <w:sz w:val="22"/>
              </w:rPr>
            </w:pPr>
            <w:r>
              <w:rPr>
                <w:sz w:val="22"/>
              </w:rPr>
              <w:t>Tabla 1.2</w:t>
            </w:r>
          </w:p>
        </w:tc>
        <w:tc>
          <w:tcPr>
            <w:tcW w:w="7165" w:type="dxa"/>
          </w:tcPr>
          <w:p>
            <w:pPr>
              <w:pStyle w:val="TableParagraph"/>
              <w:spacing w:before="52"/>
              <w:ind w:left="274" w:right="104"/>
              <w:jc w:val="left"/>
              <w:rPr>
                <w:sz w:val="22"/>
              </w:rPr>
            </w:pPr>
            <w:r>
              <w:rPr>
                <w:sz w:val="22"/>
              </w:rPr>
              <w:t>Propiedades del grafeno, CNTs, acero tamaño nanométrico y polímeros</w:t>
            </w:r>
          </w:p>
        </w:tc>
        <w:tc>
          <w:tcPr>
            <w:tcW w:w="691" w:type="dxa"/>
          </w:tcPr>
          <w:p>
            <w:pPr>
              <w:pStyle w:val="TableParagraph"/>
              <w:spacing w:before="52"/>
              <w:ind w:right="198"/>
              <w:jc w:val="right"/>
              <w:rPr>
                <w:sz w:val="22"/>
              </w:rPr>
            </w:pPr>
            <w:r>
              <w:rPr>
                <w:sz w:val="22"/>
              </w:rPr>
              <w:t>15</w:t>
            </w:r>
          </w:p>
        </w:tc>
      </w:tr>
      <w:tr>
        <w:trPr>
          <w:trHeight w:val="380" w:hRule="exact"/>
        </w:trPr>
        <w:tc>
          <w:tcPr>
            <w:tcW w:w="1307" w:type="dxa"/>
          </w:tcPr>
          <w:p>
            <w:pPr>
              <w:pStyle w:val="TableParagraph"/>
              <w:spacing w:before="51"/>
              <w:ind w:left="200"/>
              <w:jc w:val="left"/>
              <w:rPr>
                <w:sz w:val="22"/>
              </w:rPr>
            </w:pPr>
            <w:r>
              <w:rPr>
                <w:sz w:val="22"/>
              </w:rPr>
              <w:t>Tabla 1.3</w:t>
            </w:r>
          </w:p>
        </w:tc>
        <w:tc>
          <w:tcPr>
            <w:tcW w:w="7165" w:type="dxa"/>
          </w:tcPr>
          <w:p>
            <w:pPr>
              <w:pStyle w:val="TableParagraph"/>
              <w:spacing w:before="51"/>
              <w:ind w:left="274" w:right="104"/>
              <w:jc w:val="left"/>
              <w:rPr>
                <w:sz w:val="22"/>
              </w:rPr>
            </w:pPr>
            <w:r>
              <w:rPr>
                <w:sz w:val="22"/>
              </w:rPr>
              <w:t>Clasificación de los polímeros naturales y sintéticos</w:t>
            </w:r>
          </w:p>
        </w:tc>
        <w:tc>
          <w:tcPr>
            <w:tcW w:w="691" w:type="dxa"/>
          </w:tcPr>
          <w:p>
            <w:pPr>
              <w:pStyle w:val="TableParagraph"/>
              <w:spacing w:before="51"/>
              <w:ind w:right="198"/>
              <w:jc w:val="right"/>
              <w:rPr>
                <w:sz w:val="22"/>
              </w:rPr>
            </w:pPr>
            <w:r>
              <w:rPr>
                <w:sz w:val="22"/>
              </w:rPr>
              <w:t>16</w:t>
            </w:r>
          </w:p>
        </w:tc>
      </w:tr>
      <w:tr>
        <w:trPr>
          <w:trHeight w:val="379" w:hRule="exact"/>
        </w:trPr>
        <w:tc>
          <w:tcPr>
            <w:tcW w:w="1307" w:type="dxa"/>
          </w:tcPr>
          <w:p>
            <w:pPr>
              <w:pStyle w:val="TableParagraph"/>
              <w:spacing w:before="51"/>
              <w:ind w:left="200"/>
              <w:jc w:val="left"/>
              <w:rPr>
                <w:sz w:val="22"/>
              </w:rPr>
            </w:pPr>
            <w:r>
              <w:rPr>
                <w:sz w:val="22"/>
              </w:rPr>
              <w:t>Tabla 1.4</w:t>
            </w:r>
          </w:p>
        </w:tc>
        <w:tc>
          <w:tcPr>
            <w:tcW w:w="7165" w:type="dxa"/>
          </w:tcPr>
          <w:p>
            <w:pPr>
              <w:pStyle w:val="TableParagraph"/>
              <w:spacing w:before="51"/>
              <w:ind w:left="274" w:right="104"/>
              <w:jc w:val="left"/>
              <w:rPr>
                <w:sz w:val="22"/>
              </w:rPr>
            </w:pPr>
            <w:r>
              <w:rPr>
                <w:sz w:val="22"/>
              </w:rPr>
              <w:t>Propiedades típicas del las fibras de nylon 6,6</w:t>
            </w:r>
          </w:p>
        </w:tc>
        <w:tc>
          <w:tcPr>
            <w:tcW w:w="691" w:type="dxa"/>
          </w:tcPr>
          <w:p>
            <w:pPr>
              <w:pStyle w:val="TableParagraph"/>
              <w:spacing w:before="51"/>
              <w:ind w:right="198"/>
              <w:jc w:val="right"/>
              <w:rPr>
                <w:sz w:val="22"/>
              </w:rPr>
            </w:pPr>
            <w:r>
              <w:rPr>
                <w:sz w:val="22"/>
              </w:rPr>
              <w:t>33</w:t>
            </w:r>
          </w:p>
        </w:tc>
      </w:tr>
      <w:tr>
        <w:trPr>
          <w:trHeight w:val="379" w:hRule="exact"/>
        </w:trPr>
        <w:tc>
          <w:tcPr>
            <w:tcW w:w="1307" w:type="dxa"/>
          </w:tcPr>
          <w:p>
            <w:pPr>
              <w:pStyle w:val="TableParagraph"/>
              <w:spacing w:before="51"/>
              <w:ind w:left="200"/>
              <w:jc w:val="left"/>
              <w:rPr>
                <w:sz w:val="22"/>
              </w:rPr>
            </w:pPr>
            <w:r>
              <w:rPr>
                <w:sz w:val="22"/>
              </w:rPr>
              <w:t>Tabla 4.1</w:t>
            </w:r>
          </w:p>
        </w:tc>
        <w:tc>
          <w:tcPr>
            <w:tcW w:w="7165" w:type="dxa"/>
          </w:tcPr>
          <w:p>
            <w:pPr>
              <w:pStyle w:val="TableParagraph"/>
              <w:spacing w:before="51"/>
              <w:ind w:left="274" w:right="104"/>
              <w:jc w:val="left"/>
              <w:rPr>
                <w:i/>
                <w:sz w:val="22"/>
              </w:rPr>
            </w:pPr>
            <w:r>
              <w:rPr>
                <w:sz w:val="22"/>
              </w:rPr>
              <w:t>Resultados de DSC de los nanocompositos obtenidos por </w:t>
            </w:r>
            <w:r>
              <w:rPr>
                <w:i/>
                <w:sz w:val="22"/>
              </w:rPr>
              <w:t>electrospinning</w:t>
            </w:r>
          </w:p>
        </w:tc>
        <w:tc>
          <w:tcPr>
            <w:tcW w:w="691" w:type="dxa"/>
          </w:tcPr>
          <w:p>
            <w:pPr>
              <w:pStyle w:val="TableParagraph"/>
              <w:spacing w:before="51"/>
              <w:ind w:right="198"/>
              <w:jc w:val="right"/>
              <w:rPr>
                <w:sz w:val="22"/>
              </w:rPr>
            </w:pPr>
            <w:r>
              <w:rPr>
                <w:sz w:val="22"/>
              </w:rPr>
              <w:t>110</w:t>
            </w:r>
          </w:p>
        </w:tc>
      </w:tr>
      <w:tr>
        <w:trPr>
          <w:trHeight w:val="379" w:hRule="exact"/>
        </w:trPr>
        <w:tc>
          <w:tcPr>
            <w:tcW w:w="1307" w:type="dxa"/>
          </w:tcPr>
          <w:p>
            <w:pPr>
              <w:pStyle w:val="TableParagraph"/>
              <w:spacing w:before="51"/>
              <w:ind w:left="200"/>
              <w:jc w:val="left"/>
              <w:rPr>
                <w:sz w:val="22"/>
              </w:rPr>
            </w:pPr>
            <w:r>
              <w:rPr>
                <w:sz w:val="22"/>
              </w:rPr>
              <w:t>Tabla 4.2</w:t>
            </w:r>
          </w:p>
        </w:tc>
        <w:tc>
          <w:tcPr>
            <w:tcW w:w="7165" w:type="dxa"/>
          </w:tcPr>
          <w:p>
            <w:pPr>
              <w:pStyle w:val="TableParagraph"/>
              <w:spacing w:before="51"/>
              <w:ind w:left="274" w:right="104"/>
              <w:jc w:val="left"/>
              <w:rPr>
                <w:i/>
                <w:sz w:val="22"/>
              </w:rPr>
            </w:pPr>
            <w:r>
              <w:rPr>
                <w:sz w:val="22"/>
              </w:rPr>
              <w:t>Resultados de WAXD de los nanocompositos obtenidos por </w:t>
            </w:r>
            <w:r>
              <w:rPr>
                <w:i/>
                <w:sz w:val="22"/>
              </w:rPr>
              <w:t>electrospinning</w:t>
            </w:r>
          </w:p>
        </w:tc>
        <w:tc>
          <w:tcPr>
            <w:tcW w:w="691" w:type="dxa"/>
          </w:tcPr>
          <w:p>
            <w:pPr>
              <w:pStyle w:val="TableParagraph"/>
              <w:spacing w:before="51"/>
              <w:ind w:right="198"/>
              <w:jc w:val="right"/>
              <w:rPr>
                <w:sz w:val="22"/>
              </w:rPr>
            </w:pPr>
            <w:r>
              <w:rPr>
                <w:sz w:val="22"/>
              </w:rPr>
              <w:t>111</w:t>
            </w:r>
          </w:p>
        </w:tc>
      </w:tr>
      <w:tr>
        <w:trPr>
          <w:trHeight w:val="379" w:hRule="exact"/>
        </w:trPr>
        <w:tc>
          <w:tcPr>
            <w:tcW w:w="1307" w:type="dxa"/>
          </w:tcPr>
          <w:p>
            <w:pPr>
              <w:pStyle w:val="TableParagraph"/>
              <w:spacing w:before="51"/>
              <w:ind w:left="200"/>
              <w:jc w:val="left"/>
              <w:rPr>
                <w:sz w:val="22"/>
              </w:rPr>
            </w:pPr>
            <w:r>
              <w:rPr>
                <w:sz w:val="22"/>
              </w:rPr>
              <w:t>Tabla 4.3</w:t>
            </w:r>
          </w:p>
        </w:tc>
        <w:tc>
          <w:tcPr>
            <w:tcW w:w="7165" w:type="dxa"/>
          </w:tcPr>
          <w:p>
            <w:pPr>
              <w:pStyle w:val="TableParagraph"/>
              <w:spacing w:before="51"/>
              <w:ind w:left="274" w:right="104"/>
              <w:jc w:val="left"/>
              <w:rPr>
                <w:i/>
                <w:sz w:val="22"/>
              </w:rPr>
            </w:pPr>
            <w:r>
              <w:rPr>
                <w:sz w:val="22"/>
              </w:rPr>
              <w:t>Resultados de DMA de los nanocompositos obtenidos por </w:t>
            </w:r>
            <w:r>
              <w:rPr>
                <w:i/>
                <w:sz w:val="22"/>
              </w:rPr>
              <w:t>electrospinning</w:t>
            </w:r>
          </w:p>
        </w:tc>
        <w:tc>
          <w:tcPr>
            <w:tcW w:w="691" w:type="dxa"/>
          </w:tcPr>
          <w:p>
            <w:pPr>
              <w:pStyle w:val="TableParagraph"/>
              <w:spacing w:before="51"/>
              <w:ind w:right="198"/>
              <w:jc w:val="right"/>
              <w:rPr>
                <w:sz w:val="22"/>
              </w:rPr>
            </w:pPr>
            <w:r>
              <w:rPr>
                <w:sz w:val="22"/>
              </w:rPr>
              <w:t>112</w:t>
            </w:r>
          </w:p>
        </w:tc>
      </w:tr>
      <w:tr>
        <w:trPr>
          <w:trHeight w:val="379" w:hRule="exact"/>
        </w:trPr>
        <w:tc>
          <w:tcPr>
            <w:tcW w:w="1307" w:type="dxa"/>
          </w:tcPr>
          <w:p>
            <w:pPr>
              <w:pStyle w:val="TableParagraph"/>
              <w:spacing w:before="51"/>
              <w:ind w:left="200"/>
              <w:jc w:val="left"/>
              <w:rPr>
                <w:sz w:val="22"/>
              </w:rPr>
            </w:pPr>
            <w:r>
              <w:rPr>
                <w:sz w:val="22"/>
              </w:rPr>
              <w:t>Tabla 4.4</w:t>
            </w:r>
          </w:p>
        </w:tc>
        <w:tc>
          <w:tcPr>
            <w:tcW w:w="7165" w:type="dxa"/>
          </w:tcPr>
          <w:p>
            <w:pPr>
              <w:pStyle w:val="TableParagraph"/>
              <w:spacing w:before="51"/>
              <w:ind w:left="274" w:right="104"/>
              <w:jc w:val="left"/>
              <w:rPr>
                <w:i/>
                <w:sz w:val="22"/>
              </w:rPr>
            </w:pPr>
            <w:r>
              <w:rPr>
                <w:sz w:val="22"/>
              </w:rPr>
              <w:t>Resultados de TGA de los nanocompositos obtenidos por </w:t>
            </w:r>
            <w:r>
              <w:rPr>
                <w:i/>
                <w:sz w:val="22"/>
              </w:rPr>
              <w:t>electrospinning</w:t>
            </w:r>
          </w:p>
        </w:tc>
        <w:tc>
          <w:tcPr>
            <w:tcW w:w="691" w:type="dxa"/>
          </w:tcPr>
          <w:p>
            <w:pPr>
              <w:pStyle w:val="TableParagraph"/>
              <w:spacing w:before="51"/>
              <w:ind w:right="198"/>
              <w:jc w:val="right"/>
              <w:rPr>
                <w:sz w:val="22"/>
              </w:rPr>
            </w:pPr>
            <w:r>
              <w:rPr>
                <w:sz w:val="22"/>
              </w:rPr>
              <w:t>112</w:t>
            </w:r>
          </w:p>
        </w:tc>
      </w:tr>
      <w:tr>
        <w:trPr>
          <w:trHeight w:val="760" w:hRule="exact"/>
        </w:trPr>
        <w:tc>
          <w:tcPr>
            <w:tcW w:w="1307" w:type="dxa"/>
          </w:tcPr>
          <w:p>
            <w:pPr>
              <w:pStyle w:val="TableParagraph"/>
              <w:spacing w:before="51"/>
              <w:ind w:left="200"/>
              <w:jc w:val="left"/>
              <w:rPr>
                <w:sz w:val="22"/>
              </w:rPr>
            </w:pPr>
            <w:r>
              <w:rPr>
                <w:sz w:val="22"/>
              </w:rPr>
              <w:t>Tabla 4.5</w:t>
            </w:r>
          </w:p>
        </w:tc>
        <w:tc>
          <w:tcPr>
            <w:tcW w:w="7165" w:type="dxa"/>
          </w:tcPr>
          <w:p>
            <w:pPr>
              <w:pStyle w:val="TableParagraph"/>
              <w:spacing w:line="360" w:lineRule="auto" w:before="51"/>
              <w:ind w:left="274" w:right="104"/>
              <w:jc w:val="left"/>
              <w:rPr>
                <w:sz w:val="22"/>
              </w:rPr>
            </w:pPr>
            <w:r>
              <w:rPr>
                <w:sz w:val="22"/>
              </w:rPr>
              <w:t>Resultados de DSC de los nanocompositos obtenidos mediante moldeo por inyección</w:t>
            </w:r>
          </w:p>
        </w:tc>
        <w:tc>
          <w:tcPr>
            <w:tcW w:w="691" w:type="dxa"/>
          </w:tcPr>
          <w:p>
            <w:pPr>
              <w:pStyle w:val="TableParagraph"/>
              <w:jc w:val="left"/>
              <w:rPr>
                <w:b/>
                <w:sz w:val="22"/>
              </w:rPr>
            </w:pPr>
          </w:p>
          <w:p>
            <w:pPr>
              <w:pStyle w:val="TableParagraph"/>
              <w:spacing w:before="177"/>
              <w:ind w:right="198"/>
              <w:jc w:val="right"/>
              <w:rPr>
                <w:sz w:val="22"/>
              </w:rPr>
            </w:pPr>
            <w:r>
              <w:rPr>
                <w:sz w:val="22"/>
              </w:rPr>
              <w:t>113</w:t>
            </w:r>
          </w:p>
        </w:tc>
      </w:tr>
      <w:tr>
        <w:trPr>
          <w:trHeight w:val="760" w:hRule="exact"/>
        </w:trPr>
        <w:tc>
          <w:tcPr>
            <w:tcW w:w="1307" w:type="dxa"/>
          </w:tcPr>
          <w:p>
            <w:pPr>
              <w:pStyle w:val="TableParagraph"/>
              <w:spacing w:before="53"/>
              <w:ind w:left="200"/>
              <w:jc w:val="left"/>
              <w:rPr>
                <w:sz w:val="22"/>
              </w:rPr>
            </w:pPr>
            <w:r>
              <w:rPr>
                <w:sz w:val="22"/>
              </w:rPr>
              <w:t>Tabla 4.6</w:t>
            </w:r>
          </w:p>
        </w:tc>
        <w:tc>
          <w:tcPr>
            <w:tcW w:w="7165" w:type="dxa"/>
          </w:tcPr>
          <w:p>
            <w:pPr>
              <w:pStyle w:val="TableParagraph"/>
              <w:spacing w:line="360" w:lineRule="auto" w:before="53"/>
              <w:ind w:left="274" w:right="104"/>
              <w:jc w:val="left"/>
              <w:rPr>
                <w:sz w:val="22"/>
              </w:rPr>
            </w:pPr>
            <w:r>
              <w:rPr>
                <w:sz w:val="22"/>
              </w:rPr>
              <w:t>Resultados de WAXD de los nanocompositos obtenidos mediante moldeo por inyección</w:t>
            </w:r>
          </w:p>
        </w:tc>
        <w:tc>
          <w:tcPr>
            <w:tcW w:w="691" w:type="dxa"/>
          </w:tcPr>
          <w:p>
            <w:pPr>
              <w:pStyle w:val="TableParagraph"/>
              <w:jc w:val="left"/>
              <w:rPr>
                <w:b/>
                <w:sz w:val="22"/>
              </w:rPr>
            </w:pPr>
          </w:p>
          <w:p>
            <w:pPr>
              <w:pStyle w:val="TableParagraph"/>
              <w:spacing w:before="179"/>
              <w:ind w:right="198"/>
              <w:jc w:val="right"/>
              <w:rPr>
                <w:sz w:val="22"/>
              </w:rPr>
            </w:pPr>
            <w:r>
              <w:rPr>
                <w:sz w:val="22"/>
              </w:rPr>
              <w:t>113</w:t>
            </w:r>
          </w:p>
        </w:tc>
      </w:tr>
      <w:tr>
        <w:trPr>
          <w:trHeight w:val="758" w:hRule="exact"/>
        </w:trPr>
        <w:tc>
          <w:tcPr>
            <w:tcW w:w="1307" w:type="dxa"/>
          </w:tcPr>
          <w:p>
            <w:pPr>
              <w:pStyle w:val="TableParagraph"/>
              <w:spacing w:before="51"/>
              <w:ind w:left="200"/>
              <w:jc w:val="left"/>
              <w:rPr>
                <w:sz w:val="22"/>
              </w:rPr>
            </w:pPr>
            <w:r>
              <w:rPr>
                <w:sz w:val="22"/>
              </w:rPr>
              <w:t>Tabla 4.7</w:t>
            </w:r>
          </w:p>
        </w:tc>
        <w:tc>
          <w:tcPr>
            <w:tcW w:w="7165" w:type="dxa"/>
          </w:tcPr>
          <w:p>
            <w:pPr>
              <w:pStyle w:val="TableParagraph"/>
              <w:spacing w:line="360" w:lineRule="auto" w:before="51"/>
              <w:ind w:left="274" w:right="104"/>
              <w:jc w:val="left"/>
              <w:rPr>
                <w:sz w:val="22"/>
              </w:rPr>
            </w:pPr>
            <w:r>
              <w:rPr>
                <w:sz w:val="22"/>
              </w:rPr>
              <w:t>Resultados de DMA de los nanocompositos obtenidos mediante moldeo por inyección</w:t>
            </w:r>
          </w:p>
        </w:tc>
        <w:tc>
          <w:tcPr>
            <w:tcW w:w="691" w:type="dxa"/>
          </w:tcPr>
          <w:p>
            <w:pPr>
              <w:pStyle w:val="TableParagraph"/>
              <w:jc w:val="left"/>
              <w:rPr>
                <w:b/>
                <w:sz w:val="22"/>
              </w:rPr>
            </w:pPr>
          </w:p>
          <w:p>
            <w:pPr>
              <w:pStyle w:val="TableParagraph"/>
              <w:spacing w:before="177"/>
              <w:ind w:right="198"/>
              <w:jc w:val="right"/>
              <w:rPr>
                <w:sz w:val="22"/>
              </w:rPr>
            </w:pPr>
            <w:r>
              <w:rPr>
                <w:sz w:val="22"/>
              </w:rPr>
              <w:t>114</w:t>
            </w:r>
          </w:p>
        </w:tc>
      </w:tr>
      <w:tr>
        <w:trPr>
          <w:trHeight w:val="758" w:hRule="exact"/>
        </w:trPr>
        <w:tc>
          <w:tcPr>
            <w:tcW w:w="1307" w:type="dxa"/>
          </w:tcPr>
          <w:p>
            <w:pPr>
              <w:pStyle w:val="TableParagraph"/>
              <w:spacing w:before="51"/>
              <w:ind w:left="200"/>
              <w:jc w:val="left"/>
              <w:rPr>
                <w:sz w:val="22"/>
              </w:rPr>
            </w:pPr>
            <w:r>
              <w:rPr>
                <w:sz w:val="22"/>
              </w:rPr>
              <w:t>Tabla 4.8</w:t>
            </w:r>
          </w:p>
        </w:tc>
        <w:tc>
          <w:tcPr>
            <w:tcW w:w="7165" w:type="dxa"/>
          </w:tcPr>
          <w:p>
            <w:pPr>
              <w:pStyle w:val="TableParagraph"/>
              <w:spacing w:line="360" w:lineRule="auto" w:before="51"/>
              <w:ind w:left="274" w:right="104"/>
              <w:jc w:val="left"/>
              <w:rPr>
                <w:sz w:val="22"/>
              </w:rPr>
            </w:pPr>
            <w:r>
              <w:rPr>
                <w:sz w:val="22"/>
              </w:rPr>
              <w:t>Resultados de TGA de los nanocompositos obtenidos mediante moldeo por inyección</w:t>
            </w:r>
          </w:p>
        </w:tc>
        <w:tc>
          <w:tcPr>
            <w:tcW w:w="691" w:type="dxa"/>
          </w:tcPr>
          <w:p>
            <w:pPr>
              <w:pStyle w:val="TableParagraph"/>
              <w:jc w:val="left"/>
              <w:rPr>
                <w:b/>
                <w:sz w:val="22"/>
              </w:rPr>
            </w:pPr>
          </w:p>
          <w:p>
            <w:pPr>
              <w:pStyle w:val="TableParagraph"/>
              <w:spacing w:before="177"/>
              <w:ind w:right="198"/>
              <w:jc w:val="right"/>
              <w:rPr>
                <w:sz w:val="22"/>
              </w:rPr>
            </w:pPr>
            <w:r>
              <w:rPr>
                <w:sz w:val="22"/>
              </w:rPr>
              <w:t>114</w:t>
            </w:r>
          </w:p>
        </w:tc>
      </w:tr>
      <w:tr>
        <w:trPr>
          <w:trHeight w:val="300" w:hRule="exact"/>
        </w:trPr>
        <w:tc>
          <w:tcPr>
            <w:tcW w:w="1307" w:type="dxa"/>
          </w:tcPr>
          <w:p>
            <w:pPr>
              <w:pStyle w:val="TableParagraph"/>
              <w:spacing w:before="51"/>
              <w:ind w:left="200"/>
              <w:jc w:val="left"/>
              <w:rPr>
                <w:sz w:val="22"/>
              </w:rPr>
            </w:pPr>
            <w:r>
              <w:rPr>
                <w:sz w:val="22"/>
              </w:rPr>
              <w:t>Tabla A1</w:t>
            </w:r>
          </w:p>
        </w:tc>
        <w:tc>
          <w:tcPr>
            <w:tcW w:w="7165" w:type="dxa"/>
          </w:tcPr>
          <w:p>
            <w:pPr>
              <w:pStyle w:val="TableParagraph"/>
              <w:spacing w:before="51"/>
              <w:ind w:left="313" w:right="104"/>
              <w:jc w:val="left"/>
              <w:rPr>
                <w:sz w:val="22"/>
              </w:rPr>
            </w:pPr>
            <w:r>
              <w:rPr>
                <w:sz w:val="22"/>
              </w:rPr>
              <w:t>Espaciamientos de los planos de difracción del nylon 6,6 y nanocompositos</w:t>
            </w:r>
          </w:p>
        </w:tc>
        <w:tc>
          <w:tcPr>
            <w:tcW w:w="691" w:type="dxa"/>
          </w:tcPr>
          <w:p>
            <w:pPr>
              <w:pStyle w:val="TableParagraph"/>
              <w:spacing w:before="51"/>
              <w:ind w:right="198"/>
              <w:jc w:val="right"/>
              <w:rPr>
                <w:sz w:val="22"/>
              </w:rPr>
            </w:pPr>
            <w:r>
              <w:rPr>
                <w:sz w:val="22"/>
              </w:rPr>
              <w:t>143</w:t>
            </w:r>
          </w:p>
        </w:tc>
      </w:tr>
    </w:tbl>
    <w:p>
      <w:pPr>
        <w:spacing w:after="0"/>
        <w:jc w:val="right"/>
        <w:rPr>
          <w:sz w:val="22"/>
        </w:rPr>
        <w:sectPr>
          <w:pgSz w:w="12240" w:h="15840"/>
          <w:pgMar w:header="724" w:footer="1062" w:top="920" w:bottom="1260" w:left="1400" w:right="1460"/>
        </w:sectPr>
      </w:pPr>
    </w:p>
    <w:p>
      <w:pPr>
        <w:pStyle w:val="BodyText"/>
        <w:rPr>
          <w:b/>
          <w:sz w:val="20"/>
        </w:rPr>
      </w:pPr>
    </w:p>
    <w:p>
      <w:pPr>
        <w:pStyle w:val="BodyText"/>
        <w:spacing w:before="7"/>
        <w:rPr>
          <w:b/>
          <w:sz w:val="18"/>
        </w:rPr>
      </w:pPr>
    </w:p>
    <w:p>
      <w:pPr>
        <w:spacing w:before="49"/>
        <w:ind w:left="302" w:right="0" w:firstLine="0"/>
        <w:jc w:val="left"/>
        <w:rPr>
          <w:b/>
          <w:sz w:val="40"/>
        </w:rPr>
      </w:pPr>
      <w:r>
        <w:rPr>
          <w:b/>
          <w:sz w:val="40"/>
        </w:rPr>
        <w:t>Lista de abreviaturas</w:t>
      </w:r>
    </w:p>
    <w:p>
      <w:pPr>
        <w:pStyle w:val="BodyText"/>
        <w:rPr>
          <w:b/>
          <w:sz w:val="20"/>
        </w:rPr>
      </w:pPr>
    </w:p>
    <w:p>
      <w:pPr>
        <w:pStyle w:val="BodyText"/>
        <w:spacing w:before="4" w:after="1"/>
        <w:rPr>
          <w:b/>
          <w:sz w:val="19"/>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19"/>
        <w:gridCol w:w="7434"/>
      </w:tblGrid>
      <w:tr>
        <w:trPr>
          <w:trHeight w:val="280" w:hRule="exact"/>
        </w:trPr>
        <w:tc>
          <w:tcPr>
            <w:tcW w:w="1219" w:type="dxa"/>
          </w:tcPr>
          <w:p>
            <w:pPr>
              <w:pStyle w:val="TableParagraph"/>
              <w:spacing w:line="225" w:lineRule="exact"/>
              <w:ind w:left="200"/>
              <w:jc w:val="left"/>
              <w:rPr>
                <w:sz w:val="22"/>
              </w:rPr>
            </w:pPr>
            <w:r>
              <w:rPr>
                <w:sz w:val="22"/>
              </w:rPr>
              <w:t>0D</w:t>
            </w:r>
          </w:p>
        </w:tc>
        <w:tc>
          <w:tcPr>
            <w:tcW w:w="7434" w:type="dxa"/>
          </w:tcPr>
          <w:p>
            <w:pPr>
              <w:pStyle w:val="TableParagraph"/>
              <w:spacing w:line="225" w:lineRule="exact"/>
              <w:ind w:left="222"/>
              <w:jc w:val="left"/>
              <w:rPr>
                <w:sz w:val="22"/>
              </w:rPr>
            </w:pPr>
            <w:r>
              <w:rPr>
                <w:sz w:val="22"/>
              </w:rPr>
              <w:t>Cero dimensional</w:t>
            </w:r>
          </w:p>
        </w:tc>
      </w:tr>
      <w:tr>
        <w:trPr>
          <w:trHeight w:val="340" w:hRule="exact"/>
        </w:trPr>
        <w:tc>
          <w:tcPr>
            <w:tcW w:w="1219" w:type="dxa"/>
          </w:tcPr>
          <w:p>
            <w:pPr>
              <w:pStyle w:val="TableParagraph"/>
              <w:spacing w:before="31"/>
              <w:ind w:left="200"/>
              <w:jc w:val="left"/>
              <w:rPr>
                <w:sz w:val="22"/>
              </w:rPr>
            </w:pPr>
            <w:r>
              <w:rPr>
                <w:sz w:val="22"/>
              </w:rPr>
              <w:t>1D</w:t>
            </w:r>
          </w:p>
        </w:tc>
        <w:tc>
          <w:tcPr>
            <w:tcW w:w="7434" w:type="dxa"/>
          </w:tcPr>
          <w:p>
            <w:pPr>
              <w:pStyle w:val="TableParagraph"/>
              <w:spacing w:before="31"/>
              <w:ind w:left="222"/>
              <w:jc w:val="left"/>
              <w:rPr>
                <w:sz w:val="22"/>
              </w:rPr>
            </w:pPr>
            <w:r>
              <w:rPr>
                <w:sz w:val="22"/>
              </w:rPr>
              <w:t>Unidimensional</w:t>
            </w:r>
          </w:p>
        </w:tc>
      </w:tr>
      <w:tr>
        <w:trPr>
          <w:trHeight w:val="341" w:hRule="exact"/>
        </w:trPr>
        <w:tc>
          <w:tcPr>
            <w:tcW w:w="1219" w:type="dxa"/>
          </w:tcPr>
          <w:p>
            <w:pPr>
              <w:pStyle w:val="TableParagraph"/>
              <w:spacing w:before="32"/>
              <w:ind w:left="200"/>
              <w:jc w:val="left"/>
              <w:rPr>
                <w:sz w:val="22"/>
              </w:rPr>
            </w:pPr>
            <w:r>
              <w:rPr>
                <w:sz w:val="22"/>
              </w:rPr>
              <w:t>2D</w:t>
            </w:r>
          </w:p>
        </w:tc>
        <w:tc>
          <w:tcPr>
            <w:tcW w:w="7434" w:type="dxa"/>
          </w:tcPr>
          <w:p>
            <w:pPr>
              <w:pStyle w:val="TableParagraph"/>
              <w:spacing w:before="32"/>
              <w:ind w:left="222"/>
              <w:jc w:val="left"/>
              <w:rPr>
                <w:sz w:val="22"/>
              </w:rPr>
            </w:pPr>
            <w:r>
              <w:rPr>
                <w:sz w:val="22"/>
              </w:rPr>
              <w:t>Bidimensional</w:t>
            </w:r>
          </w:p>
        </w:tc>
      </w:tr>
      <w:tr>
        <w:trPr>
          <w:trHeight w:val="340" w:hRule="exact"/>
        </w:trPr>
        <w:tc>
          <w:tcPr>
            <w:tcW w:w="1219" w:type="dxa"/>
          </w:tcPr>
          <w:p>
            <w:pPr>
              <w:pStyle w:val="TableParagraph"/>
              <w:spacing w:before="32"/>
              <w:ind w:left="200"/>
              <w:jc w:val="left"/>
              <w:rPr>
                <w:sz w:val="22"/>
              </w:rPr>
            </w:pPr>
            <w:r>
              <w:rPr>
                <w:sz w:val="22"/>
              </w:rPr>
              <w:t>3D</w:t>
            </w:r>
          </w:p>
        </w:tc>
        <w:tc>
          <w:tcPr>
            <w:tcW w:w="7434" w:type="dxa"/>
          </w:tcPr>
          <w:p>
            <w:pPr>
              <w:pStyle w:val="TableParagraph"/>
              <w:spacing w:before="32"/>
              <w:ind w:left="222"/>
              <w:jc w:val="left"/>
              <w:rPr>
                <w:sz w:val="22"/>
              </w:rPr>
            </w:pPr>
            <w:r>
              <w:rPr>
                <w:sz w:val="22"/>
              </w:rPr>
              <w:t>Tridimensional</w:t>
            </w:r>
          </w:p>
        </w:tc>
      </w:tr>
      <w:tr>
        <w:trPr>
          <w:trHeight w:val="361" w:hRule="exact"/>
        </w:trPr>
        <w:tc>
          <w:tcPr>
            <w:tcW w:w="1219" w:type="dxa"/>
          </w:tcPr>
          <w:p>
            <w:pPr>
              <w:pStyle w:val="TableParagraph"/>
              <w:spacing w:before="144"/>
              <w:ind w:left="200"/>
              <w:jc w:val="left"/>
              <w:rPr>
                <w:rFonts w:ascii="Cambria Math"/>
                <w:sz w:val="16"/>
              </w:rPr>
            </w:pPr>
            <w:r>
              <w:rPr>
                <w:rFonts w:ascii="Cambria Math"/>
                <w:spacing w:val="-1"/>
                <w:w w:val="288"/>
                <w:sz w:val="22"/>
              </w:rPr>
              <w:t> </w:t>
            </w:r>
            <w:r>
              <w:rPr>
                <w:rFonts w:ascii="Cambria Math"/>
                <w:w w:val="230"/>
                <w:position w:val="-4"/>
                <w:sz w:val="16"/>
              </w:rPr>
              <w:t> </w:t>
            </w:r>
          </w:p>
        </w:tc>
        <w:tc>
          <w:tcPr>
            <w:tcW w:w="7434" w:type="dxa"/>
          </w:tcPr>
          <w:p>
            <w:pPr>
              <w:pStyle w:val="TableParagraph"/>
              <w:spacing w:before="31"/>
              <w:ind w:left="222"/>
              <w:jc w:val="left"/>
              <w:rPr>
                <w:sz w:val="22"/>
              </w:rPr>
            </w:pPr>
            <w:r>
              <w:rPr>
                <w:sz w:val="22"/>
              </w:rPr>
              <w:t>Área del pico cristalino</w:t>
            </w:r>
          </w:p>
        </w:tc>
      </w:tr>
      <w:tr>
        <w:trPr>
          <w:trHeight w:val="341" w:hRule="exact"/>
        </w:trPr>
        <w:tc>
          <w:tcPr>
            <w:tcW w:w="1219" w:type="dxa"/>
          </w:tcPr>
          <w:p>
            <w:pPr>
              <w:pStyle w:val="TableParagraph"/>
              <w:spacing w:before="124"/>
              <w:ind w:left="200"/>
              <w:jc w:val="left"/>
              <w:rPr>
                <w:rFonts w:ascii="Cambria Math"/>
                <w:sz w:val="16"/>
              </w:rPr>
            </w:pPr>
            <w:r>
              <w:rPr>
                <w:rFonts w:ascii="Cambria Math"/>
                <w:spacing w:val="-1"/>
                <w:w w:val="288"/>
                <w:sz w:val="22"/>
              </w:rPr>
              <w:t> </w:t>
            </w:r>
            <w:r>
              <w:rPr>
                <w:rFonts w:ascii="Cambria Math"/>
                <w:w w:val="285"/>
                <w:position w:val="-4"/>
                <w:sz w:val="16"/>
              </w:rPr>
              <w:t> </w:t>
            </w:r>
          </w:p>
        </w:tc>
        <w:tc>
          <w:tcPr>
            <w:tcW w:w="7434" w:type="dxa"/>
          </w:tcPr>
          <w:p>
            <w:pPr>
              <w:pStyle w:val="TableParagraph"/>
              <w:spacing w:before="11"/>
              <w:ind w:left="222"/>
              <w:jc w:val="left"/>
              <w:rPr>
                <w:sz w:val="22"/>
              </w:rPr>
            </w:pPr>
            <w:r>
              <w:rPr>
                <w:sz w:val="22"/>
              </w:rPr>
              <w:t>Área del halo amorfo</w:t>
            </w:r>
          </w:p>
        </w:tc>
      </w:tr>
      <w:tr>
        <w:trPr>
          <w:trHeight w:val="319" w:hRule="exact"/>
        </w:trPr>
        <w:tc>
          <w:tcPr>
            <w:tcW w:w="1219" w:type="dxa"/>
          </w:tcPr>
          <w:p>
            <w:pPr>
              <w:pStyle w:val="TableParagraph"/>
              <w:spacing w:before="11"/>
              <w:ind w:left="200"/>
              <w:jc w:val="left"/>
              <w:rPr>
                <w:i/>
                <w:sz w:val="22"/>
              </w:rPr>
            </w:pPr>
            <w:r>
              <w:rPr>
                <w:i/>
                <w:w w:val="100"/>
                <w:sz w:val="22"/>
              </w:rPr>
              <w:t>B</w:t>
            </w:r>
          </w:p>
        </w:tc>
        <w:tc>
          <w:tcPr>
            <w:tcW w:w="7434" w:type="dxa"/>
          </w:tcPr>
          <w:p>
            <w:pPr>
              <w:pStyle w:val="TableParagraph"/>
              <w:spacing w:before="11"/>
              <w:ind w:left="222"/>
              <w:jc w:val="left"/>
              <w:rPr>
                <w:sz w:val="22"/>
              </w:rPr>
            </w:pPr>
            <w:r>
              <w:rPr>
                <w:sz w:val="22"/>
              </w:rPr>
              <w:t>Ancho a la altura media del pico</w:t>
            </w:r>
          </w:p>
        </w:tc>
      </w:tr>
      <w:tr>
        <w:trPr>
          <w:trHeight w:val="348" w:hRule="exact"/>
        </w:trPr>
        <w:tc>
          <w:tcPr>
            <w:tcW w:w="1219" w:type="dxa"/>
          </w:tcPr>
          <w:p>
            <w:pPr>
              <w:pStyle w:val="TableParagraph"/>
              <w:spacing w:before="31"/>
              <w:ind w:left="200"/>
              <w:jc w:val="left"/>
              <w:rPr>
                <w:i/>
                <w:sz w:val="14"/>
              </w:rPr>
            </w:pPr>
            <w:r>
              <w:rPr>
                <w:i/>
                <w:sz w:val="22"/>
              </w:rPr>
              <w:t>b</w:t>
            </w:r>
            <w:r>
              <w:rPr>
                <w:i/>
                <w:position w:val="-2"/>
                <w:sz w:val="14"/>
              </w:rPr>
              <w:t>0</w:t>
            </w:r>
          </w:p>
        </w:tc>
        <w:tc>
          <w:tcPr>
            <w:tcW w:w="7434" w:type="dxa"/>
          </w:tcPr>
          <w:p>
            <w:pPr>
              <w:pStyle w:val="TableParagraph"/>
              <w:spacing w:before="31"/>
              <w:ind w:left="222"/>
              <w:jc w:val="left"/>
              <w:rPr>
                <w:sz w:val="22"/>
              </w:rPr>
            </w:pPr>
            <w:r>
              <w:rPr>
                <w:sz w:val="22"/>
              </w:rPr>
              <w:t>Factor de ensanchamiento instrumental</w:t>
            </w:r>
          </w:p>
        </w:tc>
      </w:tr>
      <w:tr>
        <w:trPr>
          <w:trHeight w:val="333" w:hRule="exact"/>
        </w:trPr>
        <w:tc>
          <w:tcPr>
            <w:tcW w:w="1219" w:type="dxa"/>
          </w:tcPr>
          <w:p>
            <w:pPr>
              <w:pStyle w:val="TableParagraph"/>
              <w:spacing w:before="24"/>
              <w:ind w:left="200"/>
              <w:jc w:val="left"/>
              <w:rPr>
                <w:sz w:val="22"/>
              </w:rPr>
            </w:pPr>
            <w:r>
              <w:rPr>
                <w:w w:val="100"/>
                <w:sz w:val="22"/>
              </w:rPr>
              <w:t>C</w:t>
            </w:r>
          </w:p>
        </w:tc>
        <w:tc>
          <w:tcPr>
            <w:tcW w:w="7434" w:type="dxa"/>
          </w:tcPr>
          <w:p>
            <w:pPr>
              <w:pStyle w:val="TableParagraph"/>
              <w:spacing w:before="24"/>
              <w:ind w:left="222"/>
              <w:jc w:val="left"/>
              <w:rPr>
                <w:sz w:val="22"/>
              </w:rPr>
            </w:pPr>
            <w:r>
              <w:rPr>
                <w:sz w:val="22"/>
              </w:rPr>
              <w:t>Constante de la luz</w:t>
            </w:r>
          </w:p>
        </w:tc>
      </w:tr>
      <w:tr>
        <w:trPr>
          <w:trHeight w:val="340" w:hRule="exact"/>
        </w:trPr>
        <w:tc>
          <w:tcPr>
            <w:tcW w:w="1219" w:type="dxa"/>
          </w:tcPr>
          <w:p>
            <w:pPr>
              <w:pStyle w:val="TableParagraph"/>
              <w:spacing w:before="32"/>
              <w:ind w:left="200"/>
              <w:jc w:val="left"/>
              <w:rPr>
                <w:sz w:val="22"/>
              </w:rPr>
            </w:pPr>
            <w:r>
              <w:rPr>
                <w:sz w:val="22"/>
              </w:rPr>
              <w:t>CI*</w:t>
            </w:r>
          </w:p>
        </w:tc>
        <w:tc>
          <w:tcPr>
            <w:tcW w:w="7434" w:type="dxa"/>
          </w:tcPr>
          <w:p>
            <w:pPr>
              <w:pStyle w:val="TableParagraph"/>
              <w:spacing w:before="32"/>
              <w:ind w:left="222"/>
              <w:jc w:val="left"/>
              <w:rPr>
                <w:sz w:val="22"/>
              </w:rPr>
            </w:pPr>
            <w:r>
              <w:rPr>
                <w:sz w:val="22"/>
              </w:rPr>
              <w:t>Índice de cristalinidad</w:t>
            </w:r>
          </w:p>
        </w:tc>
      </w:tr>
      <w:tr>
        <w:trPr>
          <w:trHeight w:val="340" w:hRule="exact"/>
        </w:trPr>
        <w:tc>
          <w:tcPr>
            <w:tcW w:w="1219" w:type="dxa"/>
          </w:tcPr>
          <w:p>
            <w:pPr>
              <w:pStyle w:val="TableParagraph"/>
              <w:spacing w:before="31"/>
              <w:ind w:left="200"/>
              <w:jc w:val="left"/>
              <w:rPr>
                <w:sz w:val="22"/>
              </w:rPr>
            </w:pPr>
            <w:r>
              <w:rPr>
                <w:sz w:val="22"/>
              </w:rPr>
              <w:t>p-CNT*</w:t>
            </w:r>
          </w:p>
        </w:tc>
        <w:tc>
          <w:tcPr>
            <w:tcW w:w="7434" w:type="dxa"/>
          </w:tcPr>
          <w:p>
            <w:pPr>
              <w:pStyle w:val="TableParagraph"/>
              <w:spacing w:before="31"/>
              <w:ind w:left="222"/>
              <w:jc w:val="left"/>
              <w:rPr>
                <w:sz w:val="22"/>
              </w:rPr>
            </w:pPr>
            <w:r>
              <w:rPr>
                <w:sz w:val="22"/>
              </w:rPr>
              <w:t>Nanotubos de carbono puros</w:t>
            </w:r>
          </w:p>
        </w:tc>
      </w:tr>
      <w:tr>
        <w:trPr>
          <w:trHeight w:val="341" w:hRule="exact"/>
        </w:trPr>
        <w:tc>
          <w:tcPr>
            <w:tcW w:w="1219" w:type="dxa"/>
          </w:tcPr>
          <w:p>
            <w:pPr>
              <w:pStyle w:val="TableParagraph"/>
              <w:spacing w:before="32"/>
              <w:ind w:left="200"/>
              <w:jc w:val="left"/>
              <w:rPr>
                <w:sz w:val="22"/>
              </w:rPr>
            </w:pPr>
            <w:r>
              <w:rPr>
                <w:sz w:val="22"/>
              </w:rPr>
              <w:t>CNTs*</w:t>
            </w:r>
          </w:p>
        </w:tc>
        <w:tc>
          <w:tcPr>
            <w:tcW w:w="7434" w:type="dxa"/>
          </w:tcPr>
          <w:p>
            <w:pPr>
              <w:pStyle w:val="TableParagraph"/>
              <w:spacing w:before="32"/>
              <w:ind w:left="222"/>
              <w:jc w:val="left"/>
              <w:rPr>
                <w:sz w:val="22"/>
              </w:rPr>
            </w:pPr>
            <w:r>
              <w:rPr>
                <w:sz w:val="22"/>
              </w:rPr>
              <w:t>Nanotubos de carbono</w:t>
            </w:r>
          </w:p>
        </w:tc>
      </w:tr>
      <w:tr>
        <w:trPr>
          <w:trHeight w:val="340" w:hRule="exact"/>
        </w:trPr>
        <w:tc>
          <w:tcPr>
            <w:tcW w:w="1219" w:type="dxa"/>
          </w:tcPr>
          <w:p>
            <w:pPr>
              <w:pStyle w:val="TableParagraph"/>
              <w:spacing w:before="32"/>
              <w:ind w:left="200"/>
              <w:jc w:val="left"/>
              <w:rPr>
                <w:sz w:val="22"/>
              </w:rPr>
            </w:pPr>
            <w:r>
              <w:rPr>
                <w:sz w:val="22"/>
              </w:rPr>
              <w:t>CVD*</w:t>
            </w:r>
          </w:p>
        </w:tc>
        <w:tc>
          <w:tcPr>
            <w:tcW w:w="7434" w:type="dxa"/>
          </w:tcPr>
          <w:p>
            <w:pPr>
              <w:pStyle w:val="TableParagraph"/>
              <w:spacing w:before="32"/>
              <w:ind w:left="222"/>
              <w:jc w:val="left"/>
              <w:rPr>
                <w:sz w:val="22"/>
              </w:rPr>
            </w:pPr>
            <w:r>
              <w:rPr>
                <w:sz w:val="22"/>
              </w:rPr>
              <w:t>Deposición química de vapor</w:t>
            </w:r>
          </w:p>
        </w:tc>
      </w:tr>
      <w:tr>
        <w:trPr>
          <w:trHeight w:val="340" w:hRule="exact"/>
        </w:trPr>
        <w:tc>
          <w:tcPr>
            <w:tcW w:w="1219" w:type="dxa"/>
          </w:tcPr>
          <w:p>
            <w:pPr>
              <w:pStyle w:val="TableParagraph"/>
              <w:spacing w:before="31"/>
              <w:ind w:left="200"/>
              <w:jc w:val="left"/>
              <w:rPr>
                <w:sz w:val="22"/>
              </w:rPr>
            </w:pPr>
            <w:r>
              <w:rPr>
                <w:sz w:val="22"/>
              </w:rPr>
              <w:t>DSC*</w:t>
            </w:r>
          </w:p>
        </w:tc>
        <w:tc>
          <w:tcPr>
            <w:tcW w:w="7434" w:type="dxa"/>
          </w:tcPr>
          <w:p>
            <w:pPr>
              <w:pStyle w:val="TableParagraph"/>
              <w:spacing w:before="31"/>
              <w:ind w:left="222"/>
              <w:jc w:val="left"/>
              <w:rPr>
                <w:sz w:val="22"/>
              </w:rPr>
            </w:pPr>
            <w:r>
              <w:rPr>
                <w:sz w:val="22"/>
              </w:rPr>
              <w:t>Calorimetría diferencial de barrido</w:t>
            </w:r>
          </w:p>
        </w:tc>
      </w:tr>
      <w:tr>
        <w:trPr>
          <w:trHeight w:val="341" w:hRule="exact"/>
        </w:trPr>
        <w:tc>
          <w:tcPr>
            <w:tcW w:w="1219" w:type="dxa"/>
          </w:tcPr>
          <w:p>
            <w:pPr>
              <w:pStyle w:val="TableParagraph"/>
              <w:spacing w:before="32"/>
              <w:ind w:left="200"/>
              <w:jc w:val="left"/>
              <w:rPr>
                <w:sz w:val="22"/>
              </w:rPr>
            </w:pPr>
            <w:r>
              <w:rPr>
                <w:sz w:val="22"/>
              </w:rPr>
              <w:t>DMA*</w:t>
            </w:r>
          </w:p>
        </w:tc>
        <w:tc>
          <w:tcPr>
            <w:tcW w:w="7434" w:type="dxa"/>
          </w:tcPr>
          <w:p>
            <w:pPr>
              <w:pStyle w:val="TableParagraph"/>
              <w:spacing w:before="32"/>
              <w:ind w:left="222"/>
              <w:jc w:val="left"/>
              <w:rPr>
                <w:sz w:val="22"/>
              </w:rPr>
            </w:pPr>
            <w:r>
              <w:rPr>
                <w:sz w:val="22"/>
              </w:rPr>
              <w:t>Análisis dinámico mecánico</w:t>
            </w:r>
          </w:p>
        </w:tc>
      </w:tr>
      <w:tr>
        <w:trPr>
          <w:trHeight w:val="340" w:hRule="exact"/>
        </w:trPr>
        <w:tc>
          <w:tcPr>
            <w:tcW w:w="1219" w:type="dxa"/>
          </w:tcPr>
          <w:p>
            <w:pPr>
              <w:pStyle w:val="TableParagraph"/>
              <w:spacing w:before="32"/>
              <w:ind w:left="200"/>
              <w:jc w:val="left"/>
              <w:rPr>
                <w:sz w:val="22"/>
              </w:rPr>
            </w:pPr>
            <w:r>
              <w:rPr>
                <w:sz w:val="22"/>
              </w:rPr>
              <w:t>WAXD*</w:t>
            </w:r>
          </w:p>
        </w:tc>
        <w:tc>
          <w:tcPr>
            <w:tcW w:w="7434" w:type="dxa"/>
          </w:tcPr>
          <w:p>
            <w:pPr>
              <w:pStyle w:val="TableParagraph"/>
              <w:spacing w:before="32"/>
              <w:ind w:left="222"/>
              <w:jc w:val="left"/>
              <w:rPr>
                <w:sz w:val="22"/>
              </w:rPr>
            </w:pPr>
            <w:r>
              <w:rPr>
                <w:sz w:val="22"/>
              </w:rPr>
              <w:t>Difracción de rayos X</w:t>
            </w:r>
          </w:p>
        </w:tc>
      </w:tr>
      <w:tr>
        <w:trPr>
          <w:trHeight w:val="340" w:hRule="exact"/>
        </w:trPr>
        <w:tc>
          <w:tcPr>
            <w:tcW w:w="1219" w:type="dxa"/>
          </w:tcPr>
          <w:p>
            <w:pPr>
              <w:pStyle w:val="TableParagraph"/>
              <w:spacing w:before="31"/>
              <w:ind w:left="200"/>
              <w:jc w:val="left"/>
              <w:rPr>
                <w:sz w:val="22"/>
              </w:rPr>
            </w:pPr>
            <w:r>
              <w:rPr>
                <w:sz w:val="22"/>
              </w:rPr>
              <w:t>EDAC*</w:t>
            </w:r>
          </w:p>
        </w:tc>
        <w:tc>
          <w:tcPr>
            <w:tcW w:w="7434" w:type="dxa"/>
          </w:tcPr>
          <w:p>
            <w:pPr>
              <w:pStyle w:val="TableParagraph"/>
              <w:spacing w:before="31"/>
              <w:ind w:left="222"/>
              <w:jc w:val="left"/>
              <w:rPr>
                <w:sz w:val="22"/>
              </w:rPr>
            </w:pPr>
            <w:r>
              <w:rPr>
                <w:sz w:val="22"/>
              </w:rPr>
              <w:t>Hidrocloruro de N-etil-N-(3-dimetilaminopropil) carbodiimida</w:t>
            </w:r>
          </w:p>
        </w:tc>
      </w:tr>
      <w:tr>
        <w:trPr>
          <w:trHeight w:val="341" w:hRule="exact"/>
        </w:trPr>
        <w:tc>
          <w:tcPr>
            <w:tcW w:w="1219" w:type="dxa"/>
          </w:tcPr>
          <w:p>
            <w:pPr>
              <w:pStyle w:val="TableParagraph"/>
              <w:spacing w:before="32"/>
              <w:ind w:left="200"/>
              <w:jc w:val="left"/>
              <w:rPr>
                <w:i/>
                <w:sz w:val="22"/>
              </w:rPr>
            </w:pPr>
            <w:r>
              <w:rPr>
                <w:i/>
                <w:w w:val="100"/>
                <w:sz w:val="22"/>
              </w:rPr>
              <w:t>F</w:t>
            </w:r>
          </w:p>
        </w:tc>
        <w:tc>
          <w:tcPr>
            <w:tcW w:w="7434" w:type="dxa"/>
          </w:tcPr>
          <w:p>
            <w:pPr>
              <w:pStyle w:val="TableParagraph"/>
              <w:spacing w:before="32"/>
              <w:ind w:left="222"/>
              <w:jc w:val="left"/>
              <w:rPr>
                <w:sz w:val="22"/>
              </w:rPr>
            </w:pPr>
            <w:r>
              <w:rPr>
                <w:sz w:val="22"/>
              </w:rPr>
              <w:t>Energía libre</w:t>
            </w:r>
          </w:p>
        </w:tc>
      </w:tr>
      <w:tr>
        <w:trPr>
          <w:trHeight w:val="340" w:hRule="exact"/>
        </w:trPr>
        <w:tc>
          <w:tcPr>
            <w:tcW w:w="1219" w:type="dxa"/>
          </w:tcPr>
          <w:p>
            <w:pPr>
              <w:pStyle w:val="TableParagraph"/>
              <w:spacing w:before="32"/>
              <w:ind w:left="200"/>
              <w:jc w:val="left"/>
              <w:rPr>
                <w:sz w:val="22"/>
              </w:rPr>
            </w:pPr>
            <w:r>
              <w:rPr>
                <w:sz w:val="22"/>
              </w:rPr>
              <w:t>f-CNT*</w:t>
            </w:r>
          </w:p>
        </w:tc>
        <w:tc>
          <w:tcPr>
            <w:tcW w:w="7434" w:type="dxa"/>
          </w:tcPr>
          <w:p>
            <w:pPr>
              <w:pStyle w:val="TableParagraph"/>
              <w:spacing w:before="32"/>
              <w:ind w:left="222"/>
              <w:jc w:val="left"/>
              <w:rPr>
                <w:sz w:val="22"/>
              </w:rPr>
            </w:pPr>
            <w:r>
              <w:rPr>
                <w:sz w:val="22"/>
              </w:rPr>
              <w:t>Nanotubos de carbono funcionalizados con grupos amino</w:t>
            </w:r>
          </w:p>
        </w:tc>
      </w:tr>
      <w:tr>
        <w:trPr>
          <w:trHeight w:val="340" w:hRule="exact"/>
        </w:trPr>
        <w:tc>
          <w:tcPr>
            <w:tcW w:w="1219" w:type="dxa"/>
          </w:tcPr>
          <w:p>
            <w:pPr>
              <w:pStyle w:val="TableParagraph"/>
              <w:spacing w:before="31"/>
              <w:ind w:left="200"/>
              <w:jc w:val="left"/>
              <w:rPr>
                <w:sz w:val="22"/>
              </w:rPr>
            </w:pPr>
            <w:r>
              <w:rPr>
                <w:sz w:val="22"/>
              </w:rPr>
              <w:t>f-Ge*</w:t>
            </w:r>
          </w:p>
        </w:tc>
        <w:tc>
          <w:tcPr>
            <w:tcW w:w="7434" w:type="dxa"/>
          </w:tcPr>
          <w:p>
            <w:pPr>
              <w:pStyle w:val="TableParagraph"/>
              <w:spacing w:before="31"/>
              <w:ind w:left="222"/>
              <w:jc w:val="left"/>
              <w:rPr>
                <w:sz w:val="22"/>
              </w:rPr>
            </w:pPr>
            <w:r>
              <w:rPr>
                <w:sz w:val="22"/>
              </w:rPr>
              <w:t>Grafeno funcionalizado con grupos amino</w:t>
            </w:r>
          </w:p>
        </w:tc>
      </w:tr>
      <w:tr>
        <w:trPr>
          <w:trHeight w:val="341" w:hRule="exact"/>
        </w:trPr>
        <w:tc>
          <w:tcPr>
            <w:tcW w:w="1219" w:type="dxa"/>
          </w:tcPr>
          <w:p>
            <w:pPr>
              <w:pStyle w:val="TableParagraph"/>
              <w:spacing w:before="32"/>
              <w:ind w:left="200"/>
              <w:jc w:val="left"/>
              <w:rPr>
                <w:sz w:val="22"/>
              </w:rPr>
            </w:pPr>
            <w:r>
              <w:rPr>
                <w:sz w:val="22"/>
              </w:rPr>
              <w:t>FTIR*</w:t>
            </w:r>
          </w:p>
        </w:tc>
        <w:tc>
          <w:tcPr>
            <w:tcW w:w="7434" w:type="dxa"/>
          </w:tcPr>
          <w:p>
            <w:pPr>
              <w:pStyle w:val="TableParagraph"/>
              <w:spacing w:before="32"/>
              <w:ind w:left="222"/>
              <w:jc w:val="left"/>
              <w:rPr>
                <w:sz w:val="22"/>
              </w:rPr>
            </w:pPr>
            <w:r>
              <w:rPr>
                <w:sz w:val="22"/>
              </w:rPr>
              <w:t>Espectroscopía de infrarrojo de transformada de Fourier</w:t>
            </w:r>
          </w:p>
        </w:tc>
      </w:tr>
      <w:tr>
        <w:trPr>
          <w:trHeight w:val="340" w:hRule="exact"/>
        </w:trPr>
        <w:tc>
          <w:tcPr>
            <w:tcW w:w="1219" w:type="dxa"/>
          </w:tcPr>
          <w:p>
            <w:pPr>
              <w:pStyle w:val="TableParagraph"/>
              <w:spacing w:before="32"/>
              <w:ind w:left="200"/>
              <w:jc w:val="left"/>
              <w:rPr>
                <w:sz w:val="22"/>
              </w:rPr>
            </w:pPr>
            <w:r>
              <w:rPr>
                <w:sz w:val="22"/>
              </w:rPr>
              <w:t>GO*</w:t>
            </w:r>
          </w:p>
        </w:tc>
        <w:tc>
          <w:tcPr>
            <w:tcW w:w="7434" w:type="dxa"/>
          </w:tcPr>
          <w:p>
            <w:pPr>
              <w:pStyle w:val="TableParagraph"/>
              <w:spacing w:before="32"/>
              <w:ind w:left="222"/>
              <w:jc w:val="left"/>
              <w:rPr>
                <w:sz w:val="22"/>
              </w:rPr>
            </w:pPr>
            <w:r>
              <w:rPr>
                <w:sz w:val="22"/>
              </w:rPr>
              <w:t>Óxido de grafeno</w:t>
            </w:r>
          </w:p>
        </w:tc>
      </w:tr>
      <w:tr>
        <w:trPr>
          <w:trHeight w:val="344" w:hRule="exact"/>
        </w:trPr>
        <w:tc>
          <w:tcPr>
            <w:tcW w:w="1219" w:type="dxa"/>
          </w:tcPr>
          <w:p>
            <w:pPr>
              <w:pStyle w:val="TableParagraph"/>
              <w:spacing w:before="37"/>
              <w:ind w:left="200"/>
              <w:jc w:val="left"/>
              <w:rPr>
                <w:rFonts w:ascii="Cambria Math"/>
                <w:sz w:val="22"/>
              </w:rPr>
            </w:pPr>
            <w:r>
              <w:rPr>
                <w:rFonts w:ascii="Cambria Math"/>
                <w:w w:val="252"/>
                <w:sz w:val="22"/>
              </w:rPr>
              <w:t> </w:t>
            </w:r>
          </w:p>
        </w:tc>
        <w:tc>
          <w:tcPr>
            <w:tcW w:w="7434" w:type="dxa"/>
          </w:tcPr>
          <w:p>
            <w:pPr>
              <w:pStyle w:val="TableParagraph"/>
              <w:spacing w:before="31"/>
              <w:ind w:left="222"/>
              <w:jc w:val="left"/>
              <w:rPr>
                <w:sz w:val="22"/>
              </w:rPr>
            </w:pPr>
            <w:r>
              <w:rPr>
                <w:sz w:val="22"/>
              </w:rPr>
              <w:t>Constante de Planck</w:t>
            </w:r>
          </w:p>
        </w:tc>
      </w:tr>
      <w:tr>
        <w:trPr>
          <w:trHeight w:val="337" w:hRule="exact"/>
        </w:trPr>
        <w:tc>
          <w:tcPr>
            <w:tcW w:w="1219" w:type="dxa"/>
          </w:tcPr>
          <w:p>
            <w:pPr>
              <w:pStyle w:val="TableParagraph"/>
              <w:spacing w:before="28"/>
              <w:ind w:left="200"/>
              <w:jc w:val="left"/>
              <w:rPr>
                <w:sz w:val="22"/>
              </w:rPr>
            </w:pPr>
            <w:r>
              <w:rPr>
                <w:sz w:val="22"/>
              </w:rPr>
              <w:t>HCl</w:t>
            </w:r>
          </w:p>
        </w:tc>
        <w:tc>
          <w:tcPr>
            <w:tcW w:w="7434" w:type="dxa"/>
          </w:tcPr>
          <w:p>
            <w:pPr>
              <w:pStyle w:val="TableParagraph"/>
              <w:spacing w:before="28"/>
              <w:ind w:left="222"/>
              <w:jc w:val="left"/>
              <w:rPr>
                <w:sz w:val="22"/>
              </w:rPr>
            </w:pPr>
            <w:r>
              <w:rPr>
                <w:sz w:val="22"/>
              </w:rPr>
              <w:t>Ácido clorhídrico</w:t>
            </w:r>
          </w:p>
        </w:tc>
      </w:tr>
      <w:tr>
        <w:trPr>
          <w:trHeight w:val="340" w:hRule="exact"/>
        </w:trPr>
        <w:tc>
          <w:tcPr>
            <w:tcW w:w="1219" w:type="dxa"/>
          </w:tcPr>
          <w:p>
            <w:pPr>
              <w:pStyle w:val="TableParagraph"/>
              <w:spacing w:before="32"/>
              <w:ind w:left="200"/>
              <w:jc w:val="left"/>
              <w:rPr>
                <w:sz w:val="22"/>
              </w:rPr>
            </w:pPr>
            <w:r>
              <w:rPr>
                <w:sz w:val="22"/>
              </w:rPr>
              <w:t>HDPE*</w:t>
            </w:r>
          </w:p>
        </w:tc>
        <w:tc>
          <w:tcPr>
            <w:tcW w:w="7434" w:type="dxa"/>
          </w:tcPr>
          <w:p>
            <w:pPr>
              <w:pStyle w:val="TableParagraph"/>
              <w:spacing w:before="32"/>
              <w:ind w:left="222"/>
              <w:jc w:val="left"/>
              <w:rPr>
                <w:sz w:val="22"/>
              </w:rPr>
            </w:pPr>
            <w:r>
              <w:rPr>
                <w:sz w:val="22"/>
              </w:rPr>
              <w:t>Polietileno de alta densidad</w:t>
            </w:r>
          </w:p>
        </w:tc>
      </w:tr>
      <w:tr>
        <w:trPr>
          <w:trHeight w:val="340" w:hRule="exact"/>
        </w:trPr>
        <w:tc>
          <w:tcPr>
            <w:tcW w:w="1219" w:type="dxa"/>
          </w:tcPr>
          <w:p>
            <w:pPr>
              <w:pStyle w:val="TableParagraph"/>
              <w:spacing w:before="31"/>
              <w:ind w:left="200"/>
              <w:jc w:val="left"/>
              <w:rPr>
                <w:sz w:val="22"/>
              </w:rPr>
            </w:pPr>
            <w:r>
              <w:rPr>
                <w:sz w:val="22"/>
              </w:rPr>
              <w:t>HiPCO*</w:t>
            </w:r>
          </w:p>
        </w:tc>
        <w:tc>
          <w:tcPr>
            <w:tcW w:w="7434" w:type="dxa"/>
          </w:tcPr>
          <w:p>
            <w:pPr>
              <w:pStyle w:val="TableParagraph"/>
              <w:spacing w:before="31"/>
              <w:ind w:left="222"/>
              <w:jc w:val="left"/>
              <w:rPr>
                <w:sz w:val="22"/>
              </w:rPr>
            </w:pPr>
            <w:r>
              <w:rPr>
                <w:sz w:val="22"/>
              </w:rPr>
              <w:t>Descomposición de monóxido de carbono a altas presiones y altas temperaturas</w:t>
            </w:r>
          </w:p>
        </w:tc>
      </w:tr>
      <w:tr>
        <w:trPr>
          <w:trHeight w:val="341" w:hRule="exact"/>
        </w:trPr>
        <w:tc>
          <w:tcPr>
            <w:tcW w:w="1219" w:type="dxa"/>
          </w:tcPr>
          <w:p>
            <w:pPr>
              <w:pStyle w:val="TableParagraph"/>
              <w:spacing w:before="32"/>
              <w:ind w:left="200"/>
              <w:jc w:val="left"/>
              <w:rPr>
                <w:sz w:val="22"/>
              </w:rPr>
            </w:pPr>
            <w:r>
              <w:rPr>
                <w:sz w:val="22"/>
              </w:rPr>
              <w:t>HMTA</w:t>
            </w:r>
          </w:p>
        </w:tc>
        <w:tc>
          <w:tcPr>
            <w:tcW w:w="7434" w:type="dxa"/>
          </w:tcPr>
          <w:p>
            <w:pPr>
              <w:pStyle w:val="TableParagraph"/>
              <w:spacing w:before="32"/>
              <w:ind w:left="222"/>
              <w:jc w:val="left"/>
              <w:rPr>
                <w:sz w:val="22"/>
              </w:rPr>
            </w:pPr>
            <w:r>
              <w:rPr>
                <w:sz w:val="22"/>
              </w:rPr>
              <w:t>Hexametilentetraamina</w:t>
            </w:r>
          </w:p>
        </w:tc>
      </w:tr>
      <w:tr>
        <w:trPr>
          <w:trHeight w:val="347" w:hRule="exact"/>
        </w:trPr>
        <w:tc>
          <w:tcPr>
            <w:tcW w:w="1219" w:type="dxa"/>
          </w:tcPr>
          <w:p>
            <w:pPr>
              <w:pStyle w:val="TableParagraph"/>
              <w:spacing w:before="32"/>
              <w:ind w:left="200"/>
              <w:jc w:val="left"/>
              <w:rPr>
                <w:sz w:val="14"/>
              </w:rPr>
            </w:pPr>
            <w:r>
              <w:rPr>
                <w:sz w:val="22"/>
              </w:rPr>
              <w:t>HNO</w:t>
            </w:r>
            <w:r>
              <w:rPr>
                <w:position w:val="-2"/>
                <w:sz w:val="14"/>
              </w:rPr>
              <w:t>3</w:t>
            </w:r>
          </w:p>
        </w:tc>
        <w:tc>
          <w:tcPr>
            <w:tcW w:w="7434" w:type="dxa"/>
          </w:tcPr>
          <w:p>
            <w:pPr>
              <w:pStyle w:val="TableParagraph"/>
              <w:spacing w:before="32"/>
              <w:ind w:left="222"/>
              <w:jc w:val="left"/>
              <w:rPr>
                <w:sz w:val="22"/>
              </w:rPr>
            </w:pPr>
            <w:r>
              <w:rPr>
                <w:sz w:val="22"/>
              </w:rPr>
              <w:t>Ácido nítrico</w:t>
            </w:r>
          </w:p>
        </w:tc>
      </w:tr>
      <w:tr>
        <w:trPr>
          <w:trHeight w:val="340" w:hRule="exact"/>
        </w:trPr>
        <w:tc>
          <w:tcPr>
            <w:tcW w:w="1219" w:type="dxa"/>
          </w:tcPr>
          <w:p>
            <w:pPr>
              <w:pStyle w:val="TableParagraph"/>
              <w:spacing w:before="23"/>
              <w:ind w:left="200"/>
              <w:jc w:val="left"/>
              <w:rPr>
                <w:sz w:val="14"/>
              </w:rPr>
            </w:pPr>
            <w:r>
              <w:rPr>
                <w:sz w:val="22"/>
              </w:rPr>
              <w:t>H</w:t>
            </w:r>
            <w:r>
              <w:rPr>
                <w:position w:val="-2"/>
                <w:sz w:val="14"/>
              </w:rPr>
              <w:t>2</w:t>
            </w:r>
            <w:r>
              <w:rPr>
                <w:sz w:val="22"/>
              </w:rPr>
              <w:t>SO</w:t>
            </w:r>
            <w:r>
              <w:rPr>
                <w:position w:val="-2"/>
                <w:sz w:val="14"/>
              </w:rPr>
              <w:t>4</w:t>
            </w:r>
          </w:p>
        </w:tc>
        <w:tc>
          <w:tcPr>
            <w:tcW w:w="7434" w:type="dxa"/>
          </w:tcPr>
          <w:p>
            <w:pPr>
              <w:pStyle w:val="TableParagraph"/>
              <w:spacing w:before="23"/>
              <w:ind w:left="222"/>
              <w:jc w:val="left"/>
              <w:rPr>
                <w:sz w:val="22"/>
              </w:rPr>
            </w:pPr>
            <w:r>
              <w:rPr>
                <w:sz w:val="22"/>
              </w:rPr>
              <w:t>Ácido sulfúrico</w:t>
            </w:r>
          </w:p>
        </w:tc>
      </w:tr>
      <w:tr>
        <w:trPr>
          <w:trHeight w:val="333" w:hRule="exact"/>
        </w:trPr>
        <w:tc>
          <w:tcPr>
            <w:tcW w:w="1219" w:type="dxa"/>
          </w:tcPr>
          <w:p>
            <w:pPr>
              <w:pStyle w:val="TableParagraph"/>
              <w:spacing w:before="24"/>
              <w:ind w:left="200"/>
              <w:jc w:val="left"/>
              <w:rPr>
                <w:i/>
                <w:sz w:val="22"/>
              </w:rPr>
            </w:pPr>
            <w:r>
              <w:rPr>
                <w:i/>
                <w:w w:val="100"/>
                <w:sz w:val="22"/>
              </w:rPr>
              <w:t>K</w:t>
            </w:r>
          </w:p>
        </w:tc>
        <w:tc>
          <w:tcPr>
            <w:tcW w:w="7434" w:type="dxa"/>
          </w:tcPr>
          <w:p>
            <w:pPr>
              <w:pStyle w:val="TableParagraph"/>
              <w:spacing w:before="24"/>
              <w:ind w:left="222"/>
              <w:jc w:val="left"/>
              <w:rPr>
                <w:sz w:val="22"/>
              </w:rPr>
            </w:pPr>
            <w:r>
              <w:rPr>
                <w:sz w:val="22"/>
              </w:rPr>
              <w:t>Factor de forma de cristal</w:t>
            </w:r>
          </w:p>
        </w:tc>
      </w:tr>
      <w:tr>
        <w:trPr>
          <w:trHeight w:val="347" w:hRule="exact"/>
        </w:trPr>
        <w:tc>
          <w:tcPr>
            <w:tcW w:w="1219" w:type="dxa"/>
          </w:tcPr>
          <w:p>
            <w:pPr>
              <w:pStyle w:val="TableParagraph"/>
              <w:spacing w:before="32"/>
              <w:ind w:left="200"/>
              <w:jc w:val="left"/>
              <w:rPr>
                <w:i/>
                <w:sz w:val="14"/>
              </w:rPr>
            </w:pPr>
            <w:r>
              <w:rPr>
                <w:i/>
                <w:sz w:val="22"/>
              </w:rPr>
              <w:t>KMNO</w:t>
            </w:r>
            <w:r>
              <w:rPr>
                <w:i/>
                <w:position w:val="-2"/>
                <w:sz w:val="14"/>
              </w:rPr>
              <w:t>4</w:t>
            </w:r>
          </w:p>
        </w:tc>
        <w:tc>
          <w:tcPr>
            <w:tcW w:w="7434" w:type="dxa"/>
          </w:tcPr>
          <w:p>
            <w:pPr>
              <w:pStyle w:val="TableParagraph"/>
              <w:spacing w:before="32"/>
              <w:ind w:left="222"/>
              <w:jc w:val="left"/>
              <w:rPr>
                <w:sz w:val="22"/>
              </w:rPr>
            </w:pPr>
            <w:r>
              <w:rPr>
                <w:sz w:val="22"/>
              </w:rPr>
              <w:t>Permanganato de potasio</w:t>
            </w:r>
          </w:p>
        </w:tc>
      </w:tr>
      <w:tr>
        <w:trPr>
          <w:trHeight w:val="353" w:hRule="exact"/>
        </w:trPr>
        <w:tc>
          <w:tcPr>
            <w:tcW w:w="1219" w:type="dxa"/>
          </w:tcPr>
          <w:p>
            <w:pPr>
              <w:pStyle w:val="TableParagraph"/>
              <w:spacing w:before="132"/>
              <w:ind w:left="200"/>
              <w:jc w:val="left"/>
              <w:rPr>
                <w:rFonts w:ascii="Cambria Math"/>
                <w:sz w:val="16"/>
              </w:rPr>
            </w:pPr>
            <w:r>
              <w:rPr>
                <w:rFonts w:ascii="Cambria Math"/>
                <w:w w:val="242"/>
                <w:position w:val="5"/>
                <w:sz w:val="22"/>
              </w:rPr>
              <w:t> </w:t>
            </w:r>
            <w:r>
              <w:rPr>
                <w:rFonts w:ascii="Cambria Math"/>
                <w:w w:val="283"/>
                <w:sz w:val="16"/>
              </w:rPr>
              <w:t> </w:t>
            </w:r>
            <w:r>
              <w:rPr>
                <w:rFonts w:ascii="Cambria Math"/>
                <w:spacing w:val="1"/>
                <w:w w:val="218"/>
                <w:sz w:val="16"/>
              </w:rPr>
              <w:t>  </w:t>
            </w:r>
          </w:p>
        </w:tc>
        <w:tc>
          <w:tcPr>
            <w:tcW w:w="7434" w:type="dxa"/>
          </w:tcPr>
          <w:p>
            <w:pPr>
              <w:pStyle w:val="TableParagraph"/>
              <w:spacing w:before="23"/>
              <w:ind w:left="222"/>
              <w:jc w:val="left"/>
              <w:rPr>
                <w:sz w:val="22"/>
              </w:rPr>
            </w:pPr>
            <w:r>
              <w:rPr>
                <w:sz w:val="22"/>
              </w:rPr>
              <w:t>Distancia perpendicular al plano (hkl)</w:t>
            </w:r>
          </w:p>
        </w:tc>
      </w:tr>
      <w:tr>
        <w:trPr>
          <w:trHeight w:val="327" w:hRule="exact"/>
        </w:trPr>
        <w:tc>
          <w:tcPr>
            <w:tcW w:w="1219" w:type="dxa"/>
          </w:tcPr>
          <w:p>
            <w:pPr>
              <w:pStyle w:val="TableParagraph"/>
              <w:spacing w:before="12"/>
              <w:ind w:left="200"/>
              <w:jc w:val="left"/>
              <w:rPr>
                <w:i/>
                <w:sz w:val="14"/>
              </w:rPr>
            </w:pPr>
            <w:r>
              <w:rPr>
                <w:i/>
                <w:position w:val="3"/>
                <w:sz w:val="22"/>
              </w:rPr>
              <w:t>L</w:t>
            </w:r>
            <w:r>
              <w:rPr>
                <w:i/>
                <w:sz w:val="14"/>
              </w:rPr>
              <w:t>(100)</w:t>
            </w:r>
          </w:p>
        </w:tc>
        <w:tc>
          <w:tcPr>
            <w:tcW w:w="7434" w:type="dxa"/>
          </w:tcPr>
          <w:p>
            <w:pPr>
              <w:pStyle w:val="TableParagraph"/>
              <w:spacing w:before="11"/>
              <w:ind w:left="222"/>
              <w:jc w:val="left"/>
              <w:rPr>
                <w:sz w:val="22"/>
              </w:rPr>
            </w:pPr>
            <w:r>
              <w:rPr>
                <w:sz w:val="22"/>
              </w:rPr>
              <w:t>Distancia perpendicular al plano (100)</w:t>
            </w:r>
          </w:p>
        </w:tc>
      </w:tr>
      <w:tr>
        <w:trPr>
          <w:trHeight w:val="288" w:hRule="exact"/>
        </w:trPr>
        <w:tc>
          <w:tcPr>
            <w:tcW w:w="1219" w:type="dxa"/>
          </w:tcPr>
          <w:p>
            <w:pPr>
              <w:pStyle w:val="TableParagraph"/>
              <w:spacing w:before="26"/>
              <w:ind w:left="200"/>
              <w:jc w:val="left"/>
              <w:rPr>
                <w:i/>
                <w:sz w:val="14"/>
              </w:rPr>
            </w:pPr>
            <w:r>
              <w:rPr>
                <w:i/>
                <w:position w:val="3"/>
                <w:sz w:val="22"/>
              </w:rPr>
              <w:t>L</w:t>
            </w:r>
            <w:r>
              <w:rPr>
                <w:i/>
                <w:sz w:val="14"/>
              </w:rPr>
              <w:t>(010/110)</w:t>
            </w:r>
          </w:p>
        </w:tc>
        <w:tc>
          <w:tcPr>
            <w:tcW w:w="7434" w:type="dxa"/>
          </w:tcPr>
          <w:p>
            <w:pPr>
              <w:pStyle w:val="TableParagraph"/>
              <w:spacing w:before="24"/>
              <w:ind w:left="222"/>
              <w:jc w:val="left"/>
              <w:rPr>
                <w:sz w:val="22"/>
              </w:rPr>
            </w:pPr>
            <w:r>
              <w:rPr>
                <w:sz w:val="22"/>
              </w:rPr>
              <w:t>Distancia perpendicular al plano (010/110</w:t>
            </w:r>
          </w:p>
        </w:tc>
      </w:tr>
    </w:tbl>
    <w:p>
      <w:pPr>
        <w:spacing w:after="0"/>
        <w:jc w:val="left"/>
        <w:rPr>
          <w:sz w:val="22"/>
        </w:rPr>
        <w:sectPr>
          <w:pgSz w:w="12240" w:h="15840"/>
          <w:pgMar w:header="724" w:footer="1062" w:top="920" w:bottom="1260" w:left="1400" w:right="1500"/>
        </w:sectPr>
      </w:pPr>
    </w:p>
    <w:p>
      <w:pPr>
        <w:pStyle w:val="BodyText"/>
        <w:rPr>
          <w:b/>
          <w:sz w:val="20"/>
        </w:rPr>
      </w:pPr>
    </w:p>
    <w:p>
      <w:pPr>
        <w:pStyle w:val="BodyText"/>
        <w:spacing w:before="10"/>
        <w:rPr>
          <w:b/>
          <w:sz w:val="24"/>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68"/>
        <w:gridCol w:w="5113"/>
      </w:tblGrid>
      <w:tr>
        <w:trPr>
          <w:trHeight w:val="280" w:hRule="exact"/>
        </w:trPr>
        <w:tc>
          <w:tcPr>
            <w:tcW w:w="1268" w:type="dxa"/>
          </w:tcPr>
          <w:p>
            <w:pPr>
              <w:pStyle w:val="TableParagraph"/>
              <w:spacing w:line="225" w:lineRule="exact"/>
              <w:ind w:left="200"/>
              <w:jc w:val="left"/>
              <w:rPr>
                <w:sz w:val="22"/>
              </w:rPr>
            </w:pPr>
            <w:r>
              <w:rPr>
                <w:sz w:val="22"/>
              </w:rPr>
              <w:t>MWNTs*</w:t>
            </w:r>
          </w:p>
        </w:tc>
        <w:tc>
          <w:tcPr>
            <w:tcW w:w="5113" w:type="dxa"/>
          </w:tcPr>
          <w:p>
            <w:pPr>
              <w:pStyle w:val="TableParagraph"/>
              <w:spacing w:line="225" w:lineRule="exact"/>
              <w:ind w:left="172"/>
              <w:jc w:val="left"/>
              <w:rPr>
                <w:sz w:val="22"/>
              </w:rPr>
            </w:pPr>
            <w:r>
              <w:rPr>
                <w:sz w:val="22"/>
              </w:rPr>
              <w:t>Nanotubos de carbono multipared</w:t>
            </w:r>
          </w:p>
        </w:tc>
      </w:tr>
      <w:tr>
        <w:trPr>
          <w:trHeight w:val="340" w:hRule="exact"/>
        </w:trPr>
        <w:tc>
          <w:tcPr>
            <w:tcW w:w="1268" w:type="dxa"/>
          </w:tcPr>
          <w:p>
            <w:pPr>
              <w:pStyle w:val="TableParagraph"/>
              <w:spacing w:before="31"/>
              <w:ind w:left="200"/>
              <w:jc w:val="left"/>
              <w:rPr>
                <w:sz w:val="22"/>
              </w:rPr>
            </w:pPr>
            <w:r>
              <w:rPr>
                <w:sz w:val="22"/>
              </w:rPr>
              <w:t>NaOH</w:t>
            </w:r>
          </w:p>
        </w:tc>
        <w:tc>
          <w:tcPr>
            <w:tcW w:w="5113" w:type="dxa"/>
          </w:tcPr>
          <w:p>
            <w:pPr>
              <w:pStyle w:val="TableParagraph"/>
              <w:spacing w:before="31"/>
              <w:ind w:left="172"/>
              <w:jc w:val="left"/>
              <w:rPr>
                <w:sz w:val="22"/>
              </w:rPr>
            </w:pPr>
            <w:r>
              <w:rPr>
                <w:sz w:val="22"/>
              </w:rPr>
              <w:t>Hidróxido de sodio</w:t>
            </w:r>
          </w:p>
        </w:tc>
      </w:tr>
      <w:tr>
        <w:trPr>
          <w:trHeight w:val="348" w:hRule="exact"/>
        </w:trPr>
        <w:tc>
          <w:tcPr>
            <w:tcW w:w="1268" w:type="dxa"/>
          </w:tcPr>
          <w:p>
            <w:pPr>
              <w:pStyle w:val="TableParagraph"/>
              <w:spacing w:before="32"/>
              <w:ind w:left="200"/>
              <w:jc w:val="left"/>
              <w:rPr>
                <w:sz w:val="14"/>
              </w:rPr>
            </w:pPr>
            <w:r>
              <w:rPr>
                <w:sz w:val="22"/>
              </w:rPr>
              <w:t>NH</w:t>
            </w:r>
            <w:r>
              <w:rPr>
                <w:position w:val="-2"/>
                <w:sz w:val="14"/>
              </w:rPr>
              <w:t>3</w:t>
            </w:r>
          </w:p>
        </w:tc>
        <w:tc>
          <w:tcPr>
            <w:tcW w:w="5113" w:type="dxa"/>
          </w:tcPr>
          <w:p>
            <w:pPr>
              <w:pStyle w:val="TableParagraph"/>
              <w:spacing w:before="32"/>
              <w:ind w:left="172"/>
              <w:jc w:val="left"/>
              <w:rPr>
                <w:sz w:val="22"/>
              </w:rPr>
            </w:pPr>
            <w:r>
              <w:rPr>
                <w:sz w:val="22"/>
              </w:rPr>
              <w:t>Amonio</w:t>
            </w:r>
          </w:p>
        </w:tc>
      </w:tr>
      <w:tr>
        <w:trPr>
          <w:trHeight w:val="332" w:hRule="exact"/>
        </w:trPr>
        <w:tc>
          <w:tcPr>
            <w:tcW w:w="1268" w:type="dxa"/>
          </w:tcPr>
          <w:p>
            <w:pPr>
              <w:pStyle w:val="TableParagraph"/>
              <w:spacing w:before="24"/>
              <w:ind w:left="200"/>
              <w:jc w:val="left"/>
              <w:rPr>
                <w:sz w:val="22"/>
              </w:rPr>
            </w:pPr>
            <w:r>
              <w:rPr>
                <w:sz w:val="22"/>
              </w:rPr>
              <w:t>OCNT*</w:t>
            </w:r>
          </w:p>
        </w:tc>
        <w:tc>
          <w:tcPr>
            <w:tcW w:w="5113" w:type="dxa"/>
          </w:tcPr>
          <w:p>
            <w:pPr>
              <w:pStyle w:val="TableParagraph"/>
              <w:spacing w:before="24"/>
              <w:ind w:left="172"/>
              <w:jc w:val="left"/>
              <w:rPr>
                <w:sz w:val="22"/>
              </w:rPr>
            </w:pPr>
            <w:r>
              <w:rPr>
                <w:sz w:val="22"/>
              </w:rPr>
              <w:t>Nanotubos de carbono oxidados</w:t>
            </w:r>
          </w:p>
        </w:tc>
      </w:tr>
      <w:tr>
        <w:trPr>
          <w:trHeight w:val="340" w:hRule="exact"/>
        </w:trPr>
        <w:tc>
          <w:tcPr>
            <w:tcW w:w="1268" w:type="dxa"/>
          </w:tcPr>
          <w:p>
            <w:pPr>
              <w:pStyle w:val="TableParagraph"/>
              <w:spacing w:before="31"/>
              <w:ind w:left="200"/>
              <w:jc w:val="left"/>
              <w:rPr>
                <w:sz w:val="22"/>
              </w:rPr>
            </w:pPr>
            <w:r>
              <w:rPr>
                <w:sz w:val="22"/>
              </w:rPr>
              <w:t>PANI*</w:t>
            </w:r>
          </w:p>
        </w:tc>
        <w:tc>
          <w:tcPr>
            <w:tcW w:w="5113" w:type="dxa"/>
          </w:tcPr>
          <w:p>
            <w:pPr>
              <w:pStyle w:val="TableParagraph"/>
              <w:spacing w:before="31"/>
              <w:ind w:left="172"/>
              <w:jc w:val="left"/>
              <w:rPr>
                <w:sz w:val="22"/>
              </w:rPr>
            </w:pPr>
            <w:r>
              <w:rPr>
                <w:sz w:val="22"/>
              </w:rPr>
              <w:t>Polianilina</w:t>
            </w:r>
          </w:p>
        </w:tc>
      </w:tr>
      <w:tr>
        <w:trPr>
          <w:trHeight w:val="341" w:hRule="exact"/>
        </w:trPr>
        <w:tc>
          <w:tcPr>
            <w:tcW w:w="1268" w:type="dxa"/>
          </w:tcPr>
          <w:p>
            <w:pPr>
              <w:pStyle w:val="TableParagraph"/>
              <w:spacing w:before="32"/>
              <w:ind w:left="200"/>
              <w:jc w:val="left"/>
              <w:rPr>
                <w:sz w:val="22"/>
              </w:rPr>
            </w:pPr>
            <w:r>
              <w:rPr>
                <w:sz w:val="22"/>
              </w:rPr>
              <w:t>PMMA*</w:t>
            </w:r>
          </w:p>
        </w:tc>
        <w:tc>
          <w:tcPr>
            <w:tcW w:w="5113" w:type="dxa"/>
          </w:tcPr>
          <w:p>
            <w:pPr>
              <w:pStyle w:val="TableParagraph"/>
              <w:spacing w:before="32"/>
              <w:ind w:left="172"/>
              <w:jc w:val="left"/>
              <w:rPr>
                <w:sz w:val="22"/>
              </w:rPr>
            </w:pPr>
            <w:r>
              <w:rPr>
                <w:sz w:val="22"/>
              </w:rPr>
              <w:t>Polimetilmetacrilato</w:t>
            </w:r>
          </w:p>
        </w:tc>
      </w:tr>
      <w:tr>
        <w:trPr>
          <w:trHeight w:val="340" w:hRule="exact"/>
        </w:trPr>
        <w:tc>
          <w:tcPr>
            <w:tcW w:w="1268" w:type="dxa"/>
          </w:tcPr>
          <w:p>
            <w:pPr>
              <w:pStyle w:val="TableParagraph"/>
              <w:spacing w:before="32"/>
              <w:ind w:left="200"/>
              <w:jc w:val="left"/>
              <w:rPr>
                <w:sz w:val="22"/>
              </w:rPr>
            </w:pPr>
            <w:r>
              <w:rPr>
                <w:sz w:val="22"/>
              </w:rPr>
              <w:t>RGO*</w:t>
            </w:r>
          </w:p>
        </w:tc>
        <w:tc>
          <w:tcPr>
            <w:tcW w:w="5113" w:type="dxa"/>
          </w:tcPr>
          <w:p>
            <w:pPr>
              <w:pStyle w:val="TableParagraph"/>
              <w:spacing w:before="32"/>
              <w:ind w:left="172"/>
              <w:jc w:val="left"/>
              <w:rPr>
                <w:sz w:val="22"/>
              </w:rPr>
            </w:pPr>
            <w:r>
              <w:rPr>
                <w:sz w:val="22"/>
              </w:rPr>
              <w:t>Óxido de grafeno reducido</w:t>
            </w:r>
          </w:p>
        </w:tc>
      </w:tr>
      <w:tr>
        <w:trPr>
          <w:trHeight w:val="340" w:hRule="exact"/>
        </w:trPr>
        <w:tc>
          <w:tcPr>
            <w:tcW w:w="1268" w:type="dxa"/>
          </w:tcPr>
          <w:p>
            <w:pPr>
              <w:pStyle w:val="TableParagraph"/>
              <w:spacing w:before="31"/>
              <w:ind w:left="200"/>
              <w:jc w:val="left"/>
              <w:rPr>
                <w:sz w:val="22"/>
              </w:rPr>
            </w:pPr>
            <w:r>
              <w:rPr>
                <w:sz w:val="22"/>
              </w:rPr>
              <w:t>SEM*</w:t>
            </w:r>
          </w:p>
        </w:tc>
        <w:tc>
          <w:tcPr>
            <w:tcW w:w="5113" w:type="dxa"/>
          </w:tcPr>
          <w:p>
            <w:pPr>
              <w:pStyle w:val="TableParagraph"/>
              <w:spacing w:before="31"/>
              <w:ind w:left="172"/>
              <w:jc w:val="left"/>
              <w:rPr>
                <w:sz w:val="22"/>
              </w:rPr>
            </w:pPr>
            <w:r>
              <w:rPr>
                <w:sz w:val="22"/>
              </w:rPr>
              <w:t>Microscopía electrónica de barrido</w:t>
            </w:r>
          </w:p>
        </w:tc>
      </w:tr>
      <w:tr>
        <w:trPr>
          <w:trHeight w:val="341" w:hRule="exact"/>
        </w:trPr>
        <w:tc>
          <w:tcPr>
            <w:tcW w:w="1268" w:type="dxa"/>
          </w:tcPr>
          <w:p>
            <w:pPr>
              <w:pStyle w:val="TableParagraph"/>
              <w:spacing w:before="32"/>
              <w:ind w:left="200"/>
              <w:jc w:val="left"/>
              <w:rPr>
                <w:sz w:val="22"/>
              </w:rPr>
            </w:pPr>
            <w:r>
              <w:rPr>
                <w:sz w:val="22"/>
              </w:rPr>
              <w:t>SWNTs*</w:t>
            </w:r>
          </w:p>
        </w:tc>
        <w:tc>
          <w:tcPr>
            <w:tcW w:w="5113" w:type="dxa"/>
          </w:tcPr>
          <w:p>
            <w:pPr>
              <w:pStyle w:val="TableParagraph"/>
              <w:spacing w:before="32"/>
              <w:ind w:left="172"/>
              <w:jc w:val="left"/>
              <w:rPr>
                <w:sz w:val="22"/>
              </w:rPr>
            </w:pPr>
            <w:r>
              <w:rPr>
                <w:sz w:val="22"/>
              </w:rPr>
              <w:t>Nanotubos de carbono de pared sencilla</w:t>
            </w:r>
          </w:p>
        </w:tc>
      </w:tr>
      <w:tr>
        <w:trPr>
          <w:trHeight w:val="340" w:hRule="exact"/>
        </w:trPr>
        <w:tc>
          <w:tcPr>
            <w:tcW w:w="1268" w:type="dxa"/>
          </w:tcPr>
          <w:p>
            <w:pPr>
              <w:pStyle w:val="TableParagraph"/>
              <w:spacing w:before="32"/>
              <w:ind w:left="200"/>
              <w:jc w:val="left"/>
              <w:rPr>
                <w:sz w:val="22"/>
              </w:rPr>
            </w:pPr>
            <w:r>
              <w:rPr>
                <w:sz w:val="22"/>
              </w:rPr>
              <w:t>TEM*</w:t>
            </w:r>
          </w:p>
        </w:tc>
        <w:tc>
          <w:tcPr>
            <w:tcW w:w="5113" w:type="dxa"/>
          </w:tcPr>
          <w:p>
            <w:pPr>
              <w:pStyle w:val="TableParagraph"/>
              <w:spacing w:before="32"/>
              <w:ind w:left="172"/>
              <w:jc w:val="left"/>
              <w:rPr>
                <w:sz w:val="22"/>
              </w:rPr>
            </w:pPr>
            <w:r>
              <w:rPr>
                <w:sz w:val="22"/>
              </w:rPr>
              <w:t>Microscopía de transmisión de electrones</w:t>
            </w:r>
          </w:p>
        </w:tc>
      </w:tr>
      <w:tr>
        <w:trPr>
          <w:trHeight w:val="348" w:hRule="exact"/>
        </w:trPr>
        <w:tc>
          <w:tcPr>
            <w:tcW w:w="1268" w:type="dxa"/>
          </w:tcPr>
          <w:p>
            <w:pPr>
              <w:pStyle w:val="TableParagraph"/>
              <w:spacing w:before="31"/>
              <w:ind w:left="200"/>
              <w:jc w:val="left"/>
              <w:rPr>
                <w:sz w:val="14"/>
              </w:rPr>
            </w:pPr>
            <w:r>
              <w:rPr>
                <w:sz w:val="22"/>
              </w:rPr>
              <w:t>T</w:t>
            </w:r>
            <w:r>
              <w:rPr>
                <w:position w:val="-2"/>
                <w:sz w:val="14"/>
              </w:rPr>
              <w:t>B</w:t>
            </w:r>
          </w:p>
        </w:tc>
        <w:tc>
          <w:tcPr>
            <w:tcW w:w="5113" w:type="dxa"/>
          </w:tcPr>
          <w:p>
            <w:pPr>
              <w:pStyle w:val="TableParagraph"/>
              <w:spacing w:before="31"/>
              <w:ind w:left="172"/>
              <w:jc w:val="left"/>
              <w:rPr>
                <w:sz w:val="22"/>
              </w:rPr>
            </w:pPr>
            <w:r>
              <w:rPr>
                <w:sz w:val="22"/>
              </w:rPr>
              <w:t>Temperatura de Brill</w:t>
            </w:r>
          </w:p>
        </w:tc>
      </w:tr>
      <w:tr>
        <w:trPr>
          <w:trHeight w:val="341" w:hRule="exact"/>
        </w:trPr>
        <w:tc>
          <w:tcPr>
            <w:tcW w:w="1268" w:type="dxa"/>
          </w:tcPr>
          <w:p>
            <w:pPr>
              <w:pStyle w:val="TableParagraph"/>
              <w:spacing w:before="24"/>
              <w:ind w:left="200"/>
              <w:jc w:val="left"/>
              <w:rPr>
                <w:sz w:val="14"/>
              </w:rPr>
            </w:pPr>
            <w:r>
              <w:rPr>
                <w:sz w:val="22"/>
              </w:rPr>
              <w:t>T</w:t>
            </w:r>
            <w:r>
              <w:rPr>
                <w:position w:val="-2"/>
                <w:sz w:val="14"/>
              </w:rPr>
              <w:t>c</w:t>
            </w:r>
          </w:p>
        </w:tc>
        <w:tc>
          <w:tcPr>
            <w:tcW w:w="5113" w:type="dxa"/>
          </w:tcPr>
          <w:p>
            <w:pPr>
              <w:pStyle w:val="TableParagraph"/>
              <w:spacing w:before="24"/>
              <w:ind w:left="172"/>
              <w:jc w:val="left"/>
              <w:rPr>
                <w:sz w:val="22"/>
              </w:rPr>
            </w:pPr>
            <w:r>
              <w:rPr>
                <w:sz w:val="22"/>
              </w:rPr>
              <w:t>Temperatura de cristalización</w:t>
            </w:r>
          </w:p>
        </w:tc>
      </w:tr>
      <w:tr>
        <w:trPr>
          <w:trHeight w:val="340" w:hRule="exact"/>
        </w:trPr>
        <w:tc>
          <w:tcPr>
            <w:tcW w:w="1268" w:type="dxa"/>
          </w:tcPr>
          <w:p>
            <w:pPr>
              <w:pStyle w:val="TableParagraph"/>
              <w:spacing w:before="24"/>
              <w:ind w:left="200"/>
              <w:jc w:val="left"/>
              <w:rPr>
                <w:i/>
                <w:sz w:val="14"/>
              </w:rPr>
            </w:pPr>
            <w:r>
              <w:rPr>
                <w:i/>
                <w:sz w:val="22"/>
              </w:rPr>
              <w:t>T</w:t>
            </w:r>
            <w:r>
              <w:rPr>
                <w:i/>
                <w:position w:val="-2"/>
                <w:sz w:val="14"/>
              </w:rPr>
              <w:t>d</w:t>
            </w:r>
          </w:p>
        </w:tc>
        <w:tc>
          <w:tcPr>
            <w:tcW w:w="5113" w:type="dxa"/>
          </w:tcPr>
          <w:p>
            <w:pPr>
              <w:pStyle w:val="TableParagraph"/>
              <w:spacing w:before="24"/>
              <w:ind w:left="172"/>
              <w:jc w:val="left"/>
              <w:rPr>
                <w:sz w:val="22"/>
              </w:rPr>
            </w:pPr>
            <w:r>
              <w:rPr>
                <w:sz w:val="22"/>
              </w:rPr>
              <w:t>Temperatura de descomposición</w:t>
            </w:r>
          </w:p>
        </w:tc>
      </w:tr>
      <w:tr>
        <w:trPr>
          <w:trHeight w:val="340" w:hRule="exact"/>
        </w:trPr>
        <w:tc>
          <w:tcPr>
            <w:tcW w:w="1268" w:type="dxa"/>
          </w:tcPr>
          <w:p>
            <w:pPr>
              <w:pStyle w:val="TableParagraph"/>
              <w:spacing w:before="23"/>
              <w:ind w:left="200"/>
              <w:jc w:val="left"/>
              <w:rPr>
                <w:sz w:val="14"/>
              </w:rPr>
            </w:pPr>
            <w:r>
              <w:rPr>
                <w:sz w:val="22"/>
              </w:rPr>
              <w:t>T</w:t>
            </w:r>
            <w:r>
              <w:rPr>
                <w:position w:val="-2"/>
                <w:sz w:val="14"/>
              </w:rPr>
              <w:t>f</w:t>
            </w:r>
          </w:p>
        </w:tc>
        <w:tc>
          <w:tcPr>
            <w:tcW w:w="5113" w:type="dxa"/>
          </w:tcPr>
          <w:p>
            <w:pPr>
              <w:pStyle w:val="TableParagraph"/>
              <w:spacing w:before="23"/>
              <w:ind w:left="172"/>
              <w:jc w:val="left"/>
              <w:rPr>
                <w:sz w:val="22"/>
              </w:rPr>
            </w:pPr>
            <w:r>
              <w:rPr>
                <w:sz w:val="22"/>
              </w:rPr>
              <w:t>Temperatura de fusión</w:t>
            </w:r>
          </w:p>
        </w:tc>
      </w:tr>
      <w:tr>
        <w:trPr>
          <w:trHeight w:val="341" w:hRule="exact"/>
        </w:trPr>
        <w:tc>
          <w:tcPr>
            <w:tcW w:w="1268" w:type="dxa"/>
          </w:tcPr>
          <w:p>
            <w:pPr>
              <w:pStyle w:val="TableParagraph"/>
              <w:spacing w:before="24"/>
              <w:ind w:left="200"/>
              <w:jc w:val="left"/>
              <w:rPr>
                <w:sz w:val="14"/>
              </w:rPr>
            </w:pPr>
            <w:r>
              <w:rPr>
                <w:sz w:val="22"/>
              </w:rPr>
              <w:t>T</w:t>
            </w:r>
            <w:r>
              <w:rPr>
                <w:position w:val="-2"/>
                <w:sz w:val="14"/>
              </w:rPr>
              <w:t>g</w:t>
            </w:r>
          </w:p>
        </w:tc>
        <w:tc>
          <w:tcPr>
            <w:tcW w:w="5113" w:type="dxa"/>
          </w:tcPr>
          <w:p>
            <w:pPr>
              <w:pStyle w:val="TableParagraph"/>
              <w:spacing w:before="24"/>
              <w:ind w:left="172"/>
              <w:jc w:val="left"/>
              <w:rPr>
                <w:sz w:val="22"/>
              </w:rPr>
            </w:pPr>
            <w:r>
              <w:rPr>
                <w:sz w:val="22"/>
              </w:rPr>
              <w:t>Temperatura de transición vítrea</w:t>
            </w:r>
          </w:p>
        </w:tc>
      </w:tr>
      <w:tr>
        <w:trPr>
          <w:trHeight w:val="332" w:hRule="exact"/>
        </w:trPr>
        <w:tc>
          <w:tcPr>
            <w:tcW w:w="1268" w:type="dxa"/>
          </w:tcPr>
          <w:p>
            <w:pPr>
              <w:pStyle w:val="TableParagraph"/>
              <w:spacing w:before="24"/>
              <w:ind w:left="200"/>
              <w:jc w:val="left"/>
              <w:rPr>
                <w:sz w:val="22"/>
              </w:rPr>
            </w:pPr>
            <w:r>
              <w:rPr>
                <w:sz w:val="22"/>
              </w:rPr>
              <w:t>TGA*</w:t>
            </w:r>
          </w:p>
        </w:tc>
        <w:tc>
          <w:tcPr>
            <w:tcW w:w="5113" w:type="dxa"/>
          </w:tcPr>
          <w:p>
            <w:pPr>
              <w:pStyle w:val="TableParagraph"/>
              <w:spacing w:before="24"/>
              <w:ind w:left="172"/>
              <w:jc w:val="left"/>
              <w:rPr>
                <w:sz w:val="22"/>
              </w:rPr>
            </w:pPr>
            <w:r>
              <w:rPr>
                <w:sz w:val="22"/>
              </w:rPr>
              <w:t>Análisis termogravimétrico</w:t>
            </w:r>
          </w:p>
        </w:tc>
      </w:tr>
      <w:tr>
        <w:trPr>
          <w:trHeight w:val="347" w:hRule="exact"/>
        </w:trPr>
        <w:tc>
          <w:tcPr>
            <w:tcW w:w="1268" w:type="dxa"/>
          </w:tcPr>
          <w:p>
            <w:pPr>
              <w:pStyle w:val="TableParagraph"/>
              <w:spacing w:before="31"/>
              <w:ind w:left="200"/>
              <w:jc w:val="left"/>
              <w:rPr>
                <w:sz w:val="14"/>
              </w:rPr>
            </w:pPr>
            <w:r>
              <w:rPr>
                <w:sz w:val="22"/>
              </w:rPr>
              <w:t>X</w:t>
            </w:r>
            <w:r>
              <w:rPr>
                <w:position w:val="-2"/>
                <w:sz w:val="14"/>
              </w:rPr>
              <w:t>c</w:t>
            </w:r>
          </w:p>
        </w:tc>
        <w:tc>
          <w:tcPr>
            <w:tcW w:w="5113" w:type="dxa"/>
          </w:tcPr>
          <w:p>
            <w:pPr>
              <w:pStyle w:val="TableParagraph"/>
              <w:spacing w:before="31"/>
              <w:ind w:left="172"/>
              <w:jc w:val="left"/>
              <w:rPr>
                <w:sz w:val="22"/>
              </w:rPr>
            </w:pPr>
            <w:r>
              <w:rPr>
                <w:sz w:val="22"/>
              </w:rPr>
              <w:t>Porcentaje de cristalinidad</w:t>
            </w:r>
          </w:p>
        </w:tc>
      </w:tr>
      <w:tr>
        <w:trPr>
          <w:trHeight w:val="333" w:hRule="exact"/>
        </w:trPr>
        <w:tc>
          <w:tcPr>
            <w:tcW w:w="1268" w:type="dxa"/>
          </w:tcPr>
          <w:p>
            <w:pPr>
              <w:pStyle w:val="TableParagraph"/>
              <w:spacing w:before="24"/>
              <w:ind w:left="200"/>
              <w:jc w:val="left"/>
              <w:rPr>
                <w:sz w:val="22"/>
              </w:rPr>
            </w:pPr>
            <w:r>
              <w:rPr>
                <w:sz w:val="22"/>
              </w:rPr>
              <w:t>ΔH</w:t>
            </w:r>
          </w:p>
        </w:tc>
        <w:tc>
          <w:tcPr>
            <w:tcW w:w="5113" w:type="dxa"/>
          </w:tcPr>
          <w:p>
            <w:pPr>
              <w:pStyle w:val="TableParagraph"/>
              <w:spacing w:before="24"/>
              <w:ind w:left="172"/>
              <w:jc w:val="left"/>
              <w:rPr>
                <w:sz w:val="22"/>
              </w:rPr>
            </w:pPr>
            <w:r>
              <w:rPr>
                <w:sz w:val="22"/>
              </w:rPr>
              <w:t>Entalpía de fusión de la muestra</w:t>
            </w:r>
          </w:p>
        </w:tc>
      </w:tr>
      <w:tr>
        <w:trPr>
          <w:trHeight w:val="347" w:hRule="exact"/>
        </w:trPr>
        <w:tc>
          <w:tcPr>
            <w:tcW w:w="1268" w:type="dxa"/>
          </w:tcPr>
          <w:p>
            <w:pPr>
              <w:pStyle w:val="TableParagraph"/>
              <w:spacing w:before="32"/>
              <w:ind w:left="200"/>
              <w:jc w:val="left"/>
              <w:rPr>
                <w:sz w:val="14"/>
              </w:rPr>
            </w:pPr>
            <w:r>
              <w:rPr>
                <w:sz w:val="22"/>
              </w:rPr>
              <w:t>ΔH</w:t>
            </w:r>
            <w:r>
              <w:rPr>
                <w:position w:val="-2"/>
                <w:sz w:val="14"/>
              </w:rPr>
              <w:t>0</w:t>
            </w:r>
          </w:p>
        </w:tc>
        <w:tc>
          <w:tcPr>
            <w:tcW w:w="5113" w:type="dxa"/>
          </w:tcPr>
          <w:p>
            <w:pPr>
              <w:pStyle w:val="TableParagraph"/>
              <w:spacing w:before="32"/>
              <w:ind w:left="172"/>
              <w:jc w:val="left"/>
              <w:rPr>
                <w:sz w:val="22"/>
              </w:rPr>
            </w:pPr>
            <w:r>
              <w:rPr>
                <w:sz w:val="22"/>
              </w:rPr>
              <w:t>Entalpia de fusión de la muestra 100% cristalina</w:t>
            </w:r>
          </w:p>
        </w:tc>
      </w:tr>
      <w:tr>
        <w:trPr>
          <w:trHeight w:val="332" w:hRule="exact"/>
        </w:trPr>
        <w:tc>
          <w:tcPr>
            <w:tcW w:w="1268" w:type="dxa"/>
          </w:tcPr>
          <w:p>
            <w:pPr>
              <w:pStyle w:val="TableParagraph"/>
              <w:spacing w:before="23"/>
              <w:ind w:left="200"/>
              <w:jc w:val="left"/>
              <w:rPr>
                <w:sz w:val="22"/>
              </w:rPr>
            </w:pPr>
            <w:r>
              <w:rPr>
                <w:w w:val="100"/>
                <w:sz w:val="22"/>
              </w:rPr>
              <w:t>Β</w:t>
            </w:r>
          </w:p>
        </w:tc>
        <w:tc>
          <w:tcPr>
            <w:tcW w:w="5113" w:type="dxa"/>
          </w:tcPr>
          <w:p>
            <w:pPr>
              <w:pStyle w:val="TableParagraph"/>
              <w:spacing w:before="23"/>
              <w:ind w:left="172"/>
              <w:jc w:val="left"/>
              <w:rPr>
                <w:sz w:val="22"/>
              </w:rPr>
            </w:pPr>
            <w:r>
              <w:rPr>
                <w:sz w:val="22"/>
              </w:rPr>
              <w:t>Corrección de ancho del pico en ecuación de Scherrer</w:t>
            </w:r>
          </w:p>
        </w:tc>
      </w:tr>
      <w:tr>
        <w:trPr>
          <w:trHeight w:val="341" w:hRule="exact"/>
        </w:trPr>
        <w:tc>
          <w:tcPr>
            <w:tcW w:w="1268" w:type="dxa"/>
          </w:tcPr>
          <w:p>
            <w:pPr>
              <w:pStyle w:val="TableParagraph"/>
              <w:spacing w:before="32"/>
              <w:ind w:left="200"/>
              <w:jc w:val="left"/>
              <w:rPr>
                <w:sz w:val="22"/>
              </w:rPr>
            </w:pPr>
            <w:r>
              <w:rPr>
                <w:w w:val="100"/>
                <w:sz w:val="22"/>
              </w:rPr>
              <w:t>Η</w:t>
            </w:r>
          </w:p>
        </w:tc>
        <w:tc>
          <w:tcPr>
            <w:tcW w:w="5113" w:type="dxa"/>
          </w:tcPr>
          <w:p>
            <w:pPr>
              <w:pStyle w:val="TableParagraph"/>
              <w:spacing w:before="32"/>
              <w:ind w:left="172"/>
              <w:jc w:val="left"/>
              <w:rPr>
                <w:sz w:val="22"/>
              </w:rPr>
            </w:pPr>
            <w:r>
              <w:rPr>
                <w:sz w:val="22"/>
              </w:rPr>
              <w:t>Medida del tamaño del estado ordenado</w:t>
            </w:r>
          </w:p>
        </w:tc>
      </w:tr>
      <w:tr>
        <w:trPr>
          <w:trHeight w:val="349" w:hRule="exact"/>
        </w:trPr>
        <w:tc>
          <w:tcPr>
            <w:tcW w:w="1268" w:type="dxa"/>
          </w:tcPr>
          <w:p>
            <w:pPr>
              <w:pStyle w:val="TableParagraph"/>
              <w:spacing w:before="38"/>
              <w:ind w:left="200"/>
              <w:jc w:val="left"/>
              <w:rPr>
                <w:rFonts w:ascii="Symbol" w:hAnsi="Symbol"/>
                <w:sz w:val="22"/>
              </w:rPr>
            </w:pPr>
            <w:r>
              <w:rPr>
                <w:rFonts w:ascii="Symbol" w:hAnsi="Symbol"/>
                <w:w w:val="100"/>
                <w:sz w:val="22"/>
              </w:rPr>
              <w:t></w:t>
            </w:r>
          </w:p>
        </w:tc>
        <w:tc>
          <w:tcPr>
            <w:tcW w:w="5113" w:type="dxa"/>
          </w:tcPr>
          <w:p>
            <w:pPr>
              <w:pStyle w:val="TableParagraph"/>
              <w:spacing w:before="32"/>
              <w:ind w:left="172"/>
              <w:jc w:val="left"/>
              <w:rPr>
                <w:sz w:val="22"/>
              </w:rPr>
            </w:pPr>
            <w:r>
              <w:rPr>
                <w:sz w:val="22"/>
              </w:rPr>
              <w:t>Angulo de difracción</w:t>
            </w:r>
          </w:p>
        </w:tc>
      </w:tr>
      <w:tr>
        <w:trPr>
          <w:trHeight w:val="289" w:hRule="exact"/>
        </w:trPr>
        <w:tc>
          <w:tcPr>
            <w:tcW w:w="1268" w:type="dxa"/>
          </w:tcPr>
          <w:p>
            <w:pPr>
              <w:pStyle w:val="TableParagraph"/>
              <w:spacing w:before="28"/>
              <w:ind w:left="200"/>
              <w:jc w:val="left"/>
              <w:rPr>
                <w:rFonts w:ascii="Symbol" w:hAnsi="Symbol"/>
                <w:sz w:val="22"/>
              </w:rPr>
            </w:pPr>
            <w:r>
              <w:rPr>
                <w:rFonts w:ascii="Symbol" w:hAnsi="Symbol"/>
                <w:w w:val="100"/>
                <w:sz w:val="22"/>
              </w:rPr>
              <w:t></w:t>
            </w:r>
          </w:p>
        </w:tc>
        <w:tc>
          <w:tcPr>
            <w:tcW w:w="5113" w:type="dxa"/>
          </w:tcPr>
          <w:p>
            <w:pPr>
              <w:pStyle w:val="TableParagraph"/>
              <w:spacing w:before="22"/>
              <w:ind w:left="172"/>
              <w:jc w:val="left"/>
              <w:rPr>
                <w:sz w:val="22"/>
              </w:rPr>
            </w:pPr>
            <w:r>
              <w:rPr>
                <w:sz w:val="22"/>
              </w:rPr>
              <w:t>Longitud de onda</w:t>
            </w:r>
          </w:p>
        </w:tc>
      </w:tr>
    </w:tbl>
    <w:p>
      <w:pPr>
        <w:pStyle w:val="BodyText"/>
        <w:rPr>
          <w:b/>
          <w:sz w:val="20"/>
        </w:rPr>
      </w:pPr>
    </w:p>
    <w:p>
      <w:pPr>
        <w:pStyle w:val="BodyText"/>
        <w:spacing w:before="10"/>
        <w:rPr>
          <w:b/>
        </w:rPr>
      </w:pPr>
    </w:p>
    <w:p>
      <w:pPr>
        <w:pStyle w:val="BodyText"/>
        <w:spacing w:before="73"/>
        <w:ind w:left="302"/>
      </w:pPr>
      <w:r>
        <w:rPr/>
        <w:t>*Estas abreviaturas han sido tomadas por sus siglas en inglés.</w:t>
      </w:r>
    </w:p>
    <w:p>
      <w:pPr>
        <w:spacing w:after="0"/>
        <w:sectPr>
          <w:pgSz w:w="12240" w:h="15840"/>
          <w:pgMar w:header="724" w:footer="1062" w:top="920" w:bottom="1260" w:left="1400" w:right="1440"/>
        </w:sectPr>
      </w:pPr>
    </w:p>
    <w:p>
      <w:pPr>
        <w:pStyle w:val="BodyText"/>
        <w:rPr>
          <w:sz w:val="20"/>
        </w:rPr>
      </w:pPr>
      <w:r>
        <w:rPr/>
        <w:pict>
          <v:group style="position:absolute;margin-left:122.175003pt;margin-top:212.714996pt;width:4.45pt;height:209.7pt;mso-position-horizontal-relative:page;mso-position-vertical-relative:page;z-index:-176032" coordorigin="2444,4254" coordsize="89,4194">
            <v:line style="position:absolute" from="2488,4299" to="2488,4515" stroked="true" strokeweight="4.440pt" strokecolor="#000000"/>
            <v:line style="position:absolute" from="2488,4515" to="2488,5144" stroked="true" strokeweight="4.440pt" strokecolor="#000000"/>
            <v:line style="position:absolute" from="2488,5144" to="2488,7352" stroked="true" strokeweight="4.440pt" strokecolor="#000000"/>
            <v:line style="position:absolute" from="2488,7352" to="2488,7568" stroked="true" strokeweight="4.440pt" strokecolor="#000000"/>
            <v:line style="position:absolute" from="2488,7568" to="2488,8404" stroked="true" strokeweight="4.440pt" strokecolor="#000000"/>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7"/>
        </w:rPr>
      </w:pPr>
    </w:p>
    <w:tbl>
      <w:tblPr>
        <w:tblW w:w="0" w:type="auto"/>
        <w:jc w:val="left"/>
        <w:tblInd w:w="7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50"/>
      </w:tblGrid>
      <w:tr>
        <w:trPr>
          <w:trHeight w:val="2202" w:hRule="exact"/>
        </w:trPr>
        <w:tc>
          <w:tcPr>
            <w:tcW w:w="4150" w:type="dxa"/>
          </w:tcPr>
          <w:p>
            <w:pPr>
              <w:pStyle w:val="TableParagraph"/>
              <w:spacing w:line="980" w:lineRule="exact"/>
              <w:ind w:left="109"/>
              <w:jc w:val="left"/>
              <w:rPr>
                <w:b/>
                <w:i/>
                <w:sz w:val="96"/>
              </w:rPr>
            </w:pPr>
            <w:r>
              <w:rPr>
                <w:b/>
                <w:i/>
                <w:sz w:val="96"/>
              </w:rPr>
              <w:t>Protocolo</w:t>
            </w:r>
          </w:p>
          <w:p>
            <w:pPr>
              <w:pStyle w:val="TableParagraph"/>
              <w:ind w:left="109"/>
              <w:jc w:val="left"/>
              <w:rPr>
                <w:b/>
                <w:i/>
                <w:sz w:val="96"/>
              </w:rPr>
            </w:pPr>
            <w:r>
              <w:rPr>
                <w:b/>
                <w:i/>
                <w:sz w:val="96"/>
              </w:rPr>
              <w:t>de Tesis</w:t>
            </w:r>
          </w:p>
        </w:tc>
      </w:tr>
      <w:tr>
        <w:trPr>
          <w:trHeight w:val="898" w:hRule="exact"/>
        </w:trPr>
        <w:tc>
          <w:tcPr>
            <w:tcW w:w="4150" w:type="dxa"/>
          </w:tcPr>
          <w:p>
            <w:pPr>
              <w:pStyle w:val="TableParagraph"/>
              <w:spacing w:before="92"/>
              <w:ind w:left="116"/>
              <w:jc w:val="left"/>
              <w:rPr>
                <w:i/>
                <w:sz w:val="36"/>
              </w:rPr>
            </w:pPr>
            <w:r>
              <w:rPr>
                <w:i/>
                <w:sz w:val="36"/>
              </w:rPr>
              <w:t>Capítulo 1</w:t>
            </w:r>
          </w:p>
        </w:tc>
      </w:tr>
    </w:tbl>
    <w:p>
      <w:pPr>
        <w:spacing w:after="0"/>
        <w:jc w:val="left"/>
        <w:rPr>
          <w:sz w:val="36"/>
        </w:rPr>
        <w:sectPr>
          <w:headerReference w:type="default" r:id="rId12"/>
          <w:footerReference w:type="default" r:id="rId13"/>
          <w:pgSz w:w="12240" w:h="15840"/>
          <w:pgMar w:header="0" w:footer="0" w:top="1500" w:bottom="280" w:left="1720" w:right="1720"/>
        </w:sectPr>
      </w:pPr>
    </w:p>
    <w:p>
      <w:pPr>
        <w:pStyle w:val="BodyText"/>
        <w:spacing w:before="7"/>
        <w:rPr>
          <w:sz w:val="21"/>
        </w:rPr>
      </w:pPr>
    </w:p>
    <w:p>
      <w:pPr>
        <w:pStyle w:val="Heading4"/>
        <w:numPr>
          <w:ilvl w:val="1"/>
          <w:numId w:val="3"/>
        </w:numPr>
        <w:tabs>
          <w:tab w:pos="497" w:val="left" w:leader="none"/>
        </w:tabs>
        <w:spacing w:line="240" w:lineRule="auto" w:before="72" w:after="0"/>
        <w:ind w:left="496" w:right="0" w:hanging="374"/>
        <w:jc w:val="left"/>
      </w:pPr>
      <w:r>
        <w:rPr/>
        <w:t>Introducción</w:t>
      </w:r>
    </w:p>
    <w:p>
      <w:pPr>
        <w:pStyle w:val="BodyText"/>
        <w:spacing w:line="360" w:lineRule="auto" w:before="121"/>
        <w:ind w:left="122" w:right="138" w:firstLine="283"/>
        <w:jc w:val="both"/>
      </w:pPr>
      <w:r>
        <w:rPr/>
        <w:t>A partir del carbono, uno de los elementos más abundantes de la naturaleza, se ha llegado al desarrollo de nuevos materiales que debido a su estructura nanométrica poseen excelentes propiedades. Tal es el caso de los nanotubos de carbono y el grafeno, su estudio durante los últimos años ha proporcionado diversos avances y permitido mejoras significativas en el desarrollo de nuevos materiales.</w:t>
      </w:r>
    </w:p>
    <w:p>
      <w:pPr>
        <w:pStyle w:val="BodyText"/>
      </w:pPr>
    </w:p>
    <w:p>
      <w:pPr>
        <w:pStyle w:val="BodyText"/>
        <w:spacing w:line="360" w:lineRule="auto" w:before="130"/>
        <w:ind w:left="122" w:right="137" w:firstLine="283"/>
        <w:jc w:val="both"/>
      </w:pPr>
      <w:r>
        <w:rPr/>
        <w:t>Por lo anterior, una aplicación que se le ha dado a estos materiales nanométricos de carbono es en el refuerzo de polímeros, los cuales son utilizados en infinidad de usos comerciales e ingenieriles y es esto lo que ha llevado a la búsqueda de nuevas técnicas de obtención de nanocompositos poliméricos para mejorar las propiedades de los polímeros</w:t>
      </w:r>
      <w:r>
        <w:rPr>
          <w:spacing w:val="-16"/>
        </w:rPr>
        <w:t> </w:t>
      </w:r>
      <w:r>
        <w:rPr/>
        <w:t>convencionales.</w:t>
      </w:r>
    </w:p>
    <w:p>
      <w:pPr>
        <w:pStyle w:val="BodyText"/>
      </w:pPr>
    </w:p>
    <w:p>
      <w:pPr>
        <w:pStyle w:val="BodyText"/>
        <w:spacing w:line="360" w:lineRule="auto" w:before="130"/>
        <w:ind w:left="122" w:right="136" w:firstLine="283"/>
        <w:jc w:val="both"/>
      </w:pPr>
      <w:r>
        <w:rPr/>
        <w:t>La industria de los polímeros demanda propiedades que combinen mayor resistencia, mayor conductividad eléctrica, menor tiempo de degradación, entre otras propiedades, con el propósito de mejorar su rendimiento y desempeño. Lo anterior, ha provocado que varios grupos de investigación estén buscando nuevos materiales como refuerzos de matrices poliméricas [1-4].</w:t>
      </w:r>
    </w:p>
    <w:p>
      <w:pPr>
        <w:pStyle w:val="BodyText"/>
      </w:pPr>
    </w:p>
    <w:p>
      <w:pPr>
        <w:pStyle w:val="BodyText"/>
        <w:spacing w:line="360" w:lineRule="auto" w:before="133"/>
        <w:ind w:left="122" w:right="137" w:firstLine="283"/>
        <w:jc w:val="both"/>
      </w:pPr>
      <w:r>
        <w:rPr/>
        <w:t>Los materiales compuestos tradicionales contienen una cantidad significativa (~ 60% peso) de refuerzo en la matriz polimérica. En contraste, en los nanocompositos se han logrado cambios dramáticos en las propiedades con el uso de concentraciones muy bajas (&lt; 2 % peso) de nanorefuerzos tales como nanoarcillas exfoliadas, nanoplateletas de grafito, nanotubos de carbono (CNTs) y grafeno [5-8].</w:t>
      </w:r>
    </w:p>
    <w:p>
      <w:pPr>
        <w:pStyle w:val="BodyText"/>
      </w:pPr>
    </w:p>
    <w:p>
      <w:pPr>
        <w:pStyle w:val="BodyText"/>
        <w:spacing w:line="360" w:lineRule="auto" w:before="130"/>
        <w:ind w:left="122" w:right="135" w:firstLine="283"/>
        <w:jc w:val="both"/>
      </w:pPr>
      <w:r>
        <w:rPr/>
        <w:t>Los CNTs representan una posibilidad del desarrollo de materiales compuestos altamente resistentes, ya que se ha encontrado que tanto como los nanotubos de carbono de pared simple (SWNTs) como los de multipared (MWNTs) tienen un notable módulo de Young, alta rigidez y flexibilidad [6] y además las propiedades de los nanocompositos se ven favorecidas por la adición de grupos funcionales en la estructura grafítica de estos refuerzos</w:t>
      </w:r>
      <w:r>
        <w:rPr>
          <w:spacing w:val="-17"/>
        </w:rPr>
        <w:t> </w:t>
      </w:r>
      <w:r>
        <w:rPr/>
        <w:t>[1].</w:t>
      </w:r>
    </w:p>
    <w:p>
      <w:pPr>
        <w:pStyle w:val="BodyText"/>
      </w:pPr>
    </w:p>
    <w:p>
      <w:pPr>
        <w:pStyle w:val="BodyText"/>
        <w:spacing w:line="360" w:lineRule="auto" w:before="130"/>
        <w:ind w:left="122" w:right="136" w:firstLine="283"/>
        <w:jc w:val="both"/>
      </w:pPr>
      <w:r>
        <w:rPr/>
        <w:t>El grafeno además ha atraído considerable interés en los últimos años, debido a sus propiedades únicas y excepcionales [7]. Diversos trabajos han mostrado que este nanomaterial posee excelentes propiedades mecánicas y eléctricas, lo cual ha llevado al estudio de nanocompositos de polímero reforzados con grafeno [8]. Resultados de nanocompositos de grafeno funcionalizado sugieren   que</w:t>
      </w:r>
    </w:p>
    <w:p>
      <w:pPr>
        <w:spacing w:after="0" w:line="360" w:lineRule="auto"/>
        <w:jc w:val="both"/>
        <w:sectPr>
          <w:headerReference w:type="default" r:id="rId14"/>
          <w:footerReference w:type="default" r:id="rId15"/>
          <w:pgSz w:w="12240" w:h="15840"/>
          <w:pgMar w:header="730" w:footer="1062" w:top="1160" w:bottom="1260" w:left="1580" w:right="1560"/>
          <w:pgNumType w:start="2"/>
        </w:sectPr>
      </w:pPr>
    </w:p>
    <w:p>
      <w:pPr>
        <w:pStyle w:val="BodyText"/>
        <w:spacing w:before="2"/>
        <w:rPr>
          <w:sz w:val="21"/>
        </w:rPr>
      </w:pPr>
    </w:p>
    <w:p>
      <w:pPr>
        <w:pStyle w:val="BodyText"/>
        <w:spacing w:line="360" w:lineRule="auto" w:before="72"/>
        <w:ind w:left="122" w:right="41"/>
      </w:pPr>
      <w:r>
        <w:rPr/>
        <w:t>bajas concentraciones de este nanomaterial además proporcionan propiedades térmicas altamente incrementadas [9,10].</w:t>
      </w:r>
    </w:p>
    <w:p>
      <w:pPr>
        <w:pStyle w:val="BodyText"/>
      </w:pPr>
    </w:p>
    <w:p>
      <w:pPr>
        <w:pStyle w:val="BodyText"/>
        <w:spacing w:line="360" w:lineRule="auto" w:before="130"/>
        <w:ind w:left="122" w:right="135" w:firstLine="283"/>
        <w:jc w:val="both"/>
      </w:pPr>
      <w:r>
        <w:rPr/>
        <w:t>Además de lo mencionado anteriormente es importante indicar que se conoce que diferentes partículas nanométricas funcionan como agentes de nucleación en polímeros semicristalinos [11]. Tanto los CNTs como el grafeno presentan esta característica, favoreciendo la nucleación en matrices poliméricas semicristalinas [12-14]. Asimismo se ha reportado que existe una fuerte influencia de la funcionalización química de estos nanomateriales en la cristalinidad de polímeros, cuando son incluidos como refuerzo de estas matrices [14,15]. La modificación de estos nanomateriales con diferentes grupos funcionales ha proporcionado mejor adhesión interfacial en matrices poliméricas con grupos polares, como el nylon 6,6 [1,2]. Sin embargo el efecto de las diferentes funcionalizaciones en la cristalinidad de matrices poliméricas semicristalinas no se ha investigado a fondo, siendo este un punto trascendental para entender otro de los factores que en conjunto con el tamaño nanométrico, el tipo de interfase y las propiedades de los nanotubos de carbono y el grafeno intervienen en las propiedades finales de este tipo de nanocompositos.</w:t>
      </w:r>
    </w:p>
    <w:p>
      <w:pPr>
        <w:pStyle w:val="BodyText"/>
      </w:pPr>
    </w:p>
    <w:p>
      <w:pPr>
        <w:pStyle w:val="Heading4"/>
        <w:numPr>
          <w:ilvl w:val="1"/>
          <w:numId w:val="3"/>
        </w:numPr>
        <w:tabs>
          <w:tab w:pos="461" w:val="left" w:leader="none"/>
        </w:tabs>
        <w:spacing w:line="240" w:lineRule="auto" w:before="135" w:after="0"/>
        <w:ind w:left="460" w:right="0" w:hanging="338"/>
        <w:jc w:val="left"/>
      </w:pPr>
      <w:r>
        <w:rPr/>
        <w:t>Nanomateriales de</w:t>
      </w:r>
      <w:r>
        <w:rPr>
          <w:spacing w:val="-6"/>
        </w:rPr>
        <w:t> </w:t>
      </w:r>
      <w:r>
        <w:rPr/>
        <w:t>carbono</w:t>
      </w:r>
    </w:p>
    <w:p>
      <w:pPr>
        <w:pStyle w:val="BodyText"/>
        <w:spacing w:line="360" w:lineRule="auto" w:before="124"/>
        <w:ind w:left="122" w:right="137" w:firstLine="283"/>
        <w:jc w:val="both"/>
      </w:pPr>
      <w:r>
        <w:rPr/>
        <w:t>En las últimas décadas ha crecido el interés en los diversos campos de la ciencia y la tecnología que estudian, obtienen y manipulan de manera controlada materiales y dispositivos de muy reducidas dimensiones. La nanotecnología es la disciplina que se encarga del estudio de éstos campos, la cual se enfoca a aquellas estructuras cuyas dimensiones se encuentran en la escala de  una billonésima parte del</w:t>
      </w:r>
      <w:r>
        <w:rPr>
          <w:spacing w:val="-10"/>
        </w:rPr>
        <w:t> </w:t>
      </w:r>
      <w:r>
        <w:rPr/>
        <w:t>metro.</w:t>
      </w:r>
    </w:p>
    <w:p>
      <w:pPr>
        <w:pStyle w:val="BodyText"/>
      </w:pPr>
    </w:p>
    <w:p>
      <w:pPr>
        <w:pStyle w:val="BodyText"/>
        <w:spacing w:line="360" w:lineRule="auto" w:before="130"/>
        <w:ind w:left="122" w:right="134" w:firstLine="283"/>
        <w:jc w:val="both"/>
      </w:pPr>
      <w:r>
        <w:rPr/>
        <w:t>La versatilidad de este material fue conocida desde que Lavoisier identificó al carbono como uno de los elementos químicos. Desde entonces, se han descubierto los diferentes alótropos de carbono  y se han realizado una gran cantidad de investigaciones con el propósito de descifrar las  propiedades que adopta este elemento en sus distintas formas, como son las estructuras tridimensionales (3D) </w:t>
      </w:r>
      <w:r>
        <w:rPr>
          <w:spacing w:val="-3"/>
        </w:rPr>
        <w:t>como </w:t>
      </w:r>
      <w:r>
        <w:rPr/>
        <w:t>el diamante y grafito, estructuras bidimensionales (2D) como el grafeno, estructuras unidimensionales (1D) como los  nanotubos y las estructuras de dimensión  cero (0D) como los fulerenos, las cuales se ilustran en la Figura 1.1. Los alótropos de carbono 3D han sido ampliamente conocidos por siglos, mientras que los fulerenos y nanotubos han sido estudiado en las últimas dos décadas y el grafeno es el alótropo aislado más recientemente</w:t>
      </w:r>
      <w:r>
        <w:rPr>
          <w:spacing w:val="-25"/>
        </w:rPr>
        <w:t> </w:t>
      </w:r>
      <w:r>
        <w:rPr/>
        <w:t>[16].</w:t>
      </w:r>
    </w:p>
    <w:p>
      <w:pPr>
        <w:spacing w:after="0" w:line="360" w:lineRule="auto"/>
        <w:jc w:val="both"/>
        <w:sectPr>
          <w:pgSz w:w="12240" w:h="15840"/>
          <w:pgMar w:header="730" w:footer="1062" w:top="1160" w:bottom="1260" w:left="1580" w:right="1560"/>
        </w:sectPr>
      </w:pPr>
    </w:p>
    <w:p>
      <w:pPr>
        <w:pStyle w:val="BodyText"/>
        <w:spacing w:before="1"/>
        <w:rPr>
          <w:sz w:val="18"/>
        </w:rPr>
      </w:pPr>
    </w:p>
    <w:p>
      <w:pPr>
        <w:pStyle w:val="BodyText"/>
        <w:spacing w:line="355" w:lineRule="auto" w:before="83" w:after="14"/>
        <w:ind w:left="242" w:right="215" w:firstLine="283"/>
        <w:jc w:val="both"/>
      </w:pPr>
      <w:r>
        <w:rPr/>
        <w:t>El carbono puede hibridarse en tres formas: sp, sp</w:t>
      </w:r>
      <w:r>
        <w:rPr>
          <w:position w:val="10"/>
          <w:sz w:val="14"/>
        </w:rPr>
        <w:t>2 </w:t>
      </w:r>
      <w:r>
        <w:rPr/>
        <w:t>y sp</w:t>
      </w:r>
      <w:r>
        <w:rPr>
          <w:position w:val="10"/>
          <w:sz w:val="14"/>
        </w:rPr>
        <w:t>3</w:t>
      </w:r>
      <w:r>
        <w:rPr/>
        <w:t>, entre los materiales con estas hibridaciones se encuentran los carbinos, el grafito y el diamante, respectivamente. Los diferentes enlaces de los átomos de carbono hacen posible la existencia de las diversas formas alotrópicas, las cuales exhiben un amplio rango de propiedades físicas y químicas. Los carbonos con hibridación  sp</w:t>
      </w:r>
      <w:r>
        <w:rPr>
          <w:position w:val="10"/>
          <w:sz w:val="14"/>
        </w:rPr>
        <w:t>3 </w:t>
      </w:r>
      <w:r>
        <w:rPr/>
        <w:t>y sp</w:t>
      </w:r>
      <w:r>
        <w:rPr>
          <w:position w:val="10"/>
          <w:sz w:val="14"/>
        </w:rPr>
        <w:t>2 </w:t>
      </w:r>
      <w:r>
        <w:rPr/>
        <w:t>son la principal forma de estructuración de estos materiales. Este elemento puede  cristalizar como un diamante (hibridación sp</w:t>
      </w:r>
      <w:r>
        <w:rPr>
          <w:position w:val="10"/>
          <w:sz w:val="14"/>
        </w:rPr>
        <w:t>3</w:t>
      </w:r>
      <w:r>
        <w:rPr/>
        <w:t>) o grafito (hibridación sp</w:t>
      </w:r>
      <w:r>
        <w:rPr>
          <w:position w:val="10"/>
          <w:sz w:val="14"/>
        </w:rPr>
        <w:t>2</w:t>
      </w:r>
      <w:r>
        <w:rPr/>
        <w:t>), que aunque están constituidos por el mismo elemento poseen propiedades muy diferentes, lo que hace que su estudio sea aún más interesante [17, 18]. En la Tabla 1.1 se muestran algunas de las diferentes propiedades de estos</w:t>
      </w:r>
      <w:r>
        <w:rPr>
          <w:spacing w:val="-6"/>
        </w:rPr>
        <w:t> </w:t>
      </w:r>
      <w:r>
        <w:rPr/>
        <w:t>materiales.</w:t>
      </w:r>
    </w:p>
    <w:p>
      <w:pPr>
        <w:pStyle w:val="BodyText"/>
        <w:ind w:left="454"/>
        <w:rPr>
          <w:sz w:val="20"/>
        </w:rPr>
      </w:pPr>
      <w:r>
        <w:rPr>
          <w:sz w:val="20"/>
        </w:rPr>
        <w:drawing>
          <wp:inline distT="0" distB="0" distL="0" distR="0">
            <wp:extent cx="5351237" cy="2515171"/>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6" cstate="print"/>
                    <a:stretch>
                      <a:fillRect/>
                    </a:stretch>
                  </pic:blipFill>
                  <pic:spPr>
                    <a:xfrm>
                      <a:off x="0" y="0"/>
                      <a:ext cx="5351237" cy="2515171"/>
                    </a:xfrm>
                    <a:prstGeom prst="rect">
                      <a:avLst/>
                    </a:prstGeom>
                  </pic:spPr>
                </pic:pic>
              </a:graphicData>
            </a:graphic>
          </wp:inline>
        </w:drawing>
      </w:r>
      <w:r>
        <w:rPr>
          <w:sz w:val="20"/>
        </w:rPr>
      </w:r>
    </w:p>
    <w:p>
      <w:pPr>
        <w:pStyle w:val="BodyText"/>
        <w:spacing w:before="5"/>
        <w:rPr>
          <w:sz w:val="28"/>
        </w:rPr>
      </w:pPr>
    </w:p>
    <w:p>
      <w:pPr>
        <w:spacing w:before="1"/>
        <w:ind w:left="732" w:right="710" w:firstLine="0"/>
        <w:jc w:val="center"/>
        <w:rPr>
          <w:sz w:val="22"/>
        </w:rPr>
      </w:pPr>
      <w:r>
        <w:rPr>
          <w:b/>
          <w:sz w:val="22"/>
        </w:rPr>
        <w:t>Figura 1.1 </w:t>
      </w:r>
      <w:r>
        <w:rPr>
          <w:sz w:val="22"/>
        </w:rPr>
        <w:t>Distintos alótropos de carbono.</w:t>
      </w:r>
    </w:p>
    <w:p>
      <w:pPr>
        <w:pStyle w:val="BodyText"/>
      </w:pPr>
    </w:p>
    <w:p>
      <w:pPr>
        <w:pStyle w:val="BodyText"/>
        <w:spacing w:before="10"/>
        <w:rPr>
          <w:sz w:val="21"/>
        </w:rPr>
      </w:pPr>
    </w:p>
    <w:p>
      <w:pPr>
        <w:pStyle w:val="BodyText"/>
        <w:spacing w:before="1"/>
        <w:ind w:left="732" w:right="710"/>
        <w:jc w:val="center"/>
      </w:pPr>
      <w:r>
        <w:rPr>
          <w:b/>
        </w:rPr>
        <w:t>Tabla 1.1 </w:t>
      </w:r>
      <w:r>
        <w:rPr/>
        <w:t>Parámetros importantes de los nanomateriales de carbono [19]</w:t>
      </w:r>
    </w:p>
    <w:p>
      <w:pPr>
        <w:pStyle w:val="BodyText"/>
        <w:rPr>
          <w:sz w:val="29"/>
        </w:rPr>
      </w:pPr>
    </w:p>
    <w:tbl>
      <w:tblPr>
        <w:tblW w:w="0" w:type="auto"/>
        <w:jc w:val="left"/>
        <w:tblInd w:w="11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489"/>
        <w:gridCol w:w="1684"/>
        <w:gridCol w:w="1439"/>
        <w:gridCol w:w="1607"/>
        <w:gridCol w:w="1587"/>
        <w:gridCol w:w="1266"/>
      </w:tblGrid>
      <w:tr>
        <w:trPr>
          <w:trHeight w:val="408" w:hRule="exact"/>
        </w:trPr>
        <w:tc>
          <w:tcPr>
            <w:tcW w:w="1489" w:type="dxa"/>
            <w:tcBorders>
              <w:left w:val="nil"/>
              <w:bottom w:val="single" w:sz="12" w:space="0" w:color="000000"/>
              <w:right w:val="nil"/>
            </w:tcBorders>
          </w:tcPr>
          <w:p>
            <w:pPr>
              <w:pStyle w:val="TableParagraph"/>
              <w:spacing w:line="252" w:lineRule="exact"/>
              <w:ind w:left="191" w:right="154"/>
              <w:rPr>
                <w:b/>
                <w:i/>
                <w:sz w:val="22"/>
              </w:rPr>
            </w:pPr>
            <w:r>
              <w:rPr>
                <w:b/>
                <w:i/>
                <w:sz w:val="22"/>
              </w:rPr>
              <w:t>Dimensión</w:t>
            </w:r>
          </w:p>
        </w:tc>
        <w:tc>
          <w:tcPr>
            <w:tcW w:w="1684" w:type="dxa"/>
            <w:tcBorders>
              <w:left w:val="nil"/>
              <w:bottom w:val="single" w:sz="12" w:space="0" w:color="000000"/>
              <w:right w:val="nil"/>
            </w:tcBorders>
          </w:tcPr>
          <w:p>
            <w:pPr>
              <w:pStyle w:val="TableParagraph"/>
              <w:spacing w:line="252" w:lineRule="exact"/>
              <w:ind w:left="153" w:right="155"/>
              <w:rPr>
                <w:b/>
                <w:i/>
                <w:sz w:val="22"/>
              </w:rPr>
            </w:pPr>
            <w:r>
              <w:rPr>
                <w:b/>
                <w:i/>
                <w:sz w:val="22"/>
              </w:rPr>
              <w:t>0D</w:t>
            </w:r>
          </w:p>
        </w:tc>
        <w:tc>
          <w:tcPr>
            <w:tcW w:w="1439" w:type="dxa"/>
            <w:tcBorders>
              <w:left w:val="nil"/>
              <w:bottom w:val="single" w:sz="12" w:space="0" w:color="000000"/>
              <w:right w:val="nil"/>
            </w:tcBorders>
          </w:tcPr>
          <w:p>
            <w:pPr>
              <w:pStyle w:val="TableParagraph"/>
              <w:spacing w:line="252" w:lineRule="exact"/>
              <w:ind w:left="395" w:right="378"/>
              <w:rPr>
                <w:b/>
                <w:i/>
                <w:sz w:val="22"/>
              </w:rPr>
            </w:pPr>
            <w:r>
              <w:rPr>
                <w:b/>
                <w:i/>
                <w:sz w:val="22"/>
              </w:rPr>
              <w:t>1D</w:t>
            </w:r>
          </w:p>
        </w:tc>
        <w:tc>
          <w:tcPr>
            <w:tcW w:w="1607" w:type="dxa"/>
            <w:tcBorders>
              <w:left w:val="nil"/>
              <w:bottom w:val="single" w:sz="12" w:space="0" w:color="000000"/>
              <w:right w:val="nil"/>
            </w:tcBorders>
          </w:tcPr>
          <w:p>
            <w:pPr>
              <w:pStyle w:val="TableParagraph"/>
              <w:spacing w:line="252" w:lineRule="exact"/>
              <w:ind w:left="447" w:right="398"/>
              <w:rPr>
                <w:b/>
                <w:i/>
                <w:sz w:val="22"/>
              </w:rPr>
            </w:pPr>
            <w:r>
              <w:rPr>
                <w:b/>
                <w:i/>
                <w:sz w:val="22"/>
              </w:rPr>
              <w:t>2D</w:t>
            </w:r>
          </w:p>
        </w:tc>
        <w:tc>
          <w:tcPr>
            <w:tcW w:w="1587" w:type="dxa"/>
            <w:tcBorders>
              <w:left w:val="nil"/>
              <w:bottom w:val="single" w:sz="12" w:space="0" w:color="000000"/>
              <w:right w:val="nil"/>
            </w:tcBorders>
          </w:tcPr>
          <w:p>
            <w:pPr>
              <w:pStyle w:val="TableParagraph"/>
              <w:spacing w:line="252" w:lineRule="exact"/>
              <w:ind w:right="25"/>
              <w:jc w:val="right"/>
              <w:rPr>
                <w:b/>
                <w:i/>
                <w:sz w:val="22"/>
              </w:rPr>
            </w:pPr>
            <w:r>
              <w:rPr>
                <w:b/>
                <w:i/>
                <w:sz w:val="22"/>
              </w:rPr>
              <w:t>3D</w:t>
            </w:r>
          </w:p>
        </w:tc>
        <w:tc>
          <w:tcPr>
            <w:tcW w:w="1266" w:type="dxa"/>
            <w:tcBorders>
              <w:left w:val="nil"/>
              <w:bottom w:val="single" w:sz="12" w:space="0" w:color="000000"/>
              <w:right w:val="nil"/>
            </w:tcBorders>
          </w:tcPr>
          <w:p>
            <w:pPr/>
          </w:p>
        </w:tc>
      </w:tr>
      <w:tr>
        <w:trPr>
          <w:trHeight w:val="323" w:hRule="exact"/>
        </w:trPr>
        <w:tc>
          <w:tcPr>
            <w:tcW w:w="1489" w:type="dxa"/>
            <w:tcBorders>
              <w:top w:val="single" w:sz="12" w:space="0" w:color="000000"/>
              <w:left w:val="nil"/>
              <w:bottom w:val="nil"/>
              <w:right w:val="nil"/>
            </w:tcBorders>
          </w:tcPr>
          <w:p>
            <w:pPr>
              <w:pStyle w:val="TableParagraph"/>
              <w:spacing w:before="1"/>
              <w:ind w:left="191" w:right="154"/>
              <w:rPr>
                <w:b/>
                <w:i/>
                <w:sz w:val="22"/>
              </w:rPr>
            </w:pPr>
            <w:r>
              <w:rPr>
                <w:b/>
                <w:i/>
                <w:sz w:val="22"/>
              </w:rPr>
              <w:t>Alótropo</w:t>
            </w:r>
          </w:p>
        </w:tc>
        <w:tc>
          <w:tcPr>
            <w:tcW w:w="1684" w:type="dxa"/>
            <w:tcBorders>
              <w:top w:val="single" w:sz="12" w:space="0" w:color="000000"/>
              <w:left w:val="nil"/>
              <w:bottom w:val="nil"/>
              <w:right w:val="nil"/>
            </w:tcBorders>
          </w:tcPr>
          <w:p>
            <w:pPr>
              <w:pStyle w:val="TableParagraph"/>
              <w:spacing w:line="249" w:lineRule="exact"/>
              <w:ind w:left="153" w:right="154"/>
              <w:rPr>
                <w:sz w:val="22"/>
              </w:rPr>
            </w:pPr>
            <w:r>
              <w:rPr>
                <w:sz w:val="22"/>
              </w:rPr>
              <w:t>Fulereno</w:t>
            </w:r>
          </w:p>
        </w:tc>
        <w:tc>
          <w:tcPr>
            <w:tcW w:w="1439" w:type="dxa"/>
            <w:tcBorders>
              <w:top w:val="single" w:sz="12" w:space="0" w:color="000000"/>
              <w:left w:val="nil"/>
              <w:bottom w:val="nil"/>
              <w:right w:val="nil"/>
            </w:tcBorders>
          </w:tcPr>
          <w:p>
            <w:pPr>
              <w:pStyle w:val="TableParagraph"/>
              <w:spacing w:line="249" w:lineRule="exact"/>
              <w:ind w:left="395" w:right="381"/>
              <w:rPr>
                <w:sz w:val="22"/>
              </w:rPr>
            </w:pPr>
            <w:r>
              <w:rPr>
                <w:sz w:val="22"/>
              </w:rPr>
              <w:t>CNT</w:t>
            </w:r>
          </w:p>
        </w:tc>
        <w:tc>
          <w:tcPr>
            <w:tcW w:w="1607" w:type="dxa"/>
            <w:tcBorders>
              <w:top w:val="single" w:sz="12" w:space="0" w:color="000000"/>
              <w:left w:val="nil"/>
              <w:bottom w:val="nil"/>
              <w:right w:val="nil"/>
            </w:tcBorders>
          </w:tcPr>
          <w:p>
            <w:pPr>
              <w:pStyle w:val="TableParagraph"/>
              <w:spacing w:line="249" w:lineRule="exact"/>
              <w:ind w:left="447" w:right="398"/>
              <w:rPr>
                <w:sz w:val="22"/>
              </w:rPr>
            </w:pPr>
            <w:r>
              <w:rPr>
                <w:sz w:val="22"/>
              </w:rPr>
              <w:t>Grafeno</w:t>
            </w:r>
          </w:p>
        </w:tc>
        <w:tc>
          <w:tcPr>
            <w:tcW w:w="1587" w:type="dxa"/>
            <w:tcBorders>
              <w:top w:val="single" w:sz="12" w:space="0" w:color="000000"/>
              <w:left w:val="nil"/>
              <w:bottom w:val="nil"/>
              <w:right w:val="nil"/>
            </w:tcBorders>
          </w:tcPr>
          <w:p>
            <w:pPr>
              <w:pStyle w:val="TableParagraph"/>
              <w:spacing w:line="249" w:lineRule="exact"/>
              <w:ind w:left="533"/>
              <w:jc w:val="left"/>
              <w:rPr>
                <w:sz w:val="22"/>
              </w:rPr>
            </w:pPr>
            <w:r>
              <w:rPr>
                <w:sz w:val="22"/>
              </w:rPr>
              <w:t>Grafito</w:t>
            </w:r>
          </w:p>
        </w:tc>
        <w:tc>
          <w:tcPr>
            <w:tcW w:w="1266" w:type="dxa"/>
            <w:tcBorders>
              <w:top w:val="single" w:sz="12" w:space="0" w:color="000000"/>
              <w:left w:val="nil"/>
              <w:bottom w:val="nil"/>
              <w:right w:val="nil"/>
            </w:tcBorders>
          </w:tcPr>
          <w:p>
            <w:pPr>
              <w:pStyle w:val="TableParagraph"/>
              <w:spacing w:line="249" w:lineRule="exact"/>
              <w:ind w:right="145"/>
              <w:jc w:val="right"/>
              <w:rPr>
                <w:sz w:val="22"/>
              </w:rPr>
            </w:pPr>
            <w:r>
              <w:rPr>
                <w:sz w:val="22"/>
              </w:rPr>
              <w:t>Diamante</w:t>
            </w:r>
          </w:p>
        </w:tc>
      </w:tr>
      <w:tr>
        <w:trPr>
          <w:trHeight w:val="399" w:hRule="exact"/>
        </w:trPr>
        <w:tc>
          <w:tcPr>
            <w:tcW w:w="1489" w:type="dxa"/>
            <w:tcBorders>
              <w:top w:val="nil"/>
              <w:left w:val="nil"/>
              <w:bottom w:val="nil"/>
              <w:right w:val="nil"/>
            </w:tcBorders>
          </w:tcPr>
          <w:p>
            <w:pPr>
              <w:pStyle w:val="TableParagraph"/>
              <w:spacing w:before="71"/>
              <w:ind w:left="191" w:right="157"/>
              <w:rPr>
                <w:b/>
                <w:i/>
                <w:sz w:val="22"/>
              </w:rPr>
            </w:pPr>
            <w:r>
              <w:rPr>
                <w:b/>
                <w:i/>
                <w:sz w:val="22"/>
              </w:rPr>
              <w:t>Hibridación</w:t>
            </w:r>
          </w:p>
        </w:tc>
        <w:tc>
          <w:tcPr>
            <w:tcW w:w="1684" w:type="dxa"/>
            <w:tcBorders>
              <w:top w:val="nil"/>
              <w:left w:val="nil"/>
              <w:bottom w:val="nil"/>
              <w:right w:val="nil"/>
            </w:tcBorders>
          </w:tcPr>
          <w:p>
            <w:pPr>
              <w:pStyle w:val="TableParagraph"/>
              <w:spacing w:before="41"/>
              <w:ind w:left="152" w:right="157"/>
              <w:rPr>
                <w:sz w:val="14"/>
              </w:rPr>
            </w:pPr>
            <w:r>
              <w:rPr>
                <w:sz w:val="22"/>
              </w:rPr>
              <w:t>sp</w:t>
            </w:r>
            <w:r>
              <w:rPr>
                <w:position w:val="10"/>
                <w:sz w:val="14"/>
              </w:rPr>
              <w:t>2</w:t>
            </w:r>
          </w:p>
        </w:tc>
        <w:tc>
          <w:tcPr>
            <w:tcW w:w="1439" w:type="dxa"/>
            <w:tcBorders>
              <w:top w:val="nil"/>
              <w:left w:val="nil"/>
              <w:bottom w:val="nil"/>
              <w:right w:val="nil"/>
            </w:tcBorders>
          </w:tcPr>
          <w:p>
            <w:pPr>
              <w:pStyle w:val="TableParagraph"/>
              <w:spacing w:before="41"/>
              <w:ind w:left="395" w:right="381"/>
              <w:rPr>
                <w:sz w:val="14"/>
              </w:rPr>
            </w:pPr>
            <w:r>
              <w:rPr>
                <w:sz w:val="22"/>
              </w:rPr>
              <w:t>sp</w:t>
            </w:r>
            <w:r>
              <w:rPr>
                <w:position w:val="10"/>
                <w:sz w:val="14"/>
              </w:rPr>
              <w:t>2</w:t>
            </w:r>
          </w:p>
        </w:tc>
        <w:tc>
          <w:tcPr>
            <w:tcW w:w="1607" w:type="dxa"/>
            <w:tcBorders>
              <w:top w:val="nil"/>
              <w:left w:val="nil"/>
              <w:bottom w:val="nil"/>
              <w:right w:val="nil"/>
            </w:tcBorders>
          </w:tcPr>
          <w:p>
            <w:pPr>
              <w:pStyle w:val="TableParagraph"/>
              <w:spacing w:before="41"/>
              <w:ind w:left="444" w:right="398"/>
              <w:rPr>
                <w:sz w:val="14"/>
              </w:rPr>
            </w:pPr>
            <w:r>
              <w:rPr>
                <w:sz w:val="22"/>
              </w:rPr>
              <w:t>sp</w:t>
            </w:r>
            <w:r>
              <w:rPr>
                <w:position w:val="10"/>
                <w:sz w:val="14"/>
              </w:rPr>
              <w:t>2</w:t>
            </w:r>
          </w:p>
        </w:tc>
        <w:tc>
          <w:tcPr>
            <w:tcW w:w="1587" w:type="dxa"/>
            <w:tcBorders>
              <w:top w:val="nil"/>
              <w:left w:val="nil"/>
              <w:bottom w:val="nil"/>
              <w:right w:val="nil"/>
            </w:tcBorders>
          </w:tcPr>
          <w:p>
            <w:pPr>
              <w:pStyle w:val="TableParagraph"/>
              <w:spacing w:before="41"/>
              <w:ind w:left="560" w:right="720"/>
              <w:rPr>
                <w:sz w:val="14"/>
              </w:rPr>
            </w:pPr>
            <w:r>
              <w:rPr>
                <w:sz w:val="22"/>
              </w:rPr>
              <w:t>sp</w:t>
            </w:r>
            <w:r>
              <w:rPr>
                <w:position w:val="10"/>
                <w:sz w:val="14"/>
              </w:rPr>
              <w:t>2</w:t>
            </w:r>
          </w:p>
        </w:tc>
        <w:tc>
          <w:tcPr>
            <w:tcW w:w="1266" w:type="dxa"/>
            <w:tcBorders>
              <w:top w:val="nil"/>
              <w:left w:val="nil"/>
              <w:bottom w:val="nil"/>
              <w:right w:val="nil"/>
            </w:tcBorders>
          </w:tcPr>
          <w:p>
            <w:pPr>
              <w:pStyle w:val="TableParagraph"/>
              <w:spacing w:before="41"/>
              <w:ind w:left="418"/>
              <w:jc w:val="left"/>
              <w:rPr>
                <w:sz w:val="14"/>
              </w:rPr>
            </w:pPr>
            <w:r>
              <w:rPr>
                <w:sz w:val="22"/>
              </w:rPr>
              <w:t>sp</w:t>
            </w:r>
            <w:r>
              <w:rPr>
                <w:position w:val="10"/>
                <w:sz w:val="14"/>
              </w:rPr>
              <w:t>3</w:t>
            </w:r>
          </w:p>
        </w:tc>
      </w:tr>
      <w:tr>
        <w:trPr>
          <w:trHeight w:val="756" w:hRule="exact"/>
        </w:trPr>
        <w:tc>
          <w:tcPr>
            <w:tcW w:w="1489" w:type="dxa"/>
            <w:tcBorders>
              <w:top w:val="nil"/>
              <w:left w:val="nil"/>
              <w:bottom w:val="nil"/>
              <w:right w:val="nil"/>
            </w:tcBorders>
          </w:tcPr>
          <w:p>
            <w:pPr>
              <w:pStyle w:val="TableParagraph"/>
              <w:spacing w:line="336" w:lineRule="auto" w:before="51"/>
              <w:ind w:left="506" w:right="254" w:hanging="202"/>
              <w:jc w:val="left"/>
              <w:rPr>
                <w:b/>
                <w:i/>
                <w:sz w:val="14"/>
              </w:rPr>
            </w:pPr>
            <w:r>
              <w:rPr>
                <w:b/>
                <w:i/>
                <w:sz w:val="22"/>
              </w:rPr>
              <w:t>Densidad, </w:t>
            </w:r>
            <w:r>
              <w:rPr>
                <w:b/>
                <w:i/>
                <w:sz w:val="22"/>
              </w:rPr>
              <w:t>g/cm</w:t>
            </w:r>
            <w:r>
              <w:rPr>
                <w:b/>
                <w:i/>
                <w:position w:val="10"/>
                <w:sz w:val="14"/>
              </w:rPr>
              <w:t>3</w:t>
            </w:r>
          </w:p>
        </w:tc>
        <w:tc>
          <w:tcPr>
            <w:tcW w:w="1684" w:type="dxa"/>
            <w:tcBorders>
              <w:top w:val="nil"/>
              <w:left w:val="nil"/>
              <w:bottom w:val="nil"/>
              <w:right w:val="nil"/>
            </w:tcBorders>
          </w:tcPr>
          <w:p>
            <w:pPr>
              <w:pStyle w:val="TableParagraph"/>
              <w:spacing w:before="6"/>
              <w:jc w:val="left"/>
              <w:rPr>
                <w:sz w:val="20"/>
              </w:rPr>
            </w:pPr>
          </w:p>
          <w:p>
            <w:pPr>
              <w:pStyle w:val="TableParagraph"/>
              <w:ind w:left="153" w:right="154"/>
              <w:rPr>
                <w:sz w:val="22"/>
              </w:rPr>
            </w:pPr>
            <w:r>
              <w:rPr>
                <w:sz w:val="22"/>
              </w:rPr>
              <w:t>1.72</w:t>
            </w:r>
          </w:p>
        </w:tc>
        <w:tc>
          <w:tcPr>
            <w:tcW w:w="1439" w:type="dxa"/>
            <w:tcBorders>
              <w:top w:val="nil"/>
              <w:left w:val="nil"/>
              <w:bottom w:val="nil"/>
              <w:right w:val="nil"/>
            </w:tcBorders>
          </w:tcPr>
          <w:p>
            <w:pPr>
              <w:pStyle w:val="TableParagraph"/>
              <w:spacing w:before="6"/>
              <w:jc w:val="left"/>
              <w:rPr>
                <w:sz w:val="20"/>
              </w:rPr>
            </w:pPr>
          </w:p>
          <w:p>
            <w:pPr>
              <w:pStyle w:val="TableParagraph"/>
              <w:ind w:left="395" w:right="381"/>
              <w:rPr>
                <w:sz w:val="22"/>
              </w:rPr>
            </w:pPr>
            <w:r>
              <w:rPr>
                <w:sz w:val="22"/>
              </w:rPr>
              <w:t>1.2-2.0</w:t>
            </w:r>
          </w:p>
        </w:tc>
        <w:tc>
          <w:tcPr>
            <w:tcW w:w="1607" w:type="dxa"/>
            <w:tcBorders>
              <w:top w:val="nil"/>
              <w:left w:val="nil"/>
              <w:bottom w:val="nil"/>
              <w:right w:val="nil"/>
            </w:tcBorders>
          </w:tcPr>
          <w:p>
            <w:pPr>
              <w:pStyle w:val="TableParagraph"/>
              <w:spacing w:before="6"/>
              <w:jc w:val="left"/>
              <w:rPr>
                <w:sz w:val="20"/>
              </w:rPr>
            </w:pPr>
          </w:p>
          <w:p>
            <w:pPr>
              <w:pStyle w:val="TableParagraph"/>
              <w:ind w:left="447" w:right="397"/>
              <w:rPr>
                <w:sz w:val="22"/>
              </w:rPr>
            </w:pPr>
            <w:r>
              <w:rPr>
                <w:sz w:val="22"/>
              </w:rPr>
              <w:t>2.26</w:t>
            </w:r>
          </w:p>
        </w:tc>
        <w:tc>
          <w:tcPr>
            <w:tcW w:w="1587" w:type="dxa"/>
            <w:tcBorders>
              <w:top w:val="nil"/>
              <w:left w:val="nil"/>
              <w:bottom w:val="nil"/>
              <w:right w:val="nil"/>
            </w:tcBorders>
          </w:tcPr>
          <w:p>
            <w:pPr>
              <w:pStyle w:val="TableParagraph"/>
              <w:spacing w:before="6"/>
              <w:jc w:val="left"/>
              <w:rPr>
                <w:sz w:val="20"/>
              </w:rPr>
            </w:pPr>
          </w:p>
          <w:p>
            <w:pPr>
              <w:pStyle w:val="TableParagraph"/>
              <w:ind w:left="358"/>
              <w:jc w:val="left"/>
              <w:rPr>
                <w:sz w:val="22"/>
              </w:rPr>
            </w:pPr>
            <w:r>
              <w:rPr>
                <w:sz w:val="22"/>
              </w:rPr>
              <w:t>2.09-2.23</w:t>
            </w:r>
          </w:p>
        </w:tc>
        <w:tc>
          <w:tcPr>
            <w:tcW w:w="1266" w:type="dxa"/>
            <w:tcBorders>
              <w:top w:val="nil"/>
              <w:left w:val="nil"/>
              <w:bottom w:val="nil"/>
              <w:right w:val="nil"/>
            </w:tcBorders>
          </w:tcPr>
          <w:p>
            <w:pPr>
              <w:pStyle w:val="TableParagraph"/>
              <w:spacing w:before="6"/>
              <w:jc w:val="left"/>
              <w:rPr>
                <w:sz w:val="20"/>
              </w:rPr>
            </w:pPr>
          </w:p>
          <w:p>
            <w:pPr>
              <w:pStyle w:val="TableParagraph"/>
              <w:ind w:left="407" w:right="432"/>
              <w:rPr>
                <w:sz w:val="22"/>
              </w:rPr>
            </w:pPr>
            <w:r>
              <w:rPr>
                <w:sz w:val="22"/>
              </w:rPr>
              <w:t>3.51</w:t>
            </w:r>
          </w:p>
        </w:tc>
      </w:tr>
      <w:tr>
        <w:trPr>
          <w:trHeight w:val="761" w:hRule="exact"/>
        </w:trPr>
        <w:tc>
          <w:tcPr>
            <w:tcW w:w="1489" w:type="dxa"/>
            <w:tcBorders>
              <w:top w:val="nil"/>
              <w:left w:val="nil"/>
              <w:bottom w:val="nil"/>
              <w:right w:val="nil"/>
            </w:tcBorders>
          </w:tcPr>
          <w:p>
            <w:pPr>
              <w:pStyle w:val="TableParagraph"/>
              <w:spacing w:line="362" w:lineRule="auto" w:before="54"/>
              <w:ind w:left="340" w:right="162" w:hanging="128"/>
              <w:jc w:val="left"/>
              <w:rPr>
                <w:b/>
                <w:i/>
                <w:sz w:val="22"/>
              </w:rPr>
            </w:pPr>
            <w:r>
              <w:rPr>
                <w:b/>
                <w:i/>
                <w:sz w:val="22"/>
              </w:rPr>
              <w:t>Longitud de </w:t>
            </w:r>
            <w:r>
              <w:rPr>
                <w:b/>
                <w:i/>
                <w:sz w:val="22"/>
              </w:rPr>
              <w:t>enlace, Å</w:t>
            </w:r>
          </w:p>
        </w:tc>
        <w:tc>
          <w:tcPr>
            <w:tcW w:w="1684" w:type="dxa"/>
            <w:tcBorders>
              <w:top w:val="nil"/>
              <w:left w:val="nil"/>
              <w:bottom w:val="nil"/>
              <w:right w:val="nil"/>
            </w:tcBorders>
          </w:tcPr>
          <w:p>
            <w:pPr>
              <w:pStyle w:val="TableParagraph"/>
              <w:spacing w:before="49"/>
              <w:ind w:left="337"/>
              <w:jc w:val="left"/>
              <w:rPr>
                <w:sz w:val="22"/>
              </w:rPr>
            </w:pPr>
            <w:r>
              <w:rPr>
                <w:sz w:val="22"/>
              </w:rPr>
              <w:t>1.40 (C=C)</w:t>
            </w:r>
          </w:p>
          <w:p>
            <w:pPr>
              <w:pStyle w:val="TableParagraph"/>
              <w:spacing w:before="128"/>
              <w:ind w:left="361"/>
              <w:jc w:val="left"/>
              <w:rPr>
                <w:sz w:val="22"/>
              </w:rPr>
            </w:pPr>
            <w:r>
              <w:rPr>
                <w:sz w:val="22"/>
              </w:rPr>
              <w:t>1.46 (C-C)</w:t>
            </w:r>
          </w:p>
        </w:tc>
        <w:tc>
          <w:tcPr>
            <w:tcW w:w="1439" w:type="dxa"/>
            <w:tcBorders>
              <w:top w:val="nil"/>
              <w:left w:val="nil"/>
              <w:bottom w:val="nil"/>
              <w:right w:val="nil"/>
            </w:tcBorders>
          </w:tcPr>
          <w:p>
            <w:pPr>
              <w:pStyle w:val="TableParagraph"/>
              <w:spacing w:before="8"/>
              <w:jc w:val="left"/>
              <w:rPr>
                <w:sz w:val="20"/>
              </w:rPr>
            </w:pPr>
          </w:p>
          <w:p>
            <w:pPr>
              <w:pStyle w:val="TableParagraph"/>
              <w:ind w:left="226" w:right="141"/>
              <w:jc w:val="left"/>
              <w:rPr>
                <w:sz w:val="22"/>
              </w:rPr>
            </w:pPr>
            <w:r>
              <w:rPr>
                <w:sz w:val="22"/>
              </w:rPr>
              <w:t>1.44 (C=C)</w:t>
            </w:r>
          </w:p>
        </w:tc>
        <w:tc>
          <w:tcPr>
            <w:tcW w:w="1607" w:type="dxa"/>
            <w:tcBorders>
              <w:top w:val="nil"/>
              <w:left w:val="nil"/>
              <w:bottom w:val="nil"/>
              <w:right w:val="nil"/>
            </w:tcBorders>
          </w:tcPr>
          <w:p>
            <w:pPr>
              <w:pStyle w:val="TableParagraph"/>
              <w:spacing w:before="8"/>
              <w:jc w:val="left"/>
              <w:rPr>
                <w:sz w:val="20"/>
              </w:rPr>
            </w:pPr>
          </w:p>
          <w:p>
            <w:pPr>
              <w:pStyle w:val="TableParagraph"/>
              <w:ind w:left="325" w:right="111"/>
              <w:jc w:val="left"/>
              <w:rPr>
                <w:sz w:val="22"/>
              </w:rPr>
            </w:pPr>
            <w:r>
              <w:rPr>
                <w:sz w:val="22"/>
              </w:rPr>
              <w:t>1.42 (C=C)</w:t>
            </w:r>
          </w:p>
        </w:tc>
        <w:tc>
          <w:tcPr>
            <w:tcW w:w="1587" w:type="dxa"/>
            <w:tcBorders>
              <w:top w:val="nil"/>
              <w:left w:val="nil"/>
              <w:bottom w:val="nil"/>
              <w:right w:val="nil"/>
            </w:tcBorders>
          </w:tcPr>
          <w:p>
            <w:pPr>
              <w:pStyle w:val="TableParagraph"/>
              <w:spacing w:before="8"/>
              <w:jc w:val="left"/>
              <w:rPr>
                <w:sz w:val="20"/>
              </w:rPr>
            </w:pPr>
          </w:p>
          <w:p>
            <w:pPr>
              <w:pStyle w:val="TableParagraph"/>
              <w:ind w:left="279"/>
              <w:jc w:val="left"/>
              <w:rPr>
                <w:sz w:val="22"/>
              </w:rPr>
            </w:pPr>
            <w:r>
              <w:rPr>
                <w:sz w:val="22"/>
              </w:rPr>
              <w:t>1.42 (C=C)</w:t>
            </w:r>
          </w:p>
        </w:tc>
        <w:tc>
          <w:tcPr>
            <w:tcW w:w="1266" w:type="dxa"/>
            <w:tcBorders>
              <w:top w:val="nil"/>
              <w:left w:val="nil"/>
              <w:bottom w:val="nil"/>
              <w:right w:val="nil"/>
            </w:tcBorders>
          </w:tcPr>
          <w:p>
            <w:pPr>
              <w:pStyle w:val="TableParagraph"/>
              <w:spacing w:before="8"/>
              <w:jc w:val="left"/>
              <w:rPr>
                <w:sz w:val="20"/>
              </w:rPr>
            </w:pPr>
          </w:p>
          <w:p>
            <w:pPr>
              <w:pStyle w:val="TableParagraph"/>
              <w:ind w:right="171"/>
              <w:jc w:val="right"/>
              <w:rPr>
                <w:sz w:val="22"/>
              </w:rPr>
            </w:pPr>
            <w:r>
              <w:rPr>
                <w:sz w:val="22"/>
              </w:rPr>
              <w:t>1.54 (C-C)</w:t>
            </w:r>
          </w:p>
        </w:tc>
      </w:tr>
      <w:tr>
        <w:trPr>
          <w:trHeight w:val="828" w:hRule="exact"/>
        </w:trPr>
        <w:tc>
          <w:tcPr>
            <w:tcW w:w="1489" w:type="dxa"/>
            <w:tcBorders>
              <w:top w:val="nil"/>
              <w:left w:val="nil"/>
              <w:right w:val="nil"/>
            </w:tcBorders>
          </w:tcPr>
          <w:p>
            <w:pPr>
              <w:pStyle w:val="TableParagraph"/>
              <w:spacing w:line="360" w:lineRule="auto" w:before="54"/>
              <w:ind w:left="218" w:right="153" w:hanging="15"/>
              <w:jc w:val="left"/>
              <w:rPr>
                <w:b/>
                <w:i/>
                <w:sz w:val="22"/>
              </w:rPr>
            </w:pPr>
            <w:r>
              <w:rPr>
                <w:b/>
                <w:i/>
                <w:sz w:val="22"/>
              </w:rPr>
              <w:t>Propiedades </w:t>
            </w:r>
            <w:r>
              <w:rPr>
                <w:b/>
                <w:i/>
                <w:sz w:val="22"/>
              </w:rPr>
              <w:t>electrónicas</w:t>
            </w:r>
          </w:p>
        </w:tc>
        <w:tc>
          <w:tcPr>
            <w:tcW w:w="1684" w:type="dxa"/>
            <w:tcBorders>
              <w:top w:val="nil"/>
              <w:left w:val="nil"/>
              <w:right w:val="nil"/>
            </w:tcBorders>
          </w:tcPr>
          <w:p>
            <w:pPr>
              <w:pStyle w:val="TableParagraph"/>
              <w:spacing w:before="8"/>
              <w:jc w:val="left"/>
              <w:rPr>
                <w:sz w:val="20"/>
              </w:rPr>
            </w:pPr>
          </w:p>
          <w:p>
            <w:pPr>
              <w:pStyle w:val="TableParagraph"/>
              <w:ind w:left="153" w:right="157"/>
              <w:rPr>
                <w:sz w:val="22"/>
              </w:rPr>
            </w:pPr>
            <w:r>
              <w:rPr>
                <w:sz w:val="22"/>
              </w:rPr>
              <w:t>Semiconductor</w:t>
            </w:r>
          </w:p>
        </w:tc>
        <w:tc>
          <w:tcPr>
            <w:tcW w:w="1439" w:type="dxa"/>
            <w:tcBorders>
              <w:top w:val="nil"/>
              <w:left w:val="nil"/>
              <w:right w:val="nil"/>
            </w:tcBorders>
          </w:tcPr>
          <w:p>
            <w:pPr>
              <w:pStyle w:val="TableParagraph"/>
              <w:spacing w:line="360" w:lineRule="auto" w:before="49"/>
              <w:ind w:left="286" w:right="141" w:hanging="108"/>
              <w:jc w:val="left"/>
              <w:rPr>
                <w:sz w:val="22"/>
              </w:rPr>
            </w:pPr>
            <w:r>
              <w:rPr>
                <w:sz w:val="22"/>
              </w:rPr>
              <w:t>Metal/Semi- conductor</w:t>
            </w:r>
          </w:p>
        </w:tc>
        <w:tc>
          <w:tcPr>
            <w:tcW w:w="1607" w:type="dxa"/>
            <w:tcBorders>
              <w:top w:val="nil"/>
              <w:left w:val="nil"/>
              <w:right w:val="nil"/>
            </w:tcBorders>
          </w:tcPr>
          <w:p>
            <w:pPr>
              <w:pStyle w:val="TableParagraph"/>
              <w:spacing w:line="360" w:lineRule="auto" w:before="49"/>
              <w:ind w:left="294" w:right="111" w:hanging="135"/>
              <w:jc w:val="left"/>
              <w:rPr>
                <w:sz w:val="22"/>
              </w:rPr>
            </w:pPr>
            <w:r>
              <w:rPr>
                <w:sz w:val="22"/>
              </w:rPr>
              <w:t>Semiconductor Banda-Cero</w:t>
            </w:r>
          </w:p>
        </w:tc>
        <w:tc>
          <w:tcPr>
            <w:tcW w:w="1587" w:type="dxa"/>
            <w:tcBorders>
              <w:top w:val="nil"/>
              <w:left w:val="nil"/>
              <w:right w:val="nil"/>
            </w:tcBorders>
          </w:tcPr>
          <w:p>
            <w:pPr>
              <w:pStyle w:val="TableParagraph"/>
              <w:spacing w:before="8"/>
              <w:jc w:val="left"/>
              <w:rPr>
                <w:sz w:val="20"/>
              </w:rPr>
            </w:pPr>
          </w:p>
          <w:p>
            <w:pPr>
              <w:pStyle w:val="TableParagraph"/>
              <w:ind w:left="113"/>
              <w:jc w:val="left"/>
              <w:rPr>
                <w:sz w:val="22"/>
              </w:rPr>
            </w:pPr>
            <w:r>
              <w:rPr>
                <w:sz w:val="22"/>
              </w:rPr>
              <w:t>Semiconductor</w:t>
            </w:r>
          </w:p>
        </w:tc>
        <w:tc>
          <w:tcPr>
            <w:tcW w:w="1266" w:type="dxa"/>
            <w:tcBorders>
              <w:top w:val="nil"/>
              <w:left w:val="nil"/>
              <w:right w:val="nil"/>
            </w:tcBorders>
          </w:tcPr>
          <w:p>
            <w:pPr>
              <w:pStyle w:val="TableParagraph"/>
              <w:spacing w:before="8"/>
              <w:jc w:val="left"/>
              <w:rPr>
                <w:sz w:val="20"/>
              </w:rPr>
            </w:pPr>
          </w:p>
          <w:p>
            <w:pPr>
              <w:pStyle w:val="TableParagraph"/>
              <w:ind w:left="250"/>
              <w:jc w:val="left"/>
              <w:rPr>
                <w:sz w:val="22"/>
              </w:rPr>
            </w:pPr>
            <w:r>
              <w:rPr>
                <w:sz w:val="22"/>
              </w:rPr>
              <w:t>Aislante</w:t>
            </w:r>
          </w:p>
        </w:tc>
      </w:tr>
    </w:tbl>
    <w:p>
      <w:pPr>
        <w:spacing w:after="0"/>
        <w:jc w:val="left"/>
        <w:rPr>
          <w:sz w:val="22"/>
        </w:rPr>
        <w:sectPr>
          <w:pgSz w:w="12240" w:h="15840"/>
          <w:pgMar w:header="730" w:footer="1062" w:top="1160" w:bottom="1260" w:left="1460" w:right="1480"/>
        </w:sectPr>
      </w:pPr>
    </w:p>
    <w:p>
      <w:pPr>
        <w:pStyle w:val="BodyText"/>
        <w:spacing w:before="2"/>
        <w:rPr>
          <w:sz w:val="21"/>
        </w:rPr>
      </w:pPr>
    </w:p>
    <w:p>
      <w:pPr>
        <w:pStyle w:val="BodyText"/>
        <w:spacing w:line="355" w:lineRule="auto" w:before="72"/>
        <w:ind w:left="122" w:right="137" w:firstLine="283"/>
        <w:jc w:val="both"/>
      </w:pPr>
      <w:r>
        <w:rPr/>
        <w:t>En la Figura 1.2 se muestran enlaces fuertes del tipo σ en estructura tetraédrica, los cuales son los responsables de las propiedades físicas del diamante. En el grafito las hojas (grafeno) se encuentran enlazadas por enlaces σ en estructura trigonal las cuales se mantienen unidas debido a fuerzas de baja energía, llamadas Van der Waals. Además el carbono puede dar lugar a muchas otras fases no cristalinas (mezcla de las hibridaciones sp</w:t>
      </w:r>
      <w:r>
        <w:rPr>
          <w:position w:val="10"/>
          <w:sz w:val="14"/>
        </w:rPr>
        <w:t>1</w:t>
      </w:r>
      <w:r>
        <w:rPr/>
        <w:t>, sp</w:t>
      </w:r>
      <w:r>
        <w:rPr>
          <w:position w:val="10"/>
          <w:sz w:val="14"/>
        </w:rPr>
        <w:t>2 </w:t>
      </w:r>
      <w:r>
        <w:rPr/>
        <w:t>y sp</w:t>
      </w:r>
      <w:r>
        <w:rPr>
          <w:position w:val="10"/>
          <w:sz w:val="14"/>
        </w:rPr>
        <w:t>3</w:t>
      </w:r>
      <w:r>
        <w:rPr/>
        <w:t>), tales como los fulerenos, nanotubos de carbono y otras estructuras de carbono desordenadas, nanoestructuradas y amorfas [18].</w:t>
      </w:r>
    </w:p>
    <w:p>
      <w:pPr>
        <w:pStyle w:val="BodyText"/>
        <w:rPr>
          <w:sz w:val="20"/>
        </w:rPr>
      </w:pPr>
    </w:p>
    <w:p>
      <w:pPr>
        <w:pStyle w:val="BodyText"/>
        <w:rPr>
          <w:sz w:val="20"/>
        </w:rPr>
      </w:pPr>
    </w:p>
    <w:p>
      <w:pPr>
        <w:pStyle w:val="BodyText"/>
        <w:spacing w:before="8"/>
        <w:rPr>
          <w:sz w:val="25"/>
        </w:rPr>
      </w:pPr>
      <w:r>
        <w:rPr/>
        <w:drawing>
          <wp:anchor distT="0" distB="0" distL="0" distR="0" allowOverlap="1" layoutInCell="1" locked="0" behindDoc="0" simplePos="0" relativeHeight="1144">
            <wp:simplePos x="0" y="0"/>
            <wp:positionH relativeFrom="page">
              <wp:posOffset>1228725</wp:posOffset>
            </wp:positionH>
            <wp:positionV relativeFrom="paragraph">
              <wp:posOffset>213009</wp:posOffset>
            </wp:positionV>
            <wp:extent cx="5367610" cy="1268729"/>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7" cstate="print"/>
                    <a:stretch>
                      <a:fillRect/>
                    </a:stretch>
                  </pic:blipFill>
                  <pic:spPr>
                    <a:xfrm>
                      <a:off x="0" y="0"/>
                      <a:ext cx="5367610" cy="1268729"/>
                    </a:xfrm>
                    <a:prstGeom prst="rect">
                      <a:avLst/>
                    </a:prstGeom>
                  </pic:spPr>
                </pic:pic>
              </a:graphicData>
            </a:graphic>
          </wp:anchor>
        </w:drawing>
      </w:r>
    </w:p>
    <w:p>
      <w:pPr>
        <w:pStyle w:val="BodyText"/>
        <w:spacing w:before="2"/>
        <w:rPr>
          <w:sz w:val="24"/>
        </w:rPr>
      </w:pPr>
    </w:p>
    <w:p>
      <w:pPr>
        <w:spacing w:before="0"/>
        <w:ind w:left="2721" w:right="41" w:firstLine="0"/>
        <w:jc w:val="left"/>
        <w:rPr>
          <w:sz w:val="22"/>
        </w:rPr>
      </w:pPr>
      <w:r>
        <w:rPr>
          <w:b/>
          <w:sz w:val="22"/>
        </w:rPr>
        <w:t>Figura 1.2 </w:t>
      </w:r>
      <w:r>
        <w:rPr>
          <w:sz w:val="22"/>
        </w:rPr>
        <w:t>Hibridación del carbono [17].</w:t>
      </w:r>
    </w:p>
    <w:p>
      <w:pPr>
        <w:pStyle w:val="BodyText"/>
      </w:pPr>
    </w:p>
    <w:p>
      <w:pPr>
        <w:pStyle w:val="BodyText"/>
        <w:spacing w:before="4"/>
      </w:pPr>
    </w:p>
    <w:p>
      <w:pPr>
        <w:pStyle w:val="Heading4"/>
        <w:numPr>
          <w:ilvl w:val="2"/>
          <w:numId w:val="3"/>
        </w:numPr>
        <w:tabs>
          <w:tab w:pos="689" w:val="left" w:leader="none"/>
        </w:tabs>
        <w:spacing w:line="240" w:lineRule="auto" w:before="0" w:after="0"/>
        <w:ind w:left="688" w:right="0" w:hanging="566"/>
        <w:jc w:val="left"/>
      </w:pPr>
      <w:r>
        <w:rPr/>
        <w:t>Nanotubos de</w:t>
      </w:r>
      <w:r>
        <w:rPr>
          <w:spacing w:val="-1"/>
        </w:rPr>
        <w:t> </w:t>
      </w:r>
      <w:r>
        <w:rPr/>
        <w:t>carbono</w:t>
      </w:r>
    </w:p>
    <w:p>
      <w:pPr>
        <w:pStyle w:val="BodyText"/>
        <w:spacing w:line="360" w:lineRule="auto" w:before="121"/>
        <w:ind w:left="122" w:right="136" w:firstLine="283"/>
        <w:jc w:val="both"/>
      </w:pPr>
      <w:r>
        <w:rPr/>
        <w:t>Los CNTs han sido unos de los materiales más estudiados desde su descubrimiento y son los responsables de la “revolución de la nanotecnología”. A pesar de que los nanotubos habían sido comúnmente identificados como tubos huecos en el núcleo de las fibras de carbono, su popularidad se incrementó debido a la observación de éstos sobre un cátodo de un arco de carbono usado para producir fulerenos [20]. El interés que tienen los científicos e ingenieros en sus aplicaciones es debido a la combinación única de sus propiedades.</w:t>
      </w:r>
    </w:p>
    <w:p>
      <w:pPr>
        <w:pStyle w:val="BodyText"/>
      </w:pPr>
    </w:p>
    <w:p>
      <w:pPr>
        <w:pStyle w:val="BodyText"/>
        <w:spacing w:line="352" w:lineRule="auto" w:before="131"/>
        <w:ind w:left="122" w:right="132" w:firstLine="283"/>
        <w:jc w:val="both"/>
      </w:pPr>
      <w:r>
        <w:rPr/>
        <w:t>Estas estructuras son del tamaño nanométrico en diámetro pero su largo puede alcanzar los centímetros, lo cual lleva a su notable relación longitud/diámetro [21]. Dependiendo del grado de enrollamiento y la manera como se conforma la lámina original, se pueden obtener nanotubos de distinto diámetro y geometría interna [22]. Existen dos tipos básicos de CNTs: los SWNTs y MWNTs, representados en la Figura 1.3. Los SWNTs pueden ser considerados como una hoja de grafeno enrollada en un cilindro. Los átomos de carbono en el cilindro tienen hibridación sp</w:t>
      </w:r>
      <w:r>
        <w:rPr>
          <w:position w:val="10"/>
          <w:sz w:val="14"/>
        </w:rPr>
        <w:t>2 </w:t>
      </w:r>
      <w:r>
        <w:rPr/>
        <w:t>y también poseen un carácter sp</w:t>
      </w:r>
      <w:r>
        <w:rPr>
          <w:position w:val="10"/>
          <w:sz w:val="14"/>
        </w:rPr>
        <w:t>3 </w:t>
      </w:r>
      <w:r>
        <w:rPr/>
        <w:t>parcial que incrementa a medida que la curvatura del radio del cilindro decrece.  Los MWNTs consisten de hojas de  grafeno anidadas  coaxialmente,     arregladas</w:t>
      </w:r>
    </w:p>
    <w:p>
      <w:pPr>
        <w:spacing w:after="0" w:line="352" w:lineRule="auto"/>
        <w:jc w:val="both"/>
        <w:sectPr>
          <w:pgSz w:w="12240" w:h="15840"/>
          <w:pgMar w:header="730" w:footer="1062" w:top="1160" w:bottom="1260" w:left="1580" w:right="1560"/>
        </w:sectPr>
      </w:pPr>
    </w:p>
    <w:p>
      <w:pPr>
        <w:pStyle w:val="BodyText"/>
        <w:spacing w:before="2"/>
        <w:rPr>
          <w:sz w:val="21"/>
        </w:rPr>
      </w:pPr>
    </w:p>
    <w:p>
      <w:pPr>
        <w:pStyle w:val="BodyText"/>
        <w:spacing w:line="360" w:lineRule="auto" w:before="72"/>
        <w:ind w:left="122" w:right="422"/>
        <w:jc w:val="both"/>
      </w:pPr>
      <w:r>
        <w:rPr/>
        <w:t>alrededor de un núcleo hueco central con separaciones entre capas de alrededor de 0.36 nm. El diámetro promedio de los SWNTs varía de 1 a 2 nm mientras que los MWNTs pueden tener diámetros de varias decenas a varios cientos de nanómetros [3,23].</w:t>
      </w:r>
    </w:p>
    <w:p>
      <w:pPr>
        <w:pStyle w:val="BodyText"/>
      </w:pPr>
    </w:p>
    <w:p>
      <w:pPr>
        <w:pStyle w:val="BodyText"/>
        <w:spacing w:line="360" w:lineRule="auto" w:before="130" w:after="10"/>
        <w:ind w:left="122" w:right="415" w:firstLine="338"/>
        <w:jc w:val="both"/>
      </w:pPr>
      <w:r>
        <w:rPr/>
        <w:t>Los tres tipos de orientación de los átomos de carbono alrededor del nanotubo son: de silla, zigzag y quiral. La quiralidad de los nanotubos tiene un impacto significativo en sus propiedades de transporte, particularmente en las propiedades electrónicas. En el caso de los MWNT, cada nanotubo contiene una variedad de quiralidades por lo que es más complicado predecir sus propiedades físicas</w:t>
      </w:r>
      <w:r>
        <w:rPr>
          <w:spacing w:val="-7"/>
        </w:rPr>
        <w:t> </w:t>
      </w:r>
      <w:r>
        <w:rPr/>
        <w:t>[3].</w:t>
      </w:r>
    </w:p>
    <w:p>
      <w:pPr>
        <w:pStyle w:val="BodyText"/>
        <w:ind w:left="435"/>
        <w:rPr>
          <w:sz w:val="20"/>
        </w:rPr>
      </w:pPr>
      <w:r>
        <w:rPr>
          <w:sz w:val="20"/>
        </w:rPr>
        <w:drawing>
          <wp:inline distT="0" distB="0" distL="0" distR="0">
            <wp:extent cx="5611390" cy="2889504"/>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18" cstate="print"/>
                    <a:stretch>
                      <a:fillRect/>
                    </a:stretch>
                  </pic:blipFill>
                  <pic:spPr>
                    <a:xfrm>
                      <a:off x="0" y="0"/>
                      <a:ext cx="5611390" cy="2889504"/>
                    </a:xfrm>
                    <a:prstGeom prst="rect">
                      <a:avLst/>
                    </a:prstGeom>
                  </pic:spPr>
                </pic:pic>
              </a:graphicData>
            </a:graphic>
          </wp:inline>
        </w:drawing>
      </w:r>
      <w:r>
        <w:rPr>
          <w:sz w:val="20"/>
        </w:rPr>
      </w:r>
    </w:p>
    <w:p>
      <w:pPr>
        <w:pStyle w:val="BodyText"/>
        <w:spacing w:line="360" w:lineRule="auto" w:before="122"/>
        <w:ind w:left="3434" w:right="1144" w:hanging="2574"/>
      </w:pPr>
      <w:r>
        <w:rPr>
          <w:b/>
        </w:rPr>
        <w:t>Figura 1.3. </w:t>
      </w:r>
      <w:r>
        <w:rPr/>
        <w:t>Diagrama conceptual de los CNTs mostrando sus características típicas y los tipos de orientación.</w:t>
      </w:r>
    </w:p>
    <w:p>
      <w:pPr>
        <w:pStyle w:val="BodyText"/>
      </w:pPr>
    </w:p>
    <w:p>
      <w:pPr>
        <w:pStyle w:val="Heading4"/>
        <w:numPr>
          <w:ilvl w:val="3"/>
          <w:numId w:val="3"/>
        </w:numPr>
        <w:tabs>
          <w:tab w:pos="974" w:val="left" w:leader="none"/>
        </w:tabs>
        <w:spacing w:line="240" w:lineRule="auto" w:before="135" w:after="0"/>
        <w:ind w:left="974" w:right="0" w:hanging="852"/>
        <w:jc w:val="both"/>
      </w:pPr>
      <w:r>
        <w:rPr/>
        <w:t>Métodos de</w:t>
      </w:r>
      <w:r>
        <w:rPr>
          <w:spacing w:val="1"/>
        </w:rPr>
        <w:t> </w:t>
      </w:r>
      <w:r>
        <w:rPr/>
        <w:t>obtención</w:t>
      </w:r>
    </w:p>
    <w:p>
      <w:pPr>
        <w:pStyle w:val="BodyText"/>
        <w:spacing w:line="360" w:lineRule="auto" w:before="122"/>
        <w:ind w:left="122" w:right="415" w:firstLine="283"/>
        <w:jc w:val="both"/>
      </w:pPr>
      <w:r>
        <w:rPr/>
        <w:t>Se han desarrollado una gran variedad de métodos para sintetizar CNTs para producir materiales con las propiedades deseadas para usos específicos como son en actividades científicas o para aplicaciones tecnológicas. La preparación de nanotubos de alta calidad y alto rendimiento ha sido la meta de muchas investigaciones. A la fecha, las tres principales formas de obtención son: descarga de arco, ablación laser y deposición química de vapor (CVD) [6].</w:t>
      </w:r>
    </w:p>
    <w:p>
      <w:pPr>
        <w:pStyle w:val="BodyText"/>
      </w:pPr>
    </w:p>
    <w:p>
      <w:pPr>
        <w:pStyle w:val="BodyText"/>
        <w:spacing w:line="360" w:lineRule="auto" w:before="130"/>
        <w:ind w:left="122" w:right="417" w:firstLine="283"/>
        <w:jc w:val="both"/>
      </w:pPr>
      <w:r>
        <w:rPr/>
        <w:t>Los métodos de descarga de arco y ablación laser fueron las primeras técnicas que permitieron la síntesis  de  los  nanotubos  de  carbono  en  cantidades  relativamente  grandes  (gramos).   </w:t>
      </w:r>
      <w:r>
        <w:rPr>
          <w:spacing w:val="51"/>
        </w:rPr>
        <w:t> </w:t>
      </w:r>
      <w:r>
        <w:rPr/>
        <w:t>Ambos</w:t>
      </w:r>
    </w:p>
    <w:p>
      <w:pPr>
        <w:spacing w:after="0" w:line="360" w:lineRule="auto"/>
        <w:jc w:val="both"/>
        <w:sectPr>
          <w:pgSz w:w="12240" w:h="15840"/>
          <w:pgMar w:header="730" w:footer="1062" w:top="1160" w:bottom="1260" w:left="1580" w:right="1280"/>
        </w:sectPr>
      </w:pPr>
    </w:p>
    <w:p>
      <w:pPr>
        <w:pStyle w:val="BodyText"/>
        <w:spacing w:before="2"/>
        <w:rPr>
          <w:sz w:val="21"/>
        </w:rPr>
      </w:pPr>
    </w:p>
    <w:p>
      <w:pPr>
        <w:pStyle w:val="BodyText"/>
        <w:spacing w:line="360" w:lineRule="auto" w:before="72"/>
        <w:ind w:left="122" w:right="139"/>
        <w:jc w:val="both"/>
      </w:pPr>
      <w:r>
        <w:rPr/>
        <w:t>métodos involucran la condensación de átomos de carbono calientes en estado gaseoso generados por la evaporación de carbono sólido. Sin embargo, el equipo, requerimientos y la gran cantidad de energía consumida hacen que estos métodos sean menos favorables para la producción de nanotubos. Además la síntesis controlada en sustratos con estructuras de nanotubos ordenadas no ha sido posible por estos métodos [6].</w:t>
      </w:r>
    </w:p>
    <w:p>
      <w:pPr>
        <w:pStyle w:val="BodyText"/>
      </w:pPr>
    </w:p>
    <w:p>
      <w:pPr>
        <w:pStyle w:val="BodyText"/>
        <w:spacing w:line="360" w:lineRule="auto" w:before="130"/>
        <w:ind w:left="122" w:right="135" w:firstLine="283"/>
        <w:jc w:val="both"/>
      </w:pPr>
      <w:r>
        <w:rPr/>
        <w:t>En el método de CVD una fuente de carbono gaseosa (hidrocarburo o monóxido de carbono) es descompuesta catalíticamente y los nanotubos son depositados en un sustrato o crecidos a partir del sustrato. Comparados con los métodos de arco y laser, el método de CVD puede ofrecer un mayor control sobre la longitud y la estructura de los nanotubos producidos y el proceso se lleva a cabo a escala industrial [3]. Durante la última década varias técnicas que tienen potencial a escala  industrial han sido desarrolladas. Todas ellas basadas en el método CVD. Entre éstas se encuentra el proceso que consiste en la descomposición de monóxido de carbono a altas presiones y altas temperaturas, conocido por sus siglas en inglés como HiPCO</w:t>
      </w:r>
      <w:r>
        <w:rPr>
          <w:spacing w:val="-15"/>
        </w:rPr>
        <w:t> </w:t>
      </w:r>
      <w:r>
        <w:rPr/>
        <w:t>[3].</w:t>
      </w:r>
    </w:p>
    <w:p>
      <w:pPr>
        <w:pStyle w:val="BodyText"/>
      </w:pPr>
    </w:p>
    <w:p>
      <w:pPr>
        <w:pStyle w:val="BodyText"/>
        <w:spacing w:line="360" w:lineRule="auto" w:before="130"/>
        <w:ind w:left="122" w:right="135" w:firstLine="283"/>
        <w:jc w:val="both"/>
      </w:pPr>
      <w:r>
        <w:rPr/>
        <w:t>Todas las posibles preparaciones de nanotubos dan mezclas de quiralidades, diámetros y longitudes de nanotubo combinadas con diferentes cantidades y tipo de impurezas. Esta heterogeneidad de los nanotubos de carbono tiene implicaciones importantes cuando los nanotubos son purificados y empleados en compositos poliméricos [23]. Diversas investigaciones han tratado de correlacionar las diferentes quiralidades con los parámetros empleados en la síntesis de CNTs, tales como la estructura y composición de las partículas de catalizador [24,25]. Además, la adición de nitrógeno en la alimentación de la fuente de hidrocarburo permite el crecimiento de carpetas de MWNTs en donde se han obtenido paredes con orientación ya sea de tipo de brazo, de silla o zigzag [26].</w:t>
      </w:r>
    </w:p>
    <w:p>
      <w:pPr>
        <w:pStyle w:val="BodyText"/>
      </w:pPr>
    </w:p>
    <w:p>
      <w:pPr>
        <w:pStyle w:val="BodyText"/>
        <w:spacing w:line="360" w:lineRule="auto" w:before="131"/>
        <w:ind w:left="122" w:right="135" w:firstLine="338"/>
        <w:jc w:val="both"/>
      </w:pPr>
      <w:r>
        <w:rPr/>
        <w:t>Las propiedades de los compositos poliméricos de CNTs dependen significativamente de la distribución, tipo, diámetro y longitud de los nanotubos [3]. Además la quiralidad tiene influencia en la cristalización de los polímeros ya que a medida que la orientación de las paredes de los CNTs varía, el ajuste de los cristales del polímero sobre la red hexagonal de átomos de carbono compite con la alineación paralela entre las cadenas del polímero y los CNTs</w:t>
      </w:r>
      <w:r>
        <w:rPr>
          <w:spacing w:val="-18"/>
        </w:rPr>
        <w:t> </w:t>
      </w:r>
      <w:r>
        <w:rPr/>
        <w:t>[27].</w:t>
      </w:r>
    </w:p>
    <w:p>
      <w:pPr>
        <w:spacing w:after="0" w:line="360" w:lineRule="auto"/>
        <w:jc w:val="both"/>
        <w:sectPr>
          <w:pgSz w:w="12240" w:h="15840"/>
          <w:pgMar w:header="730" w:footer="1062" w:top="1160" w:bottom="1260" w:left="1580" w:right="1560"/>
        </w:sectPr>
      </w:pPr>
    </w:p>
    <w:p>
      <w:pPr>
        <w:pStyle w:val="BodyText"/>
        <w:spacing w:before="7"/>
        <w:rPr>
          <w:sz w:val="21"/>
        </w:rPr>
      </w:pPr>
    </w:p>
    <w:p>
      <w:pPr>
        <w:pStyle w:val="Heading4"/>
        <w:numPr>
          <w:ilvl w:val="3"/>
          <w:numId w:val="3"/>
        </w:numPr>
        <w:tabs>
          <w:tab w:pos="973" w:val="left" w:leader="none"/>
          <w:tab w:pos="974" w:val="left" w:leader="none"/>
        </w:tabs>
        <w:spacing w:line="240" w:lineRule="auto" w:before="72" w:after="0"/>
        <w:ind w:left="974" w:right="0" w:hanging="852"/>
        <w:jc w:val="left"/>
      </w:pPr>
      <w:r>
        <w:rPr/>
        <w:t>Funcionalización</w:t>
      </w:r>
    </w:p>
    <w:p>
      <w:pPr>
        <w:pStyle w:val="BodyText"/>
        <w:spacing w:line="360" w:lineRule="auto" w:before="121"/>
        <w:ind w:left="122" w:right="140" w:firstLine="283"/>
        <w:jc w:val="both"/>
      </w:pPr>
      <w:r>
        <w:rPr/>
        <w:t>La funcionalización de los CNTs permite diversificar sus propiedades y sus usos potenciales. La modificación de estos materiales con grupos orgánicos ha constituido la base para el mejoramiento de la compatibilidad de estas nanoestructuras [1].</w:t>
      </w:r>
    </w:p>
    <w:p>
      <w:pPr>
        <w:pStyle w:val="BodyText"/>
      </w:pPr>
    </w:p>
    <w:p>
      <w:pPr>
        <w:pStyle w:val="BodyText"/>
        <w:spacing w:line="360" w:lineRule="auto" w:before="130"/>
        <w:ind w:left="122" w:right="138" w:firstLine="283"/>
        <w:jc w:val="both"/>
      </w:pPr>
      <w:r>
        <w:rPr/>
        <w:t>La funcionalización puede mejorar la dispersión de los nanotubos en solventes y polímeros. Además puede proveer un medio para producir una interfase entre el polímero y el nanotubo para la obtención de propiedades superiores a las del polímero puro. Respecto a las propiedades mecánicas, la adhesión interfacial puede ser modificada a través de interacciones covalentes y no covalentes entre el grupo funcional del nanotubo de carbono y la matriz de polímero para maximizar la transferencia de carga [21].</w:t>
      </w:r>
    </w:p>
    <w:p>
      <w:pPr>
        <w:pStyle w:val="BodyText"/>
      </w:pPr>
    </w:p>
    <w:p>
      <w:pPr>
        <w:pStyle w:val="BodyText"/>
        <w:spacing w:line="360" w:lineRule="auto" w:before="130"/>
        <w:ind w:left="122" w:right="135" w:firstLine="283"/>
        <w:jc w:val="both"/>
      </w:pPr>
      <w:r>
        <w:rPr/>
        <w:t>De acuerdo a la reactividad de los CNTs, las reacciones de funcionalización se pueden dividir en dos grupos: uno basado en la oxidación química de los nanotubos (rompiendo puntas y generando defectos estructurales) y el otro es basado en la adición directa a la superficie grafítica de los nanotubos (sin ningún paso intermediario) [1].</w:t>
      </w:r>
    </w:p>
    <w:p>
      <w:pPr>
        <w:pStyle w:val="BodyText"/>
      </w:pPr>
    </w:p>
    <w:p>
      <w:pPr>
        <w:pStyle w:val="BodyText"/>
        <w:spacing w:line="360" w:lineRule="auto" w:before="133"/>
        <w:ind w:left="122" w:right="135" w:firstLine="283"/>
        <w:jc w:val="both"/>
      </w:pPr>
      <w:r>
        <w:rPr/>
        <w:t>El método de funcionalización de apertura de puntas usa una ruta oxidativa para formar nanotubos más cortos llevando a la formación de grupos carboxílicos, carbonilos e hidroxilos. Los grupos finales de ácidos carboxílicos son subsecuentemente convertidos en otros grupos funcionales a través de reacciones de condensación. Como alternativa existen protocolos de funcionalización covalente, enfocados principalmente en las paredes de los nanotubos, los cuales son métodos menos destructivos [3]. Los tratamientos de oxidación son usados para la purificación de los nanotubos de carbono ya que estos se encuentran mezclados con otras formas de carbono conocidas como impurezas, lo que dificultan su manipulación y limitan su procesamiento y posibles usos [1].</w:t>
      </w:r>
    </w:p>
    <w:p>
      <w:pPr>
        <w:pStyle w:val="BodyText"/>
      </w:pPr>
    </w:p>
    <w:p>
      <w:pPr>
        <w:pStyle w:val="BodyText"/>
        <w:spacing w:line="360" w:lineRule="auto" w:before="133"/>
        <w:ind w:left="122" w:right="135" w:firstLine="283"/>
        <w:jc w:val="both"/>
      </w:pPr>
      <w:r>
        <w:rPr/>
        <w:t>La oxidación química puede ser alcanzada a través de métodos químicos en húmedo u oxidantes gaseosos tales como oxígeno (típicamente aire) o dióxido de carbono. El método más común para la oxidación de los nanotubos es el que involucra soluciones acuosas de agentes oxidantes. Los más utilizados son el ácido nítrico y el ácido sulfúrico, pero oxidantes como dicromato de potasio, peróxido de hidrógeno o permanganato de potasio son frecuentemente usados. También son empleados ácidos como el clorhídrico y fluorhídrico que no dañan los nanotubos debido a que estos ácidos no son oxidantes [28].</w:t>
      </w:r>
    </w:p>
    <w:p>
      <w:pPr>
        <w:spacing w:after="0" w:line="360" w:lineRule="auto"/>
        <w:jc w:val="both"/>
        <w:sectPr>
          <w:pgSz w:w="12240" w:h="15840"/>
          <w:pgMar w:header="730" w:footer="1062" w:top="1160" w:bottom="1260" w:left="1580" w:right="1560"/>
        </w:sectPr>
      </w:pPr>
    </w:p>
    <w:p>
      <w:pPr>
        <w:pStyle w:val="BodyText"/>
        <w:spacing w:before="2"/>
        <w:rPr>
          <w:sz w:val="21"/>
        </w:rPr>
      </w:pPr>
    </w:p>
    <w:p>
      <w:pPr>
        <w:pStyle w:val="BodyText"/>
        <w:spacing w:line="360" w:lineRule="auto" w:before="72"/>
        <w:ind w:left="122" w:right="137" w:firstLine="283"/>
        <w:jc w:val="both"/>
      </w:pPr>
      <w:r>
        <w:rPr/>
        <w:t>Posteriormente, los grupos carboxílicos localizados en las puntas pueden ser convertidos a diferentes grupos funcionales como a través de la reacción con cloruro de tionilo, frecuentemente utilizado para generar cloruro de acilo. Además reacciones no covalentes entre los grupos carboxilo y iones de octadecilamonio son posibles [28]. Asimismo, se han desarrollado métodos de silanización y sililación que pueden ser alcanzados tomando ventaja de los grupos funcionales de los reactivos utilizados por estas técnicas</w:t>
      </w:r>
      <w:r>
        <w:rPr>
          <w:spacing w:val="-14"/>
        </w:rPr>
        <w:t> </w:t>
      </w:r>
      <w:r>
        <w:rPr/>
        <w:t>[29].</w:t>
      </w:r>
    </w:p>
    <w:p>
      <w:pPr>
        <w:pStyle w:val="BodyText"/>
      </w:pPr>
    </w:p>
    <w:p>
      <w:pPr>
        <w:pStyle w:val="BodyText"/>
        <w:spacing w:line="360" w:lineRule="auto" w:before="130"/>
        <w:ind w:left="122" w:right="135" w:firstLine="283"/>
        <w:jc w:val="both"/>
      </w:pPr>
      <w:r>
        <w:rPr/>
        <w:t>Asimismo, los grupos hidroxilo tienen mucha afinidad con moléculas orgánicas para formar grupos amida. Por lo que se han estudiado reacciones con nanotubos de carbono oxidados con octadecilamina y aminas alifáticas para que sean acopladas en la superficie de los nanotubos [1]. Esta funcionalización ha sido muy estudiada debido a su alta reactividad y su compatibilidad con muchas sustancias químicas y polímeros [30].</w:t>
      </w:r>
    </w:p>
    <w:p>
      <w:pPr>
        <w:pStyle w:val="BodyText"/>
      </w:pPr>
    </w:p>
    <w:p>
      <w:pPr>
        <w:pStyle w:val="BodyText"/>
        <w:spacing w:line="360" w:lineRule="auto" w:before="130"/>
        <w:ind w:left="122" w:right="137" w:firstLine="283"/>
        <w:jc w:val="both"/>
      </w:pPr>
      <w:r>
        <w:rPr/>
        <w:t>Un método para alcanzar la funcionalización no covalente es través de la absorción o enrollamiento de un polímero a la superficie de los nanotubos. Las paredes grafíticas de los CNTs proveen la posibilidad de formar interacciones del tipo π con polímeros conjugados así como polímeros orgánicos que contienen heteroátomos con un par de electrones libres. La ventaja de esta funcionalización es que no destruye las paredes de los nanotubos, lo que hace que las propiedades físicas sean preservadas [31].</w:t>
      </w:r>
    </w:p>
    <w:p>
      <w:pPr>
        <w:pStyle w:val="BodyText"/>
      </w:pPr>
    </w:p>
    <w:p>
      <w:pPr>
        <w:pStyle w:val="Heading4"/>
        <w:numPr>
          <w:ilvl w:val="3"/>
          <w:numId w:val="3"/>
        </w:numPr>
        <w:tabs>
          <w:tab w:pos="973" w:val="left" w:leader="none"/>
          <w:tab w:pos="974" w:val="left" w:leader="none"/>
        </w:tabs>
        <w:spacing w:line="240" w:lineRule="auto" w:before="135" w:after="0"/>
        <w:ind w:left="974" w:right="0" w:hanging="852"/>
        <w:jc w:val="left"/>
      </w:pPr>
      <w:r>
        <w:rPr/>
        <w:t>Propiedades y</w:t>
      </w:r>
      <w:r>
        <w:rPr>
          <w:spacing w:val="-7"/>
        </w:rPr>
        <w:t> </w:t>
      </w:r>
      <w:r>
        <w:rPr/>
        <w:t>aplicaciones</w:t>
      </w:r>
    </w:p>
    <w:p>
      <w:pPr>
        <w:pStyle w:val="BodyText"/>
        <w:spacing w:line="360" w:lineRule="auto" w:before="121"/>
        <w:ind w:left="122" w:right="136" w:firstLine="283"/>
        <w:jc w:val="both"/>
      </w:pPr>
      <w:r>
        <w:rPr/>
        <w:t>Los CNTs son dos órdenes de magnitud más fuertes que el acero en una sexta parte de su peso. Su punto de fusión excede el de cualquier metal y de acuerdo a simulaciones por computadora, se encuentra alrededor de 4000 °K en “vacío ideal”, el cual es un valor cercano al del grafito. Dependiendo de su quiralidad, los SWNTs actúan como conductores de electrones o semiconductores. Además poseen excelente conducción de calor, la cual excede la conductividad térmica del diamante [21]. Los valores de su fuerza tensil van de 60 a 150 GPa y poseen una conductividad eléctrica de 3000 a 4000 S/m [8].</w:t>
      </w:r>
    </w:p>
    <w:p>
      <w:pPr>
        <w:pStyle w:val="BodyText"/>
      </w:pPr>
    </w:p>
    <w:p>
      <w:pPr>
        <w:pStyle w:val="BodyText"/>
        <w:spacing w:line="360" w:lineRule="auto" w:before="130"/>
        <w:ind w:left="122" w:right="139" w:firstLine="283"/>
        <w:jc w:val="both"/>
      </w:pPr>
      <w:r>
        <w:rPr/>
        <w:t>Debido a la combinación de estas propiedades, lo nanotubos son ideales para una amplia variedad de aplicaciones. Su alta resistencia mecánica, combinada con su alta conductividad eléctrica y térmica permite la formación de compositos fuertes, transparentes y conductores térmicos y eléctricos,  por lo que pueden ser utilizados en aislamiento de cables </w:t>
      </w:r>
      <w:r>
        <w:rPr>
          <w:spacing w:val="48"/>
        </w:rPr>
        <w:t> </w:t>
      </w:r>
      <w:r>
        <w:rPr/>
        <w:t>electromagnéticos,</w:t>
      </w:r>
    </w:p>
    <w:p>
      <w:pPr>
        <w:spacing w:after="0" w:line="360" w:lineRule="auto"/>
        <w:jc w:val="both"/>
        <w:sectPr>
          <w:pgSz w:w="12240" w:h="15840"/>
          <w:pgMar w:header="730" w:footer="1062" w:top="1160" w:bottom="1260" w:left="1580" w:right="1560"/>
        </w:sectPr>
      </w:pPr>
    </w:p>
    <w:p>
      <w:pPr>
        <w:pStyle w:val="BodyText"/>
        <w:spacing w:before="2"/>
        <w:rPr>
          <w:sz w:val="21"/>
        </w:rPr>
      </w:pPr>
    </w:p>
    <w:p>
      <w:pPr>
        <w:pStyle w:val="BodyText"/>
        <w:spacing w:line="360" w:lineRule="auto" w:before="72"/>
        <w:ind w:left="122" w:right="260"/>
        <w:jc w:val="both"/>
      </w:pPr>
      <w:r>
        <w:rPr/>
        <w:t>componentes aislantes y conductores y además para la obtención de nanocompositos empleados en la industria aeroespacial [32].</w:t>
      </w:r>
    </w:p>
    <w:p>
      <w:pPr>
        <w:pStyle w:val="BodyText"/>
      </w:pPr>
    </w:p>
    <w:p>
      <w:pPr>
        <w:pStyle w:val="BodyText"/>
        <w:spacing w:line="360" w:lineRule="auto" w:before="130"/>
        <w:ind w:left="122" w:right="256" w:firstLine="283"/>
        <w:jc w:val="both"/>
      </w:pPr>
      <w:r>
        <w:rPr/>
        <w:t>Los nanotubos han encontrado una aplicación a gran escala como un aditivo al componente de grafito en las baterías de iones de litio. La alta conductividad combinada con el alto promedio superficie-volumen abre una aplicación en supercapacitores y celdas de combustible. Además los nanotubos de carbono pueden proporcionar el beneficio de bajo peso y gran área superficial específica para el almacenamiento de hidrógeno [21].</w:t>
      </w:r>
    </w:p>
    <w:p>
      <w:pPr>
        <w:pStyle w:val="BodyText"/>
      </w:pPr>
    </w:p>
    <w:p>
      <w:pPr>
        <w:pStyle w:val="Heading4"/>
        <w:spacing w:before="138"/>
        <w:ind w:left="110"/>
        <w:jc w:val="both"/>
      </w:pPr>
      <w:r>
        <w:rPr/>
        <w:t>1.2.2     Grafeno</w:t>
      </w:r>
    </w:p>
    <w:p>
      <w:pPr>
        <w:pStyle w:val="BodyText"/>
        <w:spacing w:line="360" w:lineRule="auto" w:before="121"/>
        <w:ind w:left="122" w:right="255" w:firstLine="283"/>
        <w:jc w:val="both"/>
      </w:pPr>
      <w:r>
        <w:rPr/>
        <w:t>Por muchos años el grafeno fue solo un concepto usado con el fin de describir formas complejas de carbones aromáticos y un sistema simple para los teóricos del estado sólido. A excepción de algunas observaciones de hojas de grafeno derivadas químicamente y la caracterización de monocapas de grafito en metales y carburos, pocos investigadores consideraron a este material hasta el aislamiento de una hoja de grafeno en el 2004 por Geim y Novoselov [8]. El grafeno es un material con propiedades muy prometedoras en la ciencia de materiales y en la física de la materia condensada debido a que representa una nueva clase de materiales con un solo átomo de espesor, ya que éste representa un plano simple de grafito [7].</w:t>
      </w:r>
    </w:p>
    <w:p>
      <w:pPr>
        <w:pStyle w:val="BodyText"/>
        <w:spacing w:before="1"/>
        <w:rPr>
          <w:sz w:val="31"/>
        </w:rPr>
      </w:pPr>
    </w:p>
    <w:p>
      <w:pPr>
        <w:pStyle w:val="BodyText"/>
        <w:spacing w:line="360" w:lineRule="auto" w:before="1"/>
        <w:ind w:left="122" w:right="258" w:firstLine="283"/>
        <w:jc w:val="both"/>
      </w:pPr>
      <w:r>
        <w:rPr/>
        <w:t>Este material consiste de átomos de carbono con hibridación sp</w:t>
      </w:r>
      <w:r>
        <w:rPr>
          <w:position w:val="10"/>
          <w:sz w:val="14"/>
        </w:rPr>
        <w:t>2 </w:t>
      </w:r>
      <w:r>
        <w:rPr/>
        <w:t>en un arreglo hexagonal, en el que se forman enlaces covalentes entre dos átomos de carbono adyacentes. La celda unitaria de una hoja de grafeno, contiene 2 átomos de carbono, A y B, cada uno formando una red bidimensional triangular,  pero desplazada una  con  otra  por  la  distancia carbono-carbono   de aproximadamente</w:t>
      </w:r>
    </w:p>
    <w:p>
      <w:pPr>
        <w:pStyle w:val="ListParagraph"/>
        <w:numPr>
          <w:ilvl w:val="1"/>
          <w:numId w:val="4"/>
        </w:numPr>
        <w:tabs>
          <w:tab w:pos="737" w:val="left" w:leader="none"/>
        </w:tabs>
        <w:spacing w:line="360" w:lineRule="auto" w:before="4" w:after="0"/>
        <w:ind w:left="122" w:right="254" w:firstLine="0"/>
        <w:jc w:val="both"/>
        <w:rPr>
          <w:sz w:val="22"/>
        </w:rPr>
      </w:pPr>
      <w:r>
        <w:rPr>
          <w:sz w:val="22"/>
        </w:rPr>
        <w:t>nm, como se observa en la Figura 1.4 [33]. Su espesor puede variar de 0.35 a 1nm [8,34].Cada átomo tiene un orbital s y dos orbitales p contribuyendo a la estabilidad mecánica de la hoja de carbono. El orbital p sobrante, orientado perpendicularmente al plano molecular  se  hibridiza para formar las bandas π* (de conducción) y π (de valencia) las cuales dominan el fenómeno de conducción en el plano</w:t>
      </w:r>
      <w:r>
        <w:rPr>
          <w:spacing w:val="-7"/>
          <w:sz w:val="22"/>
        </w:rPr>
        <w:t> </w:t>
      </w:r>
      <w:r>
        <w:rPr>
          <w:sz w:val="22"/>
        </w:rPr>
        <w:t>[16].</w:t>
      </w:r>
    </w:p>
    <w:p>
      <w:pPr>
        <w:pStyle w:val="BodyText"/>
      </w:pPr>
    </w:p>
    <w:p>
      <w:pPr>
        <w:pStyle w:val="BodyText"/>
        <w:spacing w:line="360" w:lineRule="auto" w:before="130"/>
        <w:ind w:left="122" w:right="256" w:firstLine="283"/>
        <w:jc w:val="both"/>
      </w:pPr>
      <w:r>
        <w:rPr/>
        <w:t>El grafeno se considera como el punto de partida para la estructuración de los diferentes alótropos de carbono, como se observa en la Figura 1.5, puede ser envuelto para formar fulerenos, enrollado para formar nanotubos de carbono o apilado para formar grafito [7]. Este material puede estar  constituido  por  varias  hojas  de  grafeno  y  ser  considerado  como  bidimensional.  Con   el</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62"/>
      </w:pPr>
      <w:r>
        <w:rPr/>
        <w:t>incremento de espesor la estructura electrónica evoluciona, por lo que a partir de 10 capas de grafeno se le considera como un material 3D [7].</w:t>
      </w:r>
    </w:p>
    <w:p>
      <w:pPr>
        <w:pStyle w:val="BodyText"/>
        <w:rPr>
          <w:sz w:val="20"/>
        </w:rPr>
      </w:pPr>
    </w:p>
    <w:p>
      <w:pPr>
        <w:pStyle w:val="BodyText"/>
        <w:spacing w:before="5"/>
        <w:rPr>
          <w:sz w:val="10"/>
        </w:rPr>
      </w:pPr>
      <w:r>
        <w:rPr/>
        <w:drawing>
          <wp:anchor distT="0" distB="0" distL="0" distR="0" allowOverlap="1" layoutInCell="1" locked="0" behindDoc="0" simplePos="0" relativeHeight="1168">
            <wp:simplePos x="0" y="0"/>
            <wp:positionH relativeFrom="page">
              <wp:posOffset>2457450</wp:posOffset>
            </wp:positionH>
            <wp:positionV relativeFrom="paragraph">
              <wp:posOffset>101228</wp:posOffset>
            </wp:positionV>
            <wp:extent cx="2872236" cy="2157983"/>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9" cstate="print"/>
                    <a:stretch>
                      <a:fillRect/>
                    </a:stretch>
                  </pic:blipFill>
                  <pic:spPr>
                    <a:xfrm>
                      <a:off x="0" y="0"/>
                      <a:ext cx="2872236" cy="2157983"/>
                    </a:xfrm>
                    <a:prstGeom prst="rect">
                      <a:avLst/>
                    </a:prstGeom>
                  </pic:spPr>
                </pic:pic>
              </a:graphicData>
            </a:graphic>
          </wp:anchor>
        </w:drawing>
      </w:r>
    </w:p>
    <w:p>
      <w:pPr>
        <w:pStyle w:val="BodyText"/>
        <w:spacing w:before="7"/>
        <w:rPr>
          <w:sz w:val="25"/>
        </w:rPr>
      </w:pPr>
    </w:p>
    <w:p>
      <w:pPr>
        <w:spacing w:before="0"/>
        <w:ind w:left="164" w:right="300" w:firstLine="0"/>
        <w:jc w:val="center"/>
        <w:rPr>
          <w:sz w:val="22"/>
        </w:rPr>
      </w:pPr>
      <w:r>
        <w:rPr>
          <w:b/>
          <w:sz w:val="22"/>
        </w:rPr>
        <w:t>Figura 1.4 </w:t>
      </w:r>
      <w:r>
        <w:rPr>
          <w:sz w:val="22"/>
        </w:rPr>
        <w:t>Estructura atómica del grafeno [16].</w:t>
      </w:r>
    </w:p>
    <w:p>
      <w:pPr>
        <w:pStyle w:val="BodyText"/>
        <w:rPr>
          <w:sz w:val="20"/>
        </w:rPr>
      </w:pPr>
    </w:p>
    <w:p>
      <w:pPr>
        <w:pStyle w:val="BodyText"/>
        <w:spacing w:before="2"/>
        <w:rPr>
          <w:sz w:val="21"/>
        </w:rPr>
      </w:pPr>
      <w:r>
        <w:rPr/>
        <w:pict>
          <v:group style="position:absolute;margin-left:138.619995pt;margin-top:14.151582pt;width:329.6pt;height:283.45pt;mso-position-horizontal-relative:page;mso-position-vertical-relative:paragraph;z-index:1288;mso-wrap-distance-left:0;mso-wrap-distance-right:0" coordorigin="2772,283" coordsize="6592,5669">
            <v:shape style="position:absolute;left:2906;top:283;width:6459;height:5668" type="#_x0000_t75" stroked="false">
              <v:imagedata r:id="rId20" o:title=""/>
            </v:shape>
            <v:shape style="position:absolute;left:2772;top:1578;width:184;height:221" type="#_x0000_t202" filled="false" stroked="false">
              <v:textbox inset="0,0,0,0">
                <w:txbxContent>
                  <w:p>
                    <w:pPr>
                      <w:spacing w:line="221" w:lineRule="exact" w:before="0"/>
                      <w:ind w:left="0" w:right="-20" w:firstLine="0"/>
                      <w:jc w:val="left"/>
                      <w:rPr>
                        <w:b/>
                        <w:sz w:val="22"/>
                      </w:rPr>
                    </w:pPr>
                    <w:r>
                      <w:rPr>
                        <w:b/>
                        <w:sz w:val="22"/>
                      </w:rPr>
                      <w:t>a)</w:t>
                    </w:r>
                  </w:p>
                </w:txbxContent>
              </v:textbox>
              <w10:wrap type="none"/>
            </v:shape>
            <v:shape style="position:absolute;left:2981;top:5075;width:196;height:221" type="#_x0000_t202" filled="false" stroked="false">
              <v:textbox inset="0,0,0,0">
                <w:txbxContent>
                  <w:p>
                    <w:pPr>
                      <w:spacing w:line="221" w:lineRule="exact" w:before="0"/>
                      <w:ind w:left="0" w:right="-20" w:firstLine="0"/>
                      <w:jc w:val="left"/>
                      <w:rPr>
                        <w:b/>
                        <w:sz w:val="22"/>
                      </w:rPr>
                    </w:pPr>
                    <w:r>
                      <w:rPr>
                        <w:b/>
                        <w:sz w:val="22"/>
                      </w:rPr>
                      <w:t>b)</w:t>
                    </w:r>
                  </w:p>
                </w:txbxContent>
              </v:textbox>
              <w10:wrap type="none"/>
            </v:shape>
            <v:shape style="position:absolute;left:4887;top:5075;width:173;height:221" type="#_x0000_t202" filled="false" stroked="false">
              <v:textbox inset="0,0,0,0">
                <w:txbxContent>
                  <w:p>
                    <w:pPr>
                      <w:spacing w:line="221" w:lineRule="exact" w:before="0"/>
                      <w:ind w:left="0" w:right="-18" w:firstLine="0"/>
                      <w:jc w:val="left"/>
                      <w:rPr>
                        <w:b/>
                        <w:sz w:val="22"/>
                      </w:rPr>
                    </w:pPr>
                    <w:r>
                      <w:rPr>
                        <w:b/>
                        <w:sz w:val="22"/>
                      </w:rPr>
                      <w:t>c)</w:t>
                    </w:r>
                  </w:p>
                </w:txbxContent>
              </v:textbox>
              <w10:wrap type="none"/>
            </v:shape>
            <v:shape style="position:absolute;left:7108;top:5075;width:196;height:221" type="#_x0000_t202" filled="false" stroked="false">
              <v:textbox inset="0,0,0,0">
                <w:txbxContent>
                  <w:p>
                    <w:pPr>
                      <w:spacing w:line="221" w:lineRule="exact" w:before="0"/>
                      <w:ind w:left="0" w:right="-20" w:firstLine="0"/>
                      <w:jc w:val="left"/>
                      <w:rPr>
                        <w:b/>
                        <w:sz w:val="22"/>
                      </w:rPr>
                    </w:pPr>
                    <w:r>
                      <w:rPr>
                        <w:b/>
                        <w:sz w:val="22"/>
                      </w:rPr>
                      <w:t>d)</w:t>
                    </w:r>
                  </w:p>
                </w:txbxContent>
              </v:textbox>
              <w10:wrap type="none"/>
            </v:shape>
            <w10:wrap type="topAndBottom"/>
          </v:group>
        </w:pict>
      </w:r>
    </w:p>
    <w:p>
      <w:pPr>
        <w:pStyle w:val="BodyText"/>
        <w:spacing w:before="6"/>
        <w:rPr>
          <w:sz w:val="25"/>
        </w:rPr>
      </w:pPr>
    </w:p>
    <w:p>
      <w:pPr>
        <w:pStyle w:val="BodyText"/>
        <w:ind w:left="164" w:right="305"/>
        <w:jc w:val="center"/>
      </w:pPr>
      <w:r>
        <w:rPr>
          <w:b/>
        </w:rPr>
        <w:t>Figura 1.5 </w:t>
      </w:r>
      <w:r>
        <w:rPr/>
        <w:t>Clasificación de los alótropos de carbono de acuerdo a su dimensión:</w:t>
      </w:r>
    </w:p>
    <w:p>
      <w:pPr>
        <w:pStyle w:val="ListParagraph"/>
        <w:numPr>
          <w:ilvl w:val="2"/>
          <w:numId w:val="4"/>
        </w:numPr>
        <w:tabs>
          <w:tab w:pos="1378" w:val="left" w:leader="none"/>
        </w:tabs>
        <w:spacing w:line="240" w:lineRule="auto" w:before="126" w:after="0"/>
        <w:ind w:left="1377" w:right="0" w:hanging="228"/>
        <w:jc w:val="left"/>
        <w:rPr>
          <w:sz w:val="22"/>
        </w:rPr>
      </w:pPr>
      <w:r>
        <w:rPr>
          <w:sz w:val="22"/>
        </w:rPr>
        <w:t>2D grafeno, b) 0D fulerenos, c) 1D nanotubos de carbono y  d) 3D</w:t>
      </w:r>
      <w:r>
        <w:rPr>
          <w:spacing w:val="-21"/>
          <w:sz w:val="22"/>
        </w:rPr>
        <w:t> </w:t>
      </w:r>
      <w:r>
        <w:rPr>
          <w:sz w:val="22"/>
        </w:rPr>
        <w:t>grafito.</w:t>
      </w:r>
    </w:p>
    <w:p>
      <w:pPr>
        <w:spacing w:after="0" w:line="240" w:lineRule="auto"/>
        <w:jc w:val="left"/>
        <w:rPr>
          <w:sz w:val="22"/>
        </w:rPr>
        <w:sectPr>
          <w:pgSz w:w="12240" w:h="15840"/>
          <w:pgMar w:header="730" w:footer="1062" w:top="1160" w:bottom="1260" w:left="1580" w:right="1440"/>
        </w:sectPr>
      </w:pPr>
    </w:p>
    <w:p>
      <w:pPr>
        <w:pStyle w:val="BodyText"/>
        <w:spacing w:before="7"/>
        <w:rPr>
          <w:sz w:val="21"/>
        </w:rPr>
      </w:pPr>
    </w:p>
    <w:p>
      <w:pPr>
        <w:pStyle w:val="Heading4"/>
        <w:numPr>
          <w:ilvl w:val="3"/>
          <w:numId w:val="5"/>
        </w:numPr>
        <w:tabs>
          <w:tab w:pos="830" w:val="left" w:leader="none"/>
        </w:tabs>
        <w:spacing w:line="240" w:lineRule="auto" w:before="72" w:after="0"/>
        <w:ind w:left="830" w:right="0" w:hanging="720"/>
        <w:jc w:val="left"/>
      </w:pPr>
      <w:r>
        <w:rPr/>
        <w:t>Métodos de</w:t>
      </w:r>
      <w:r>
        <w:rPr>
          <w:spacing w:val="-1"/>
        </w:rPr>
        <w:t> </w:t>
      </w:r>
      <w:r>
        <w:rPr/>
        <w:t>obtención</w:t>
      </w:r>
    </w:p>
    <w:p>
      <w:pPr>
        <w:pStyle w:val="BodyText"/>
        <w:spacing w:line="360" w:lineRule="auto" w:before="121"/>
        <w:ind w:left="122" w:right="255" w:firstLine="283"/>
        <w:jc w:val="both"/>
      </w:pPr>
      <w:r>
        <w:rPr/>
        <w:t>A lo largo de los años se probaron un sin número de intentos tenaces y sin embargo no exitosos para obtener una sola hoja de grafeno. Fue hasta recientemente que a partir de un método simple se logró la obtención de una capa aislada de éste material. El método consistía en la exfoliación de láminas de grafito con una cinta adhesiva, hasta la obtención de una capa de un solo átomo de espesor. Este descubrimiento marcó la pauta para encontrar nuevos métodos para su producción  [7].</w:t>
      </w:r>
    </w:p>
    <w:p>
      <w:pPr>
        <w:pStyle w:val="BodyText"/>
      </w:pPr>
    </w:p>
    <w:p>
      <w:pPr>
        <w:pStyle w:val="BodyText"/>
        <w:spacing w:line="360" w:lineRule="auto" w:before="133"/>
        <w:ind w:left="122" w:right="255" w:firstLine="283"/>
        <w:jc w:val="both"/>
      </w:pPr>
      <w:r>
        <w:rPr/>
        <w:t>A la fecha se han desarrollado diversos métodos para la obtención de grafeno, por lo que se puede decir que principalmente existen cuatro métodos diferentes. El primero es la exfoliación micromecánica del grafito, también conocido como método </w:t>
      </w:r>
      <w:r>
        <w:rPr>
          <w:i/>
        </w:rPr>
        <w:t>scotch tape </w:t>
      </w:r>
      <w:r>
        <w:rPr/>
        <w:t>o </w:t>
      </w:r>
      <w:r>
        <w:rPr>
          <w:i/>
        </w:rPr>
        <w:t>peel-off</w:t>
      </w:r>
      <w:r>
        <w:rPr/>
        <w:t>. El segundo es el crecimiento epitaxial en superficies eléctricamente aislantes, tales como carburo de silicio.  El tercero es el método CVD, que emplea la descomposición de etileno en superficies de níquel y el cuarto es la reducción de óxido de grafeno [8].</w:t>
      </w:r>
    </w:p>
    <w:p>
      <w:pPr>
        <w:pStyle w:val="BodyText"/>
      </w:pPr>
    </w:p>
    <w:p>
      <w:pPr>
        <w:pStyle w:val="BodyText"/>
        <w:spacing w:line="360" w:lineRule="auto" w:before="130"/>
        <w:ind w:left="122" w:right="259" w:firstLine="283"/>
        <w:jc w:val="both"/>
      </w:pPr>
      <w:r>
        <w:rPr/>
        <w:t>El método de la exfoliación micromecánica es muy laborioso, donde la probabilidad de  encontrar una gran cantidad de hojas de grafeno individuales es frecuentemente baja. El método de crecimiento epitaxial puede producir hojas de buena calidad pero requiere de condiciones de alto vacío y sistemas de fabricación muy caros para generar hojas de grafeno muy pequeñas. Mientras que las técnicas de CVD parecen ser la forma para la generación de monocapas de grafeno con gran área superficial, estos métodos requieren de equipo especializado y altas cantidades de energía que incrementan el costo de su producción en gran volumen</w:t>
      </w:r>
      <w:r>
        <w:rPr>
          <w:spacing w:val="-11"/>
        </w:rPr>
        <w:t> </w:t>
      </w:r>
      <w:r>
        <w:rPr/>
        <w:t>[35].</w:t>
      </w:r>
    </w:p>
    <w:p>
      <w:pPr>
        <w:pStyle w:val="BodyText"/>
      </w:pPr>
    </w:p>
    <w:p>
      <w:pPr>
        <w:pStyle w:val="BodyText"/>
        <w:spacing w:line="360" w:lineRule="auto" w:before="130"/>
        <w:ind w:left="122" w:right="255" w:firstLine="283"/>
        <w:jc w:val="both"/>
      </w:pPr>
      <w:r>
        <w:rPr/>
        <w:t>El óxido de grafeno depositado en un sustrato puede ser reducido a través de vapores de hidracina o plasma de hidrógeno. La reducción por dimetilhidrazina resulta en la aglomeración de hojuelas reducidas a menos que un agente estabilizador sea adicionado a la suspensión. En  contraste, películas de óxido de grafeno pueden ser reducidas y dispersadas en hidrazina pura, para producir oxido de grafeno reducido con buena estabilidad. Asimismo, se han propuesto rutas </w:t>
      </w:r>
      <w:r>
        <w:rPr>
          <w:spacing w:val="-2"/>
        </w:rPr>
        <w:t>más </w:t>
      </w:r>
      <w:r>
        <w:rPr/>
        <w:t>ambientalmente amigables que consisten en la rápida desoxigenación del óxido de grafeno bajo condiciones alcalinas a temperaturas bajas [16]. La reducción de los derivados de grafeno sobresale como la principal estrategia para la obtención de grandes cantidades de este material a bajo costo, a pesar de no ser libre de defectos, debido a que es altamente procesable y puede ser fabricado en una variedad de materiales</w:t>
      </w:r>
      <w:r>
        <w:rPr>
          <w:spacing w:val="-7"/>
        </w:rPr>
        <w:t> </w:t>
      </w:r>
      <w:r>
        <w:rPr/>
        <w:t>[36].</w:t>
      </w:r>
    </w:p>
    <w:p>
      <w:pPr>
        <w:spacing w:after="0" w:line="360" w:lineRule="auto"/>
        <w:jc w:val="both"/>
        <w:sectPr>
          <w:pgSz w:w="12240" w:h="15840"/>
          <w:pgMar w:header="730" w:footer="1062" w:top="1160" w:bottom="1260" w:left="1580" w:right="1440"/>
        </w:sectPr>
      </w:pPr>
    </w:p>
    <w:p>
      <w:pPr>
        <w:pStyle w:val="BodyText"/>
        <w:spacing w:before="7"/>
        <w:rPr>
          <w:sz w:val="21"/>
        </w:rPr>
      </w:pPr>
    </w:p>
    <w:p>
      <w:pPr>
        <w:pStyle w:val="Heading4"/>
        <w:numPr>
          <w:ilvl w:val="3"/>
          <w:numId w:val="5"/>
        </w:numPr>
        <w:tabs>
          <w:tab w:pos="830" w:val="left" w:leader="none"/>
        </w:tabs>
        <w:spacing w:line="240" w:lineRule="auto" w:before="72" w:after="0"/>
        <w:ind w:left="830" w:right="0" w:hanging="720"/>
        <w:jc w:val="left"/>
      </w:pPr>
      <w:r>
        <w:rPr/>
        <w:t>Funcionalización</w:t>
      </w:r>
    </w:p>
    <w:p>
      <w:pPr>
        <w:pStyle w:val="BodyText"/>
        <w:spacing w:line="360" w:lineRule="auto" w:before="121"/>
        <w:ind w:left="122" w:right="255" w:firstLine="283"/>
        <w:jc w:val="both"/>
      </w:pPr>
      <w:r>
        <w:rPr/>
        <w:t>El grafeno puro es un material hidrofóbico y no tiene solubilidad apreciable en la mayoría de los solventes, por lo que con el fin de incrementar su potencial se ha trabajado en la modificación química del grafeno. Estas modificaciones, que se hacen sobre la superficie del grafeno, permiten reacciones químicas consecutivas, necesarias para la integración de las hojas de grafeno para un propósito específico y además es un paso esencial para obtener una buena dispersión a nivel molecular  de grafeno en matrices poliméricas [37].</w:t>
      </w:r>
    </w:p>
    <w:p>
      <w:pPr>
        <w:pStyle w:val="BodyText"/>
      </w:pPr>
    </w:p>
    <w:p>
      <w:pPr>
        <w:pStyle w:val="BodyText"/>
        <w:spacing w:line="360" w:lineRule="auto" w:before="133"/>
        <w:ind w:left="122" w:right="254" w:firstLine="283"/>
        <w:jc w:val="both"/>
      </w:pPr>
      <w:r>
        <w:rPr/>
        <w:t>De manera similar que en los CNTs, la funcionalización de las hojas de grafeno se puede llevar a cabo mediante la modificación covalente y no covalente [38]. La modificación covalente involucra la reacción entre moléculas funcionales y los grupos oxigenados en las hojas de grafeno. En particular los grupos carboxílicos han demostrado ser candidatos útiles para la modificación  química de los nanomateriales de carbono [30]. El óxido de grafeno contiene grupos hidroxilo, epóxido, dioles, cetonas y carboxilos que pueden alterar significativamente las interacciones Van der Waals y ser más compatibles con los polímeros orgánicos. Además este posee grupos carboxilo y carbonilo en las puntas de las hojas de grafeno, como se observa en la Figura 1.6, los cuales hacen que las hojas de óxido de grafeno sean fuertemente hidrofílicas, lo que le permite dispersarse en agua [39]. Además estos grupos funcionales proveen sitios reactivos para una variedad de reacciones de modificación de su superficie, las cuales pueden ser utilizadas para su funcionalización.</w:t>
      </w:r>
    </w:p>
    <w:p>
      <w:pPr>
        <w:pStyle w:val="BodyText"/>
        <w:spacing w:before="6"/>
        <w:rPr>
          <w:sz w:val="9"/>
        </w:rPr>
      </w:pPr>
      <w:r>
        <w:rPr/>
        <w:pict>
          <v:group style="position:absolute;margin-left:98.625pt;margin-top:7.444776pt;width:392.6pt;height:100.1pt;mso-position-horizontal-relative:page;mso-position-vertical-relative:paragraph;z-index:1312;mso-wrap-distance-left:0;mso-wrap-distance-right:0" coordorigin="1973,149" coordsize="7852,2002">
            <v:shape style="position:absolute;left:2439;top:388;width:7386;height:1762" type="#_x0000_t75" stroked="false">
              <v:imagedata r:id="rId21" o:title=""/>
            </v:shape>
            <v:rect style="position:absolute;left:1980;top:156;width:1072;height:612" filled="true" fillcolor="#ffffff" stroked="false">
              <v:fill type="solid"/>
            </v:rect>
            <v:rect style="position:absolute;left:1980;top:156;width:1072;height:612" filled="false" stroked="true" strokeweight=".75pt" strokecolor="#ffffff"/>
            <w10:wrap type="topAndBottom"/>
          </v:group>
        </w:pict>
      </w:r>
    </w:p>
    <w:p>
      <w:pPr>
        <w:pStyle w:val="BodyText"/>
        <w:rPr>
          <w:sz w:val="25"/>
        </w:rPr>
      </w:pPr>
    </w:p>
    <w:p>
      <w:pPr>
        <w:pStyle w:val="BodyText"/>
        <w:ind w:left="1643"/>
      </w:pPr>
      <w:r>
        <w:rPr>
          <w:b/>
        </w:rPr>
        <w:t>Figura 1.6 </w:t>
      </w:r>
      <w:r>
        <w:rPr/>
        <w:t>Modelo esquemático de una hoja de óxido de grafeno.</w:t>
      </w:r>
    </w:p>
    <w:p>
      <w:pPr>
        <w:pStyle w:val="BodyText"/>
      </w:pPr>
    </w:p>
    <w:p>
      <w:pPr>
        <w:pStyle w:val="BodyText"/>
        <w:spacing w:before="10"/>
        <w:rPr>
          <w:sz w:val="21"/>
        </w:rPr>
      </w:pPr>
    </w:p>
    <w:p>
      <w:pPr>
        <w:pStyle w:val="BodyText"/>
        <w:spacing w:line="360" w:lineRule="auto" w:before="1"/>
        <w:ind w:left="122" w:right="255" w:firstLine="283"/>
        <w:jc w:val="both"/>
      </w:pPr>
      <w:r>
        <w:rPr/>
        <w:t>La obtención de óxido de grafeno seguida de la funcionalización química facilita la dispersión y la estabilización de éste para prevenir la aglomeración [40]. La funcionalización del grafeno es particularmente atractiva, ya que puede mejorar la solubilidad y el adecuado procesamiento de los nanocompositos [41].</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57" w:firstLine="283"/>
        <w:jc w:val="both"/>
      </w:pPr>
      <w:r>
        <w:rPr/>
        <w:t>Se han obtenido dispersiones en tetrahidrofurano, tetracloruro de carbono y 1,2-dicloroetano a través de la conversión de los grupos carboxílicos en octadecilaminas que estabilizan estéricamente las hojas de grafeno. De manera similar, se ha llevado a cabo la síntesis de óxido de grafeno químicamente modificado con moléculas orgánicas a través de una aminación activada por agentes como el hidrocloruro de N-etil-N-(3-dimetilaminopropil) carbodiimida (EDAC) [42].</w:t>
      </w:r>
    </w:p>
    <w:p>
      <w:pPr>
        <w:pStyle w:val="BodyText"/>
      </w:pPr>
    </w:p>
    <w:p>
      <w:pPr>
        <w:pStyle w:val="BodyText"/>
        <w:spacing w:line="360" w:lineRule="auto" w:before="130"/>
        <w:ind w:left="122" w:right="256" w:firstLine="283"/>
        <w:jc w:val="both"/>
      </w:pPr>
      <w:r>
        <w:rPr/>
        <w:t>El tratamiento de óxido de grafeno con isocianatos orgánicos puede llevar a la derivatización de grupos carboxilo e hidroxilo para la formación grupos amidas o esteres de carbamato [43]. De igual forma, diferentes compuestos de alquil-litio o de diisocianato han sido usados para reducir el carácter hidrofóbico de las hojas de óxido de grafeno [37].</w:t>
      </w:r>
    </w:p>
    <w:p>
      <w:pPr>
        <w:pStyle w:val="BodyText"/>
      </w:pPr>
    </w:p>
    <w:p>
      <w:pPr>
        <w:pStyle w:val="BodyText"/>
        <w:spacing w:line="360" w:lineRule="auto" w:before="130"/>
        <w:ind w:left="122" w:right="257" w:firstLine="283"/>
        <w:jc w:val="both"/>
      </w:pPr>
      <w:r>
        <w:rPr/>
        <w:t>Por otra parte, las hojas del óxido de grafeno pueden ser funcionalizadas por apertura de anillo nucleofílica de los grupos epoxi en la superficie y los grupos amina de una molécula orgánica con grupos finales amino como el 3-amino-propiltrietoxisilano [38].</w:t>
      </w:r>
    </w:p>
    <w:p>
      <w:pPr>
        <w:pStyle w:val="BodyText"/>
      </w:pPr>
    </w:p>
    <w:p>
      <w:pPr>
        <w:pStyle w:val="BodyText"/>
        <w:spacing w:line="360" w:lineRule="auto" w:before="130"/>
        <w:ind w:left="122" w:right="255" w:firstLine="283"/>
        <w:jc w:val="both"/>
      </w:pPr>
      <w:r>
        <w:rPr/>
        <w:t>Comparada con la funcionalización covalente, la funcionalización no covalente basada en las fuerzas de Van der Waals o las interacciones del tipo  entre  el  óxido  de  grafeno  y  estabilizadores, no solo da un impacto menos negativo en la estructura del grafeno y sus derivados. Un ejemplo ha sido la absorción de biomoléculas a través de interacciónes Van der Waals, tales como ácido desoxirribonucleico, con el propósito de estabilizar soluciones acuosas de grafeno. La funcionalización no covalente a través de las interacciones π-π ha sido reportada a través de moléculas orgánicas solubles en agua, tales como el 1-pirinobiturato. Estos métodos representan  una estrategia para mejorar la solubilidad y conductividad electrónica de las hojas de grafeno funcionalizadas</w:t>
      </w:r>
      <w:r>
        <w:rPr>
          <w:spacing w:val="-4"/>
        </w:rPr>
        <w:t> </w:t>
      </w:r>
      <w:r>
        <w:rPr/>
        <w:t>[38].</w:t>
      </w:r>
    </w:p>
    <w:p>
      <w:pPr>
        <w:pStyle w:val="BodyText"/>
      </w:pPr>
    </w:p>
    <w:p>
      <w:pPr>
        <w:pStyle w:val="Heading4"/>
        <w:numPr>
          <w:ilvl w:val="3"/>
          <w:numId w:val="5"/>
        </w:numPr>
        <w:tabs>
          <w:tab w:pos="830" w:val="left" w:leader="none"/>
        </w:tabs>
        <w:spacing w:line="240" w:lineRule="auto" w:before="136" w:after="0"/>
        <w:ind w:left="830" w:right="0" w:hanging="720"/>
        <w:jc w:val="left"/>
      </w:pPr>
      <w:r>
        <w:rPr/>
        <w:t>Propiedades y</w:t>
      </w:r>
      <w:r>
        <w:rPr>
          <w:spacing w:val="-7"/>
        </w:rPr>
        <w:t> </w:t>
      </w:r>
      <w:r>
        <w:rPr/>
        <w:t>aplicaciones</w:t>
      </w:r>
    </w:p>
    <w:p>
      <w:pPr>
        <w:pStyle w:val="BodyText"/>
        <w:spacing w:line="360" w:lineRule="auto" w:before="124"/>
        <w:ind w:left="122" w:right="254" w:firstLine="283"/>
        <w:jc w:val="both"/>
      </w:pPr>
      <w:r>
        <w:rPr/>
        <w:t>El grafeno tiene propiedades remarcables, tales como alta conductividad térmica, propiedades mecánicas superiores y excelentes propiedades de transporte. Los valores reportados de rigidez son del orden de los 300-400 N/m, con resistencia al impacto de 42N/m [8]. El comportamiento de esfuerzo-fatiga en las hojas de grafeno y los SWNTs ha sido estudiado y los resultados son muy similares, se encontró que el módulo de Young es 1.01 TPa para las hojas de grafeno y 0.94-0.96 TPa para los SWNTs, en base a una hoja de carbono del mismo espesor (0.34m) [5]. Como se observa en la Tabla 1.2, aunque las propiedades mecánicas de los nanotubos son comparables a   las</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222" w:right="262"/>
        <w:jc w:val="both"/>
      </w:pPr>
      <w:r>
        <w:rPr/>
        <w:t>del grafeno, este material es mejor nanorefuerzo en algunos aspectos, tales como la conductividad térmica y eléctrica [8]. Estos resultados así como el bajo costo y facilidad de mezclar este material en matrices, hace que sea un candidato ideal para el refuerzo mecánico en compositos poliméricos.</w:t>
      </w:r>
    </w:p>
    <w:p>
      <w:pPr>
        <w:pStyle w:val="BodyText"/>
      </w:pPr>
    </w:p>
    <w:p>
      <w:pPr>
        <w:pStyle w:val="BodyText"/>
        <w:spacing w:before="130"/>
        <w:ind w:left="865"/>
      </w:pPr>
      <w:r>
        <w:rPr>
          <w:b/>
        </w:rPr>
        <w:t>Tabla 1.2 </w:t>
      </w:r>
      <w:r>
        <w:rPr/>
        <w:t>Propiedades del grafeno, CNTs, acero tamaño nanométrico y polímeros [8]</w:t>
      </w:r>
    </w:p>
    <w:p>
      <w:pPr>
        <w:pStyle w:val="BodyText"/>
        <w:rPr>
          <w:sz w:val="29"/>
        </w:rPr>
      </w:pPr>
    </w:p>
    <w:tbl>
      <w:tblPr>
        <w:tblW w:w="0" w:type="auto"/>
        <w:jc w:val="left"/>
        <w:tblInd w:w="11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204"/>
        <w:gridCol w:w="1824"/>
        <w:gridCol w:w="2785"/>
        <w:gridCol w:w="2167"/>
      </w:tblGrid>
      <w:tr>
        <w:trPr>
          <w:trHeight w:val="787" w:hRule="exact"/>
        </w:trPr>
        <w:tc>
          <w:tcPr>
            <w:tcW w:w="2204" w:type="dxa"/>
            <w:tcBorders>
              <w:left w:val="nil"/>
              <w:right w:val="nil"/>
            </w:tcBorders>
          </w:tcPr>
          <w:p>
            <w:pPr>
              <w:pStyle w:val="TableParagraph"/>
              <w:spacing w:before="188"/>
              <w:ind w:left="157" w:right="265"/>
              <w:rPr>
                <w:b/>
                <w:i/>
                <w:sz w:val="22"/>
              </w:rPr>
            </w:pPr>
            <w:r>
              <w:rPr>
                <w:b/>
                <w:i/>
                <w:sz w:val="22"/>
              </w:rPr>
              <w:t>Material</w:t>
            </w:r>
          </w:p>
        </w:tc>
        <w:tc>
          <w:tcPr>
            <w:tcW w:w="1824" w:type="dxa"/>
            <w:tcBorders>
              <w:left w:val="nil"/>
              <w:right w:val="nil"/>
            </w:tcBorders>
          </w:tcPr>
          <w:p>
            <w:pPr>
              <w:pStyle w:val="TableParagraph"/>
              <w:spacing w:before="188"/>
              <w:ind w:right="343"/>
              <w:jc w:val="right"/>
              <w:rPr>
                <w:b/>
                <w:i/>
                <w:sz w:val="22"/>
              </w:rPr>
            </w:pPr>
            <w:r>
              <w:rPr>
                <w:b/>
                <w:i/>
                <w:sz w:val="22"/>
              </w:rPr>
              <w:t>Fuerza tensil</w:t>
            </w:r>
          </w:p>
        </w:tc>
        <w:tc>
          <w:tcPr>
            <w:tcW w:w="2785" w:type="dxa"/>
            <w:tcBorders>
              <w:left w:val="nil"/>
              <w:right w:val="nil"/>
            </w:tcBorders>
          </w:tcPr>
          <w:p>
            <w:pPr>
              <w:pStyle w:val="TableParagraph"/>
              <w:spacing w:line="360" w:lineRule="auto"/>
              <w:ind w:left="731" w:right="361" w:hanging="387"/>
              <w:jc w:val="left"/>
              <w:rPr>
                <w:b/>
                <w:i/>
                <w:sz w:val="14"/>
              </w:rPr>
            </w:pPr>
            <w:r>
              <w:rPr>
                <w:b/>
                <w:i/>
                <w:sz w:val="22"/>
              </w:rPr>
              <w:t>Conductividad térmica </w:t>
            </w:r>
            <w:r>
              <w:rPr>
                <w:b/>
                <w:i/>
                <w:sz w:val="22"/>
              </w:rPr>
              <w:t>(W/mk) a T</w:t>
            </w:r>
            <w:r>
              <w:rPr>
                <w:b/>
                <w:i/>
                <w:position w:val="-2"/>
                <w:sz w:val="14"/>
              </w:rPr>
              <w:t>amb</w:t>
            </w:r>
          </w:p>
        </w:tc>
        <w:tc>
          <w:tcPr>
            <w:tcW w:w="2167" w:type="dxa"/>
            <w:tcBorders>
              <w:left w:val="nil"/>
              <w:right w:val="nil"/>
            </w:tcBorders>
          </w:tcPr>
          <w:p>
            <w:pPr>
              <w:pStyle w:val="TableParagraph"/>
              <w:spacing w:line="360" w:lineRule="auto"/>
              <w:ind w:left="378" w:right="443" w:firstLine="2"/>
              <w:jc w:val="left"/>
              <w:rPr>
                <w:b/>
                <w:i/>
                <w:sz w:val="22"/>
              </w:rPr>
            </w:pPr>
            <w:r>
              <w:rPr>
                <w:b/>
                <w:i/>
                <w:sz w:val="22"/>
              </w:rPr>
              <w:t>Conductividad </w:t>
            </w:r>
            <w:r>
              <w:rPr>
                <w:b/>
                <w:i/>
                <w:sz w:val="22"/>
              </w:rPr>
              <w:t>eléctrica (S/m)</w:t>
            </w:r>
          </w:p>
        </w:tc>
      </w:tr>
      <w:tr>
        <w:trPr>
          <w:trHeight w:val="341" w:hRule="exact"/>
        </w:trPr>
        <w:tc>
          <w:tcPr>
            <w:tcW w:w="2204" w:type="dxa"/>
            <w:tcBorders>
              <w:left w:val="nil"/>
              <w:bottom w:val="nil"/>
              <w:right w:val="nil"/>
            </w:tcBorders>
          </w:tcPr>
          <w:p>
            <w:pPr>
              <w:pStyle w:val="TableParagraph"/>
              <w:spacing w:before="1"/>
              <w:ind w:left="157" w:right="264"/>
              <w:rPr>
                <w:b/>
                <w:i/>
                <w:sz w:val="22"/>
              </w:rPr>
            </w:pPr>
            <w:r>
              <w:rPr>
                <w:b/>
                <w:i/>
                <w:sz w:val="22"/>
              </w:rPr>
              <w:t>Grafeno</w:t>
            </w:r>
          </w:p>
        </w:tc>
        <w:tc>
          <w:tcPr>
            <w:tcW w:w="1824" w:type="dxa"/>
            <w:tcBorders>
              <w:left w:val="nil"/>
              <w:bottom w:val="nil"/>
              <w:right w:val="nil"/>
            </w:tcBorders>
          </w:tcPr>
          <w:p>
            <w:pPr>
              <w:pStyle w:val="TableParagraph"/>
              <w:spacing w:line="249" w:lineRule="exact"/>
              <w:ind w:right="387"/>
              <w:jc w:val="right"/>
              <w:rPr>
                <w:sz w:val="22"/>
              </w:rPr>
            </w:pPr>
            <w:r>
              <w:rPr>
                <w:sz w:val="22"/>
              </w:rPr>
              <w:t>130±10 GPa</w:t>
            </w:r>
          </w:p>
        </w:tc>
        <w:tc>
          <w:tcPr>
            <w:tcW w:w="2785" w:type="dxa"/>
            <w:tcBorders>
              <w:left w:val="nil"/>
              <w:bottom w:val="nil"/>
              <w:right w:val="nil"/>
            </w:tcBorders>
          </w:tcPr>
          <w:p>
            <w:pPr>
              <w:pStyle w:val="TableParagraph"/>
              <w:spacing w:line="249" w:lineRule="exact"/>
              <w:ind w:left="462" w:right="489"/>
              <w:rPr>
                <w:sz w:val="14"/>
              </w:rPr>
            </w:pPr>
            <w:r>
              <w:rPr>
                <w:sz w:val="22"/>
              </w:rPr>
              <w:t>4.84x10</w:t>
            </w:r>
            <w:r>
              <w:rPr>
                <w:position w:val="10"/>
                <w:sz w:val="14"/>
              </w:rPr>
              <w:t>3  </w:t>
            </w:r>
            <w:r>
              <w:rPr>
                <w:sz w:val="22"/>
              </w:rPr>
              <w:t>a 5.30x10</w:t>
            </w:r>
            <w:r>
              <w:rPr>
                <w:position w:val="10"/>
                <w:sz w:val="14"/>
              </w:rPr>
              <w:t>3</w:t>
            </w:r>
          </w:p>
        </w:tc>
        <w:tc>
          <w:tcPr>
            <w:tcW w:w="2167" w:type="dxa"/>
            <w:tcBorders>
              <w:left w:val="nil"/>
              <w:bottom w:val="nil"/>
              <w:right w:val="nil"/>
            </w:tcBorders>
          </w:tcPr>
          <w:p>
            <w:pPr>
              <w:pStyle w:val="TableParagraph"/>
              <w:spacing w:line="249" w:lineRule="exact"/>
              <w:ind w:left="546" w:right="624"/>
              <w:rPr>
                <w:sz w:val="22"/>
              </w:rPr>
            </w:pPr>
            <w:r>
              <w:rPr>
                <w:sz w:val="22"/>
              </w:rPr>
              <w:t>7200</w:t>
            </w:r>
          </w:p>
        </w:tc>
      </w:tr>
      <w:tr>
        <w:trPr>
          <w:trHeight w:val="362" w:hRule="exact"/>
        </w:trPr>
        <w:tc>
          <w:tcPr>
            <w:tcW w:w="2204" w:type="dxa"/>
            <w:tcBorders>
              <w:top w:val="nil"/>
              <w:left w:val="nil"/>
              <w:bottom w:val="nil"/>
              <w:right w:val="nil"/>
            </w:tcBorders>
          </w:tcPr>
          <w:p>
            <w:pPr>
              <w:pStyle w:val="TableParagraph"/>
              <w:spacing w:before="54"/>
              <w:ind w:left="153" w:right="265"/>
              <w:rPr>
                <w:b/>
                <w:i/>
                <w:sz w:val="22"/>
              </w:rPr>
            </w:pPr>
            <w:r>
              <w:rPr>
                <w:b/>
                <w:i/>
                <w:sz w:val="22"/>
              </w:rPr>
              <w:t>CNTs</w:t>
            </w:r>
          </w:p>
        </w:tc>
        <w:tc>
          <w:tcPr>
            <w:tcW w:w="1824" w:type="dxa"/>
            <w:tcBorders>
              <w:top w:val="nil"/>
              <w:left w:val="nil"/>
              <w:bottom w:val="nil"/>
              <w:right w:val="nil"/>
            </w:tcBorders>
          </w:tcPr>
          <w:p>
            <w:pPr>
              <w:pStyle w:val="TableParagraph"/>
              <w:spacing w:before="49"/>
              <w:ind w:right="413"/>
              <w:jc w:val="right"/>
              <w:rPr>
                <w:sz w:val="22"/>
              </w:rPr>
            </w:pPr>
            <w:r>
              <w:rPr>
                <w:sz w:val="22"/>
              </w:rPr>
              <w:t>60-150 GPa</w:t>
            </w:r>
          </w:p>
        </w:tc>
        <w:tc>
          <w:tcPr>
            <w:tcW w:w="2785" w:type="dxa"/>
            <w:tcBorders>
              <w:top w:val="nil"/>
              <w:left w:val="nil"/>
              <w:bottom w:val="nil"/>
              <w:right w:val="nil"/>
            </w:tcBorders>
          </w:tcPr>
          <w:p>
            <w:pPr>
              <w:pStyle w:val="TableParagraph"/>
              <w:spacing w:before="49"/>
              <w:ind w:left="462" w:right="489"/>
              <w:rPr>
                <w:sz w:val="22"/>
              </w:rPr>
            </w:pPr>
            <w:r>
              <w:rPr>
                <w:sz w:val="22"/>
              </w:rPr>
              <w:t>3500</w:t>
            </w:r>
          </w:p>
        </w:tc>
        <w:tc>
          <w:tcPr>
            <w:tcW w:w="2167" w:type="dxa"/>
            <w:tcBorders>
              <w:top w:val="nil"/>
              <w:left w:val="nil"/>
              <w:bottom w:val="nil"/>
              <w:right w:val="nil"/>
            </w:tcBorders>
          </w:tcPr>
          <w:p>
            <w:pPr>
              <w:pStyle w:val="TableParagraph"/>
              <w:spacing w:before="49"/>
              <w:ind w:left="546" w:right="627"/>
              <w:rPr>
                <w:sz w:val="22"/>
              </w:rPr>
            </w:pPr>
            <w:r>
              <w:rPr>
                <w:sz w:val="22"/>
              </w:rPr>
              <w:t>3000-4000</w:t>
            </w:r>
          </w:p>
        </w:tc>
      </w:tr>
      <w:tr>
        <w:trPr>
          <w:trHeight w:val="397" w:hRule="exact"/>
        </w:trPr>
        <w:tc>
          <w:tcPr>
            <w:tcW w:w="2204" w:type="dxa"/>
            <w:tcBorders>
              <w:top w:val="nil"/>
              <w:left w:val="nil"/>
              <w:bottom w:val="nil"/>
              <w:right w:val="nil"/>
            </w:tcBorders>
          </w:tcPr>
          <w:p>
            <w:pPr>
              <w:pStyle w:val="TableParagraph"/>
              <w:spacing w:before="71"/>
              <w:ind w:left="157" w:right="265"/>
              <w:rPr>
                <w:b/>
                <w:i/>
                <w:sz w:val="22"/>
              </w:rPr>
            </w:pPr>
            <w:r>
              <w:rPr>
                <w:b/>
                <w:i/>
                <w:sz w:val="22"/>
              </w:rPr>
              <w:t>Acero nanométrico</w:t>
            </w:r>
          </w:p>
        </w:tc>
        <w:tc>
          <w:tcPr>
            <w:tcW w:w="1824" w:type="dxa"/>
            <w:tcBorders>
              <w:top w:val="nil"/>
              <w:left w:val="nil"/>
              <w:bottom w:val="nil"/>
              <w:right w:val="nil"/>
            </w:tcBorders>
          </w:tcPr>
          <w:p>
            <w:pPr>
              <w:pStyle w:val="TableParagraph"/>
              <w:spacing w:before="66"/>
              <w:ind w:left="426"/>
              <w:jc w:val="left"/>
              <w:rPr>
                <w:sz w:val="22"/>
              </w:rPr>
            </w:pPr>
            <w:r>
              <w:rPr>
                <w:sz w:val="22"/>
              </w:rPr>
              <w:t>1769 MPa</w:t>
            </w:r>
          </w:p>
        </w:tc>
        <w:tc>
          <w:tcPr>
            <w:tcW w:w="2785" w:type="dxa"/>
            <w:tcBorders>
              <w:top w:val="nil"/>
              <w:left w:val="nil"/>
              <w:bottom w:val="nil"/>
              <w:right w:val="nil"/>
            </w:tcBorders>
          </w:tcPr>
          <w:p>
            <w:pPr>
              <w:pStyle w:val="TableParagraph"/>
              <w:spacing w:before="66"/>
              <w:ind w:left="455" w:right="489"/>
              <w:rPr>
                <w:sz w:val="22"/>
              </w:rPr>
            </w:pPr>
            <w:r>
              <w:rPr>
                <w:sz w:val="22"/>
              </w:rPr>
              <w:t>5-6</w:t>
            </w:r>
          </w:p>
        </w:tc>
        <w:tc>
          <w:tcPr>
            <w:tcW w:w="2167" w:type="dxa"/>
            <w:tcBorders>
              <w:top w:val="nil"/>
              <w:left w:val="nil"/>
              <w:bottom w:val="nil"/>
              <w:right w:val="nil"/>
            </w:tcBorders>
          </w:tcPr>
          <w:p>
            <w:pPr>
              <w:pStyle w:val="TableParagraph"/>
              <w:spacing w:before="41"/>
              <w:ind w:left="546" w:right="623"/>
              <w:rPr>
                <w:sz w:val="14"/>
              </w:rPr>
            </w:pPr>
            <w:r>
              <w:rPr>
                <w:sz w:val="22"/>
              </w:rPr>
              <w:t>1.35x10</w:t>
            </w:r>
            <w:r>
              <w:rPr>
                <w:position w:val="10"/>
                <w:sz w:val="14"/>
              </w:rPr>
              <w:t>5</w:t>
            </w:r>
          </w:p>
        </w:tc>
      </w:tr>
      <w:tr>
        <w:trPr>
          <w:trHeight w:val="379" w:hRule="exact"/>
        </w:trPr>
        <w:tc>
          <w:tcPr>
            <w:tcW w:w="2204" w:type="dxa"/>
            <w:tcBorders>
              <w:top w:val="nil"/>
              <w:left w:val="nil"/>
              <w:bottom w:val="nil"/>
              <w:right w:val="nil"/>
            </w:tcBorders>
          </w:tcPr>
          <w:p>
            <w:pPr>
              <w:pStyle w:val="TableParagraph"/>
              <w:spacing w:before="54"/>
              <w:ind w:left="155" w:right="265"/>
              <w:rPr>
                <w:b/>
                <w:i/>
                <w:sz w:val="22"/>
              </w:rPr>
            </w:pPr>
            <w:r>
              <w:rPr>
                <w:b/>
                <w:i/>
                <w:sz w:val="22"/>
              </w:rPr>
              <w:t>HDPE</w:t>
            </w:r>
          </w:p>
        </w:tc>
        <w:tc>
          <w:tcPr>
            <w:tcW w:w="1824" w:type="dxa"/>
            <w:tcBorders>
              <w:top w:val="nil"/>
              <w:left w:val="nil"/>
              <w:bottom w:val="nil"/>
              <w:right w:val="nil"/>
            </w:tcBorders>
          </w:tcPr>
          <w:p>
            <w:pPr>
              <w:pStyle w:val="TableParagraph"/>
              <w:spacing w:before="49"/>
              <w:ind w:right="450"/>
              <w:jc w:val="right"/>
              <w:rPr>
                <w:sz w:val="22"/>
              </w:rPr>
            </w:pPr>
            <w:r>
              <w:rPr>
                <w:sz w:val="22"/>
              </w:rPr>
              <w:t>18-20 MPa</w:t>
            </w:r>
          </w:p>
        </w:tc>
        <w:tc>
          <w:tcPr>
            <w:tcW w:w="2785" w:type="dxa"/>
            <w:tcBorders>
              <w:top w:val="nil"/>
              <w:left w:val="nil"/>
              <w:bottom w:val="nil"/>
              <w:right w:val="nil"/>
            </w:tcBorders>
          </w:tcPr>
          <w:p>
            <w:pPr>
              <w:pStyle w:val="TableParagraph"/>
              <w:spacing w:before="49"/>
              <w:ind w:left="459" w:right="489"/>
              <w:rPr>
                <w:sz w:val="22"/>
              </w:rPr>
            </w:pPr>
            <w:r>
              <w:rPr>
                <w:sz w:val="22"/>
              </w:rPr>
              <w:t>0.46-0.52</w:t>
            </w:r>
          </w:p>
        </w:tc>
        <w:tc>
          <w:tcPr>
            <w:tcW w:w="2167" w:type="dxa"/>
            <w:tcBorders>
              <w:top w:val="nil"/>
              <w:left w:val="nil"/>
              <w:bottom w:val="nil"/>
              <w:right w:val="nil"/>
            </w:tcBorders>
          </w:tcPr>
          <w:p>
            <w:pPr>
              <w:pStyle w:val="TableParagraph"/>
              <w:spacing w:before="49"/>
              <w:ind w:left="546" w:right="627"/>
              <w:rPr>
                <w:sz w:val="22"/>
              </w:rPr>
            </w:pPr>
            <w:r>
              <w:rPr>
                <w:sz w:val="22"/>
              </w:rPr>
              <w:t>Aislante</w:t>
            </w:r>
          </w:p>
        </w:tc>
      </w:tr>
      <w:tr>
        <w:trPr>
          <w:trHeight w:val="379" w:hRule="exact"/>
        </w:trPr>
        <w:tc>
          <w:tcPr>
            <w:tcW w:w="2204" w:type="dxa"/>
            <w:tcBorders>
              <w:top w:val="nil"/>
              <w:left w:val="nil"/>
              <w:bottom w:val="nil"/>
              <w:right w:val="nil"/>
            </w:tcBorders>
          </w:tcPr>
          <w:p>
            <w:pPr>
              <w:pStyle w:val="TableParagraph"/>
              <w:spacing w:before="54"/>
              <w:ind w:left="156" w:right="265"/>
              <w:rPr>
                <w:b/>
                <w:i/>
                <w:sz w:val="22"/>
              </w:rPr>
            </w:pPr>
            <w:r>
              <w:rPr>
                <w:b/>
                <w:i/>
                <w:sz w:val="22"/>
              </w:rPr>
              <w:t>Hule natural</w:t>
            </w:r>
          </w:p>
        </w:tc>
        <w:tc>
          <w:tcPr>
            <w:tcW w:w="1824" w:type="dxa"/>
            <w:tcBorders>
              <w:top w:val="nil"/>
              <w:left w:val="nil"/>
              <w:bottom w:val="nil"/>
              <w:right w:val="nil"/>
            </w:tcBorders>
          </w:tcPr>
          <w:p>
            <w:pPr>
              <w:pStyle w:val="TableParagraph"/>
              <w:spacing w:before="49"/>
              <w:ind w:right="450"/>
              <w:jc w:val="right"/>
              <w:rPr>
                <w:sz w:val="22"/>
              </w:rPr>
            </w:pPr>
            <w:r>
              <w:rPr>
                <w:sz w:val="22"/>
              </w:rPr>
              <w:t>20-30 MPa</w:t>
            </w:r>
          </w:p>
        </w:tc>
        <w:tc>
          <w:tcPr>
            <w:tcW w:w="2785" w:type="dxa"/>
            <w:tcBorders>
              <w:top w:val="nil"/>
              <w:left w:val="nil"/>
              <w:bottom w:val="nil"/>
              <w:right w:val="nil"/>
            </w:tcBorders>
          </w:tcPr>
          <w:p>
            <w:pPr>
              <w:pStyle w:val="TableParagraph"/>
              <w:spacing w:before="49"/>
              <w:ind w:left="459" w:right="489"/>
              <w:rPr>
                <w:sz w:val="22"/>
              </w:rPr>
            </w:pPr>
            <w:r>
              <w:rPr>
                <w:sz w:val="22"/>
              </w:rPr>
              <w:t>0.13-0.142</w:t>
            </w:r>
          </w:p>
        </w:tc>
        <w:tc>
          <w:tcPr>
            <w:tcW w:w="2167" w:type="dxa"/>
            <w:tcBorders>
              <w:top w:val="nil"/>
              <w:left w:val="nil"/>
              <w:bottom w:val="nil"/>
              <w:right w:val="nil"/>
            </w:tcBorders>
          </w:tcPr>
          <w:p>
            <w:pPr>
              <w:pStyle w:val="TableParagraph"/>
              <w:spacing w:before="49"/>
              <w:ind w:left="546" w:right="627"/>
              <w:rPr>
                <w:sz w:val="22"/>
              </w:rPr>
            </w:pPr>
            <w:r>
              <w:rPr>
                <w:sz w:val="22"/>
              </w:rPr>
              <w:t>Aislante</w:t>
            </w:r>
          </w:p>
        </w:tc>
      </w:tr>
      <w:tr>
        <w:trPr>
          <w:trHeight w:val="451" w:hRule="exact"/>
        </w:trPr>
        <w:tc>
          <w:tcPr>
            <w:tcW w:w="2204" w:type="dxa"/>
            <w:tcBorders>
              <w:top w:val="nil"/>
              <w:left w:val="nil"/>
              <w:right w:val="nil"/>
            </w:tcBorders>
          </w:tcPr>
          <w:p>
            <w:pPr>
              <w:pStyle w:val="TableParagraph"/>
              <w:spacing w:before="54"/>
              <w:ind w:left="156" w:right="265"/>
              <w:rPr>
                <w:b/>
                <w:i/>
                <w:sz w:val="22"/>
              </w:rPr>
            </w:pPr>
            <w:r>
              <w:rPr>
                <w:b/>
                <w:i/>
                <w:sz w:val="22"/>
              </w:rPr>
              <w:t>Kevlar</w:t>
            </w:r>
          </w:p>
        </w:tc>
        <w:tc>
          <w:tcPr>
            <w:tcW w:w="1824" w:type="dxa"/>
            <w:tcBorders>
              <w:top w:val="nil"/>
              <w:left w:val="nil"/>
              <w:right w:val="nil"/>
            </w:tcBorders>
          </w:tcPr>
          <w:p>
            <w:pPr>
              <w:pStyle w:val="TableParagraph"/>
              <w:spacing w:before="49"/>
              <w:ind w:left="426"/>
              <w:jc w:val="left"/>
              <w:rPr>
                <w:sz w:val="22"/>
              </w:rPr>
            </w:pPr>
            <w:r>
              <w:rPr>
                <w:sz w:val="22"/>
              </w:rPr>
              <w:t>3620 MPa</w:t>
            </w:r>
          </w:p>
        </w:tc>
        <w:tc>
          <w:tcPr>
            <w:tcW w:w="2785" w:type="dxa"/>
            <w:tcBorders>
              <w:top w:val="nil"/>
              <w:left w:val="nil"/>
              <w:right w:val="nil"/>
            </w:tcBorders>
          </w:tcPr>
          <w:p>
            <w:pPr>
              <w:pStyle w:val="TableParagraph"/>
              <w:spacing w:before="49"/>
              <w:ind w:left="460" w:right="489"/>
              <w:rPr>
                <w:sz w:val="22"/>
              </w:rPr>
            </w:pPr>
            <w:r>
              <w:rPr>
                <w:sz w:val="22"/>
              </w:rPr>
              <w:t>0.04</w:t>
            </w:r>
          </w:p>
        </w:tc>
        <w:tc>
          <w:tcPr>
            <w:tcW w:w="2167" w:type="dxa"/>
            <w:tcBorders>
              <w:top w:val="nil"/>
              <w:left w:val="nil"/>
              <w:right w:val="nil"/>
            </w:tcBorders>
          </w:tcPr>
          <w:p>
            <w:pPr>
              <w:pStyle w:val="TableParagraph"/>
              <w:spacing w:before="49"/>
              <w:ind w:left="546" w:right="627"/>
              <w:rPr>
                <w:sz w:val="22"/>
              </w:rPr>
            </w:pPr>
            <w:r>
              <w:rPr>
                <w:sz w:val="22"/>
              </w:rPr>
              <w:t>Aislante</w:t>
            </w:r>
          </w:p>
        </w:tc>
      </w:tr>
    </w:tbl>
    <w:p>
      <w:pPr>
        <w:pStyle w:val="BodyText"/>
        <w:spacing w:before="1"/>
        <w:rPr>
          <w:sz w:val="26"/>
        </w:rPr>
      </w:pPr>
    </w:p>
    <w:p>
      <w:pPr>
        <w:pStyle w:val="BodyText"/>
        <w:spacing w:line="357" w:lineRule="auto" w:before="73"/>
        <w:ind w:left="222" w:right="256" w:firstLine="427"/>
        <w:jc w:val="both"/>
      </w:pPr>
      <w:r>
        <w:rPr/>
        <w:t>La alta movilidad de electrones en el grafeno a temperatura ambiente, la cual excede los 2000 cm</w:t>
      </w:r>
      <w:r>
        <w:rPr>
          <w:position w:val="10"/>
          <w:sz w:val="14"/>
        </w:rPr>
        <w:t>2</w:t>
      </w:r>
      <w:r>
        <w:rPr/>
        <w:t>/V ha ofrecido un acceso inmediato a un efecto cuántico Hall inusual. Dicho efecto se da al aplicar un campo magnético perpendicular al movimiento de las cargas de un conductor por el que circula una corriente. Lo cual provoca una separación de cargas que da lugar a un campo eléctrico en el interior del conductor. Además las observaciones simultáneas de alta movilidad, sensibilidad al efecto de campo y extensión lateral grande, ha convertido al grafeno en una alternativa de los CNTs para los equipos con transistores de efecto de campo [16]. Asimismo, la transparencia del grafeno, le proporciona una característica óptica que aunada a su excelente conductividad promete ser un remplazo para el óxido de indio dopado con estaño, que es un material caro y que domina en las aplicaciones conductoras transparentes</w:t>
      </w:r>
      <w:r>
        <w:rPr>
          <w:spacing w:val="-12"/>
        </w:rPr>
        <w:t> </w:t>
      </w:r>
      <w:r>
        <w:rPr/>
        <w:t>[38].</w:t>
      </w:r>
    </w:p>
    <w:p>
      <w:pPr>
        <w:pStyle w:val="BodyText"/>
      </w:pPr>
    </w:p>
    <w:p>
      <w:pPr>
        <w:pStyle w:val="BodyText"/>
        <w:spacing w:line="360" w:lineRule="auto" w:before="133"/>
        <w:ind w:left="222" w:right="256" w:firstLine="427"/>
        <w:jc w:val="both"/>
      </w:pPr>
      <w:r>
        <w:rPr/>
        <w:t>Las propiedades mencionadas anteriormente, han generado un enorme interés para su posible implementación en miles de dispositivos. Estos incluyen las futuras generaciones de equipos de radio frecuencia lógica de alta velocidad, nanocompositos conductores térmica y eléctricamente, circuitos electrónicos, sensores, electrodos flexibles y transparentes  y celdas solares [44].</w:t>
      </w:r>
    </w:p>
    <w:p>
      <w:pPr>
        <w:spacing w:after="0" w:line="360" w:lineRule="auto"/>
        <w:jc w:val="both"/>
        <w:sectPr>
          <w:pgSz w:w="12240" w:h="15840"/>
          <w:pgMar w:header="730" w:footer="1062" w:top="1160" w:bottom="1260" w:left="1480" w:right="1440"/>
        </w:sectPr>
      </w:pPr>
    </w:p>
    <w:p>
      <w:pPr>
        <w:pStyle w:val="BodyText"/>
        <w:spacing w:before="7"/>
        <w:rPr>
          <w:sz w:val="21"/>
        </w:rPr>
      </w:pPr>
    </w:p>
    <w:p>
      <w:pPr>
        <w:pStyle w:val="Heading4"/>
        <w:numPr>
          <w:ilvl w:val="1"/>
          <w:numId w:val="6"/>
        </w:numPr>
        <w:tabs>
          <w:tab w:pos="669" w:val="left" w:leader="none"/>
          <w:tab w:pos="670" w:val="left" w:leader="none"/>
        </w:tabs>
        <w:spacing w:line="240" w:lineRule="auto" w:before="72" w:after="0"/>
        <w:ind w:left="669" w:right="0" w:hanging="569"/>
        <w:jc w:val="left"/>
      </w:pPr>
      <w:r>
        <w:rPr/>
        <w:t>Polímeros</w:t>
      </w:r>
    </w:p>
    <w:p>
      <w:pPr>
        <w:pStyle w:val="BodyText"/>
        <w:spacing w:line="360" w:lineRule="auto" w:before="121"/>
        <w:ind w:left="242" w:right="258" w:firstLine="283"/>
        <w:jc w:val="both"/>
      </w:pPr>
      <w:r>
        <w:rPr/>
        <w:t>La ciencia macromolecular se enfoca a la creación, entendimiento y manejo de los polímeros, los cuales están formados a partir de moléculas de alto peso molecular y cuya estructura se caracteriza por la repetición de unidades de bajo peso molecular llamadas monómeros [45]. Los polímeros son indispensables para una gran variedad de aplicaciones.</w:t>
      </w:r>
    </w:p>
    <w:p>
      <w:pPr>
        <w:pStyle w:val="BodyText"/>
      </w:pPr>
    </w:p>
    <w:p>
      <w:pPr>
        <w:pStyle w:val="BodyText"/>
        <w:spacing w:line="360" w:lineRule="auto" w:before="130"/>
        <w:ind w:left="242" w:right="255" w:firstLine="283"/>
        <w:jc w:val="both"/>
      </w:pPr>
      <w:r>
        <w:rPr/>
        <w:t>En la mayoría de los casos, estos compuestos representan cadenas lineales muy largas, sin embargo pueden tener arreglos cíclicos, ramificados, entrecruzados o arquitecturas dendríticas. Debido a que su masa molar es alta, estas macromoléculas muestran propiedades particulares que  no son observadas en ninguna otra clase de materiales .Los polímeros pueden ser clasificados de acuerdo a diferentes criterios. Una clasificación general de los polímeros de acuerdo a su origen se da en la Tabla 1.3, en donde se encuentran los termoplásticos. Estos son la forma más simple de los polímeros, debido a su alto grado de libertad en la estructura de la molécula los termoplásticos se suavizan a medida que la temperatura aumenta, y pueden recuperar su forma original cuando son enfriados</w:t>
      </w:r>
      <w:r>
        <w:rPr>
          <w:spacing w:val="-1"/>
        </w:rPr>
        <w:t> </w:t>
      </w:r>
      <w:r>
        <w:rPr/>
        <w:t>[46].</w:t>
      </w:r>
    </w:p>
    <w:p>
      <w:pPr>
        <w:pStyle w:val="BodyText"/>
      </w:pPr>
    </w:p>
    <w:p>
      <w:pPr>
        <w:pStyle w:val="BodyText"/>
        <w:spacing w:before="130"/>
        <w:ind w:left="1667"/>
      </w:pPr>
      <w:r>
        <w:rPr>
          <w:b/>
        </w:rPr>
        <w:t>Tabla 1.3 </w:t>
      </w:r>
      <w:r>
        <w:rPr/>
        <w:t>Clasificación de los polímeros naturales y sintéticos [43].</w:t>
      </w:r>
    </w:p>
    <w:p>
      <w:pPr>
        <w:pStyle w:val="BodyText"/>
        <w:spacing w:before="7"/>
        <w:rPr>
          <w:sz w:val="25"/>
        </w:rPr>
      </w:pPr>
      <w:r>
        <w:rPr/>
        <w:pict>
          <v:group style="position:absolute;margin-left:152.895004pt;margin-top:16.715614pt;width:306.3pt;height:1.45pt;mso-position-horizontal-relative:page;mso-position-vertical-relative:paragraph;z-index:1336;mso-wrap-distance-left:0;mso-wrap-distance-right:0" coordorigin="3058,334" coordsize="6126,29">
            <v:line style="position:absolute" from="3072,349" to="4350,349" stroked="true" strokeweight="1.44pt" strokecolor="#000000"/>
            <v:line style="position:absolute" from="4350,349" to="4379,349" stroked="true" strokeweight="1.44pt" strokecolor="#000000"/>
            <v:line style="position:absolute" from="4379,349" to="5766,349" stroked="true" strokeweight="1.44pt" strokecolor="#000000"/>
            <v:line style="position:absolute" from="5766,349" to="5795,349" stroked="true" strokeweight="1.44pt" strokecolor="#000000"/>
            <v:line style="position:absolute" from="5795,349" to="9169,349" stroked="true" strokeweight="1.44pt" strokecolor="#000000"/>
            <w10:wrap type="topAndBottom"/>
          </v:group>
        </w:pict>
      </w:r>
    </w:p>
    <w:p>
      <w:pPr>
        <w:pStyle w:val="Heading5"/>
        <w:tabs>
          <w:tab w:pos="5671" w:val="left" w:leader="none"/>
        </w:tabs>
        <w:spacing w:after="128"/>
        <w:ind w:left="3278"/>
        <w:rPr>
          <w:i/>
        </w:rPr>
      </w:pPr>
      <w:r>
        <w:rPr>
          <w:i/>
        </w:rPr>
        <w:t>Origen</w:t>
        <w:tab/>
        <w:t>Grupos</w:t>
      </w:r>
    </w:p>
    <w:p>
      <w:pPr>
        <w:pStyle w:val="BodyText"/>
        <w:spacing w:line="29" w:lineRule="exact"/>
        <w:ind w:left="1597"/>
        <w:rPr>
          <w:sz w:val="2"/>
        </w:rPr>
      </w:pPr>
      <w:r>
        <w:rPr>
          <w:position w:val="0"/>
          <w:sz w:val="2"/>
        </w:rPr>
        <w:pict>
          <v:group style="width:306.3pt;height:1.45pt;mso-position-horizontal-relative:char;mso-position-vertical-relative:line" coordorigin="0,0" coordsize="6126,29">
            <v:line style="position:absolute" from="15,15" to="1292,15" stroked="true" strokeweight="1.44pt" strokecolor="#000000"/>
            <v:line style="position:absolute" from="1292,15" to="1321,15" stroked="true" strokeweight="1.44pt" strokecolor="#000000"/>
            <v:line style="position:absolute" from="1321,15" to="2708,15" stroked="true" strokeweight="1.44pt" strokecolor="#000000"/>
            <v:line style="position:absolute" from="2708,15" to="2737,15" stroked="true" strokeweight="1.44pt" strokecolor="#000000"/>
            <v:line style="position:absolute" from="2737,15" to="6112,15" stroked="true" strokeweight="1.44pt" strokecolor="#000000"/>
          </v:group>
        </w:pict>
      </w:r>
      <w:r>
        <w:rPr>
          <w:position w:val="0"/>
          <w:sz w:val="2"/>
        </w:rPr>
      </w:r>
    </w:p>
    <w:p>
      <w:pPr>
        <w:pStyle w:val="BodyText"/>
        <w:spacing w:line="360" w:lineRule="auto"/>
        <w:ind w:left="5328" w:right="2278" w:hanging="358"/>
      </w:pPr>
      <w:r>
        <w:rPr/>
        <w:t>Polipéptidos, proteínas, polinucleotidos</w:t>
      </w:r>
    </w:p>
    <w:p>
      <w:pPr>
        <w:spacing w:after="0" w:line="360" w:lineRule="auto"/>
        <w:sectPr>
          <w:pgSz w:w="12240" w:h="15840"/>
          <w:pgMar w:header="730" w:footer="1062" w:top="1160" w:bottom="1260" w:left="1460" w:right="1440"/>
        </w:sectPr>
      </w:pPr>
    </w:p>
    <w:p>
      <w:pPr>
        <w:pStyle w:val="BodyText"/>
      </w:pPr>
    </w:p>
    <w:p>
      <w:pPr>
        <w:pStyle w:val="BodyText"/>
      </w:pPr>
    </w:p>
    <w:p>
      <w:pPr>
        <w:pStyle w:val="Heading5"/>
        <w:spacing w:before="163"/>
        <w:ind w:left="1790" w:right="-18"/>
        <w:rPr>
          <w:i/>
        </w:rPr>
      </w:pPr>
      <w:r>
        <w:rPr>
          <w:i/>
        </w:rPr>
        <w:t>Polímeros</w:t>
      </w:r>
    </w:p>
    <w:p>
      <w:pPr>
        <w:spacing w:before="50"/>
        <w:ind w:left="420" w:right="-17" w:hanging="8"/>
        <w:jc w:val="left"/>
        <w:rPr>
          <w:i/>
          <w:sz w:val="22"/>
        </w:rPr>
      </w:pPr>
      <w:r>
        <w:rPr/>
        <w:br w:type="column"/>
      </w:r>
      <w:r>
        <w:rPr>
          <w:i/>
          <w:sz w:val="22"/>
        </w:rPr>
        <w:t>Naturales</w:t>
      </w:r>
    </w:p>
    <w:p>
      <w:pPr>
        <w:pStyle w:val="BodyText"/>
        <w:rPr>
          <w:i/>
        </w:rPr>
      </w:pPr>
    </w:p>
    <w:p>
      <w:pPr>
        <w:pStyle w:val="BodyText"/>
        <w:rPr>
          <w:i/>
        </w:rPr>
      </w:pPr>
    </w:p>
    <w:p>
      <w:pPr>
        <w:pStyle w:val="BodyText"/>
        <w:rPr>
          <w:i/>
        </w:rPr>
      </w:pPr>
    </w:p>
    <w:p>
      <w:pPr>
        <w:pStyle w:val="BodyText"/>
        <w:rPr>
          <w:i/>
        </w:rPr>
      </w:pPr>
    </w:p>
    <w:p>
      <w:pPr>
        <w:pStyle w:val="BodyText"/>
        <w:spacing w:before="1"/>
        <w:rPr>
          <w:i/>
          <w:sz w:val="31"/>
        </w:rPr>
      </w:pPr>
    </w:p>
    <w:p>
      <w:pPr>
        <w:spacing w:before="0"/>
        <w:ind w:left="420" w:right="-13" w:firstLine="0"/>
        <w:jc w:val="left"/>
        <w:rPr>
          <w:i/>
          <w:sz w:val="22"/>
        </w:rPr>
      </w:pPr>
      <w:r>
        <w:rPr/>
        <w:pict>
          <v:group style="position:absolute;margin-left:217.365005pt;margin-top:-21.685465pt;width:241.25pt;height:.25pt;mso-position-horizontal-relative:page;mso-position-vertical-relative:paragraph;z-index:-175744" coordorigin="4347,-434" coordsize="4825,5">
            <v:line style="position:absolute" from="4350,-431" to="5766,-431" stroked="true" strokeweight=".23999pt" strokecolor="#000000"/>
            <v:line style="position:absolute" from="5766,-431" to="5771,-431" stroked="true" strokeweight=".23999pt" strokecolor="#000000"/>
            <v:line style="position:absolute" from="5771,-431" to="9169,-431" stroked="true" strokeweight=".23999pt" strokecolor="#000000"/>
            <w10:wrap type="none"/>
          </v:group>
        </w:pict>
      </w:r>
      <w:r>
        <w:rPr>
          <w:i/>
          <w:sz w:val="22"/>
        </w:rPr>
        <w:t>Sintéticos</w:t>
      </w:r>
    </w:p>
    <w:p>
      <w:pPr>
        <w:pStyle w:val="BodyText"/>
        <w:spacing w:line="388" w:lineRule="auto" w:before="35"/>
        <w:ind w:left="1209" w:right="2602" w:hanging="2"/>
        <w:jc w:val="center"/>
      </w:pPr>
      <w:r>
        <w:rPr/>
        <w:br w:type="column"/>
      </w:r>
      <w:r>
        <w:rPr/>
        <w:t>Polisacaridos Gomas y resinas Elastómeros Elastómeros Termoplásticos Termofijos</w:t>
      </w:r>
    </w:p>
    <w:p>
      <w:pPr>
        <w:spacing w:after="0" w:line="388" w:lineRule="auto"/>
        <w:jc w:val="center"/>
        <w:sectPr>
          <w:type w:val="continuous"/>
          <w:pgSz w:w="12240" w:h="15840"/>
          <w:pgMar w:top="1420" w:bottom="280" w:left="1460" w:right="1440"/>
          <w:cols w:num="3" w:equalWidth="0">
            <w:col w:w="2709" w:space="40"/>
            <w:col w:w="1283" w:space="40"/>
            <w:col w:w="5268"/>
          </w:cols>
        </w:sectPr>
      </w:pPr>
    </w:p>
    <w:p>
      <w:pPr>
        <w:pStyle w:val="BodyText"/>
        <w:spacing w:line="29" w:lineRule="exact"/>
        <w:ind w:left="1597"/>
        <w:rPr>
          <w:sz w:val="2"/>
        </w:rPr>
      </w:pPr>
      <w:r>
        <w:rPr>
          <w:position w:val="0"/>
          <w:sz w:val="2"/>
        </w:rPr>
        <w:pict>
          <v:group style="width:306.3pt;height:1.45pt;mso-position-horizontal-relative:char;mso-position-vertical-relative:line" coordorigin="0,0" coordsize="6126,29">
            <v:line style="position:absolute" from="15,15" to="1292,15" stroked="true" strokeweight="1.44pt" strokecolor="#000000"/>
            <v:line style="position:absolute" from="1292,15" to="1321,15" stroked="true" strokeweight="1.44pt" strokecolor="#000000"/>
            <v:line style="position:absolute" from="1321,15" to="2708,15" stroked="true" strokeweight="1.44pt" strokecolor="#000000"/>
            <v:line style="position:absolute" from="2708,15" to="2737,15" stroked="true" strokeweight="1.44pt" strokecolor="#000000"/>
            <v:line style="position:absolute" from="2737,15" to="6112,15" stroked="true" strokeweight="1.44pt" strokecolor="#000000"/>
          </v:group>
        </w:pict>
      </w:r>
      <w:r>
        <w:rPr>
          <w:position w:val="0"/>
          <w:sz w:val="2"/>
        </w:rPr>
      </w:r>
    </w:p>
    <w:p>
      <w:pPr>
        <w:pStyle w:val="BodyText"/>
        <w:spacing w:before="10"/>
        <w:rPr>
          <w:sz w:val="24"/>
        </w:rPr>
      </w:pPr>
    </w:p>
    <w:p>
      <w:pPr>
        <w:pStyle w:val="Heading4"/>
        <w:numPr>
          <w:ilvl w:val="2"/>
          <w:numId w:val="6"/>
        </w:numPr>
        <w:tabs>
          <w:tab w:pos="949" w:val="left" w:leader="none"/>
          <w:tab w:pos="950" w:val="left" w:leader="none"/>
        </w:tabs>
        <w:spacing w:line="240" w:lineRule="auto" w:before="73" w:after="0"/>
        <w:ind w:left="950" w:right="0" w:hanging="720"/>
        <w:jc w:val="left"/>
      </w:pPr>
      <w:r>
        <w:rPr/>
        <w:t>Nanocompositos</w:t>
      </w:r>
      <w:r>
        <w:rPr>
          <w:spacing w:val="-6"/>
        </w:rPr>
        <w:t> </w:t>
      </w:r>
      <w:r>
        <w:rPr/>
        <w:t>poliméricos</w:t>
      </w:r>
    </w:p>
    <w:p>
      <w:pPr>
        <w:pStyle w:val="BodyText"/>
        <w:spacing w:line="360" w:lineRule="auto" w:before="124"/>
        <w:ind w:left="242" w:right="256" w:firstLine="359"/>
        <w:jc w:val="both"/>
      </w:pPr>
      <w:r>
        <w:rPr/>
        <w:t>El mejoramiento de las propiedades fisicoquímicas y termo-mecánicas de los materiales compuestos poliméricos siempre ha sido un tema de gran interés. Los nanocompositos de polímero representan una nueva clase de materiales alternativos a los polímeros compuestos convencionales. En esta clase de materiales, refuerzos inorgánicos de tamaño nanométrico son dispersados en una</w:t>
      </w:r>
    </w:p>
    <w:p>
      <w:pPr>
        <w:spacing w:after="0" w:line="360" w:lineRule="auto"/>
        <w:jc w:val="both"/>
        <w:sectPr>
          <w:type w:val="continuous"/>
          <w:pgSz w:w="12240" w:h="15840"/>
          <w:pgMar w:top="1420" w:bottom="280" w:left="1460" w:right="1440"/>
        </w:sectPr>
      </w:pPr>
    </w:p>
    <w:p>
      <w:pPr>
        <w:pStyle w:val="BodyText"/>
        <w:spacing w:before="2"/>
        <w:rPr>
          <w:sz w:val="21"/>
        </w:rPr>
      </w:pPr>
    </w:p>
    <w:p>
      <w:pPr>
        <w:pStyle w:val="BodyText"/>
        <w:spacing w:line="360" w:lineRule="auto" w:before="72"/>
        <w:ind w:left="122" w:right="262"/>
      </w:pPr>
      <w:r>
        <w:rPr/>
        <w:t>matriz polimérica ofreciendo importantes mejoras en las propiedades que caracterizan el polímero. El mejoramiento de las propiedades de los nanocompositos se puede lograr cuando:</w:t>
      </w:r>
    </w:p>
    <w:p>
      <w:pPr>
        <w:pStyle w:val="ListParagraph"/>
        <w:numPr>
          <w:ilvl w:val="3"/>
          <w:numId w:val="6"/>
        </w:numPr>
        <w:tabs>
          <w:tab w:pos="841" w:val="left" w:leader="none"/>
          <w:tab w:pos="842" w:val="left" w:leader="none"/>
        </w:tabs>
        <w:spacing w:line="240" w:lineRule="auto" w:before="4" w:after="0"/>
        <w:ind w:left="842" w:right="0" w:hanging="360"/>
        <w:jc w:val="left"/>
        <w:rPr>
          <w:sz w:val="22"/>
        </w:rPr>
      </w:pPr>
      <w:r>
        <w:rPr>
          <w:sz w:val="22"/>
        </w:rPr>
        <w:t>Hay una buena interacción entre el material nanométrico y la matriz</w:t>
      </w:r>
      <w:r>
        <w:rPr>
          <w:spacing w:val="-14"/>
          <w:sz w:val="22"/>
        </w:rPr>
        <w:t> </w:t>
      </w:r>
      <w:r>
        <w:rPr>
          <w:sz w:val="22"/>
        </w:rPr>
        <w:t>y</w:t>
      </w:r>
    </w:p>
    <w:p>
      <w:pPr>
        <w:pStyle w:val="ListParagraph"/>
        <w:numPr>
          <w:ilvl w:val="3"/>
          <w:numId w:val="6"/>
        </w:numPr>
        <w:tabs>
          <w:tab w:pos="842" w:val="left" w:leader="none"/>
        </w:tabs>
        <w:spacing w:line="240" w:lineRule="auto" w:before="126" w:after="0"/>
        <w:ind w:left="842" w:right="0" w:hanging="360"/>
        <w:jc w:val="left"/>
        <w:rPr>
          <w:sz w:val="22"/>
        </w:rPr>
      </w:pPr>
      <w:r>
        <w:rPr>
          <w:sz w:val="22"/>
        </w:rPr>
        <w:t>existe una buena dispersión de los nanomateriales dentro de la</w:t>
      </w:r>
      <w:r>
        <w:rPr>
          <w:spacing w:val="-18"/>
          <w:sz w:val="22"/>
        </w:rPr>
        <w:t> </w:t>
      </w:r>
      <w:r>
        <w:rPr>
          <w:sz w:val="22"/>
        </w:rPr>
        <w:t>matriz.</w:t>
      </w:r>
    </w:p>
    <w:p>
      <w:pPr>
        <w:pStyle w:val="BodyText"/>
      </w:pPr>
    </w:p>
    <w:p>
      <w:pPr>
        <w:pStyle w:val="BodyText"/>
        <w:spacing w:before="10"/>
        <w:rPr>
          <w:sz w:val="21"/>
        </w:rPr>
      </w:pPr>
    </w:p>
    <w:p>
      <w:pPr>
        <w:pStyle w:val="BodyText"/>
        <w:spacing w:line="360" w:lineRule="auto" w:before="1"/>
        <w:ind w:left="122" w:right="255" w:firstLine="359"/>
        <w:jc w:val="both"/>
      </w:pPr>
      <w:r>
        <w:rPr/>
        <w:t>Sin embargo, una buena dispersión de los nanomateriales en los nanocompositos es muy difícil de alcanzar, debido a que los refuerzos tienden a formar agregados durante su procesamiento. Algunas de las técnicas usadas para el mejoramiento de la dispersión son: la agitación mecánica (agitación magnética o mediante un molino de bolas), la vibración ultrasónica y el uso de agentes de dispersión [47].</w:t>
      </w:r>
    </w:p>
    <w:p>
      <w:pPr>
        <w:pStyle w:val="BodyText"/>
      </w:pPr>
    </w:p>
    <w:p>
      <w:pPr>
        <w:pStyle w:val="BodyText"/>
        <w:spacing w:line="360" w:lineRule="auto" w:before="130"/>
        <w:ind w:left="122" w:right="255" w:firstLine="359"/>
        <w:jc w:val="both"/>
      </w:pPr>
      <w:r>
        <w:rPr/>
        <w:t>Los refuerzos típicamente adicionados a matrices poliméricas son: partículas esféricas (sílice, metal y otras partículas orgánicas e inorgánicas), partículas fibrosas (nanofibras y nanotubos) y partículas laminares (carbono, grafito, silicatos,  aluminosilicatos laminados) [48].</w:t>
      </w:r>
    </w:p>
    <w:p>
      <w:pPr>
        <w:pStyle w:val="BodyText"/>
      </w:pPr>
    </w:p>
    <w:p>
      <w:pPr>
        <w:pStyle w:val="BodyText"/>
        <w:spacing w:line="360" w:lineRule="auto" w:before="130"/>
        <w:ind w:left="122" w:right="256" w:firstLine="283"/>
        <w:jc w:val="both"/>
      </w:pPr>
      <w:r>
        <w:rPr/>
        <w:t>El descubrimiento de los nanocompositos poliméricos por el grupo de investigación de la empresa Toyota atrajo la atención por los refuerzos inorgánicos por lo que la mayoría de los  trabajos están basados en materiales intercalados de origen natural, tales como compuestos de silicatos intercalados del tipo montmorillonita o arcilla sintética. Sin embargo la conductividad térmica y eléctrica de las arcillas minerales es pobre, por lo que para evitar estas desventajas se han utilizados refuerzos en base a carbono, tales como negro de humo, grafito exfoliado, fibras de carbono, CNTs y grafeno [8]. Los CNTs y grafeno son los materiales de carbono que han causado grandes avances en los nanocompositos poliméricos, por lo que a continuación se explican los métodos de obtención, sus propiedades y</w:t>
      </w:r>
      <w:r>
        <w:rPr>
          <w:spacing w:val="-13"/>
        </w:rPr>
        <w:t> </w:t>
      </w:r>
      <w:r>
        <w:rPr/>
        <w:t>aplicaciones.</w:t>
      </w:r>
    </w:p>
    <w:p>
      <w:pPr>
        <w:pStyle w:val="BodyText"/>
      </w:pPr>
    </w:p>
    <w:p>
      <w:pPr>
        <w:pStyle w:val="Heading4"/>
        <w:numPr>
          <w:ilvl w:val="3"/>
          <w:numId w:val="7"/>
        </w:numPr>
        <w:tabs>
          <w:tab w:pos="830" w:val="left" w:leader="none"/>
        </w:tabs>
        <w:spacing w:line="240" w:lineRule="auto" w:before="136" w:after="0"/>
        <w:ind w:left="830" w:right="0" w:hanging="708"/>
        <w:jc w:val="left"/>
      </w:pPr>
      <w:r>
        <w:rPr/>
        <w:t>Métodos de</w:t>
      </w:r>
      <w:r>
        <w:rPr>
          <w:spacing w:val="-1"/>
        </w:rPr>
        <w:t> </w:t>
      </w:r>
      <w:r>
        <w:rPr/>
        <w:t>obtención</w:t>
      </w:r>
    </w:p>
    <w:p>
      <w:pPr>
        <w:pStyle w:val="BodyText"/>
        <w:spacing w:line="360" w:lineRule="auto" w:before="124"/>
        <w:ind w:left="122" w:right="257" w:firstLine="283"/>
        <w:jc w:val="both"/>
      </w:pPr>
      <w:r>
        <w:rPr/>
        <w:t>Existen diferentes métodos de procesamiento para la obtención de nanocompositos poliméricos, basados en matrices termoplásticas o termofijas. Los principales incluyen la polimerización in situ, el mezclado en solución y el mezclado en fundido [1].</w:t>
      </w:r>
    </w:p>
    <w:p>
      <w:pPr>
        <w:pStyle w:val="BodyText"/>
      </w:pPr>
    </w:p>
    <w:p>
      <w:pPr>
        <w:pStyle w:val="BodyText"/>
        <w:spacing w:line="360" w:lineRule="auto" w:before="130"/>
        <w:ind w:left="122" w:right="257" w:firstLine="283"/>
        <w:jc w:val="both"/>
      </w:pPr>
      <w:r>
        <w:rPr/>
        <w:t>La polimerización in situ empieza a través de la dispersión del nanomaterial en un monómero, seguido de la polimerización de los monómeros. La funcionalización del nanomaterial puede mejorar la dispersión inicial de éste en el medio líquido (monómero-solvente) y   consecuentemente</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pPr>
      <w:r>
        <w:rPr/>
        <w:t>en la matriz. Además este método puede facilitar el enlazamiento covalente entre el reforzador y la matriz polimérica, a través de varias reacciones de condensación [7].</w:t>
      </w:r>
    </w:p>
    <w:p>
      <w:pPr>
        <w:pStyle w:val="BodyText"/>
      </w:pPr>
    </w:p>
    <w:p>
      <w:pPr>
        <w:pStyle w:val="BodyText"/>
        <w:spacing w:line="360" w:lineRule="auto" w:before="130"/>
        <w:ind w:left="122" w:right="255" w:firstLine="283"/>
        <w:jc w:val="both"/>
      </w:pPr>
      <w:r>
        <w:rPr/>
        <w:t>El mezclado en solución es el método más común para la fabricación de nanocompositos de polímero, este proceso involucra tres pasos: la dispersión del material en un solvente apropiado, el mezclado con el polímero (a temperatura ambiente o elevada) y la recuperación del nanocomposito a través de la precipitación o moldeo de películas</w:t>
      </w:r>
      <w:r>
        <w:rPr>
          <w:spacing w:val="-14"/>
        </w:rPr>
        <w:t> </w:t>
      </w:r>
      <w:r>
        <w:rPr/>
        <w:t>[3].</w:t>
      </w:r>
    </w:p>
    <w:p>
      <w:pPr>
        <w:pStyle w:val="BodyText"/>
      </w:pPr>
    </w:p>
    <w:p>
      <w:pPr>
        <w:pStyle w:val="BodyText"/>
        <w:spacing w:line="360" w:lineRule="auto" w:before="133"/>
        <w:ind w:left="122" w:right="257" w:firstLine="283"/>
        <w:jc w:val="both"/>
      </w:pPr>
      <w:r>
        <w:rPr/>
        <w:t>Por último, el mezclado en fundido que usa altas temperaturas y altos esfuerzos cortantes para dispersar los nanomateriales en una matriz polimérica. Este es el método más compatible con las prácticas industriales actuales. Sin embargo el mezclado en fundido es generalmente menos efectivo en la dispersión debido a las altas viscosidades de los nanocompositos cuando se utilizan altas concentraciones de refuerzo [3].</w:t>
      </w:r>
    </w:p>
    <w:p>
      <w:pPr>
        <w:pStyle w:val="BodyText"/>
      </w:pPr>
    </w:p>
    <w:p>
      <w:pPr>
        <w:pStyle w:val="Heading4"/>
        <w:numPr>
          <w:ilvl w:val="3"/>
          <w:numId w:val="7"/>
        </w:numPr>
        <w:tabs>
          <w:tab w:pos="973" w:val="left" w:leader="none"/>
          <w:tab w:pos="974" w:val="left" w:leader="none"/>
        </w:tabs>
        <w:spacing w:line="240" w:lineRule="auto" w:before="135" w:after="0"/>
        <w:ind w:left="974" w:right="0" w:hanging="852"/>
        <w:jc w:val="left"/>
      </w:pPr>
      <w:r>
        <w:rPr/>
        <w:t>Propiedades y aplicaciones de los</w:t>
      </w:r>
      <w:r>
        <w:rPr>
          <w:spacing w:val="-7"/>
        </w:rPr>
        <w:t> </w:t>
      </w:r>
      <w:r>
        <w:rPr/>
        <w:t>nanocompositos</w:t>
      </w:r>
    </w:p>
    <w:p>
      <w:pPr>
        <w:pStyle w:val="BodyText"/>
        <w:spacing w:line="360" w:lineRule="auto" w:before="121"/>
        <w:ind w:left="122" w:right="256" w:firstLine="283"/>
        <w:jc w:val="both"/>
      </w:pPr>
      <w:r>
        <w:rPr/>
        <w:t>Como ha sido mencionado anteriormente, las propiedades superiores de los nanotubos de carbono y grafeno comparados a los polímeros también son reflejadas en los nanocompositos poliméricos de estos nanomateriales. Estos nanocompositos muestran propiedades mecánicas, térmicas, de barrera de gas, eléctricas y retardantes de flama superiores, al compararlas con las del polímero puro [7]. De igual forma, se han alcanzado incrementos de conductividad eléctrica de varios órdenes con concentraciones muy pequeñas de nanomateriales de carbono en matrices poliméricas, en las cuales se han mantenido otros aspectos de desempeño tales como claridad óptica, propiedades mecánicas, viscosidades de flujo bajas, etc.</w:t>
      </w:r>
      <w:r>
        <w:rPr>
          <w:spacing w:val="42"/>
        </w:rPr>
        <w:t> </w:t>
      </w:r>
      <w:r>
        <w:rPr/>
        <w:t>[49].</w:t>
      </w:r>
    </w:p>
    <w:p>
      <w:pPr>
        <w:pStyle w:val="BodyText"/>
      </w:pPr>
    </w:p>
    <w:p>
      <w:pPr>
        <w:pStyle w:val="BodyText"/>
        <w:spacing w:line="360" w:lineRule="auto" w:before="130"/>
        <w:ind w:left="122" w:right="256" w:firstLine="283"/>
        <w:jc w:val="both"/>
      </w:pPr>
      <w:r>
        <w:rPr/>
        <w:t>Los compositos que contienen refuerzos conductores en un polímero aislante se vuelven conductores eléctricos cuando el contenido del refuerzo excede un valor crítico conocido como el umbral de percolación, el cual es caracterizado por un salto muy marcado en la conductividad por muchos órdenes de magnitud lo cual es atribuido a la formación de una red conductiva tridimensional de los refuerzos dentro de la matriz [5]. Los nanocompositos poliméricos con CNTs exhiben un umbral de percolación muy bajo para la conductividad eléctrica debido a su gran relación longitud/diámetro y la dimensión nanométrica de los nanotubos. El umbral de percolación para la conductividad eléctrica puede ser influenciado por diversas características del nanotubo tales como: dispersión, relación longitud/diámetro y alineación en la matriz. La funcionalización</w:t>
      </w:r>
      <w:r>
        <w:rPr>
          <w:spacing w:val="1"/>
        </w:rPr>
        <w:t> </w:t>
      </w:r>
      <w:r>
        <w:rPr/>
        <w:t>química</w:t>
      </w:r>
    </w:p>
    <w:p>
      <w:pPr>
        <w:spacing w:after="0" w:line="360" w:lineRule="auto"/>
        <w:jc w:val="both"/>
        <w:sectPr>
          <w:pgSz w:w="12240" w:h="15840"/>
          <w:pgMar w:header="730" w:footer="1062" w:top="1160" w:bottom="1260" w:left="1580" w:right="1440"/>
        </w:sectPr>
      </w:pPr>
    </w:p>
    <w:p>
      <w:pPr>
        <w:pStyle w:val="BodyText"/>
        <w:spacing w:before="5"/>
        <w:rPr>
          <w:sz w:val="21"/>
        </w:rPr>
      </w:pPr>
    </w:p>
    <w:p>
      <w:pPr>
        <w:pStyle w:val="BodyText"/>
        <w:spacing w:line="360" w:lineRule="auto" w:before="74"/>
        <w:ind w:left="122" w:right="261"/>
        <w:jc w:val="both"/>
      </w:pPr>
      <w:r>
        <w:rPr/>
        <w:t>afecta la conjugación de los nanotubos y por lo tanto reduce la conductividad eléctrica de los nanotubos aislados. Sin embargo varios investigadores han reportado que la funcionalización puede mejorar las propiedades eléctricas de los compositos [5].</w:t>
      </w:r>
    </w:p>
    <w:p>
      <w:pPr>
        <w:pStyle w:val="BodyText"/>
      </w:pPr>
    </w:p>
    <w:p>
      <w:pPr>
        <w:pStyle w:val="BodyText"/>
        <w:spacing w:line="352" w:lineRule="auto" w:before="130"/>
        <w:ind w:left="122" w:right="258" w:firstLine="283"/>
        <w:jc w:val="both"/>
      </w:pPr>
      <w:r>
        <w:rPr/>
        <w:t>Los cambios en la temperatura de transición vítrea (T</w:t>
      </w:r>
      <w:r>
        <w:rPr>
          <w:position w:val="-2"/>
          <w:sz w:val="14"/>
        </w:rPr>
        <w:t>g</w:t>
      </w:r>
      <w:r>
        <w:rPr/>
        <w:t>) también son importantes ya que éstos no solo llevan a cambios fundamentales en la dinámica de la cadena del polímero, sino también en el aumento en la estabilidad térmica, factores que son críticos para muchas aplicaciones [8].</w:t>
      </w:r>
    </w:p>
    <w:p>
      <w:pPr>
        <w:pStyle w:val="BodyText"/>
      </w:pPr>
    </w:p>
    <w:p>
      <w:pPr>
        <w:pStyle w:val="BodyText"/>
        <w:spacing w:line="360" w:lineRule="auto" w:before="141"/>
        <w:ind w:left="122" w:right="257" w:firstLine="283"/>
        <w:jc w:val="both"/>
      </w:pPr>
      <w:r>
        <w:rPr/>
        <w:t>Por lo anterior, el uso de los materiales nanométricos se ha extendido en diferentes investigaciones y aplicaciones que conciernen al desarrollo de estos nanocompositos como los que se describen a continuación.</w:t>
      </w:r>
    </w:p>
    <w:p>
      <w:pPr>
        <w:pStyle w:val="BodyText"/>
      </w:pPr>
    </w:p>
    <w:p>
      <w:pPr>
        <w:pStyle w:val="BodyText"/>
        <w:spacing w:line="357" w:lineRule="auto" w:before="130"/>
        <w:ind w:left="122" w:right="255" w:firstLine="283"/>
        <w:jc w:val="both"/>
      </w:pPr>
      <w:r>
        <w:rPr/>
        <w:t>Nanocompositos de polimetilmetacrilato (PMMA) con 1% peso de nanotubos mostraron un incremento de 1135% en el módulo de almacenamiento respecto al PMMA puro y su T</w:t>
      </w:r>
      <w:r>
        <w:rPr>
          <w:position w:val="-2"/>
          <w:sz w:val="14"/>
        </w:rPr>
        <w:t>g </w:t>
      </w:r>
      <w:r>
        <w:rPr/>
        <w:t>fue incrementada en 40 ºC [3]. La adición de una pequeña cantidad de MWNTs (menor a 2% peso) en una matriz de nylon 6 mejoró significativamente el módulo y la dureza en un 214% y 162%, respectivamente [51]. La adición de estos nanomateriales unidimensionales, a fibras de polianilina (PANI) incrementó las propiedades electromecánicas.</w:t>
      </w:r>
    </w:p>
    <w:p>
      <w:pPr>
        <w:pStyle w:val="BodyText"/>
      </w:pPr>
    </w:p>
    <w:p>
      <w:pPr>
        <w:pStyle w:val="BodyText"/>
        <w:spacing w:line="360" w:lineRule="auto" w:before="133"/>
        <w:ind w:left="122" w:right="259" w:firstLine="283"/>
        <w:jc w:val="both"/>
      </w:pPr>
      <w:r>
        <w:rPr/>
        <w:t>Los nanocompositos basados en CNTs son estudiados para una variedad de aplicaciones como sensores, por ejemplo polipirrol o PANI depositados en redes de SWNTs pueden ser usadas en estado sólido como sensores de pH [52]. Asimismo, existen diversos compositos en el mercado donde se pueden mencionar aplicaciones como productos deportivos con propiedades superiores, como por ejemplo la bicicleta manufacturada por BMC que fue usada en el Tour de Francia 2005, cuyo armazón estaba hecho de un nanocomposito de fibras de carbono con nanotubos incorporados a la matriz. Otro ejemplo es el bat </w:t>
      </w:r>
      <w:r>
        <w:rPr>
          <w:i/>
        </w:rPr>
        <w:t>Stealth </w:t>
      </w:r>
      <w:r>
        <w:rPr/>
        <w:t>hecho a partir de un nanocomposito de alto desempeño por las compañías Zyvex y Easton Sports</w:t>
      </w:r>
      <w:r>
        <w:rPr>
          <w:spacing w:val="-9"/>
        </w:rPr>
        <w:t> </w:t>
      </w:r>
      <w:r>
        <w:rPr/>
        <w:t>[31].</w:t>
      </w:r>
    </w:p>
    <w:p>
      <w:pPr>
        <w:pStyle w:val="BodyText"/>
      </w:pPr>
    </w:p>
    <w:p>
      <w:pPr>
        <w:pStyle w:val="BodyText"/>
        <w:spacing w:line="352" w:lineRule="auto" w:before="130"/>
        <w:ind w:left="122" w:right="255" w:firstLine="283"/>
        <w:jc w:val="both"/>
      </w:pPr>
      <w:r>
        <w:rPr/>
        <w:t>Con respecto a los nanocompositos desarrollados a partir de grafeno existen también diferentes estudios como es el caso del poliestireno reforzado con este material, el cual mostró muy alta conductividad eléctrica a temperatura ambiente de 0.1 a 1 S/m. El cambio fue mayor cuando se adicionó una solución de isocianato de fenilo, la cual provoca un aumento en la conductividad eléctrica  comparada  con  la  del  poliestireno  puro (10</w:t>
      </w:r>
      <w:r>
        <w:rPr>
          <w:position w:val="10"/>
          <w:sz w:val="14"/>
        </w:rPr>
        <w:t>-16   </w:t>
      </w:r>
      <w:r>
        <w:rPr/>
        <w:t>S/m)  [37]. También se  han desarrollado</w:t>
      </w:r>
    </w:p>
    <w:p>
      <w:pPr>
        <w:spacing w:after="0" w:line="352" w:lineRule="auto"/>
        <w:jc w:val="both"/>
        <w:sectPr>
          <w:pgSz w:w="12240" w:h="15840"/>
          <w:pgMar w:header="730" w:footer="1062" w:top="1160" w:bottom="1260" w:left="1580" w:right="1440"/>
        </w:sectPr>
      </w:pPr>
    </w:p>
    <w:p>
      <w:pPr>
        <w:pStyle w:val="BodyText"/>
        <w:spacing w:before="2"/>
        <w:rPr>
          <w:sz w:val="21"/>
        </w:rPr>
      </w:pPr>
    </w:p>
    <w:p>
      <w:pPr>
        <w:pStyle w:val="BodyText"/>
        <w:spacing w:line="355" w:lineRule="auto" w:before="72"/>
        <w:ind w:left="122" w:right="255"/>
        <w:jc w:val="both"/>
      </w:pPr>
      <w:r>
        <w:rPr/>
        <w:t>nanocompositos de grafeno y polipropileno, cuyos resultados mostraron valores superiores en el módulo de flexión elástico (1.8 GPa) y en la resistencia al impacto (33 KJ/m), que los compositos comerciales a base de negro de carbono o fibras de carbono (1.2 GPa en módulo de flexión elástico y 20 KJ/m en resistencia al impacto) [53]. Películas de nanocompositos a partir de la mezcla de una solución de poliuretano y 2 % peso de grafeno funcionalizado suspendido en metil etil cetona resultaron en un incremento de 10</w:t>
      </w:r>
      <w:r>
        <w:rPr>
          <w:position w:val="10"/>
          <w:sz w:val="14"/>
        </w:rPr>
        <w:t>7 </w:t>
      </w:r>
      <w:r>
        <w:rPr/>
        <w:t>veces en comparación a la conductividad eléctrica del poliuretano puro</w:t>
      </w:r>
      <w:r>
        <w:rPr>
          <w:spacing w:val="-5"/>
        </w:rPr>
        <w:t> </w:t>
      </w:r>
      <w:r>
        <w:rPr/>
        <w:t>[54].</w:t>
      </w:r>
    </w:p>
    <w:p>
      <w:pPr>
        <w:pStyle w:val="BodyText"/>
      </w:pPr>
    </w:p>
    <w:p>
      <w:pPr>
        <w:pStyle w:val="BodyText"/>
        <w:spacing w:line="360" w:lineRule="auto" w:before="138"/>
        <w:ind w:left="122" w:right="257" w:firstLine="283"/>
        <w:jc w:val="both"/>
      </w:pPr>
      <w:r>
        <w:rPr/>
        <w:t>Películas de óxido de grafeno/quitosano (relación 1:5 en peso) mostraron resistencia tensil incrementada en 1.7 veces en comparación a las películas de quitosano puro en estado seco y 3 veces a aquellas analizadas en estado húmedo, por lo que debido a esto y su buena biocompatibilidad tienen aplicaciones prometedoras como biomateriales y materiales para empaque [55]. Nanocompositos de grafeno/PANI han sido extensamente estudiados y han mostrado capacitancia especifica alta de hasta 1046 F/g y buena estabilidad cíclica por lo que pueden ser usados como electrodos en supercapacitores flexibles</w:t>
      </w:r>
      <w:r>
        <w:rPr>
          <w:spacing w:val="-13"/>
        </w:rPr>
        <w:t> </w:t>
      </w:r>
      <w:r>
        <w:rPr/>
        <w:t>[56].</w:t>
      </w:r>
    </w:p>
    <w:p>
      <w:pPr>
        <w:pStyle w:val="BodyText"/>
      </w:pPr>
    </w:p>
    <w:p>
      <w:pPr>
        <w:pStyle w:val="BodyText"/>
        <w:spacing w:line="360" w:lineRule="auto" w:before="130"/>
        <w:ind w:left="122" w:right="255" w:firstLine="283"/>
        <w:jc w:val="both"/>
      </w:pPr>
      <w:r>
        <w:rPr/>
        <w:t>Además se han realizado investigaciones de grafeno/CNTs/PANI sintetizados a través de polimerización in-situ donde el grafeno es usado como material soporte para la deposición de partículas de PANI y los CNTs como alambres conductores interconectados en el nanocomposito,  lo cual parece ser un material ideal para electrodos en supercapacitadores</w:t>
      </w:r>
      <w:r>
        <w:rPr>
          <w:spacing w:val="-15"/>
        </w:rPr>
        <w:t> </w:t>
      </w:r>
      <w:r>
        <w:rPr/>
        <w:t>[57].</w:t>
      </w:r>
    </w:p>
    <w:p>
      <w:pPr>
        <w:pStyle w:val="BodyText"/>
      </w:pPr>
    </w:p>
    <w:p>
      <w:pPr>
        <w:pStyle w:val="BodyText"/>
        <w:spacing w:line="360" w:lineRule="auto" w:before="130"/>
        <w:ind w:left="122" w:right="259" w:firstLine="283"/>
        <w:jc w:val="both"/>
      </w:pPr>
      <w:r>
        <w:rPr/>
        <w:t>Por lo anterior, es de esperarse que la demanda de estos materiales compuestos se incremente, como mostró un reporte en el 2010 en donde se estimó un aumento de 2.9% de los compositos termoplásticos reforzados para el 2013. En donde el polipropileno y el nylon tendrán un crecimiento por arriba del promedio y el principal consumidor de nylon será la industria automotriz [57].</w:t>
      </w:r>
    </w:p>
    <w:p>
      <w:pPr>
        <w:pStyle w:val="BodyText"/>
      </w:pPr>
    </w:p>
    <w:p>
      <w:pPr>
        <w:pStyle w:val="Heading4"/>
        <w:numPr>
          <w:ilvl w:val="2"/>
          <w:numId w:val="8"/>
        </w:numPr>
        <w:tabs>
          <w:tab w:pos="689" w:val="left" w:leader="none"/>
        </w:tabs>
        <w:spacing w:line="240" w:lineRule="auto" w:before="138" w:after="0"/>
        <w:ind w:left="688" w:right="0" w:hanging="566"/>
        <w:jc w:val="both"/>
      </w:pPr>
      <w:r>
        <w:rPr/>
        <w:t>Principios de cristalización en</w:t>
      </w:r>
      <w:r>
        <w:rPr>
          <w:spacing w:val="-12"/>
        </w:rPr>
        <w:t> </w:t>
      </w:r>
      <w:r>
        <w:rPr/>
        <w:t>polímeros</w:t>
      </w:r>
    </w:p>
    <w:p>
      <w:pPr>
        <w:pStyle w:val="BodyText"/>
        <w:spacing w:line="360" w:lineRule="auto" w:before="121"/>
        <w:ind w:left="122" w:right="260" w:firstLine="283"/>
        <w:jc w:val="both"/>
      </w:pPr>
      <w:r>
        <w:rPr/>
        <w:t>Una de las características más importantes de los polímeros semicristalinos es el grado de cristalinidad. Muchas propiedades están influenciadas por el grado de cristalinidad del material. Si una molécula de polímero tiene una estructura regular puede ser capaz de tener cierto grado de cristalización [58].</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after="11"/>
        <w:ind w:left="122" w:right="255" w:firstLine="283"/>
        <w:jc w:val="both"/>
      </w:pPr>
      <w:r>
        <w:rPr/>
        <w:t>El proceso de cristalización procede por el mecanismo de nucleación y crecimiento. En el caso de moléculas pequeñas, el primer paso es la formación de núcleos de la fase cristalina. La energía libre (</w:t>
      </w:r>
      <w:r>
        <w:rPr>
          <w:i/>
        </w:rPr>
        <w:t>F) </w:t>
      </w:r>
      <w:r>
        <w:rPr/>
        <w:t>asociada con los tamaños de los núcleos se grafica en la Figura 1.7 a), donde η es una medida del tamaño del estado ordenado, que a su vez es proporcional al grado de cristalinidad. La nucleación ocurre si el tamaño del núcleo recién formado es más grande que el tamaño crítico y es aquí donde la nucleación cruza la barrera de la energía libre. El siguiente paso es el crecimiento de este núcleo. Durante la etapa de crecimiento, para las moléculas pequeñas no existen barreras significativas y el proceso se completa con un grado de cristalinidad de unidad. En contraste el escenario de la energía libre en la cristalización de polímeros es muy diferente como se muestra en la Figura 1.7 b). Como en el caso de la molécula pequeña, durante la etapa de nucleación, existen núcleos constituidos por muchos monómeros. Sin embargo estos monómeros pueden obtenerse de diferentes cadenas o diferentes locaciones a lo largo de una misma cadena. Por lo que en la etapa de crecimiento, la energía libre tiene muchos estados metaestables que son retardados por sus barreras inmediatas. Estas barreras son debido a la energía libre involucrada en el reordenamiento de las conformaciones de la cadena originalmente distribuidas entre muchos núcleos en unos cuantos núcleos con más alto orden cristalino</w:t>
      </w:r>
      <w:r>
        <w:rPr>
          <w:spacing w:val="49"/>
        </w:rPr>
        <w:t> </w:t>
      </w:r>
      <w:r>
        <w:rPr/>
        <w:t>[60].</w:t>
      </w:r>
    </w:p>
    <w:p>
      <w:pPr>
        <w:pStyle w:val="BodyText"/>
        <w:ind w:left="1795"/>
        <w:rPr>
          <w:sz w:val="20"/>
        </w:rPr>
      </w:pPr>
      <w:r>
        <w:rPr>
          <w:sz w:val="20"/>
        </w:rPr>
        <w:pict>
          <v:group style="width:310.9pt;height:170.1pt;mso-position-horizontal-relative:char;mso-position-vertical-relative:line" coordorigin="0,0" coordsize="6218,3402">
            <v:shape style="position:absolute;left:0;top:0;width:5803;height:3402" type="#_x0000_t75" stroked="false">
              <v:imagedata r:id="rId22" o:title=""/>
            </v:shape>
            <v:rect style="position:absolute;left:5467;top:2108;width:743;height:478" filled="true" fillcolor="#ffffff" stroked="false">
              <v:fill type="solid"/>
            </v:rect>
            <v:rect style="position:absolute;left:5467;top:2108;width:743;height:478" filled="false" stroked="true" strokeweight=".75pt" strokecolor="#ffffff"/>
            <v:rect style="position:absolute;left:5452;top:684;width:743;height:478" filled="true" fillcolor="#ffffff" stroked="false">
              <v:fill type="solid"/>
            </v:rect>
            <v:rect style="position:absolute;left:5452;top:684;width:743;height:478" filled="false" stroked="true" strokeweight=".75pt" strokecolor="#ffffff"/>
            <v:shape style="position:absolute;left:5604;top:789;width:196;height:221" type="#_x0000_t202" filled="false" stroked="false">
              <v:textbox inset="0,0,0,0">
                <w:txbxContent>
                  <w:p>
                    <w:pPr>
                      <w:spacing w:line="221" w:lineRule="exact" w:before="0"/>
                      <w:ind w:left="0" w:right="-20" w:firstLine="0"/>
                      <w:jc w:val="left"/>
                      <w:rPr>
                        <w:rFonts w:ascii="Arial"/>
                        <w:b/>
                        <w:sz w:val="22"/>
                      </w:rPr>
                    </w:pPr>
                    <w:r>
                      <w:rPr>
                        <w:rFonts w:ascii="Arial"/>
                        <w:b/>
                        <w:sz w:val="22"/>
                      </w:rPr>
                      <w:t>a)</w:t>
                    </w:r>
                  </w:p>
                </w:txbxContent>
              </v:textbox>
              <w10:wrap type="none"/>
            </v:shape>
            <v:shape style="position:absolute;left:5619;top:2212;width:208;height:221" type="#_x0000_t202" filled="false" stroked="false">
              <v:textbox inset="0,0,0,0">
                <w:txbxContent>
                  <w:p>
                    <w:pPr>
                      <w:spacing w:line="221" w:lineRule="exact" w:before="0"/>
                      <w:ind w:left="0" w:right="-20" w:firstLine="0"/>
                      <w:jc w:val="left"/>
                      <w:rPr>
                        <w:rFonts w:ascii="Arial"/>
                        <w:b/>
                        <w:sz w:val="22"/>
                      </w:rPr>
                    </w:pPr>
                    <w:r>
                      <w:rPr>
                        <w:rFonts w:ascii="Arial"/>
                        <w:b/>
                        <w:sz w:val="22"/>
                      </w:rPr>
                      <w:t>b)</w:t>
                    </w:r>
                  </w:p>
                </w:txbxContent>
              </v:textbox>
              <w10:wrap type="none"/>
            </v:shape>
          </v:group>
        </w:pict>
      </w:r>
      <w:r>
        <w:rPr>
          <w:sz w:val="20"/>
        </w:rPr>
      </w:r>
    </w:p>
    <w:p>
      <w:pPr>
        <w:pStyle w:val="BodyText"/>
        <w:spacing w:before="97"/>
        <w:ind w:left="405"/>
      </w:pPr>
      <w:r>
        <w:rPr>
          <w:b/>
        </w:rPr>
        <w:t>Figura 1.7 </w:t>
      </w:r>
      <w:r>
        <w:rPr/>
        <w:t>Esquema de la energía libre en: (a) moléculas pequeñas, (b) cadenas de polímero.</w:t>
      </w:r>
    </w:p>
    <w:p>
      <w:pPr>
        <w:pStyle w:val="BodyText"/>
      </w:pPr>
    </w:p>
    <w:p>
      <w:pPr>
        <w:pStyle w:val="BodyText"/>
        <w:spacing w:before="1"/>
      </w:pPr>
    </w:p>
    <w:p>
      <w:pPr>
        <w:pStyle w:val="BodyText"/>
        <w:spacing w:line="360" w:lineRule="auto" w:before="1"/>
        <w:ind w:left="122" w:right="255" w:firstLine="283"/>
        <w:jc w:val="both"/>
      </w:pPr>
      <w:r>
        <w:rPr/>
        <w:t>A lo largo de los años, han existido profundos cambios en las teorías de cristalización de polímeros. Por muchos años se creyó que la cristalinidad presente estaba basada en pequeñas unidades de cristalitos del orden de unos pocos cientos de Angstroms de longitud. Esto es mucho menos que la longitud de una molécula de polímero y se creyó que una sola molécula de polímero pasaba a través de varios cristalitos. Estos cristalitos, consistían de un paquete de segmentos de moléculas separadas las cuales estaban empacadas con un alto orden regular.  Se creía que entre</w:t>
      </w:r>
      <w:r>
        <w:rPr>
          <w:spacing w:val="53"/>
        </w:rPr>
        <w:t> </w:t>
      </w:r>
      <w:r>
        <w:rPr/>
        <w:t>los</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56"/>
        <w:jc w:val="both"/>
      </w:pPr>
      <w:r>
        <w:rPr/>
        <w:t>cristalitos el polímero pasaba a través de regiones amorfas en donde la disposición molecular era al azar. En la Figura 1.8 se observan cómo se pensaba que los cristalitos estaban incrustados en una matriz amorfa [59].</w:t>
      </w:r>
    </w:p>
    <w:p>
      <w:pPr>
        <w:pStyle w:val="BodyText"/>
        <w:rPr>
          <w:sz w:val="20"/>
        </w:rPr>
      </w:pPr>
    </w:p>
    <w:p>
      <w:pPr>
        <w:pStyle w:val="BodyText"/>
        <w:spacing w:before="5"/>
        <w:rPr>
          <w:sz w:val="10"/>
        </w:rPr>
      </w:pPr>
      <w:r>
        <w:rPr/>
        <w:drawing>
          <wp:anchor distT="0" distB="0" distL="0" distR="0" allowOverlap="1" layoutInCell="1" locked="0" behindDoc="0" simplePos="0" relativeHeight="1504">
            <wp:simplePos x="0" y="0"/>
            <wp:positionH relativeFrom="page">
              <wp:posOffset>2190750</wp:posOffset>
            </wp:positionH>
            <wp:positionV relativeFrom="paragraph">
              <wp:posOffset>101273</wp:posOffset>
            </wp:positionV>
            <wp:extent cx="3402574" cy="2352675"/>
            <wp:effectExtent l="0" t="0" r="0" b="0"/>
            <wp:wrapTopAndBottom/>
            <wp:docPr id="11" name="image9.png" descr=""/>
            <wp:cNvGraphicFramePr>
              <a:graphicFrameLocks noChangeAspect="1"/>
            </wp:cNvGraphicFramePr>
            <a:graphic>
              <a:graphicData uri="http://schemas.openxmlformats.org/drawingml/2006/picture">
                <pic:pic>
                  <pic:nvPicPr>
                    <pic:cNvPr id="12" name="image9.png"/>
                    <pic:cNvPicPr/>
                  </pic:nvPicPr>
                  <pic:blipFill>
                    <a:blip r:embed="rId23" cstate="print"/>
                    <a:stretch>
                      <a:fillRect/>
                    </a:stretch>
                  </pic:blipFill>
                  <pic:spPr>
                    <a:xfrm>
                      <a:off x="0" y="0"/>
                      <a:ext cx="3402574" cy="2352675"/>
                    </a:xfrm>
                    <a:prstGeom prst="rect">
                      <a:avLst/>
                    </a:prstGeom>
                  </pic:spPr>
                </pic:pic>
              </a:graphicData>
            </a:graphic>
          </wp:anchor>
        </w:drawing>
      </w:r>
    </w:p>
    <w:p>
      <w:pPr>
        <w:pStyle w:val="BodyText"/>
        <w:spacing w:before="9"/>
        <w:rPr>
          <w:sz w:val="23"/>
        </w:rPr>
      </w:pPr>
    </w:p>
    <w:p>
      <w:pPr>
        <w:pStyle w:val="BodyText"/>
        <w:ind w:left="767"/>
      </w:pPr>
      <w:r>
        <w:rPr>
          <w:b/>
        </w:rPr>
        <w:t>Figura 1.8 </w:t>
      </w:r>
      <w:r>
        <w:rPr/>
        <w:t>Esquema del modelo de la micela-orlada en los polímeros semicristalinos.</w:t>
      </w:r>
    </w:p>
    <w:p>
      <w:pPr>
        <w:pStyle w:val="BodyText"/>
      </w:pPr>
    </w:p>
    <w:p>
      <w:pPr>
        <w:pStyle w:val="BodyText"/>
        <w:spacing w:before="11"/>
        <w:rPr>
          <w:sz w:val="21"/>
        </w:rPr>
      </w:pPr>
    </w:p>
    <w:p>
      <w:pPr>
        <w:pStyle w:val="BodyText"/>
        <w:spacing w:line="360" w:lineRule="auto"/>
        <w:ind w:left="122" w:right="260" w:firstLine="283"/>
        <w:jc w:val="both"/>
      </w:pPr>
      <w:r>
        <w:rPr/>
        <w:t>Esta teoría conocida como teoría de la micela orlada o teoría del cristalito orlado ayudó a explicar muchas propiedades de los polímeros cristalinos pero fue difícil de explicar la formación  de ciertas estructuras grandes tales como las esferulitas que poseen un diámetro tan grande como  0.1 mm</w:t>
      </w:r>
      <w:r>
        <w:rPr>
          <w:spacing w:val="-3"/>
        </w:rPr>
        <w:t> </w:t>
      </w:r>
      <w:r>
        <w:rPr/>
        <w:t>[59].</w:t>
      </w:r>
    </w:p>
    <w:p>
      <w:pPr>
        <w:pStyle w:val="BodyText"/>
      </w:pPr>
    </w:p>
    <w:p>
      <w:pPr>
        <w:pStyle w:val="BodyText"/>
        <w:spacing w:line="360" w:lineRule="auto" w:before="130"/>
        <w:ind w:left="122" w:right="257" w:firstLine="283"/>
        <w:jc w:val="both"/>
      </w:pPr>
      <w:r>
        <w:rPr/>
        <w:t>Como resultado del trabajo basado inicialmente en estudios de crecimiento de cristales individuales en solución en sistemas muy diluidos (&lt; 0.01% peso), se llegó a la conclusión que la teoría de la micela orlada no era del todo correcta. Se encontró que las cadenas flexibles y largas  del polímero cristalizan a partir de solución formando lamelas de cristales individuales. Debido a que el espesor de estos cristales lamelares es mucho más pequeño que la longitud de la cadena totalmente extendida, se propuso que las cadenas se empaquetan doblándose hacia atrás y hacia adelante formando estructuras lamelares, como se muestra en la Figura 1.9</w:t>
      </w:r>
      <w:r>
        <w:rPr>
          <w:spacing w:val="36"/>
        </w:rPr>
        <w:t> </w:t>
      </w:r>
      <w:r>
        <w:rPr/>
        <w:t>[61].</w:t>
      </w:r>
    </w:p>
    <w:p>
      <w:pPr>
        <w:pStyle w:val="BodyText"/>
        <w:spacing w:before="8"/>
        <w:rPr>
          <w:sz w:val="17"/>
        </w:rPr>
      </w:pPr>
    </w:p>
    <w:p>
      <w:pPr>
        <w:pStyle w:val="BodyText"/>
        <w:spacing w:line="360" w:lineRule="auto"/>
        <w:ind w:left="122" w:right="258" w:firstLine="283"/>
        <w:jc w:val="both"/>
      </w:pPr>
      <w:r>
        <w:rPr/>
        <w:t>Por una variedad de razones tales como un punto de ramificación o alguna otra irregularidad en la estructura de la molécula, el crecimiento tendería a proceder en muchas direcciones. En efecto esto significaría un crecimiento hacia afuera del núcleo y el desarrollo de esferulitas. Ambas teorías son consistentes con muchos efectos observados en los polímeros cristalinos. El  </w:t>
      </w:r>
      <w:r>
        <w:rPr>
          <w:spacing w:val="51"/>
        </w:rPr>
        <w:t> </w:t>
      </w:r>
      <w:r>
        <w:rPr/>
        <w:t>empaquetamiento</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57"/>
        <w:jc w:val="both"/>
      </w:pPr>
      <w:r>
        <w:rPr/>
        <w:t>más cercano de las moléculas causa un incremento de densidad y la disminución de las distancias intermoleculares incrementan las fuerzas secundarias que sostienen la cadena y las propiedades mejoran [59].</w:t>
      </w:r>
    </w:p>
    <w:p>
      <w:pPr>
        <w:pStyle w:val="BodyText"/>
        <w:rPr>
          <w:sz w:val="20"/>
        </w:rPr>
      </w:pPr>
    </w:p>
    <w:p>
      <w:pPr>
        <w:pStyle w:val="BodyText"/>
        <w:spacing w:before="5"/>
        <w:rPr>
          <w:sz w:val="10"/>
        </w:rPr>
      </w:pPr>
      <w:r>
        <w:rPr/>
        <w:drawing>
          <wp:anchor distT="0" distB="0" distL="0" distR="0" allowOverlap="1" layoutInCell="1" locked="0" behindDoc="0" simplePos="0" relativeHeight="1528">
            <wp:simplePos x="0" y="0"/>
            <wp:positionH relativeFrom="page">
              <wp:posOffset>1099185</wp:posOffset>
            </wp:positionH>
            <wp:positionV relativeFrom="paragraph">
              <wp:posOffset>101296</wp:posOffset>
            </wp:positionV>
            <wp:extent cx="5580560" cy="2105025"/>
            <wp:effectExtent l="0" t="0" r="0" b="0"/>
            <wp:wrapTopAndBottom/>
            <wp:docPr id="13" name="image10.png" descr=""/>
            <wp:cNvGraphicFramePr>
              <a:graphicFrameLocks noChangeAspect="1"/>
            </wp:cNvGraphicFramePr>
            <a:graphic>
              <a:graphicData uri="http://schemas.openxmlformats.org/drawingml/2006/picture">
                <pic:pic>
                  <pic:nvPicPr>
                    <pic:cNvPr id="14" name="image10.png"/>
                    <pic:cNvPicPr/>
                  </pic:nvPicPr>
                  <pic:blipFill>
                    <a:blip r:embed="rId24" cstate="print"/>
                    <a:stretch>
                      <a:fillRect/>
                    </a:stretch>
                  </pic:blipFill>
                  <pic:spPr>
                    <a:xfrm>
                      <a:off x="0" y="0"/>
                      <a:ext cx="5580560" cy="2105025"/>
                    </a:xfrm>
                    <a:prstGeom prst="rect">
                      <a:avLst/>
                    </a:prstGeom>
                  </pic:spPr>
                </pic:pic>
              </a:graphicData>
            </a:graphic>
          </wp:anchor>
        </w:drawing>
      </w:r>
    </w:p>
    <w:p>
      <w:pPr>
        <w:pStyle w:val="BodyText"/>
        <w:spacing w:before="9"/>
        <w:rPr>
          <w:sz w:val="26"/>
        </w:rPr>
      </w:pPr>
    </w:p>
    <w:p>
      <w:pPr>
        <w:pStyle w:val="BodyText"/>
        <w:spacing w:line="360" w:lineRule="auto"/>
        <w:ind w:left="1504" w:hanging="1145"/>
      </w:pPr>
      <w:r>
        <w:rPr>
          <w:b/>
        </w:rPr>
        <w:t>Figura 1.9 </w:t>
      </w:r>
      <w:r>
        <w:rPr/>
        <w:t>Esquema de una estructura lamelar en un polímero semicristalino con dimensiones laterales X, Y y espesor l, σ y σ</w:t>
      </w:r>
      <w:r>
        <w:rPr>
          <w:position w:val="-2"/>
          <w:sz w:val="14"/>
        </w:rPr>
        <w:t>e  </w:t>
      </w:r>
      <w:r>
        <w:rPr/>
        <w:t>son las energías de superficie libres.</w:t>
      </w:r>
    </w:p>
    <w:p>
      <w:pPr>
        <w:pStyle w:val="BodyText"/>
        <w:spacing w:before="8"/>
        <w:rPr>
          <w:sz w:val="31"/>
        </w:rPr>
      </w:pPr>
    </w:p>
    <w:p>
      <w:pPr>
        <w:pStyle w:val="BodyText"/>
        <w:spacing w:line="357" w:lineRule="auto"/>
        <w:ind w:left="122" w:right="253" w:firstLine="283"/>
        <w:jc w:val="both"/>
      </w:pPr>
      <w:r>
        <w:rPr/>
        <w:t>Estudios han demostrando que la temperatura de cristalización (T</w:t>
      </w:r>
      <w:r>
        <w:rPr>
          <w:position w:val="-2"/>
          <w:sz w:val="14"/>
        </w:rPr>
        <w:t>c</w:t>
      </w:r>
      <w:r>
        <w:rPr/>
        <w:t>) y el grado de super- enfriamiento juegan un papel importante en el espesor lamelar en la cristalización por solución. Además la temperatura de fusión de los cristales individuales depende fuertemente del espesor lamelar, principalmente debido al tamaño de cristal pequeño en la dirección de la cadena [61].</w:t>
      </w:r>
    </w:p>
    <w:p>
      <w:pPr>
        <w:pStyle w:val="BodyText"/>
      </w:pPr>
    </w:p>
    <w:p>
      <w:pPr>
        <w:pStyle w:val="BodyText"/>
        <w:spacing w:line="360" w:lineRule="auto" w:before="133"/>
        <w:ind w:left="122" w:right="259" w:firstLine="283"/>
        <w:jc w:val="both"/>
      </w:pPr>
      <w:r>
        <w:rPr/>
        <w:t>Las teorías mencionadas fueron basadas en estudios experimentales de polímeros cristalizados  en solución. La cristalización a partir del fundido es un fenómeno mucho más complejo. Las cadenas de polímero en el fundido son cadenas altamente enredadas y el empaquetamiento de éstas durante los procesos de nucleación y cristalización es retardado. La cristalización a partir del fundido resulta en la formación de agregados esféricos de cristales, también llamados esferulitas, obtenidos principalmente en cristalización isotérmica y bajos super-enfriamientos</w:t>
      </w:r>
      <w:r>
        <w:rPr>
          <w:spacing w:val="-21"/>
        </w:rPr>
        <w:t> </w:t>
      </w:r>
      <w:r>
        <w:rPr/>
        <w:t>[61].</w:t>
      </w:r>
    </w:p>
    <w:p>
      <w:pPr>
        <w:pStyle w:val="BodyText"/>
      </w:pPr>
    </w:p>
    <w:p>
      <w:pPr>
        <w:pStyle w:val="BodyText"/>
        <w:spacing w:line="360" w:lineRule="auto" w:before="130"/>
        <w:ind w:left="122" w:right="258" w:firstLine="283"/>
        <w:jc w:val="both"/>
      </w:pPr>
      <w:r>
        <w:rPr/>
        <w:t>El tamaño típico de las esferulitas varía de algunos a cientos de micras dependiendo de la densidad en la nucleación. Estas estructuras son comúnmente pérdidas cuando ramas de cadenas cortas o defectos son introducidos en la estructura de la cadena. La introducción de estos también reduce la dimensión lateral y el espesor de las lamelas y en general inhiben significativamente el</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55"/>
        <w:jc w:val="both"/>
      </w:pPr>
      <w:r>
        <w:rPr/>
        <w:t>proceso de cristalización [41]. La inducción de defectos en la estructura de la cadena también disminuye la frecuencia del empaquetamiento adyacente, la cual es la base de la formación de estructuras lamelares empaquetadas regularmente y ajustadas. Como consecuencia existe una distribución de paquetes de cadenas sueltas y nudos de cadena en la fase amorfa, la cual lleva a la posibilidad de formar cristales secundarios en la región amorfa limitada. Otros factores como el incremento de la longitud y rígidez de la cadena pueden llevar a resultados similares. La formación de cristales secundarios explica el incremento continuo del grado de cristalinidad que ha sido observado en muchos casos después de la cristalización secundaria. Aunque también en algunos casos bajo condiciones específicas este incremento de cristalinidad puede ser atribuido a otros mecanismos como aumento del espesor lamelar [41].</w:t>
      </w:r>
    </w:p>
    <w:p>
      <w:pPr>
        <w:pStyle w:val="BodyText"/>
      </w:pPr>
    </w:p>
    <w:p>
      <w:pPr>
        <w:pStyle w:val="Heading4"/>
        <w:numPr>
          <w:ilvl w:val="3"/>
          <w:numId w:val="8"/>
        </w:numPr>
        <w:tabs>
          <w:tab w:pos="974" w:val="left" w:leader="none"/>
        </w:tabs>
        <w:spacing w:line="240" w:lineRule="auto" w:before="135" w:after="0"/>
        <w:ind w:left="974" w:right="0" w:hanging="852"/>
        <w:jc w:val="both"/>
      </w:pPr>
      <w:r>
        <w:rPr/>
        <w:t>Nucleación homogénea y</w:t>
      </w:r>
      <w:r>
        <w:rPr>
          <w:spacing w:val="-5"/>
        </w:rPr>
        <w:t> </w:t>
      </w:r>
      <w:r>
        <w:rPr/>
        <w:t>heterogénea</w:t>
      </w:r>
    </w:p>
    <w:p>
      <w:pPr>
        <w:pStyle w:val="BodyText"/>
        <w:spacing w:line="360" w:lineRule="auto" w:before="121"/>
        <w:ind w:left="122" w:right="259" w:firstLine="283"/>
        <w:jc w:val="both"/>
      </w:pPr>
      <w:r>
        <w:rPr/>
        <w:t>La nucleación en los polímeros puede ser homogénea o heterogénea. La nucleación homogénea generalmente no provee propiedades consistentes, ya que los núcleos aparecen a lo largo de la cristalización, dando una distribución de tamaños amplia y por lo tanto la cristalización será controlada principalmente por las condiciones de procesamiento [62].</w:t>
      </w:r>
    </w:p>
    <w:p>
      <w:pPr>
        <w:pStyle w:val="BodyText"/>
      </w:pPr>
    </w:p>
    <w:p>
      <w:pPr>
        <w:pStyle w:val="BodyText"/>
        <w:spacing w:line="360" w:lineRule="auto" w:before="133"/>
        <w:ind w:left="122" w:right="255" w:firstLine="283"/>
        <w:jc w:val="both"/>
      </w:pPr>
      <w:r>
        <w:rPr/>
        <w:t>La nucleación homogénea ocurre como resultado de movimientos al azar de los segmentos de  los polímeros y unos cuantos segmentos que han adoptado la misma conformación como ellos tendrían en un cristalito. Anteriormente se consideraba que la preferencia de la formación de dichos núcleos era más alta justo arriba de la temperatura de transición vítrea mientras que la velocidad de crecimiento se encontraba justo debajo del punto de fusión. Lo cual explicaba la observación de que el máximo de la velocidad de cristalización global se encuentra aproximadamente a mitad de la temperatura de transición vítrea y la temperatura de fusión. Sin embargo actualmente se cree que tanto como la velocidad de nucleación y la velocidad de crecimiento son dependientes de la temperatura de la misma forma. En muchos productos poliméricos es deseable tener un alto grado de cristalinidad pero tamaño pequeño de esferulitas. Una velocidad de nucleación homogénea alta requiere que los polímeros sean mantenidos a una temperatura entre la temperatura de transición vítrea y la temperatura de fusión. El procesamiento de polímeros demanda un rápido enfriamiento y es deseable acelerar este proceso</w:t>
      </w:r>
      <w:r>
        <w:rPr>
          <w:spacing w:val="-10"/>
        </w:rPr>
        <w:t> </w:t>
      </w:r>
      <w:r>
        <w:rPr/>
        <w:t>[59].</w:t>
      </w:r>
    </w:p>
    <w:p>
      <w:pPr>
        <w:pStyle w:val="BodyText"/>
      </w:pPr>
    </w:p>
    <w:p>
      <w:pPr>
        <w:pStyle w:val="BodyText"/>
        <w:spacing w:line="360" w:lineRule="auto" w:before="130"/>
        <w:ind w:left="122" w:right="261" w:firstLine="283"/>
        <w:jc w:val="both"/>
      </w:pPr>
      <w:r>
        <w:rPr/>
        <w:t>Altas velocidades de nucleación y crecimiento pueden ser alcanzadas a través de la nucleación heterogénea. Se sabe que la presencia de agentes nucleantes afecta significativamente la cinética  de</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55"/>
        <w:jc w:val="both"/>
      </w:pPr>
      <w:r>
        <w:rPr/>
        <w:t>crecimiento y la morfología de las estructuras que se forman durante la cristalización. En este caso la nucleación se inicia por el efecto de una partícula exterior que pueden ser residuos del iniciador, impurezas o preferentemente por la adición de agentes nucleantes especializados [63]. La  nucleación heterogénea produce cristales de tamaño consistente debido a que todos los núcleos se encuentran presentes al inicio de la cristalización, por lo que los nucleantes controlan este proceso [62].</w:t>
      </w:r>
    </w:p>
    <w:p>
      <w:pPr>
        <w:pStyle w:val="BodyText"/>
      </w:pPr>
    </w:p>
    <w:p>
      <w:pPr>
        <w:pStyle w:val="BodyText"/>
        <w:spacing w:line="360" w:lineRule="auto" w:before="130"/>
        <w:ind w:left="122" w:right="258" w:firstLine="283"/>
        <w:jc w:val="both"/>
      </w:pPr>
      <w:r>
        <w:rPr/>
        <w:t>Desde un punto de vista termodinámico las moléculas del agente nucleante contribuyen a la disminución local de energía libre, las cuales dan lugar a las regiones donde la cristalización va a llevarse a cabo, como se observa en la Figura 1.10, lo que quiere decir que:</w:t>
      </w:r>
    </w:p>
    <w:p>
      <w:pPr>
        <w:pStyle w:val="BodyText"/>
        <w:spacing w:before="8"/>
        <w:rPr>
          <w:sz w:val="17"/>
        </w:rPr>
      </w:pPr>
    </w:p>
    <w:p>
      <w:pPr>
        <w:pStyle w:val="ListParagraph"/>
        <w:numPr>
          <w:ilvl w:val="4"/>
          <w:numId w:val="8"/>
        </w:numPr>
        <w:tabs>
          <w:tab w:pos="842" w:val="left" w:leader="none"/>
        </w:tabs>
        <w:spacing w:line="360" w:lineRule="auto" w:before="0" w:after="0"/>
        <w:ind w:left="842" w:right="262" w:hanging="360"/>
        <w:jc w:val="both"/>
        <w:rPr>
          <w:sz w:val="22"/>
        </w:rPr>
      </w:pPr>
      <w:r>
        <w:rPr>
          <w:sz w:val="22"/>
        </w:rPr>
        <w:t>En este caso la nucleación secundaria también es el proceso controlante del crecimiento lamelar.</w:t>
      </w:r>
    </w:p>
    <w:p>
      <w:pPr>
        <w:pStyle w:val="ListParagraph"/>
        <w:numPr>
          <w:ilvl w:val="4"/>
          <w:numId w:val="8"/>
        </w:numPr>
        <w:tabs>
          <w:tab w:pos="842" w:val="left" w:leader="none"/>
        </w:tabs>
        <w:spacing w:line="360" w:lineRule="auto" w:before="4" w:after="0"/>
        <w:ind w:left="842" w:right="261" w:hanging="360"/>
        <w:jc w:val="both"/>
        <w:rPr>
          <w:sz w:val="22"/>
        </w:rPr>
      </w:pPr>
      <w:r>
        <w:rPr>
          <w:sz w:val="22"/>
        </w:rPr>
        <w:t>Las moléculas nucleantes no solo estan involucradas en la nucleación primaria pero  tambien en el proceso de</w:t>
      </w:r>
      <w:r>
        <w:rPr>
          <w:spacing w:val="-12"/>
          <w:sz w:val="22"/>
        </w:rPr>
        <w:t> </w:t>
      </w:r>
      <w:r>
        <w:rPr>
          <w:sz w:val="22"/>
        </w:rPr>
        <w:t>crecimiento.</w:t>
      </w:r>
    </w:p>
    <w:p>
      <w:pPr>
        <w:pStyle w:val="ListParagraph"/>
        <w:numPr>
          <w:ilvl w:val="4"/>
          <w:numId w:val="8"/>
        </w:numPr>
        <w:tabs>
          <w:tab w:pos="842" w:val="left" w:leader="none"/>
        </w:tabs>
        <w:spacing w:line="360" w:lineRule="auto" w:before="7" w:after="0"/>
        <w:ind w:left="842" w:right="262" w:hanging="360"/>
        <w:jc w:val="both"/>
        <w:rPr>
          <w:sz w:val="22"/>
        </w:rPr>
      </w:pPr>
      <w:r>
        <w:rPr>
          <w:sz w:val="22"/>
        </w:rPr>
        <w:t>Las moléculas nucleantes que dejan las regiones cristalinas permanecen cerca de los planos de empaquetamiento para mantener la enegía libre local</w:t>
      </w:r>
      <w:r>
        <w:rPr>
          <w:spacing w:val="-11"/>
          <w:sz w:val="22"/>
        </w:rPr>
        <w:t> </w:t>
      </w:r>
      <w:r>
        <w:rPr>
          <w:sz w:val="22"/>
        </w:rPr>
        <w:t>baja.</w:t>
      </w:r>
    </w:p>
    <w:p>
      <w:pPr>
        <w:pStyle w:val="ListParagraph"/>
        <w:numPr>
          <w:ilvl w:val="4"/>
          <w:numId w:val="8"/>
        </w:numPr>
        <w:tabs>
          <w:tab w:pos="842" w:val="left" w:leader="none"/>
        </w:tabs>
        <w:spacing w:line="360" w:lineRule="auto" w:before="5" w:after="10"/>
        <w:ind w:left="842" w:right="255" w:hanging="360"/>
        <w:jc w:val="both"/>
        <w:rPr>
          <w:sz w:val="22"/>
        </w:rPr>
      </w:pPr>
      <w:r>
        <w:rPr>
          <w:sz w:val="22"/>
        </w:rPr>
        <w:t>Haciendo la hipótesis de que la mayor contribución al cambio de energía libre viene dada por las moléculas nucleantes, las cuales se encontraban en las regiones donde se llevaba la cristalización, significa asumir que las lamelas son suficientemente más gruesas que las regiones interlamelares amorfas o que la concentración del nucleante en el estado amorfo permanece substancialmente</w:t>
      </w:r>
      <w:r>
        <w:rPr>
          <w:spacing w:val="-7"/>
          <w:sz w:val="22"/>
        </w:rPr>
        <w:t> </w:t>
      </w:r>
      <w:r>
        <w:rPr>
          <w:sz w:val="22"/>
        </w:rPr>
        <w:t>inalterada.</w:t>
      </w:r>
    </w:p>
    <w:p>
      <w:pPr>
        <w:pStyle w:val="BodyText"/>
        <w:ind w:left="1075"/>
        <w:rPr>
          <w:sz w:val="20"/>
        </w:rPr>
      </w:pPr>
      <w:r>
        <w:rPr>
          <w:sz w:val="20"/>
        </w:rPr>
        <w:drawing>
          <wp:inline distT="0" distB="0" distL="0" distR="0">
            <wp:extent cx="4417693" cy="1947291"/>
            <wp:effectExtent l="0" t="0" r="0" b="0"/>
            <wp:docPr id="15" name="image11.png" descr=""/>
            <wp:cNvGraphicFramePr>
              <a:graphicFrameLocks noChangeAspect="1"/>
            </wp:cNvGraphicFramePr>
            <a:graphic>
              <a:graphicData uri="http://schemas.openxmlformats.org/drawingml/2006/picture">
                <pic:pic>
                  <pic:nvPicPr>
                    <pic:cNvPr id="16" name="image11.png"/>
                    <pic:cNvPicPr/>
                  </pic:nvPicPr>
                  <pic:blipFill>
                    <a:blip r:embed="rId25" cstate="print"/>
                    <a:stretch>
                      <a:fillRect/>
                    </a:stretch>
                  </pic:blipFill>
                  <pic:spPr>
                    <a:xfrm>
                      <a:off x="0" y="0"/>
                      <a:ext cx="4417693" cy="1947291"/>
                    </a:xfrm>
                    <a:prstGeom prst="rect">
                      <a:avLst/>
                    </a:prstGeom>
                  </pic:spPr>
                </pic:pic>
              </a:graphicData>
            </a:graphic>
          </wp:inline>
        </w:drawing>
      </w:r>
      <w:r>
        <w:rPr>
          <w:sz w:val="20"/>
        </w:rPr>
      </w:r>
    </w:p>
    <w:p>
      <w:pPr>
        <w:pStyle w:val="BodyText"/>
        <w:spacing w:before="6"/>
        <w:rPr>
          <w:sz w:val="27"/>
        </w:rPr>
      </w:pPr>
    </w:p>
    <w:p>
      <w:pPr>
        <w:pStyle w:val="BodyText"/>
        <w:spacing w:line="360" w:lineRule="auto"/>
        <w:ind w:left="164" w:right="304"/>
        <w:jc w:val="center"/>
      </w:pPr>
      <w:r>
        <w:rPr>
          <w:b/>
        </w:rPr>
        <w:t>Figura 1.10 </w:t>
      </w:r>
      <w:r>
        <w:rPr/>
        <w:t>Representación de la configuración de la cadena en una región de crecimiento lamelar (el plano de la estructura lamelar es perpendicular al de la hoja). Las moléculas nucleantes están indicadas con círculos con la letra n [62].</w:t>
      </w:r>
    </w:p>
    <w:p>
      <w:pPr>
        <w:spacing w:after="0" w:line="360" w:lineRule="auto"/>
        <w:jc w:val="center"/>
        <w:sectPr>
          <w:pgSz w:w="12240" w:h="15840"/>
          <w:pgMar w:header="730" w:footer="1062" w:top="1160" w:bottom="1260" w:left="1580" w:right="1440"/>
        </w:sectPr>
      </w:pPr>
    </w:p>
    <w:p>
      <w:pPr>
        <w:pStyle w:val="BodyText"/>
        <w:spacing w:before="7"/>
        <w:rPr>
          <w:sz w:val="21"/>
        </w:rPr>
      </w:pPr>
    </w:p>
    <w:p>
      <w:pPr>
        <w:pStyle w:val="Heading4"/>
        <w:numPr>
          <w:ilvl w:val="2"/>
          <w:numId w:val="9"/>
        </w:numPr>
        <w:tabs>
          <w:tab w:pos="689" w:val="left" w:leader="none"/>
        </w:tabs>
        <w:spacing w:line="240" w:lineRule="auto" w:before="72" w:after="0"/>
        <w:ind w:left="688" w:right="0" w:hanging="566"/>
        <w:jc w:val="left"/>
      </w:pPr>
      <w:r>
        <w:rPr/>
        <w:t>Cristalización en</w:t>
      </w:r>
      <w:r>
        <w:rPr>
          <w:spacing w:val="-8"/>
        </w:rPr>
        <w:t> </w:t>
      </w:r>
      <w:r>
        <w:rPr/>
        <w:t>nanocompositos</w:t>
      </w:r>
    </w:p>
    <w:p>
      <w:pPr>
        <w:pStyle w:val="BodyText"/>
        <w:spacing w:line="360" w:lineRule="auto" w:before="121"/>
        <w:ind w:left="122" w:right="256" w:firstLine="283"/>
        <w:jc w:val="both"/>
      </w:pPr>
      <w:r>
        <w:rPr/>
        <w:t>La tendencia general de los resultados obtenidos de la adición de agentes nucleantes en las matrices es la aceleración o retardo de la cristalización, cambios en el tamaño de las esferulitas, cambios en la morfología y en algunos casos cambios en la estructura del cristal. Todas estas observaciones están relacionadas cuando esta segunda fase tiene dimensiones micrométricas, sin embargo cuando las dimensiones de la segunda fase son cercanas a las dimensiones de la cadena los efectos de cristalización se vuelven particularmente interesantes [11].</w:t>
      </w:r>
    </w:p>
    <w:p>
      <w:pPr>
        <w:pStyle w:val="BodyText"/>
      </w:pPr>
    </w:p>
    <w:p>
      <w:pPr>
        <w:pStyle w:val="BodyText"/>
        <w:spacing w:line="360" w:lineRule="auto" w:before="133"/>
        <w:ind w:left="122" w:right="255" w:firstLine="283"/>
        <w:jc w:val="both"/>
      </w:pPr>
      <w:r>
        <w:rPr/>
        <w:t>Además, es ampliamente conocido que la velocidad de cristalización y el grado de cristalinidad pueden ser influenciados por la cristalización en espacios confinados. En este caso, las dimensiones disponibles para el crecimiento esferulítico son tan pequeñas que los núcleos primarios no están presentes para la cristalización heterogénea y por lo tanto se presenta una nucleación homogénea. Con la incorporación de nanopartículas en la matriz polimérica se han observado resultados similares a la cristalinidad confinada, así como efectos de nucleación y de disminución de tamaño de las esferulitas. Además el alto contenido de nanopartículas provoca la disminución en  la velocidad de difusión de la cadena que a su vez lleva a una disminución en la cinética de cristalización [4]. Algunos de los efectos resultantes de la cristalización en nanocompositos poliméricos con CNTs y grafeno se mencionan a</w:t>
      </w:r>
      <w:r>
        <w:rPr>
          <w:spacing w:val="-11"/>
        </w:rPr>
        <w:t> </w:t>
      </w:r>
      <w:r>
        <w:rPr/>
        <w:t>continuación.</w:t>
      </w:r>
    </w:p>
    <w:p>
      <w:pPr>
        <w:pStyle w:val="BodyText"/>
      </w:pPr>
    </w:p>
    <w:p>
      <w:pPr>
        <w:pStyle w:val="BodyText"/>
        <w:spacing w:line="360" w:lineRule="auto" w:before="130"/>
        <w:ind w:left="122" w:right="255" w:firstLine="283"/>
        <w:jc w:val="both"/>
      </w:pPr>
      <w:r>
        <w:rPr/>
        <w:t>La cristalización isotérmica de MWNTs en nylon 6,6 mostró que la adición de los nanotubos disminuye ligeramente la dimensión de los cristales. La velocidad de crecimiento aumentó llegando a un máximo para después disminuir a medida que el contenido de MWNTs se incrementó [12]. Nanocompositos de nylon 6,6 con MWNTs obtenidos por </w:t>
      </w:r>
      <w:r>
        <w:rPr>
          <w:i/>
        </w:rPr>
        <w:t>electrospinning </w:t>
      </w:r>
      <w:r>
        <w:rPr/>
        <w:t>mostraron el efecto nucleante que proporcionan estos nanomateriales, donde se obtuvo un aumento en el grado de cristalinidad a medida que la concentración del refuerzo aumentaba, además se encontró que los nanotubos promueven la formación de la fase cristalina α [64]. Nanocompositos de nylon 6 con MWNTs funcionalizados mostraron que la adición de éstos no tuvo influencia significativa en la estructura del cristal, mientras que los nanotubos de carbono retardaron el crecimiento de los cristales α del nylon 6. Sin embargo estudios de cristalización de estos nanocompositos mostraron el efecto nucleante donde su T</w:t>
      </w:r>
      <w:r>
        <w:rPr>
          <w:position w:val="-2"/>
          <w:sz w:val="14"/>
        </w:rPr>
        <w:t>c </w:t>
      </w:r>
      <w:r>
        <w:rPr/>
        <w:t>se incrementó en 10°C [65].</w:t>
      </w:r>
    </w:p>
    <w:p>
      <w:pPr>
        <w:pStyle w:val="BodyText"/>
        <w:spacing w:before="8"/>
        <w:rPr>
          <w:sz w:val="31"/>
        </w:rPr>
      </w:pPr>
    </w:p>
    <w:p>
      <w:pPr>
        <w:pStyle w:val="BodyText"/>
        <w:spacing w:line="360" w:lineRule="auto"/>
        <w:ind w:left="122" w:right="262" w:firstLine="283"/>
        <w:jc w:val="both"/>
      </w:pPr>
      <w:r>
        <w:rPr/>
        <w:t>De manera similar en el caso del grafeno, dependiendo del polímero semicristalino la incorporación  de  éste  como  refuerzo  causa  un  incremento  o  una  disminución  en  el  grado de</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55"/>
        <w:jc w:val="both"/>
      </w:pPr>
      <w:r>
        <w:rPr/>
        <w:t>cristalinidad. La presencia de estos nanorefuerzos también puede afectar la velocidad de cristalización, se han reportado casos en donde se acelera la cinética de crecimiento de los cristales sin embargo el efecto es menos pronunciado que en los nanotubos de carbono [19]. Resultados de nanocompositos de ácido poliláctico y grafeno mostraron que este nanomaterial puede actuar como agente nucleante y acelerar la cristalización durante la cristalización isotérmica [66]. En contraste, un estudio no isotérmico de la cinética de cristalización de compositos de nylon 6 y grafeno mostró que a velocidades de enfriamiento bajas (5, 10 y 20 °K/min) los nanocompositos tienen menor velocidad de cristalización que el nylon 6 puro. Sin embargo a velocidades de enfriamiento más altas (40°K/min) los compositos tienen una velocidad de cristalización más alta que la del polímero puro [67]. El estudio de nanocompositos de polipropileno con óxido de grafeno y nanotubos con grupos alquilo mostró que el grafeno funcionalizado actúa como agente nucleante para la cristalización proporcionando una área superficial grande para la absorción de la cadena de polipropileno, lo que facilitó la nucleación. Sin embargo la habilidad de nucleación de este material es inferior a la de los nanotubos con grupos alquilo</w:t>
      </w:r>
      <w:r>
        <w:rPr>
          <w:spacing w:val="-16"/>
        </w:rPr>
        <w:t> </w:t>
      </w:r>
      <w:r>
        <w:rPr/>
        <w:t>[68].</w:t>
      </w:r>
    </w:p>
    <w:p>
      <w:pPr>
        <w:pStyle w:val="BodyText"/>
      </w:pPr>
    </w:p>
    <w:p>
      <w:pPr>
        <w:pStyle w:val="Heading4"/>
        <w:numPr>
          <w:ilvl w:val="2"/>
          <w:numId w:val="9"/>
        </w:numPr>
        <w:tabs>
          <w:tab w:pos="842" w:val="left" w:leader="none"/>
        </w:tabs>
        <w:spacing w:line="240" w:lineRule="auto" w:before="135" w:after="0"/>
        <w:ind w:left="842" w:right="0" w:hanging="720"/>
        <w:jc w:val="both"/>
      </w:pPr>
      <w:r>
        <w:rPr/>
        <w:t>Procesamiento de</w:t>
      </w:r>
      <w:r>
        <w:rPr>
          <w:spacing w:val="-8"/>
        </w:rPr>
        <w:t> </w:t>
      </w:r>
      <w:r>
        <w:rPr/>
        <w:t>polímeros</w:t>
      </w:r>
    </w:p>
    <w:p>
      <w:pPr>
        <w:pStyle w:val="BodyText"/>
        <w:spacing w:line="360" w:lineRule="auto" w:before="121"/>
        <w:ind w:left="122" w:right="255" w:firstLine="359"/>
        <w:jc w:val="both"/>
      </w:pPr>
      <w:r>
        <w:rPr/>
        <w:t>La estructura y propiedades de los polímeros están en función de su estructura física, composición química y el procesamiento empleado. Existen muchos procesos para la manufactura de los polímeros, los procesos comerciales más importantes caen en tres categorías:</w:t>
      </w:r>
    </w:p>
    <w:p>
      <w:pPr>
        <w:pStyle w:val="BodyText"/>
        <w:spacing w:before="8"/>
        <w:rPr>
          <w:sz w:val="17"/>
        </w:rPr>
      </w:pPr>
    </w:p>
    <w:p>
      <w:pPr>
        <w:pStyle w:val="ListParagraph"/>
        <w:numPr>
          <w:ilvl w:val="3"/>
          <w:numId w:val="9"/>
        </w:numPr>
        <w:tabs>
          <w:tab w:pos="842" w:val="left" w:leader="none"/>
        </w:tabs>
        <w:spacing w:line="240" w:lineRule="auto" w:before="0" w:after="0"/>
        <w:ind w:left="842" w:right="0" w:hanging="360"/>
        <w:jc w:val="left"/>
        <w:rPr>
          <w:sz w:val="22"/>
        </w:rPr>
      </w:pPr>
      <w:r>
        <w:rPr>
          <w:sz w:val="22"/>
        </w:rPr>
        <w:t>Procesos continuos (hilado de fibras, extrusión, calandrado,</w:t>
      </w:r>
      <w:r>
        <w:rPr>
          <w:spacing w:val="-12"/>
          <w:sz w:val="22"/>
        </w:rPr>
        <w:t> </w:t>
      </w:r>
      <w:r>
        <w:rPr>
          <w:sz w:val="22"/>
        </w:rPr>
        <w:t>etc.)</w:t>
      </w:r>
    </w:p>
    <w:p>
      <w:pPr>
        <w:pStyle w:val="ListParagraph"/>
        <w:numPr>
          <w:ilvl w:val="3"/>
          <w:numId w:val="9"/>
        </w:numPr>
        <w:tabs>
          <w:tab w:pos="842" w:val="left" w:leader="none"/>
        </w:tabs>
        <w:spacing w:line="240" w:lineRule="auto" w:before="126" w:after="0"/>
        <w:ind w:left="842" w:right="0" w:hanging="360"/>
        <w:jc w:val="left"/>
        <w:rPr>
          <w:sz w:val="22"/>
        </w:rPr>
      </w:pPr>
      <w:r>
        <w:rPr>
          <w:sz w:val="22"/>
        </w:rPr>
        <w:t>Semicontinuos (moldeo por inyección y moldeo por</w:t>
      </w:r>
      <w:r>
        <w:rPr>
          <w:spacing w:val="-16"/>
          <w:sz w:val="22"/>
        </w:rPr>
        <w:t> </w:t>
      </w:r>
      <w:r>
        <w:rPr>
          <w:sz w:val="22"/>
        </w:rPr>
        <w:t>soplado)</w:t>
      </w:r>
    </w:p>
    <w:p>
      <w:pPr>
        <w:pStyle w:val="ListParagraph"/>
        <w:numPr>
          <w:ilvl w:val="3"/>
          <w:numId w:val="9"/>
        </w:numPr>
        <w:tabs>
          <w:tab w:pos="842" w:val="left" w:leader="none"/>
        </w:tabs>
        <w:spacing w:line="240" w:lineRule="auto" w:before="126" w:after="0"/>
        <w:ind w:left="842" w:right="0" w:hanging="360"/>
        <w:jc w:val="left"/>
        <w:rPr>
          <w:sz w:val="22"/>
        </w:rPr>
      </w:pPr>
      <w:r>
        <w:rPr>
          <w:sz w:val="22"/>
        </w:rPr>
        <w:t>Por lotes (moldeo por compresión y</w:t>
      </w:r>
      <w:r>
        <w:rPr>
          <w:spacing w:val="-13"/>
          <w:sz w:val="22"/>
        </w:rPr>
        <w:t> </w:t>
      </w:r>
      <w:r>
        <w:rPr>
          <w:sz w:val="22"/>
        </w:rPr>
        <w:t>termoformado)</w:t>
      </w:r>
    </w:p>
    <w:p>
      <w:pPr>
        <w:pStyle w:val="BodyText"/>
      </w:pPr>
    </w:p>
    <w:p>
      <w:pPr>
        <w:pStyle w:val="BodyText"/>
        <w:spacing w:before="1"/>
      </w:pPr>
    </w:p>
    <w:p>
      <w:pPr>
        <w:pStyle w:val="BodyText"/>
        <w:spacing w:line="360" w:lineRule="auto" w:before="1"/>
        <w:ind w:left="122" w:right="263" w:firstLine="359"/>
        <w:jc w:val="both"/>
      </w:pPr>
      <w:r>
        <w:rPr/>
        <w:t>El estudio de las relaciones entre las propiedades y morfología de los polímeros requiere un entendimiento del procesamiento de estos. A continuación se explican los procesos utilizados en este</w:t>
      </w:r>
      <w:r>
        <w:rPr>
          <w:spacing w:val="-3"/>
        </w:rPr>
        <w:t> </w:t>
      </w:r>
      <w:r>
        <w:rPr/>
        <w:t>proyecto.</w:t>
      </w:r>
    </w:p>
    <w:p>
      <w:pPr>
        <w:pStyle w:val="BodyText"/>
      </w:pPr>
    </w:p>
    <w:p>
      <w:pPr>
        <w:pStyle w:val="Heading5"/>
        <w:numPr>
          <w:ilvl w:val="3"/>
          <w:numId w:val="10"/>
        </w:numPr>
        <w:tabs>
          <w:tab w:pos="974" w:val="left" w:leader="none"/>
        </w:tabs>
        <w:spacing w:line="240" w:lineRule="auto" w:before="135" w:after="0"/>
        <w:ind w:left="974" w:right="0" w:hanging="852"/>
        <w:jc w:val="both"/>
        <w:rPr>
          <w:i/>
        </w:rPr>
      </w:pPr>
      <w:r>
        <w:rPr>
          <w:i/>
        </w:rPr>
        <w:t>Electrospinning</w:t>
      </w:r>
    </w:p>
    <w:p>
      <w:pPr>
        <w:pStyle w:val="BodyText"/>
        <w:spacing w:line="360" w:lineRule="auto" w:before="121"/>
        <w:ind w:left="122" w:right="258" w:firstLine="283"/>
        <w:jc w:val="both"/>
      </w:pPr>
      <w:r>
        <w:rPr/>
        <w:t>El proceso de </w:t>
      </w:r>
      <w:r>
        <w:rPr>
          <w:i/>
        </w:rPr>
        <w:t>electrospinning </w:t>
      </w:r>
      <w:r>
        <w:rPr/>
        <w:t>involucra la generación de fibras poliméricas a través de un campo eléctrico proporcionado a una gota de una solución de polímero que pasa a través de la punta de un orificio fino [69]. En la Figura 1.11, se observan los elementos de un equipo utilizado para llevar a cabo este proceso, en éste, un campo electrostático es aplicado entre dos polos opuestos conformados por una aguja o sistema de inyección que contiene la solución polimérica y una   placa</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55"/>
        <w:jc w:val="both"/>
      </w:pPr>
      <w:r>
        <w:rPr/>
        <w:t>metálica o colector donde se depositan las fibras, dichas partes van conectadas a un electrodo positivo y negativo que proporcionan el voltaje que se obtiene a partir de una fuente de poder [70]. El voltaje aplicado, usualmente de 5-30 kV, sobrepasa la tensión superficial del polímero disuelto por lo que este se proyecta en forma de capilar desde el vértice de un menisco electrificado, que adopta la forma de un cono estacionario, llamado cono de Taylor, del cual emerge un minichorro formando fibras que se separan y alargan sufriendo divisiones y rompimientos conforme recorren cierta distancia, trayectoria en la cual se evapora el solvente, hasta que son depositadas en una placa metálica donde forman una red interconectada [70].</w:t>
      </w:r>
    </w:p>
    <w:p>
      <w:pPr>
        <w:pStyle w:val="BodyText"/>
      </w:pPr>
    </w:p>
    <w:p>
      <w:pPr>
        <w:pStyle w:val="BodyText"/>
        <w:spacing w:line="360" w:lineRule="auto" w:before="133"/>
        <w:ind w:left="122" w:right="255" w:firstLine="283"/>
        <w:jc w:val="both"/>
      </w:pPr>
      <w:r>
        <w:rPr/>
        <w:t>Una característica importante de esta técnica es que produce fibras con diámetros que varían de nanómetros a unos cuantos micrómetros y cuyas dimensiones no son fáciles de obtener por otros métodos [64]. La morfología de las fibras dependerá de la fuerza del campo eléctrico, la distancia  de la punta al colector, la velocidad de flujo de la solución, el diámetro de la aguja de inyección, la velocidad del colector (en caso de ser móvil), la humedad relativa, el tipo de polímero usado, la concentración de la solución y propiedades dieléctricas de la solución</w:t>
      </w:r>
      <w:r>
        <w:rPr>
          <w:spacing w:val="-16"/>
        </w:rPr>
        <w:t> </w:t>
      </w:r>
      <w:r>
        <w:rPr/>
        <w:t>[71].</w:t>
      </w:r>
    </w:p>
    <w:p>
      <w:pPr>
        <w:pStyle w:val="BodyText"/>
      </w:pPr>
    </w:p>
    <w:p>
      <w:pPr>
        <w:pStyle w:val="BodyText"/>
        <w:spacing w:line="360" w:lineRule="auto" w:before="130"/>
        <w:ind w:left="122" w:right="260" w:firstLine="283"/>
        <w:jc w:val="both"/>
      </w:pPr>
      <w:r>
        <w:rPr/>
        <w:t>El voltaje aplicado puede ser usado para controlar la cantidad de polímero que alcanza el colector. A bajo voltaje se producen fibras con morfología cilíndrica y unos cuantos defectos en forma de gotas. Cuando el voltaje se incrementa, permanece la morfología cilíndrica pero con más defectos de gota [72].</w:t>
      </w:r>
    </w:p>
    <w:p>
      <w:pPr>
        <w:pStyle w:val="BodyText"/>
        <w:rPr>
          <w:sz w:val="20"/>
        </w:rPr>
      </w:pPr>
    </w:p>
    <w:p>
      <w:pPr>
        <w:pStyle w:val="BodyText"/>
        <w:spacing w:before="4"/>
        <w:rPr>
          <w:sz w:val="27"/>
        </w:rPr>
      </w:pPr>
      <w:r>
        <w:rPr/>
        <w:pict>
          <v:group style="position:absolute;margin-left:86.550003pt;margin-top:17.720753pt;width:441.3pt;height:181.75pt;mso-position-horizontal-relative:page;mso-position-vertical-relative:paragraph;z-index:1648;mso-wrap-distance-left:0;mso-wrap-distance-right:0" coordorigin="1731,354" coordsize="8826,3635">
            <v:shape style="position:absolute;left:1731;top:538;width:8825;height:3452" type="#_x0000_t75" stroked="false">
              <v:imagedata r:id="rId26" o:title=""/>
            </v:shape>
            <v:rect style="position:absolute;left:8321;top:2955;width:1084;height:432" filled="true" fillcolor="#ffffff" stroked="false">
              <v:fill type="solid"/>
            </v:rect>
            <v:rect style="position:absolute;left:5726;top:2457;width:2318;height:342" filled="true" fillcolor="#ffffff" stroked="false">
              <v:fill type="solid"/>
            </v:rect>
            <v:rect style="position:absolute;left:1886;top:354;width:2089;height:690" filled="true" fillcolor="#ffffff" stroked="false">
              <v:fill type="solid"/>
            </v:rect>
            <v:rect style="position:absolute;left:2486;top:2457;width:2340;height:690" filled="true" fillcolor="#ffffff" stroked="false">
              <v:fill type="solid"/>
            </v:rect>
            <v:shape style="position:absolute;left:2086;top:450;width:4049;height:792" type="#_x0000_t202" filled="false" stroked="false">
              <v:textbox inset="0,0,0,0">
                <w:txbxContent>
                  <w:p>
                    <w:pPr>
                      <w:spacing w:line="225" w:lineRule="exact" w:before="0"/>
                      <w:ind w:left="0" w:right="0" w:firstLine="0"/>
                      <w:jc w:val="left"/>
                      <w:rPr>
                        <w:sz w:val="22"/>
                      </w:rPr>
                    </w:pPr>
                    <w:r>
                      <w:rPr>
                        <w:sz w:val="22"/>
                      </w:rPr>
                      <w:t>Velocidad de Flujo</w:t>
                    </w:r>
                  </w:p>
                  <w:p>
                    <w:pPr>
                      <w:tabs>
                        <w:tab w:pos="2079" w:val="left" w:leader="none"/>
                        <w:tab w:pos="3223" w:val="left" w:leader="none"/>
                      </w:tabs>
                      <w:spacing w:before="17"/>
                      <w:ind w:left="429" w:right="0" w:firstLine="0"/>
                      <w:jc w:val="left"/>
                      <w:rPr>
                        <w:sz w:val="22"/>
                      </w:rPr>
                    </w:pPr>
                    <w:r>
                      <w:rPr>
                        <w:sz w:val="22"/>
                      </w:rPr>
                      <w:t>constante</w:t>
                      <w:tab/>
                    </w:r>
                    <w:r>
                      <w:rPr>
                        <w:position w:val="2"/>
                        <w:sz w:val="22"/>
                        <w:shd w:fill="FFFFFF" w:color="auto" w:val="clear"/>
                      </w:rPr>
                      <w:t>Jeringa</w:t>
                      <w:tab/>
                    </w:r>
                  </w:p>
                  <w:p>
                    <w:pPr>
                      <w:tabs>
                        <w:tab w:pos="918" w:val="left" w:leader="none"/>
                      </w:tabs>
                      <w:spacing w:line="249" w:lineRule="exact" w:before="28"/>
                      <w:ind w:left="0" w:right="0" w:firstLine="0"/>
                      <w:jc w:val="right"/>
                      <w:rPr>
                        <w:sz w:val="22"/>
                      </w:rPr>
                    </w:pPr>
                    <w:r>
                      <w:rPr>
                        <w:w w:val="100"/>
                        <w:sz w:val="22"/>
                        <w:shd w:fill="FFFFFF" w:color="auto" w:val="clear"/>
                      </w:rPr>
                      <w:t> </w:t>
                    </w:r>
                    <w:r>
                      <w:rPr>
                        <w:sz w:val="22"/>
                        <w:shd w:fill="FFFFFF" w:color="auto" w:val="clear"/>
                      </w:rPr>
                      <w:t> </w:t>
                    </w:r>
                    <w:r>
                      <w:rPr>
                        <w:spacing w:val="-21"/>
                        <w:sz w:val="22"/>
                        <w:shd w:fill="FFFFFF" w:color="auto" w:val="clear"/>
                      </w:rPr>
                      <w:t> </w:t>
                    </w:r>
                    <w:r>
                      <w:rPr>
                        <w:spacing w:val="-1"/>
                        <w:sz w:val="22"/>
                        <w:shd w:fill="FFFFFF" w:color="auto" w:val="clear"/>
                      </w:rPr>
                      <w:t>Aguja</w:t>
                      <w:tab/>
                    </w:r>
                  </w:p>
                </w:txbxContent>
              </v:textbox>
              <w10:wrap type="none"/>
            </v:shape>
            <v:shape style="position:absolute;left:2710;top:2560;width:1896;height:221" type="#_x0000_t202" filled="false" stroked="false">
              <v:textbox inset="0,0,0,0">
                <w:txbxContent>
                  <w:p>
                    <w:pPr>
                      <w:spacing w:line="221" w:lineRule="exact" w:before="0"/>
                      <w:ind w:left="0" w:right="-19" w:firstLine="0"/>
                      <w:jc w:val="left"/>
                      <w:rPr>
                        <w:sz w:val="22"/>
                      </w:rPr>
                    </w:pPr>
                    <w:r>
                      <w:rPr>
                        <w:sz w:val="22"/>
                      </w:rPr>
                      <w:t>Solución de polímero</w:t>
                    </w:r>
                  </w:p>
                </w:txbxContent>
              </v:textbox>
              <w10:wrap type="none"/>
            </v:shape>
            <v:shape style="position:absolute;left:8485;top:3050;width:760;height:221" type="#_x0000_t202" filled="false" stroked="false">
              <v:textbox inset="0,0,0,0">
                <w:txbxContent>
                  <w:p>
                    <w:pPr>
                      <w:spacing w:line="221" w:lineRule="exact" w:before="0"/>
                      <w:ind w:left="0" w:right="-18" w:firstLine="0"/>
                      <w:jc w:val="left"/>
                      <w:rPr>
                        <w:sz w:val="22"/>
                      </w:rPr>
                    </w:pPr>
                    <w:r>
                      <w:rPr>
                        <w:sz w:val="22"/>
                      </w:rPr>
                      <w:t>Colector</w:t>
                    </w:r>
                  </w:p>
                </w:txbxContent>
              </v:textbox>
              <w10:wrap type="none"/>
            </v:shape>
            <v:shape style="position:absolute;left:4826;top:3482;width:2319;height:221" type="#_x0000_t202" filled="false" stroked="false">
              <v:textbox inset="0,0,0,0">
                <w:txbxContent>
                  <w:p>
                    <w:pPr>
                      <w:tabs>
                        <w:tab w:pos="2317" w:val="left" w:leader="none"/>
                      </w:tabs>
                      <w:spacing w:line="221" w:lineRule="exact" w:before="0"/>
                      <w:ind w:left="0" w:right="0" w:firstLine="0"/>
                      <w:jc w:val="left"/>
                      <w:rPr>
                        <w:sz w:val="22"/>
                      </w:rPr>
                    </w:pPr>
                    <w:r>
                      <w:rPr>
                        <w:w w:val="100"/>
                        <w:sz w:val="22"/>
                        <w:shd w:fill="FFFFFF" w:color="auto" w:val="clear"/>
                      </w:rPr>
                      <w:t> </w:t>
                    </w:r>
                    <w:r>
                      <w:rPr>
                        <w:sz w:val="22"/>
                        <w:shd w:fill="FFFFFF" w:color="auto" w:val="clear"/>
                      </w:rPr>
                      <w:t>  </w:t>
                    </w:r>
                    <w:r>
                      <w:rPr>
                        <w:spacing w:val="2"/>
                        <w:sz w:val="22"/>
                        <w:shd w:fill="FFFFFF" w:color="auto" w:val="clear"/>
                      </w:rPr>
                      <w:t> </w:t>
                    </w:r>
                    <w:r>
                      <w:rPr>
                        <w:sz w:val="22"/>
                        <w:shd w:fill="FFFFFF" w:color="auto" w:val="clear"/>
                      </w:rPr>
                      <w:t>Fuente de Alto</w:t>
                    </w:r>
                    <w:r>
                      <w:rPr>
                        <w:spacing w:val="-1"/>
                        <w:sz w:val="22"/>
                        <w:shd w:fill="FFFFFF" w:color="auto" w:val="clear"/>
                      </w:rPr>
                      <w:t> </w:t>
                    </w:r>
                    <w:r>
                      <w:rPr>
                        <w:sz w:val="22"/>
                        <w:shd w:fill="FFFFFF" w:color="auto" w:val="clear"/>
                      </w:rPr>
                      <w:t>Poder</w:t>
                      <w:tab/>
                    </w:r>
                  </w:p>
                </w:txbxContent>
              </v:textbox>
              <w10:wrap type="none"/>
            </v:shape>
            <w10:wrap type="topAndBottom"/>
          </v:group>
        </w:pict>
      </w:r>
    </w:p>
    <w:p>
      <w:pPr>
        <w:pStyle w:val="BodyText"/>
        <w:spacing w:before="5"/>
        <w:rPr>
          <w:sz w:val="25"/>
        </w:rPr>
      </w:pPr>
    </w:p>
    <w:p>
      <w:pPr>
        <w:spacing w:before="0"/>
        <w:ind w:left="1398" w:right="0" w:firstLine="0"/>
        <w:jc w:val="left"/>
        <w:rPr>
          <w:sz w:val="22"/>
        </w:rPr>
      </w:pPr>
      <w:r>
        <w:rPr>
          <w:b/>
          <w:sz w:val="22"/>
        </w:rPr>
        <w:t>Figura 1.11 </w:t>
      </w:r>
      <w:r>
        <w:rPr>
          <w:sz w:val="22"/>
        </w:rPr>
        <w:t>Configuración de un equipo de </w:t>
      </w:r>
      <w:r>
        <w:rPr>
          <w:i/>
          <w:sz w:val="22"/>
        </w:rPr>
        <w:t>electrospinning </w:t>
      </w:r>
      <w:r>
        <w:rPr>
          <w:sz w:val="22"/>
        </w:rPr>
        <w:t>horizontal.</w:t>
      </w:r>
    </w:p>
    <w:p>
      <w:pPr>
        <w:spacing w:after="0"/>
        <w:jc w:val="left"/>
        <w:rPr>
          <w:sz w:val="22"/>
        </w:rPr>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58" w:firstLine="283"/>
        <w:jc w:val="both"/>
      </w:pPr>
      <w:r>
        <w:rPr/>
        <w:t>Los polímeros colectados a mayores distancias tienen la posibilidad de formación de estructuras más uniformes debido a la completa evaporación del solvente. Las fibras colectadas a menor distancia tendrán estructura parecida a la de una membrana debido a la incompleta evaporación del solvente [72].</w:t>
      </w:r>
    </w:p>
    <w:p>
      <w:pPr>
        <w:pStyle w:val="BodyText"/>
      </w:pPr>
    </w:p>
    <w:p>
      <w:pPr>
        <w:pStyle w:val="BodyText"/>
        <w:spacing w:line="360" w:lineRule="auto" w:before="130"/>
        <w:ind w:left="122" w:right="258" w:firstLine="283"/>
        <w:jc w:val="both"/>
      </w:pPr>
      <w:r>
        <w:rPr/>
        <w:t>Además, la humedad relativa durante el </w:t>
      </w:r>
      <w:r>
        <w:rPr>
          <w:i/>
        </w:rPr>
        <w:t>electrospinning </w:t>
      </w:r>
      <w:r>
        <w:rPr/>
        <w:t>juega un papel importante en la evaporación del solvente. La velocidad de evaporación disminuye a más alta humedad relativa, lo que permite al minichorro continuar y elongarse, por lo que pueden obtener diámetros de fibra más pequeños [71].</w:t>
      </w:r>
    </w:p>
    <w:p>
      <w:pPr>
        <w:pStyle w:val="BodyText"/>
      </w:pPr>
    </w:p>
    <w:p>
      <w:pPr>
        <w:pStyle w:val="BodyText"/>
        <w:spacing w:line="360" w:lineRule="auto" w:before="130"/>
        <w:ind w:left="122" w:right="256" w:firstLine="283"/>
        <w:jc w:val="both"/>
      </w:pPr>
      <w:r>
        <w:rPr/>
        <w:t>El tipo de polímero, el peso molecular y su estructura también juegan un papel importante en el diámetro de la fibra. Un polímero con alto peso molecular es expuesto a un alto grado de número de cadenas en desorden dentro del polímero, por lo que es más difícil para las fuerzas eléctricas para jalar una fibra individual. Como resultado se obtienen diámetros de fibra más grandes [73].</w:t>
      </w:r>
    </w:p>
    <w:p>
      <w:pPr>
        <w:pStyle w:val="BodyText"/>
      </w:pPr>
    </w:p>
    <w:p>
      <w:pPr>
        <w:pStyle w:val="BodyText"/>
        <w:spacing w:line="360" w:lineRule="auto" w:before="130"/>
        <w:ind w:left="122" w:right="256" w:firstLine="283"/>
        <w:jc w:val="both"/>
      </w:pPr>
      <w:r>
        <w:rPr/>
        <w:t>La concentración de la solución afecta en la cantidad de fibras formadas, así como en la viscosidad de la solución la cual a su vez influye en la estructura de la fibra formada, tal como el diámetro de la fibra. Viscosidades altas dan como resultado un incremento en la tensión superficial y una morfología de la fibra más cilíndrica y regular. En el caso de las soluciones con viscosidad baja resultan en la formación de gotas en lugar de fibras. Además las fibras son más irregulares con morfología ondulatoria y grandes variaciones en el diámetro</w:t>
      </w:r>
      <w:r>
        <w:rPr>
          <w:spacing w:val="-19"/>
        </w:rPr>
        <w:t> </w:t>
      </w:r>
      <w:r>
        <w:rPr/>
        <w:t>[72].</w:t>
      </w:r>
    </w:p>
    <w:p>
      <w:pPr>
        <w:pStyle w:val="BodyText"/>
      </w:pPr>
    </w:p>
    <w:p>
      <w:pPr>
        <w:pStyle w:val="BodyText"/>
        <w:spacing w:line="360" w:lineRule="auto" w:before="130"/>
        <w:ind w:left="122" w:right="255" w:firstLine="283"/>
        <w:jc w:val="both"/>
      </w:pPr>
      <w:r>
        <w:rPr/>
        <w:t>Una amplia variedad de polímeros tales como biopolímeros, polímeros sintéticos solubles en agua, polímeros sintéticos órgano-solubles, polímeros biodegradables, polímeros naturales, geles y compositos de polímeros han sido exitosamente procesados a través de </w:t>
      </w:r>
      <w:r>
        <w:rPr>
          <w:i/>
        </w:rPr>
        <w:t>electrospinning </w:t>
      </w:r>
      <w:r>
        <w:rPr/>
        <w:t>resultando en diferentes estructuras. Sin embargo muchas veces son necesarias condiciones específicas tales como el uso de solventes especiales o el procesamiento de mezclas de polímeros para el </w:t>
      </w:r>
      <w:r>
        <w:rPr>
          <w:i/>
        </w:rPr>
        <w:t>electrospinning </w:t>
      </w:r>
      <w:r>
        <w:rPr/>
        <w:t>adecuado</w:t>
      </w:r>
      <w:r>
        <w:rPr>
          <w:spacing w:val="-3"/>
        </w:rPr>
        <w:t> </w:t>
      </w:r>
      <w:r>
        <w:rPr/>
        <w:t>[64].</w:t>
      </w:r>
    </w:p>
    <w:p>
      <w:pPr>
        <w:pStyle w:val="BodyText"/>
      </w:pPr>
    </w:p>
    <w:p>
      <w:pPr>
        <w:pStyle w:val="BodyText"/>
        <w:spacing w:line="360" w:lineRule="auto" w:before="130"/>
        <w:ind w:left="122" w:right="255" w:firstLine="283"/>
        <w:jc w:val="both"/>
      </w:pPr>
      <w:r>
        <w:rPr/>
        <w:t>Polímeros como el nylon 6,6 que posee grupos funcionales reactivos pueden producir reacciones de intercambio químico cuando son mezclados en un solvente protónico lo que resulta en una solución con comportamiento poli-electrolítico. La ionización parcial de sus grupos amida hace que puedan  ser  obtenidas  fibras  a  partir  de  la  técnica  de  </w:t>
      </w:r>
      <w:r>
        <w:rPr>
          <w:i/>
        </w:rPr>
        <w:t>electrospinning  </w:t>
      </w:r>
      <w:r>
        <w:rPr/>
        <w:t>[74].  Debido  a  su   alta</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52"/>
        <w:jc w:val="both"/>
      </w:pPr>
      <w:r>
        <w:rPr/>
        <w:t>porosidad, gran relación área superficial/volumen, estas fibras de polímero son consideradas como candidatos prometedores para muchas aplicaciones tales como membranas de filtración/separación, celdas solares, ingeniería de tejidos, materiales electrodos y sensores [75]. Además mediante el empleo de esta técnica se puede alcanzar una buena dispersión del refuerzo en la matriz, lo que ha llevado a mejoras significativas en propiedades tales como resistencia, módulo de elasticidad y conductividad eléctrica [76].</w:t>
      </w:r>
    </w:p>
    <w:p>
      <w:pPr>
        <w:pStyle w:val="BodyText"/>
      </w:pPr>
    </w:p>
    <w:p>
      <w:pPr>
        <w:pStyle w:val="Heading4"/>
        <w:numPr>
          <w:ilvl w:val="3"/>
          <w:numId w:val="10"/>
        </w:numPr>
        <w:tabs>
          <w:tab w:pos="974" w:val="left" w:leader="none"/>
        </w:tabs>
        <w:spacing w:line="240" w:lineRule="auto" w:before="135" w:after="0"/>
        <w:ind w:left="974" w:right="0" w:hanging="852"/>
        <w:jc w:val="both"/>
      </w:pPr>
      <w:r>
        <w:rPr/>
        <w:t>Moldeo por</w:t>
      </w:r>
      <w:r>
        <w:rPr>
          <w:spacing w:val="-4"/>
        </w:rPr>
        <w:t> </w:t>
      </w:r>
      <w:r>
        <w:rPr/>
        <w:t>inyección</w:t>
      </w:r>
    </w:p>
    <w:p>
      <w:pPr>
        <w:pStyle w:val="BodyText"/>
        <w:spacing w:line="360" w:lineRule="auto" w:before="124"/>
        <w:ind w:left="122" w:right="255" w:firstLine="283"/>
        <w:jc w:val="both"/>
      </w:pPr>
      <w:r>
        <w:rPr/>
        <w:t>El moldeo por inyección es una técnica de procesamiento de plásticos en la cual un polímero es fundido, inyectado en un molde y después enfriado hasta alcanzar una forma  deseada.  Generalmente es usado en la manufactura de partes a gran volumen y alta velocidad [70]. Este proceso requiere temperaturas y presiones más elevadas que cualquier otra técnica de transformación, pero proporciona piezas y objetos de bastante precisión, con superficies limpias y lisas, además de proporcionar un magnífico aprovechamiento del material, con un ritmo de producción elevado</w:t>
      </w:r>
      <w:r>
        <w:rPr>
          <w:spacing w:val="-4"/>
        </w:rPr>
        <w:t> </w:t>
      </w:r>
      <w:r>
        <w:rPr/>
        <w:t>[77].</w:t>
      </w:r>
    </w:p>
    <w:p>
      <w:pPr>
        <w:pStyle w:val="BodyText"/>
      </w:pPr>
    </w:p>
    <w:p>
      <w:pPr>
        <w:pStyle w:val="BodyText"/>
        <w:spacing w:line="360" w:lineRule="auto" w:before="130"/>
        <w:ind w:left="122" w:right="257" w:firstLine="283"/>
        <w:jc w:val="both"/>
      </w:pPr>
      <w:r>
        <w:rPr/>
        <w:t>Los elementos esenciales de una unidad de inyección son: la tolva de alimentación, el sistema  de dosificación, plastificación e inyección y la unidad de moldeo-desmoldeo. La tolva de alimentación se conecta mediante un conducto al cilindro donde tiene lugar la plastificación. El sistema de dosificación, plastificación e inyección admite la cantidad necesaria de polímero, la reblandece o funde y la inyecta en el molde a través de una boquilla que, al adaptarse a presión al bebedero del molde, abre una válvula de descarga dispuesta en su extremo. Al desacoplar la boquilla, la válvula se cierra automáticamente [67]. En la Figura 1.12 se muestra un equipo de inyección con sus principales partes. La calidad del material obtenido a través de este proceso depende de las condiciones de procesamiento, propiedades del material, el equipo y el diseño de los moldes</w:t>
      </w:r>
      <w:r>
        <w:rPr>
          <w:spacing w:val="-4"/>
        </w:rPr>
        <w:t> </w:t>
      </w:r>
      <w:r>
        <w:rPr/>
        <w:t>[77].</w:t>
      </w:r>
    </w:p>
    <w:p>
      <w:pPr>
        <w:pStyle w:val="BodyText"/>
      </w:pPr>
    </w:p>
    <w:p>
      <w:pPr>
        <w:pStyle w:val="BodyText"/>
        <w:spacing w:line="360" w:lineRule="auto" w:before="133"/>
        <w:ind w:left="122" w:right="257" w:firstLine="283"/>
        <w:jc w:val="both"/>
      </w:pPr>
      <w:r>
        <w:rPr/>
        <w:t>Existen 4 tipos principales de equipos de moldeo por inyección las cuales incluyen: máquinas de una sola etapa con un pistón, máquinas de dos etapas con dos pistones, máquinas de dos etapas con husillo y pistón, máquinas con husillo reciprocante. El sistema de husillo reciprocante es el más usado en la industria de los plásticos [77].</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after="11"/>
        <w:ind w:left="122" w:right="257" w:firstLine="283"/>
        <w:jc w:val="both"/>
      </w:pPr>
      <w:r>
        <w:rPr/>
        <w:t>Entre algunos de los trabajos que se han realizado llevando a cabo este proceso se encuentra el estudio de los efectos de reciclaje de gránulos de nylon 6,6 con fibra de vidrio en donde se encontró una disminución en el módulo elástico mientras que la resistencia al impacto es incrementada cuando se adiciona una mayor cantidad de material reprocesado. Este proceso es muy utilizado en la manufactura de partes automotrices, tales como componentes de cubiertas, pedales, cojinetes [78].</w:t>
      </w:r>
    </w:p>
    <w:p>
      <w:pPr>
        <w:pStyle w:val="BodyText"/>
        <w:ind w:left="151"/>
        <w:rPr>
          <w:sz w:val="20"/>
        </w:rPr>
      </w:pPr>
      <w:r>
        <w:rPr>
          <w:sz w:val="20"/>
        </w:rPr>
        <w:drawing>
          <wp:inline distT="0" distB="0" distL="0" distR="0">
            <wp:extent cx="5617758" cy="2244090"/>
            <wp:effectExtent l="0" t="0" r="0" b="0"/>
            <wp:docPr id="17" name="image13.png" descr=""/>
            <wp:cNvGraphicFramePr>
              <a:graphicFrameLocks noChangeAspect="1"/>
            </wp:cNvGraphicFramePr>
            <a:graphic>
              <a:graphicData uri="http://schemas.openxmlformats.org/drawingml/2006/picture">
                <pic:pic>
                  <pic:nvPicPr>
                    <pic:cNvPr id="18" name="image13.png"/>
                    <pic:cNvPicPr/>
                  </pic:nvPicPr>
                  <pic:blipFill>
                    <a:blip r:embed="rId27" cstate="print"/>
                    <a:stretch>
                      <a:fillRect/>
                    </a:stretch>
                  </pic:blipFill>
                  <pic:spPr>
                    <a:xfrm>
                      <a:off x="0" y="0"/>
                      <a:ext cx="5617758" cy="2244090"/>
                    </a:xfrm>
                    <a:prstGeom prst="rect">
                      <a:avLst/>
                    </a:prstGeom>
                  </pic:spPr>
                </pic:pic>
              </a:graphicData>
            </a:graphic>
          </wp:inline>
        </w:drawing>
      </w:r>
      <w:r>
        <w:rPr>
          <w:sz w:val="20"/>
        </w:rPr>
      </w:r>
    </w:p>
    <w:p>
      <w:pPr>
        <w:pStyle w:val="BodyText"/>
        <w:spacing w:before="4"/>
        <w:rPr>
          <w:sz w:val="28"/>
        </w:rPr>
      </w:pPr>
    </w:p>
    <w:p>
      <w:pPr>
        <w:spacing w:before="1"/>
        <w:ind w:left="2510" w:right="0" w:firstLine="0"/>
        <w:jc w:val="left"/>
        <w:rPr>
          <w:sz w:val="22"/>
        </w:rPr>
      </w:pPr>
      <w:r>
        <w:rPr>
          <w:b/>
          <w:sz w:val="22"/>
        </w:rPr>
        <w:t>Figura 1.12 </w:t>
      </w:r>
      <w:r>
        <w:rPr>
          <w:sz w:val="22"/>
        </w:rPr>
        <w:t>Equipo de moldeo por inyección.</w:t>
      </w:r>
    </w:p>
    <w:p>
      <w:pPr>
        <w:pStyle w:val="BodyText"/>
      </w:pPr>
    </w:p>
    <w:p>
      <w:pPr>
        <w:pStyle w:val="BodyText"/>
        <w:spacing w:before="2"/>
      </w:pPr>
    </w:p>
    <w:p>
      <w:pPr>
        <w:pStyle w:val="BodyText"/>
        <w:spacing w:line="360" w:lineRule="auto"/>
        <w:ind w:left="122" w:right="257" w:firstLine="283"/>
        <w:jc w:val="both"/>
      </w:pPr>
      <w:r>
        <w:rPr/>
        <w:t>La adición de negro de carbono a una matriz de nylon 6,6 en partes moldeadas por inyección mostró orientación al azar con cristales de la forma α debido a la nucleación heterogénea que provee este material. Al inducir nanoplateletas las regiones cristalinas de la matriz promueven el crecimiento de la fase γ en las partes moldeadas [79].</w:t>
      </w:r>
    </w:p>
    <w:p>
      <w:pPr>
        <w:pStyle w:val="BodyText"/>
      </w:pPr>
    </w:p>
    <w:p>
      <w:pPr>
        <w:pStyle w:val="BodyText"/>
        <w:spacing w:line="360" w:lineRule="auto" w:before="130"/>
        <w:ind w:left="122" w:right="256" w:firstLine="283"/>
        <w:jc w:val="both"/>
      </w:pPr>
      <w:r>
        <w:rPr/>
        <w:t>También se han realizado estudios comparativos con el proceso convencional de moldeo y el micro moldeo por inyección, cuyos resultados mostraron que los nanocompositos de polímero pueden ser materiales ideales para aplicaciones en micro moldeo ya que sus propiedades pueden ser incrementadas debido al uso de estos nanorefuerzos y que además estos no reducen la habilidad de procesamiento de los compositos [77].</w:t>
      </w:r>
    </w:p>
    <w:p>
      <w:pPr>
        <w:pStyle w:val="BodyText"/>
      </w:pPr>
    </w:p>
    <w:p>
      <w:pPr>
        <w:pStyle w:val="Heading4"/>
        <w:numPr>
          <w:ilvl w:val="2"/>
          <w:numId w:val="11"/>
        </w:numPr>
        <w:tabs>
          <w:tab w:pos="841" w:val="left" w:leader="none"/>
          <w:tab w:pos="842" w:val="left" w:leader="none"/>
        </w:tabs>
        <w:spacing w:line="240" w:lineRule="auto" w:before="135" w:after="0"/>
        <w:ind w:left="842" w:right="0" w:hanging="720"/>
        <w:jc w:val="left"/>
      </w:pPr>
      <w:r>
        <w:rPr/>
        <w:t>Nylon 6,6</w:t>
      </w:r>
    </w:p>
    <w:p>
      <w:pPr>
        <w:pStyle w:val="BodyText"/>
        <w:spacing w:line="360" w:lineRule="auto" w:before="121"/>
        <w:ind w:left="122" w:right="257" w:firstLine="283"/>
        <w:jc w:val="both"/>
      </w:pPr>
      <w:r>
        <w:rPr/>
        <w:t>Dentro de los termoplásticos se encuentran las poliamidas, preparadas mediante la reacción de condensación de un ácido carboxílico y una amina. Estas resinas son conocidas con el nombre común nylon. Estos polímeros fueron los primeros plásticos de ingeniería y son la familia más grande  en número de aplicaciones y en volumen de producción [80].</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62" w:firstLine="283"/>
        <w:jc w:val="both"/>
      </w:pPr>
      <w:r>
        <w:rPr/>
        <w:t>Como se muestra a continuación, este tipo de polímeros consisten de unidades de metileno separadas por unidades del grupo amida, los cuales pueden ser paralelos o antiparalelos.</w:t>
      </w:r>
    </w:p>
    <w:p>
      <w:pPr>
        <w:pStyle w:val="BodyText"/>
        <w:spacing w:before="8"/>
        <w:rPr>
          <w:sz w:val="17"/>
        </w:rPr>
      </w:pPr>
    </w:p>
    <w:p>
      <w:pPr>
        <w:pStyle w:val="BodyText"/>
        <w:ind w:left="164" w:right="298"/>
        <w:jc w:val="center"/>
      </w:pPr>
      <w:r>
        <w:rPr/>
        <w:t>Nylon-n: -[-(NH-CO)-(-CH</w:t>
      </w:r>
      <w:r>
        <w:rPr>
          <w:position w:val="-2"/>
          <w:sz w:val="14"/>
        </w:rPr>
        <w:t>2</w:t>
      </w:r>
      <w:r>
        <w:rPr/>
        <w:t>)</w:t>
      </w:r>
      <w:r>
        <w:rPr>
          <w:position w:val="-2"/>
          <w:sz w:val="14"/>
        </w:rPr>
        <w:t>n-1</w:t>
      </w:r>
      <w:r>
        <w:rPr/>
        <w:t>-]-</w:t>
      </w:r>
    </w:p>
    <w:p>
      <w:pPr>
        <w:pStyle w:val="BodyText"/>
        <w:spacing w:before="4"/>
        <w:rPr>
          <w:sz w:val="27"/>
        </w:rPr>
      </w:pPr>
    </w:p>
    <w:p>
      <w:pPr>
        <w:pStyle w:val="BodyText"/>
        <w:ind w:left="164" w:right="298"/>
        <w:jc w:val="center"/>
      </w:pPr>
      <w:r>
        <w:rPr/>
        <w:t>Nylon-m,n:  -[-(NH-CO)-(-CH</w:t>
      </w:r>
      <w:r>
        <w:rPr>
          <w:position w:val="-2"/>
          <w:sz w:val="14"/>
        </w:rPr>
        <w:t>2</w:t>
      </w:r>
      <w:r>
        <w:rPr/>
        <w:t>)</w:t>
      </w:r>
      <w:r>
        <w:rPr>
          <w:position w:val="-2"/>
          <w:sz w:val="14"/>
        </w:rPr>
        <w:t>n-2</w:t>
      </w:r>
      <w:r>
        <w:rPr/>
        <w:t>-( CO-NH)- (CH</w:t>
      </w:r>
      <w:r>
        <w:rPr>
          <w:position w:val="-2"/>
          <w:sz w:val="14"/>
        </w:rPr>
        <w:t>2</w:t>
      </w:r>
      <w:r>
        <w:rPr/>
        <w:t>)</w:t>
      </w:r>
      <w:r>
        <w:rPr>
          <w:position w:val="-2"/>
          <w:sz w:val="14"/>
        </w:rPr>
        <w:t>m</w:t>
      </w:r>
      <w:r>
        <w:rPr/>
        <w:t>-]-</w:t>
      </w:r>
    </w:p>
    <w:p>
      <w:pPr>
        <w:pStyle w:val="BodyText"/>
        <w:rPr>
          <w:sz w:val="24"/>
        </w:rPr>
      </w:pPr>
    </w:p>
    <w:p>
      <w:pPr>
        <w:pStyle w:val="BodyText"/>
        <w:spacing w:before="9"/>
        <w:rPr>
          <w:sz w:val="18"/>
        </w:rPr>
      </w:pPr>
    </w:p>
    <w:p>
      <w:pPr>
        <w:pStyle w:val="BodyText"/>
        <w:spacing w:line="360" w:lineRule="auto"/>
        <w:ind w:left="122" w:right="257" w:firstLine="283"/>
        <w:jc w:val="both"/>
      </w:pPr>
      <w:r>
        <w:rPr/>
        <w:t>Los grupos amida proveen un puente de hidrógeno entre las cadenas del polímero, las cuales proporcionan sus propiedades únicas. Las poliamidas que se producen en mayor volumen son el nylon 6 y el nylon 6,6. El nylon 6,6 tiene una combinación única de rigidez, dureza, lubricidad y resistencia a la abrasión, fatiga y temperatura, características que lo colocan como uno de los polímeros más versátiles. Sus propiedades como punto de fusión, módulo de elasticidad, resistencia al impacto, absorción de humedad y resistencia química pueden ser modificadas cambiando la densidad de los grupos amida [81].</w:t>
      </w:r>
    </w:p>
    <w:p>
      <w:pPr>
        <w:pStyle w:val="BodyText"/>
      </w:pPr>
    </w:p>
    <w:p>
      <w:pPr>
        <w:pStyle w:val="BodyText"/>
        <w:spacing w:line="360" w:lineRule="auto" w:before="130"/>
        <w:ind w:left="122" w:right="262" w:firstLine="283"/>
        <w:jc w:val="both"/>
      </w:pPr>
      <w:r>
        <w:rPr/>
        <w:t>El nylon 6,6 es obtenido por la reacción de condensación del ácido adípico y hexametilendiamina, como se observa en la Figura 1.13.</w:t>
      </w:r>
    </w:p>
    <w:p>
      <w:pPr>
        <w:pStyle w:val="BodyText"/>
        <w:spacing w:before="9"/>
        <w:rPr>
          <w:sz w:val="14"/>
        </w:rPr>
      </w:pPr>
      <w:r>
        <w:rPr/>
        <w:pict>
          <v:group style="position:absolute;margin-left:120.379997pt;margin-top:10.479800pt;width:371.65pt;height:124.15pt;mso-position-horizontal-relative:page;mso-position-vertical-relative:paragraph;z-index:1672;mso-wrap-distance-left:0;mso-wrap-distance-right:0" coordorigin="2408,210" coordsize="7433,2483">
            <v:shape style="position:absolute;left:2408;top:210;width:7432;height:1140" type="#_x0000_t75" stroked="false">
              <v:imagedata r:id="rId28" o:title=""/>
            </v:shape>
            <v:shape style="position:absolute;left:3615;top:1350;width:5005;height:1343" type="#_x0000_t75" stroked="false">
              <v:imagedata r:id="rId29" o:title=""/>
            </v:shape>
            <v:shape style="position:absolute;left:2610;top:2087;width:1170;height:120" coordorigin="2610,2087" coordsize="1170,120" path="m3660,2087l3660,2207,3750,2162,3680,2162,3680,2132,3750,2132,3660,2087xm3660,2132l2610,2132,2610,2162,3660,2162,3660,2132xm3750,2132l3680,2132,3680,2162,3750,2162,3780,2147,3750,2132xe" filled="true" fillcolor="#000000" stroked="false">
              <v:path arrowok="t"/>
              <v:fill type="solid"/>
            </v:shape>
            <w10:wrap type="topAndBottom"/>
          </v:group>
        </w:pict>
      </w:r>
    </w:p>
    <w:p>
      <w:pPr>
        <w:pStyle w:val="BodyText"/>
        <w:spacing w:before="5"/>
        <w:rPr>
          <w:sz w:val="25"/>
        </w:rPr>
      </w:pPr>
    </w:p>
    <w:p>
      <w:pPr>
        <w:spacing w:before="0"/>
        <w:ind w:left="164" w:right="301" w:firstLine="0"/>
        <w:jc w:val="center"/>
        <w:rPr>
          <w:sz w:val="22"/>
        </w:rPr>
      </w:pPr>
      <w:r>
        <w:rPr>
          <w:b/>
          <w:sz w:val="22"/>
        </w:rPr>
        <w:t>Figura 1.13 </w:t>
      </w:r>
      <w:r>
        <w:rPr>
          <w:sz w:val="22"/>
        </w:rPr>
        <w:t>Polimerización del nylon 6,6.</w:t>
      </w:r>
    </w:p>
    <w:p>
      <w:pPr>
        <w:pStyle w:val="BodyText"/>
      </w:pPr>
    </w:p>
    <w:p>
      <w:pPr>
        <w:pStyle w:val="BodyText"/>
        <w:spacing w:before="7"/>
      </w:pPr>
    </w:p>
    <w:p>
      <w:pPr>
        <w:pStyle w:val="Heading4"/>
        <w:numPr>
          <w:ilvl w:val="3"/>
          <w:numId w:val="11"/>
        </w:numPr>
        <w:tabs>
          <w:tab w:pos="973" w:val="left" w:leader="none"/>
          <w:tab w:pos="974" w:val="left" w:leader="none"/>
        </w:tabs>
        <w:spacing w:line="240" w:lineRule="auto" w:before="0" w:after="0"/>
        <w:ind w:left="974" w:right="0" w:hanging="852"/>
        <w:jc w:val="left"/>
      </w:pPr>
      <w:r>
        <w:rPr/>
        <w:t>Propiedades y</w:t>
      </w:r>
      <w:r>
        <w:rPr>
          <w:spacing w:val="-7"/>
        </w:rPr>
        <w:t> </w:t>
      </w:r>
      <w:r>
        <w:rPr/>
        <w:t>aplicaciones</w:t>
      </w:r>
    </w:p>
    <w:p>
      <w:pPr>
        <w:pStyle w:val="BodyText"/>
        <w:spacing w:line="360" w:lineRule="auto" w:before="121"/>
        <w:ind w:left="122" w:right="257" w:firstLine="283"/>
        <w:jc w:val="both"/>
      </w:pPr>
      <w:r>
        <w:rPr/>
        <w:t>Desde su aparición en 1935, el nylon 6,6 ha sido uno de los materiales con más éxito comercialmente, ya que es un buen candidato para aplicaciones donde  se requieren propiedades tales como alta resistencia mecánica, excelente resistencia a la abrasión, resistencia química y dureza. A pesar de sus propiedades, este polímero es muy sensible a la absorción de humedad, por  lo que ésta debe de ser controlada durante su procesamiento en fundido [51]. En la Tabla 1.4 se muestran las propiedades típicas de este</w:t>
      </w:r>
      <w:r>
        <w:rPr>
          <w:spacing w:val="-19"/>
        </w:rPr>
        <w:t> </w:t>
      </w:r>
      <w:r>
        <w:rPr/>
        <w:t>material.</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before="72"/>
        <w:ind w:left="2080"/>
      </w:pPr>
      <w:r>
        <w:rPr>
          <w:b/>
        </w:rPr>
        <w:t>Tabla 1.4 </w:t>
      </w:r>
      <w:r>
        <w:rPr/>
        <w:t>Propiedades típicas del las fibras de nylon 6,6 [83].</w:t>
      </w:r>
    </w:p>
    <w:p>
      <w:pPr>
        <w:pStyle w:val="BodyText"/>
        <w:spacing w:before="5" w:after="1"/>
        <w:rPr>
          <w:sz w:val="11"/>
        </w:rPr>
      </w:pPr>
    </w:p>
    <w:tbl>
      <w:tblPr>
        <w:tblW w:w="0" w:type="auto"/>
        <w:jc w:val="left"/>
        <w:tblInd w:w="11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236"/>
        <w:gridCol w:w="1561"/>
        <w:gridCol w:w="3197"/>
      </w:tblGrid>
      <w:tr>
        <w:trPr>
          <w:trHeight w:val="408" w:hRule="exact"/>
        </w:trPr>
        <w:tc>
          <w:tcPr>
            <w:tcW w:w="4236" w:type="dxa"/>
            <w:tcBorders>
              <w:left w:val="nil"/>
              <w:right w:val="nil"/>
            </w:tcBorders>
          </w:tcPr>
          <w:p>
            <w:pPr>
              <w:pStyle w:val="TableParagraph"/>
              <w:spacing w:line="252" w:lineRule="exact"/>
              <w:ind w:left="497" w:right="381"/>
              <w:rPr>
                <w:b/>
                <w:i/>
                <w:sz w:val="22"/>
              </w:rPr>
            </w:pPr>
            <w:r>
              <w:rPr>
                <w:b/>
                <w:i/>
                <w:sz w:val="22"/>
              </w:rPr>
              <w:t>Propiedad</w:t>
            </w:r>
          </w:p>
        </w:tc>
        <w:tc>
          <w:tcPr>
            <w:tcW w:w="1561" w:type="dxa"/>
            <w:tcBorders>
              <w:left w:val="nil"/>
              <w:right w:val="nil"/>
            </w:tcBorders>
          </w:tcPr>
          <w:p>
            <w:pPr/>
          </w:p>
        </w:tc>
        <w:tc>
          <w:tcPr>
            <w:tcW w:w="3197" w:type="dxa"/>
            <w:tcBorders>
              <w:left w:val="nil"/>
              <w:right w:val="nil"/>
            </w:tcBorders>
          </w:tcPr>
          <w:p>
            <w:pPr>
              <w:pStyle w:val="TableParagraph"/>
              <w:spacing w:line="252" w:lineRule="exact"/>
              <w:ind w:left="426"/>
              <w:jc w:val="left"/>
              <w:rPr>
                <w:b/>
                <w:i/>
                <w:sz w:val="22"/>
              </w:rPr>
            </w:pPr>
            <w:r>
              <w:rPr>
                <w:b/>
                <w:i/>
                <w:sz w:val="22"/>
              </w:rPr>
              <w:t>Nylon 6,6</w:t>
            </w:r>
          </w:p>
        </w:tc>
      </w:tr>
      <w:tr>
        <w:trPr>
          <w:trHeight w:val="338" w:hRule="exact"/>
        </w:trPr>
        <w:tc>
          <w:tcPr>
            <w:tcW w:w="4236" w:type="dxa"/>
            <w:tcBorders>
              <w:left w:val="nil"/>
              <w:bottom w:val="nil"/>
              <w:right w:val="nil"/>
            </w:tcBorders>
          </w:tcPr>
          <w:p>
            <w:pPr/>
          </w:p>
        </w:tc>
        <w:tc>
          <w:tcPr>
            <w:tcW w:w="1561" w:type="dxa"/>
            <w:tcBorders>
              <w:left w:val="nil"/>
              <w:bottom w:val="nil"/>
              <w:right w:val="nil"/>
            </w:tcBorders>
          </w:tcPr>
          <w:p>
            <w:pPr>
              <w:pStyle w:val="TableParagraph"/>
              <w:spacing w:line="249" w:lineRule="exact"/>
              <w:ind w:left="583"/>
              <w:jc w:val="left"/>
              <w:rPr>
                <w:sz w:val="22"/>
              </w:rPr>
            </w:pPr>
            <w:r>
              <w:rPr>
                <w:sz w:val="22"/>
              </w:rPr>
              <w:t>Regular</w:t>
            </w:r>
          </w:p>
        </w:tc>
        <w:tc>
          <w:tcPr>
            <w:tcW w:w="3197" w:type="dxa"/>
            <w:tcBorders>
              <w:left w:val="nil"/>
              <w:bottom w:val="nil"/>
              <w:right w:val="nil"/>
            </w:tcBorders>
          </w:tcPr>
          <w:p>
            <w:pPr>
              <w:pStyle w:val="TableParagraph"/>
              <w:spacing w:line="249" w:lineRule="exact"/>
              <w:ind w:left="1158"/>
              <w:jc w:val="left"/>
              <w:rPr>
                <w:sz w:val="22"/>
              </w:rPr>
            </w:pPr>
            <w:r>
              <w:rPr>
                <w:sz w:val="22"/>
              </w:rPr>
              <w:t>Alta resistencia</w:t>
            </w:r>
          </w:p>
        </w:tc>
      </w:tr>
      <w:tr>
        <w:trPr>
          <w:trHeight w:val="382" w:hRule="exact"/>
        </w:trPr>
        <w:tc>
          <w:tcPr>
            <w:tcW w:w="4236" w:type="dxa"/>
            <w:tcBorders>
              <w:top w:val="nil"/>
              <w:left w:val="nil"/>
              <w:bottom w:val="nil"/>
              <w:right w:val="nil"/>
            </w:tcBorders>
          </w:tcPr>
          <w:p>
            <w:pPr>
              <w:pStyle w:val="TableParagraph"/>
              <w:spacing w:before="56"/>
              <w:ind w:left="497" w:right="381"/>
              <w:rPr>
                <w:b/>
                <w:i/>
                <w:sz w:val="22"/>
              </w:rPr>
            </w:pPr>
            <w:r>
              <w:rPr>
                <w:b/>
                <w:i/>
                <w:sz w:val="22"/>
              </w:rPr>
              <w:t>Peso molecular</w:t>
            </w:r>
          </w:p>
        </w:tc>
        <w:tc>
          <w:tcPr>
            <w:tcW w:w="1561" w:type="dxa"/>
            <w:tcBorders>
              <w:top w:val="nil"/>
              <w:left w:val="nil"/>
              <w:bottom w:val="nil"/>
              <w:right w:val="nil"/>
            </w:tcBorders>
          </w:tcPr>
          <w:p>
            <w:pPr/>
          </w:p>
        </w:tc>
        <w:tc>
          <w:tcPr>
            <w:tcW w:w="3197" w:type="dxa"/>
            <w:tcBorders>
              <w:top w:val="nil"/>
              <w:left w:val="nil"/>
              <w:bottom w:val="nil"/>
              <w:right w:val="nil"/>
            </w:tcBorders>
          </w:tcPr>
          <w:p>
            <w:pPr>
              <w:pStyle w:val="TableParagraph"/>
              <w:spacing w:before="51"/>
              <w:ind w:left="280"/>
              <w:jc w:val="left"/>
              <w:rPr>
                <w:sz w:val="22"/>
              </w:rPr>
            </w:pPr>
            <w:r>
              <w:rPr>
                <w:sz w:val="22"/>
              </w:rPr>
              <w:t>12000-20000</w:t>
            </w:r>
          </w:p>
        </w:tc>
      </w:tr>
      <w:tr>
        <w:trPr>
          <w:trHeight w:val="379" w:hRule="exact"/>
        </w:trPr>
        <w:tc>
          <w:tcPr>
            <w:tcW w:w="4236" w:type="dxa"/>
            <w:tcBorders>
              <w:top w:val="nil"/>
              <w:left w:val="nil"/>
              <w:bottom w:val="nil"/>
              <w:right w:val="nil"/>
            </w:tcBorders>
          </w:tcPr>
          <w:p>
            <w:pPr>
              <w:pStyle w:val="TableParagraph"/>
              <w:spacing w:before="54"/>
              <w:ind w:left="497" w:right="383"/>
              <w:rPr>
                <w:b/>
                <w:i/>
                <w:sz w:val="22"/>
              </w:rPr>
            </w:pPr>
            <w:r>
              <w:rPr>
                <w:b/>
                <w:i/>
                <w:sz w:val="22"/>
              </w:rPr>
              <w:t>Tempertura de transición vítrea (°C)</w:t>
            </w:r>
          </w:p>
        </w:tc>
        <w:tc>
          <w:tcPr>
            <w:tcW w:w="1561" w:type="dxa"/>
            <w:tcBorders>
              <w:top w:val="nil"/>
              <w:left w:val="nil"/>
              <w:bottom w:val="nil"/>
              <w:right w:val="nil"/>
            </w:tcBorders>
          </w:tcPr>
          <w:p>
            <w:pPr/>
          </w:p>
        </w:tc>
        <w:tc>
          <w:tcPr>
            <w:tcW w:w="3197" w:type="dxa"/>
            <w:tcBorders>
              <w:top w:val="nil"/>
              <w:left w:val="nil"/>
              <w:bottom w:val="nil"/>
              <w:right w:val="nil"/>
            </w:tcBorders>
          </w:tcPr>
          <w:p>
            <w:pPr>
              <w:pStyle w:val="TableParagraph"/>
              <w:spacing w:before="49"/>
              <w:ind w:left="611"/>
              <w:jc w:val="left"/>
              <w:rPr>
                <w:sz w:val="22"/>
              </w:rPr>
            </w:pPr>
            <w:r>
              <w:rPr>
                <w:sz w:val="22"/>
              </w:rPr>
              <w:t>60-80</w:t>
            </w:r>
          </w:p>
        </w:tc>
      </w:tr>
      <w:tr>
        <w:trPr>
          <w:trHeight w:val="379" w:hRule="exact"/>
        </w:trPr>
        <w:tc>
          <w:tcPr>
            <w:tcW w:w="4236" w:type="dxa"/>
            <w:tcBorders>
              <w:top w:val="nil"/>
              <w:left w:val="nil"/>
              <w:bottom w:val="nil"/>
              <w:right w:val="nil"/>
            </w:tcBorders>
          </w:tcPr>
          <w:p>
            <w:pPr>
              <w:pStyle w:val="TableParagraph"/>
              <w:spacing w:before="54"/>
              <w:ind w:left="493" w:right="383"/>
              <w:rPr>
                <w:b/>
                <w:i/>
                <w:sz w:val="22"/>
              </w:rPr>
            </w:pPr>
            <w:r>
              <w:rPr>
                <w:b/>
                <w:i/>
                <w:sz w:val="22"/>
              </w:rPr>
              <w:t>Temperatura de fusión (°C)</w:t>
            </w:r>
          </w:p>
        </w:tc>
        <w:tc>
          <w:tcPr>
            <w:tcW w:w="1561" w:type="dxa"/>
            <w:tcBorders>
              <w:top w:val="nil"/>
              <w:left w:val="nil"/>
              <w:bottom w:val="nil"/>
              <w:right w:val="nil"/>
            </w:tcBorders>
          </w:tcPr>
          <w:p>
            <w:pPr/>
          </w:p>
        </w:tc>
        <w:tc>
          <w:tcPr>
            <w:tcW w:w="3197" w:type="dxa"/>
            <w:tcBorders>
              <w:top w:val="nil"/>
              <w:left w:val="nil"/>
              <w:bottom w:val="nil"/>
              <w:right w:val="nil"/>
            </w:tcBorders>
          </w:tcPr>
          <w:p>
            <w:pPr>
              <w:pStyle w:val="TableParagraph"/>
              <w:spacing w:before="49"/>
              <w:ind w:left="501"/>
              <w:jc w:val="left"/>
              <w:rPr>
                <w:sz w:val="22"/>
              </w:rPr>
            </w:pPr>
            <w:r>
              <w:rPr>
                <w:sz w:val="22"/>
              </w:rPr>
              <w:t>255-265</w:t>
            </w:r>
          </w:p>
        </w:tc>
      </w:tr>
      <w:tr>
        <w:trPr>
          <w:trHeight w:val="364" w:hRule="exact"/>
        </w:trPr>
        <w:tc>
          <w:tcPr>
            <w:tcW w:w="4236" w:type="dxa"/>
            <w:tcBorders>
              <w:top w:val="nil"/>
              <w:left w:val="nil"/>
              <w:bottom w:val="nil"/>
              <w:right w:val="nil"/>
            </w:tcBorders>
          </w:tcPr>
          <w:p>
            <w:pPr>
              <w:pStyle w:val="TableParagraph"/>
              <w:spacing w:before="54"/>
              <w:ind w:left="497" w:right="382"/>
              <w:rPr>
                <w:b/>
                <w:i/>
                <w:sz w:val="22"/>
              </w:rPr>
            </w:pPr>
            <w:r>
              <w:rPr>
                <w:b/>
                <w:i/>
                <w:sz w:val="22"/>
              </w:rPr>
              <w:t>Temperatura de ignición (°C)</w:t>
            </w:r>
          </w:p>
        </w:tc>
        <w:tc>
          <w:tcPr>
            <w:tcW w:w="1561" w:type="dxa"/>
            <w:tcBorders>
              <w:top w:val="nil"/>
              <w:left w:val="nil"/>
              <w:bottom w:val="nil"/>
              <w:right w:val="nil"/>
            </w:tcBorders>
          </w:tcPr>
          <w:p>
            <w:pPr/>
          </w:p>
        </w:tc>
        <w:tc>
          <w:tcPr>
            <w:tcW w:w="3197" w:type="dxa"/>
            <w:tcBorders>
              <w:top w:val="nil"/>
              <w:left w:val="nil"/>
              <w:bottom w:val="nil"/>
              <w:right w:val="nil"/>
            </w:tcBorders>
          </w:tcPr>
          <w:p>
            <w:pPr>
              <w:pStyle w:val="TableParagraph"/>
              <w:spacing w:before="49"/>
              <w:ind w:left="702"/>
              <w:jc w:val="left"/>
              <w:rPr>
                <w:sz w:val="22"/>
              </w:rPr>
            </w:pPr>
            <w:r>
              <w:rPr>
                <w:sz w:val="22"/>
              </w:rPr>
              <w:t>530</w:t>
            </w:r>
          </w:p>
        </w:tc>
      </w:tr>
      <w:tr>
        <w:trPr>
          <w:trHeight w:val="396" w:hRule="exact"/>
        </w:trPr>
        <w:tc>
          <w:tcPr>
            <w:tcW w:w="4236" w:type="dxa"/>
            <w:tcBorders>
              <w:top w:val="nil"/>
              <w:left w:val="nil"/>
              <w:bottom w:val="nil"/>
              <w:right w:val="nil"/>
            </w:tcBorders>
          </w:tcPr>
          <w:p>
            <w:pPr>
              <w:pStyle w:val="TableParagraph"/>
              <w:spacing w:before="43"/>
              <w:ind w:left="497" w:right="381"/>
              <w:rPr>
                <w:b/>
                <w:i/>
                <w:sz w:val="22"/>
              </w:rPr>
            </w:pPr>
            <w:r>
              <w:rPr>
                <w:b/>
                <w:i/>
                <w:sz w:val="22"/>
              </w:rPr>
              <w:t>Densidad (g/cm</w:t>
            </w:r>
            <w:r>
              <w:rPr>
                <w:b/>
                <w:i/>
                <w:position w:val="10"/>
                <w:sz w:val="14"/>
              </w:rPr>
              <w:t>3</w:t>
            </w:r>
            <w:r>
              <w:rPr>
                <w:b/>
                <w:i/>
                <w:sz w:val="22"/>
              </w:rPr>
              <w:t>)</w:t>
            </w:r>
          </w:p>
        </w:tc>
        <w:tc>
          <w:tcPr>
            <w:tcW w:w="1561" w:type="dxa"/>
            <w:tcBorders>
              <w:top w:val="nil"/>
              <w:left w:val="nil"/>
              <w:bottom w:val="nil"/>
              <w:right w:val="nil"/>
            </w:tcBorders>
          </w:tcPr>
          <w:p>
            <w:pPr/>
          </w:p>
        </w:tc>
        <w:tc>
          <w:tcPr>
            <w:tcW w:w="3197" w:type="dxa"/>
            <w:tcBorders>
              <w:top w:val="nil"/>
              <w:left w:val="nil"/>
              <w:bottom w:val="nil"/>
              <w:right w:val="nil"/>
            </w:tcBorders>
          </w:tcPr>
          <w:p>
            <w:pPr>
              <w:pStyle w:val="TableParagraph"/>
              <w:spacing w:before="64"/>
              <w:ind w:left="676"/>
              <w:jc w:val="left"/>
              <w:rPr>
                <w:sz w:val="22"/>
              </w:rPr>
            </w:pPr>
            <w:r>
              <w:rPr>
                <w:sz w:val="22"/>
              </w:rPr>
              <w:t>1.14</w:t>
            </w:r>
          </w:p>
        </w:tc>
      </w:tr>
      <w:tr>
        <w:trPr>
          <w:trHeight w:val="388" w:hRule="exact"/>
        </w:trPr>
        <w:tc>
          <w:tcPr>
            <w:tcW w:w="4236" w:type="dxa"/>
            <w:tcBorders>
              <w:top w:val="nil"/>
              <w:left w:val="nil"/>
              <w:bottom w:val="nil"/>
              <w:right w:val="nil"/>
            </w:tcBorders>
          </w:tcPr>
          <w:p>
            <w:pPr>
              <w:pStyle w:val="TableParagraph"/>
              <w:spacing w:before="55"/>
              <w:ind w:left="497" w:right="383"/>
              <w:rPr>
                <w:b/>
                <w:i/>
                <w:sz w:val="22"/>
              </w:rPr>
            </w:pPr>
            <w:r>
              <w:rPr>
                <w:b/>
                <w:i/>
                <w:sz w:val="22"/>
              </w:rPr>
              <w:t>Recuperación de humedad (%)</w:t>
            </w:r>
          </w:p>
        </w:tc>
        <w:tc>
          <w:tcPr>
            <w:tcW w:w="1561" w:type="dxa"/>
            <w:tcBorders>
              <w:top w:val="nil"/>
              <w:left w:val="nil"/>
              <w:bottom w:val="nil"/>
              <w:right w:val="nil"/>
            </w:tcBorders>
          </w:tcPr>
          <w:p>
            <w:pPr/>
          </w:p>
        </w:tc>
        <w:tc>
          <w:tcPr>
            <w:tcW w:w="3197" w:type="dxa"/>
            <w:tcBorders>
              <w:top w:val="nil"/>
              <w:left w:val="nil"/>
              <w:bottom w:val="nil"/>
              <w:right w:val="nil"/>
            </w:tcBorders>
          </w:tcPr>
          <w:p>
            <w:pPr>
              <w:pStyle w:val="TableParagraph"/>
              <w:spacing w:before="50"/>
              <w:ind w:left="729"/>
              <w:jc w:val="left"/>
              <w:rPr>
                <w:sz w:val="22"/>
              </w:rPr>
            </w:pPr>
            <w:r>
              <w:rPr>
                <w:sz w:val="22"/>
              </w:rPr>
              <w:t>1.0</w:t>
            </w:r>
          </w:p>
        </w:tc>
      </w:tr>
      <w:tr>
        <w:trPr>
          <w:trHeight w:val="1152" w:hRule="exact"/>
        </w:trPr>
        <w:tc>
          <w:tcPr>
            <w:tcW w:w="4236" w:type="dxa"/>
            <w:tcBorders>
              <w:top w:val="nil"/>
              <w:left w:val="nil"/>
              <w:bottom w:val="nil"/>
              <w:right w:val="nil"/>
            </w:tcBorders>
          </w:tcPr>
          <w:p>
            <w:pPr>
              <w:pStyle w:val="TableParagraph"/>
              <w:spacing w:line="360" w:lineRule="auto" w:before="56"/>
              <w:ind w:left="1303" w:right="1188"/>
              <w:rPr>
                <w:b/>
                <w:i/>
                <w:sz w:val="22"/>
              </w:rPr>
            </w:pPr>
            <w:r>
              <w:rPr>
                <w:b/>
                <w:i/>
                <w:sz w:val="22"/>
              </w:rPr>
              <w:t>Tenacidad (cN/tex) </w:t>
            </w:r>
            <w:r>
              <w:rPr>
                <w:b/>
                <w:i/>
                <w:sz w:val="22"/>
              </w:rPr>
              <w:t>Seca</w:t>
            </w:r>
          </w:p>
          <w:p>
            <w:pPr>
              <w:pStyle w:val="TableParagraph"/>
              <w:spacing w:before="4"/>
              <w:ind w:left="496" w:right="383"/>
              <w:rPr>
                <w:b/>
                <w:i/>
                <w:sz w:val="22"/>
              </w:rPr>
            </w:pPr>
            <w:r>
              <w:rPr>
                <w:b/>
                <w:i/>
                <w:sz w:val="22"/>
              </w:rPr>
              <w:t>Húmeda</w:t>
            </w:r>
          </w:p>
        </w:tc>
        <w:tc>
          <w:tcPr>
            <w:tcW w:w="1561" w:type="dxa"/>
            <w:tcBorders>
              <w:top w:val="nil"/>
              <w:left w:val="nil"/>
              <w:bottom w:val="nil"/>
              <w:right w:val="nil"/>
            </w:tcBorders>
          </w:tcPr>
          <w:p>
            <w:pPr>
              <w:pStyle w:val="TableParagraph"/>
              <w:jc w:val="left"/>
              <w:rPr>
                <w:sz w:val="22"/>
              </w:rPr>
            </w:pPr>
          </w:p>
          <w:p>
            <w:pPr>
              <w:pStyle w:val="TableParagraph"/>
              <w:spacing w:before="177"/>
              <w:ind w:left="619"/>
              <w:jc w:val="left"/>
              <w:rPr>
                <w:sz w:val="22"/>
              </w:rPr>
            </w:pPr>
            <w:r>
              <w:rPr>
                <w:sz w:val="22"/>
              </w:rPr>
              <w:t>4.9-5.7</w:t>
            </w:r>
          </w:p>
          <w:p>
            <w:pPr>
              <w:pStyle w:val="TableParagraph"/>
              <w:spacing w:before="126"/>
              <w:ind w:left="619"/>
              <w:jc w:val="left"/>
              <w:rPr>
                <w:sz w:val="22"/>
              </w:rPr>
            </w:pPr>
            <w:r>
              <w:rPr>
                <w:sz w:val="22"/>
              </w:rPr>
              <w:t>4.0-5.3</w:t>
            </w:r>
          </w:p>
        </w:tc>
        <w:tc>
          <w:tcPr>
            <w:tcW w:w="3197" w:type="dxa"/>
            <w:tcBorders>
              <w:top w:val="nil"/>
              <w:left w:val="nil"/>
              <w:bottom w:val="nil"/>
              <w:right w:val="nil"/>
            </w:tcBorders>
          </w:tcPr>
          <w:p>
            <w:pPr>
              <w:pStyle w:val="TableParagraph"/>
              <w:jc w:val="left"/>
              <w:rPr>
                <w:sz w:val="22"/>
              </w:rPr>
            </w:pPr>
          </w:p>
          <w:p>
            <w:pPr>
              <w:pStyle w:val="TableParagraph"/>
              <w:spacing w:before="177"/>
              <w:ind w:left="1528"/>
              <w:jc w:val="left"/>
              <w:rPr>
                <w:sz w:val="22"/>
              </w:rPr>
            </w:pPr>
            <w:r>
              <w:rPr>
                <w:sz w:val="22"/>
              </w:rPr>
              <w:t>5.7-7.7</w:t>
            </w:r>
          </w:p>
          <w:p>
            <w:pPr>
              <w:pStyle w:val="TableParagraph"/>
              <w:spacing w:before="126"/>
              <w:ind w:left="1528"/>
              <w:jc w:val="left"/>
              <w:rPr>
                <w:sz w:val="22"/>
              </w:rPr>
            </w:pPr>
            <w:r>
              <w:rPr>
                <w:sz w:val="22"/>
              </w:rPr>
              <w:t>4.9-6.9</w:t>
            </w:r>
          </w:p>
        </w:tc>
      </w:tr>
      <w:tr>
        <w:trPr>
          <w:trHeight w:val="1226" w:hRule="exact"/>
        </w:trPr>
        <w:tc>
          <w:tcPr>
            <w:tcW w:w="4236" w:type="dxa"/>
            <w:tcBorders>
              <w:top w:val="nil"/>
              <w:left w:val="nil"/>
              <w:right w:val="nil"/>
            </w:tcBorders>
          </w:tcPr>
          <w:p>
            <w:pPr>
              <w:pStyle w:val="TableParagraph"/>
              <w:spacing w:line="360" w:lineRule="auto" w:before="61"/>
              <w:ind w:left="736" w:right="617"/>
              <w:rPr>
                <w:b/>
                <w:i/>
                <w:sz w:val="22"/>
              </w:rPr>
            </w:pPr>
            <w:r>
              <w:rPr>
                <w:b/>
                <w:i/>
                <w:sz w:val="22"/>
              </w:rPr>
              <w:t>Elongación al rompimiento (%) </w:t>
            </w:r>
            <w:r>
              <w:rPr>
                <w:b/>
                <w:i/>
                <w:sz w:val="22"/>
              </w:rPr>
              <w:t>Seca</w:t>
            </w:r>
          </w:p>
          <w:p>
            <w:pPr>
              <w:pStyle w:val="TableParagraph"/>
              <w:spacing w:before="4"/>
              <w:ind w:left="496" w:right="383"/>
              <w:rPr>
                <w:b/>
                <w:i/>
                <w:sz w:val="22"/>
              </w:rPr>
            </w:pPr>
            <w:r>
              <w:rPr>
                <w:b/>
                <w:i/>
                <w:sz w:val="22"/>
              </w:rPr>
              <w:t>Húmeda</w:t>
            </w:r>
          </w:p>
        </w:tc>
        <w:tc>
          <w:tcPr>
            <w:tcW w:w="1561" w:type="dxa"/>
            <w:tcBorders>
              <w:top w:val="nil"/>
              <w:left w:val="nil"/>
              <w:right w:val="nil"/>
            </w:tcBorders>
          </w:tcPr>
          <w:p>
            <w:pPr>
              <w:pStyle w:val="TableParagraph"/>
              <w:jc w:val="left"/>
              <w:rPr>
                <w:sz w:val="22"/>
              </w:rPr>
            </w:pPr>
          </w:p>
          <w:p>
            <w:pPr>
              <w:pStyle w:val="TableParagraph"/>
              <w:spacing w:before="182"/>
              <w:ind w:left="674"/>
              <w:jc w:val="left"/>
              <w:rPr>
                <w:sz w:val="22"/>
              </w:rPr>
            </w:pPr>
            <w:r>
              <w:rPr>
                <w:sz w:val="22"/>
              </w:rPr>
              <w:t>26-40</w:t>
            </w:r>
          </w:p>
          <w:p>
            <w:pPr>
              <w:pStyle w:val="TableParagraph"/>
              <w:spacing w:before="126"/>
              <w:ind w:left="674"/>
              <w:jc w:val="left"/>
              <w:rPr>
                <w:sz w:val="22"/>
              </w:rPr>
            </w:pPr>
            <w:r>
              <w:rPr>
                <w:sz w:val="22"/>
              </w:rPr>
              <w:t>30-52</w:t>
            </w:r>
          </w:p>
        </w:tc>
        <w:tc>
          <w:tcPr>
            <w:tcW w:w="3197" w:type="dxa"/>
            <w:tcBorders>
              <w:top w:val="nil"/>
              <w:left w:val="nil"/>
              <w:right w:val="nil"/>
            </w:tcBorders>
          </w:tcPr>
          <w:p>
            <w:pPr>
              <w:pStyle w:val="TableParagraph"/>
              <w:jc w:val="left"/>
              <w:rPr>
                <w:sz w:val="22"/>
              </w:rPr>
            </w:pPr>
          </w:p>
          <w:p>
            <w:pPr>
              <w:pStyle w:val="TableParagraph"/>
              <w:spacing w:before="182"/>
              <w:ind w:left="1562" w:right="1081"/>
              <w:rPr>
                <w:sz w:val="22"/>
              </w:rPr>
            </w:pPr>
            <w:r>
              <w:rPr>
                <w:sz w:val="22"/>
              </w:rPr>
              <w:t>16-24</w:t>
            </w:r>
          </w:p>
          <w:p>
            <w:pPr>
              <w:pStyle w:val="TableParagraph"/>
              <w:spacing w:before="126"/>
              <w:ind w:left="1562" w:right="1081"/>
              <w:rPr>
                <w:sz w:val="22"/>
              </w:rPr>
            </w:pPr>
            <w:r>
              <w:rPr>
                <w:sz w:val="22"/>
              </w:rPr>
              <w:t>21-28</w:t>
            </w:r>
          </w:p>
        </w:tc>
      </w:tr>
    </w:tbl>
    <w:p>
      <w:pPr>
        <w:pStyle w:val="BodyText"/>
        <w:spacing w:before="2"/>
        <w:rPr>
          <w:sz w:val="26"/>
        </w:rPr>
      </w:pPr>
    </w:p>
    <w:p>
      <w:pPr>
        <w:pStyle w:val="BodyText"/>
        <w:spacing w:line="360" w:lineRule="auto" w:before="72"/>
        <w:ind w:left="242" w:right="260" w:firstLine="283"/>
        <w:jc w:val="both"/>
      </w:pPr>
      <w:r>
        <w:rPr/>
        <w:t>Además de la investigación básica de este material en sus propiedades físicas y químicas, han emergido nuevas áreas que se dedican a la alteración y mejoramiento de las propiedades del nylon 6,6. Estas áreas buscan satisfacer las necesidades para algunas aplicaciones específicas, como las que se mencionan a continuación.</w:t>
      </w:r>
    </w:p>
    <w:p>
      <w:pPr>
        <w:pStyle w:val="BodyText"/>
      </w:pPr>
    </w:p>
    <w:p>
      <w:pPr>
        <w:pStyle w:val="BodyText"/>
        <w:spacing w:line="360" w:lineRule="auto" w:before="130"/>
        <w:ind w:left="242" w:right="257" w:firstLine="283"/>
        <w:jc w:val="both"/>
      </w:pPr>
      <w:r>
        <w:rPr/>
        <w:t>El nylon 6,6 es la poliamida con más resistencia abrasiva, por lo que ha sido usada para aplicaciones biológicas tales como suturas, tubos traqueales y segmentos gastrointestinales. A pesar de sus aplicaciones ortopédicas el nylon no es comúnmente empleado debido a su naturaleza higroscópica lo cual afecta a sus propiedades mecánicas sobre largos periodos de tiempo. Por lo que se ha trabajado en la modificación de su superficie, para su uso en ambientes biológicos [87].</w:t>
      </w:r>
    </w:p>
    <w:p>
      <w:pPr>
        <w:pStyle w:val="BodyText"/>
      </w:pPr>
    </w:p>
    <w:p>
      <w:pPr>
        <w:pStyle w:val="BodyText"/>
        <w:spacing w:line="360" w:lineRule="auto" w:before="130"/>
        <w:ind w:left="242" w:right="262" w:firstLine="283"/>
        <w:jc w:val="both"/>
      </w:pPr>
      <w:r>
        <w:rPr/>
        <w:t>Otra aplicación biomédica que tiene debido a sus grupos funcionales, es en el recubrimiento para promover la adsorción de varias biomoléculas y facilitar el crecimiento de células, por lo que investigaciones se han centrado en la optimización del proceso de deposición en términos de alta densidad de grupos aminos primarios [88].</w:t>
      </w:r>
    </w:p>
    <w:p>
      <w:pPr>
        <w:spacing w:after="0" w:line="360" w:lineRule="auto"/>
        <w:jc w:val="both"/>
        <w:sectPr>
          <w:pgSz w:w="12240" w:h="15840"/>
          <w:pgMar w:header="730" w:footer="1062" w:top="1160" w:bottom="1260" w:left="1460" w:right="1440"/>
        </w:sectPr>
      </w:pPr>
    </w:p>
    <w:p>
      <w:pPr>
        <w:pStyle w:val="BodyText"/>
        <w:spacing w:before="2"/>
        <w:rPr>
          <w:sz w:val="21"/>
        </w:rPr>
      </w:pPr>
    </w:p>
    <w:p>
      <w:pPr>
        <w:pStyle w:val="BodyText"/>
        <w:spacing w:line="360" w:lineRule="auto" w:before="72"/>
        <w:ind w:left="122" w:right="255" w:firstLine="283"/>
        <w:jc w:val="both"/>
      </w:pPr>
      <w:r>
        <w:rPr/>
        <w:t>Las nanofibras de poliamida tienen varias aplicaciones debido a propiedades tales como cargas residuales después del </w:t>
      </w:r>
      <w:r>
        <w:rPr>
          <w:i/>
        </w:rPr>
        <w:t>electrospinning</w:t>
      </w:r>
      <w:r>
        <w:rPr/>
        <w:t>, energía superficial, propiedades de transporte de vapores de agua y gases, permeabilidad hidráulica, entre otras. La mayoría de estas propiedades están relacionadas con aplicaciones en filtración. En donde el nylon 6,6 es la mejor opción debido a los pequeños diámetros de las fibras, alta productividad, y facilidad de obtención por </w:t>
      </w:r>
      <w:r>
        <w:rPr>
          <w:i/>
        </w:rPr>
        <w:t>electrospinning </w:t>
      </w:r>
      <w:r>
        <w:rPr/>
        <w:t>[89].</w:t>
      </w:r>
    </w:p>
    <w:p>
      <w:pPr>
        <w:pStyle w:val="BodyText"/>
      </w:pPr>
    </w:p>
    <w:p>
      <w:pPr>
        <w:pStyle w:val="BodyText"/>
        <w:spacing w:line="360" w:lineRule="auto" w:before="130"/>
        <w:ind w:left="122" w:right="255" w:firstLine="283"/>
        <w:jc w:val="both"/>
      </w:pPr>
      <w:r>
        <w:rPr/>
        <w:t>Además las nanofibras de nylon 6,6 obtenidas a través del proceso de </w:t>
      </w:r>
      <w:r>
        <w:rPr>
          <w:i/>
        </w:rPr>
        <w:t>electrospinning </w:t>
      </w:r>
      <w:r>
        <w:rPr/>
        <w:t>han demostrado tener atractivas propiedades como resistencia y valores de módulo incrementados a comparación de las microfibras, por lo que tomando ventaja de esto se ha estudiado la eficacia de los nanocompositos de nylon 6,6/nanotubos de carbono oxidados como sensores de vapores químicos de bajo peso molecular</w:t>
      </w:r>
      <w:r>
        <w:rPr>
          <w:spacing w:val="-6"/>
        </w:rPr>
        <w:t> </w:t>
      </w:r>
      <w:r>
        <w:rPr/>
        <w:t>[75].</w:t>
      </w:r>
    </w:p>
    <w:p>
      <w:pPr>
        <w:pStyle w:val="BodyText"/>
      </w:pPr>
    </w:p>
    <w:p>
      <w:pPr>
        <w:pStyle w:val="BodyText"/>
        <w:spacing w:line="360" w:lineRule="auto" w:before="130"/>
        <w:ind w:left="122" w:right="257" w:firstLine="283"/>
        <w:jc w:val="both"/>
      </w:pPr>
      <w:r>
        <w:rPr/>
        <w:t>Entre otras de las investigaciones que se han realizado para mejorar las propiedades de este material se encuentra el moldeo por inyección de mezclas de nylon 6,6/PMMA, donde se realizó un estudio de su procesamiento con el propósito de encontrar las condiciones óptimas para su aplicación en la industria automotriz [90]. Por otro lado, se ha encontrado que la mezcla de nylon 6,6/PANI puede proveer considerable protección y una barrera física contra ambientes corrosivos  en metales</w:t>
      </w:r>
      <w:r>
        <w:rPr>
          <w:spacing w:val="-2"/>
        </w:rPr>
        <w:t> </w:t>
      </w:r>
      <w:r>
        <w:rPr/>
        <w:t>[91].</w:t>
      </w:r>
    </w:p>
    <w:p>
      <w:pPr>
        <w:pStyle w:val="BodyText"/>
      </w:pPr>
    </w:p>
    <w:p>
      <w:pPr>
        <w:pStyle w:val="BodyText"/>
        <w:spacing w:line="360" w:lineRule="auto" w:before="130"/>
        <w:ind w:left="122" w:right="260" w:firstLine="283"/>
        <w:jc w:val="both"/>
      </w:pPr>
      <w:r>
        <w:rPr/>
        <w:t>Dentro de las aplicaciones más comunes del nylon 6,6 se encuentran redes para pescar, cascos de barcos, plásticos desechables, en la industria textil, industria aeroespacial y también en la industria automotriz en donde son utilizados para la fabricación de engranajes y cojinetes [92].</w:t>
      </w:r>
    </w:p>
    <w:p>
      <w:pPr>
        <w:pStyle w:val="BodyText"/>
      </w:pPr>
    </w:p>
    <w:p>
      <w:pPr>
        <w:pStyle w:val="BodyText"/>
        <w:spacing w:line="360" w:lineRule="auto" w:before="130"/>
        <w:ind w:left="122" w:right="257" w:firstLine="283"/>
        <w:jc w:val="both"/>
      </w:pPr>
      <w:r>
        <w:rPr/>
        <w:t>El uso de engranajes de nylon 6,6 a alta carga y velocidad pueden modificar las propiedades visco-elásticas y por lo tanto su comportamiento mecánico durante la operación. Por lo anterior, se han desarrollado materiales compuestos de nylon 6,6 con fibras de carbono y fibras de vidrio obtenidos a través de moldeo por inyección con el propósito de disminuir el componente viscoso e incrementar el componente elástico del composito, lo que reduce el factor de amortiguamiento, el cual afecta en la generación de calor durante el servicio [93].</w:t>
      </w:r>
    </w:p>
    <w:p>
      <w:pPr>
        <w:pStyle w:val="BodyText"/>
      </w:pPr>
    </w:p>
    <w:p>
      <w:pPr>
        <w:pStyle w:val="BodyText"/>
        <w:spacing w:line="360" w:lineRule="auto" w:before="130"/>
        <w:ind w:left="122" w:right="262" w:firstLine="283"/>
        <w:jc w:val="both"/>
      </w:pPr>
      <w:r>
        <w:rPr/>
        <w:t>Estudios han demostrado que la microestructura y el tipo de procesamiento son importantes para el control del desempeño físico y mecánico. La cristalinidad, el tamaño del cristal y la</w:t>
      </w:r>
      <w:r>
        <w:rPr>
          <w:spacing w:val="52"/>
        </w:rPr>
        <w:t> </w:t>
      </w:r>
      <w:r>
        <w:rPr/>
        <w:t>organización</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61"/>
        <w:jc w:val="both"/>
      </w:pPr>
      <w:r>
        <w:rPr/>
        <w:t>lamelar de las poliamidas dependen del método de procesamiento. Los cristales con diferente perfección poseen propiedades diferentes las cuales tendrán un impacto profundo en el desempeño final de estos materiales [87].</w:t>
      </w:r>
    </w:p>
    <w:p>
      <w:pPr>
        <w:pStyle w:val="BodyText"/>
      </w:pPr>
    </w:p>
    <w:p>
      <w:pPr>
        <w:pStyle w:val="Heading4"/>
        <w:numPr>
          <w:ilvl w:val="3"/>
          <w:numId w:val="11"/>
        </w:numPr>
        <w:tabs>
          <w:tab w:pos="974" w:val="left" w:leader="none"/>
        </w:tabs>
        <w:spacing w:line="240" w:lineRule="auto" w:before="135" w:after="0"/>
        <w:ind w:left="974" w:right="0" w:hanging="852"/>
        <w:jc w:val="both"/>
      </w:pPr>
      <w:r>
        <w:rPr/>
        <w:t>Cristalización del nylon</w:t>
      </w:r>
      <w:r>
        <w:rPr>
          <w:spacing w:val="-7"/>
        </w:rPr>
        <w:t> </w:t>
      </w:r>
      <w:r>
        <w:rPr/>
        <w:t>6,6</w:t>
      </w:r>
    </w:p>
    <w:p>
      <w:pPr>
        <w:pStyle w:val="BodyText"/>
        <w:spacing w:line="360" w:lineRule="auto" w:before="121"/>
        <w:ind w:left="122" w:right="255" w:firstLine="283"/>
        <w:jc w:val="both"/>
      </w:pPr>
      <w:r>
        <w:rPr/>
        <w:t>Los polímeros semicristalinos están constituidos por dominios cristalinos dispersados en  regiones amorfas. Las propiedades de estos polímeros están usualmente relacionadas con el porcentaje de cristalinidad y con las características cristalinas tales como el tamaño y perfección de los cristales. Estudios de nylon, polietileno y polietilentereftalato han mostrado que la orientación y otras características de las fases no cristalinas o amorfas tienen influencia en el desempeño del polímero. La conexión entre los segmentos de cadena amorfa y cristalina es frecuentemente utilizada para explicar la correlación entre espaciamientos lamelares y las dimensiones de la celda unitaria. Tales enlaces entre los segmentos cristalinos y amorfos sugieren que cambios en la estructura cristalina dentro de la lamela deben de traer cambios en las regiones interlamelares</w:t>
      </w:r>
      <w:r>
        <w:rPr>
          <w:spacing w:val="-27"/>
        </w:rPr>
        <w:t> </w:t>
      </w:r>
      <w:r>
        <w:rPr/>
        <w:t>[82].</w:t>
      </w:r>
    </w:p>
    <w:p>
      <w:pPr>
        <w:pStyle w:val="BodyText"/>
      </w:pPr>
    </w:p>
    <w:p>
      <w:pPr>
        <w:pStyle w:val="BodyText"/>
        <w:spacing w:line="360" w:lineRule="auto" w:before="130"/>
        <w:ind w:left="122" w:right="255" w:firstLine="283"/>
        <w:jc w:val="both"/>
      </w:pPr>
      <w:r>
        <w:rPr/>
        <w:t>A temperatura ambiente las estructuras lamelares de esta poliamida están usualmente  compuestas por cadenas empaquetadas por puentes de hidrógeno y unidas por interacciones Van der Waals. Las secuencias repetitivas de los puentes de hidrógeno entre cadenas influyen en la cristalización y la estructura del nylon 6,6</w:t>
      </w:r>
      <w:r>
        <w:rPr>
          <w:spacing w:val="-15"/>
        </w:rPr>
        <w:t> </w:t>
      </w:r>
      <w:r>
        <w:rPr/>
        <w:t>[83].</w:t>
      </w:r>
    </w:p>
    <w:p>
      <w:pPr>
        <w:pStyle w:val="BodyText"/>
      </w:pPr>
    </w:p>
    <w:p>
      <w:pPr>
        <w:pStyle w:val="BodyText"/>
        <w:spacing w:line="360" w:lineRule="auto" w:before="130"/>
        <w:ind w:left="122" w:right="259" w:firstLine="283"/>
        <w:jc w:val="both"/>
      </w:pPr>
      <w:r>
        <w:rPr/>
        <w:t>En general el doblamiento de las cadenas en un plano específico está determinado por la minimización de la energía libre en la superficie, como en el polietileno, pero en el nylon 6,6, está determinado por las interacciones por puente de hidrógeno entre las cadenas. Un doblamiento ideal de las cadenas fue propuesto envolviendo 3.5 unidades repetitivas para el núcleo cristalino [84].</w:t>
      </w:r>
    </w:p>
    <w:p>
      <w:pPr>
        <w:pStyle w:val="BodyText"/>
      </w:pPr>
    </w:p>
    <w:p>
      <w:pPr>
        <w:pStyle w:val="BodyText"/>
        <w:spacing w:line="360" w:lineRule="auto" w:before="131"/>
        <w:ind w:left="122" w:right="255" w:firstLine="283"/>
        <w:jc w:val="both"/>
      </w:pPr>
      <w:r>
        <w:rPr/>
        <w:t>Además, para que las unidades amida puedan formar enlaces de puentes de hidrógeno, las cadenas deben tener un orden progresivo de 13º. Estas se pueden empaquetar con un orden progresivo de 42º, lo cual es equivalente a la estructura α. La celda unitaria de esta estructura es triclínica que contiene un segmento de cadena y los parámetros de celda son: a= 0.49 nm, b= 0.54 nm, c= 1.72 nm, α=48.5°, β=77° y γ= 63.5 [83].</w:t>
      </w:r>
    </w:p>
    <w:p>
      <w:pPr>
        <w:pStyle w:val="BodyText"/>
      </w:pPr>
    </w:p>
    <w:p>
      <w:pPr>
        <w:pStyle w:val="BodyText"/>
        <w:spacing w:line="360" w:lineRule="auto" w:before="130"/>
        <w:ind w:left="122" w:right="255" w:firstLine="283"/>
        <w:jc w:val="both"/>
      </w:pPr>
      <w:r>
        <w:rPr/>
        <w:t>La estructura α se caracteriza por los planos de difracción (100), (010) y (110). Los últimos dos se encuentran traslapados, por lo que los difractogramas de   nylon 6,6 se definen por las    señales a</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55"/>
        <w:jc w:val="both"/>
      </w:pPr>
      <w:r>
        <w:rPr/>
        <w:t>un espaciamiento de 0.44 nm = 20.2º y 0.37nm = 24º (en 2θ). La señal de difracción a ~20.2º es un valor de proyección de la distancia entre cadenas enlazadas por puentes de hidrógeno.      La señal a</w:t>
      </w:r>
    </w:p>
    <w:p>
      <w:pPr>
        <w:pStyle w:val="BodyText"/>
        <w:spacing w:line="360" w:lineRule="auto" w:before="4"/>
        <w:ind w:left="122" w:right="257"/>
        <w:jc w:val="both"/>
      </w:pPr>
      <w:r>
        <w:rPr/>
        <w:t>~24º representa la distancia entre capa y capa de las cadenas poliméricas [85]. Estas características se observan en la Figura 1.14.</w:t>
      </w:r>
    </w:p>
    <w:p>
      <w:pPr>
        <w:pStyle w:val="BodyText"/>
      </w:pPr>
    </w:p>
    <w:p>
      <w:pPr>
        <w:pStyle w:val="BodyText"/>
        <w:spacing w:line="360" w:lineRule="auto" w:before="130"/>
        <w:ind w:left="122" w:right="262" w:firstLine="283"/>
      </w:pPr>
      <w:r>
        <w:rPr/>
        <w:t>Por otro lado, cuando los cristales de nylon 6,6 son calentados los espaciamientos de las dos señales de difracción se fusionan         en la temperatura de Brill (T</w:t>
      </w:r>
      <w:r>
        <w:rPr>
          <w:position w:val="-2"/>
          <w:sz w:val="14"/>
        </w:rPr>
        <w:t>B</w:t>
      </w:r>
      <w:r>
        <w:rPr/>
        <w:t>) a un espaciamiento de Brill de</w:t>
      </w:r>
    </w:p>
    <w:p>
      <w:pPr>
        <w:pStyle w:val="BodyText"/>
        <w:spacing w:line="251" w:lineRule="exact"/>
        <w:ind w:left="122"/>
        <w:jc w:val="both"/>
      </w:pPr>
      <w:r>
        <w:rPr/>
        <w:t>0.42  nm.  Esta  señal  de  difracción  permanece  hasta  el  fundido  (T</w:t>
      </w:r>
      <w:r>
        <w:rPr>
          <w:position w:val="-2"/>
          <w:sz w:val="14"/>
        </w:rPr>
        <w:t>f</w:t>
      </w:r>
      <w:r>
        <w:rPr/>
        <w:t>).  La  fase  cristalina  de alta</w:t>
      </w:r>
    </w:p>
    <w:p>
      <w:pPr>
        <w:pStyle w:val="BodyText"/>
        <w:spacing w:line="355" w:lineRule="auto" w:before="116" w:after="14"/>
        <w:ind w:left="122" w:right="257"/>
        <w:jc w:val="both"/>
      </w:pPr>
      <w:r>
        <w:rPr/>
        <w:t>temperatura, entre la T</w:t>
      </w:r>
      <w:r>
        <w:rPr>
          <w:position w:val="-2"/>
          <w:sz w:val="14"/>
        </w:rPr>
        <w:t>B </w:t>
      </w:r>
      <w:r>
        <w:rPr/>
        <w:t>y la T</w:t>
      </w:r>
      <w:r>
        <w:rPr>
          <w:position w:val="-2"/>
          <w:sz w:val="14"/>
        </w:rPr>
        <w:t>f  </w:t>
      </w:r>
      <w:r>
        <w:rPr/>
        <w:t>es frecuentemente conocida como pseudohexagonal, es decir, la  vista paralela al eje de la cadena es hexagonal pero formalmente la celda unitaria es triclínica. Los valores de la temperatura de Brill caen en el rango de 170-220ºC, por debajo de la temperatura de fusión del nylon 6,6, la cual es 265ºC</w:t>
      </w:r>
      <w:r>
        <w:rPr>
          <w:spacing w:val="-7"/>
        </w:rPr>
        <w:t> </w:t>
      </w:r>
      <w:r>
        <w:rPr/>
        <w:t>[83].</w:t>
      </w:r>
    </w:p>
    <w:p>
      <w:pPr>
        <w:pStyle w:val="BodyText"/>
        <w:ind w:left="2965"/>
        <w:rPr>
          <w:sz w:val="20"/>
        </w:rPr>
      </w:pPr>
      <w:r>
        <w:rPr>
          <w:sz w:val="20"/>
        </w:rPr>
        <w:drawing>
          <wp:inline distT="0" distB="0" distL="0" distR="0">
            <wp:extent cx="2019568" cy="4334827"/>
            <wp:effectExtent l="0" t="0" r="0" b="0"/>
            <wp:docPr id="19" name="image16.jpeg" descr=""/>
            <wp:cNvGraphicFramePr>
              <a:graphicFrameLocks noChangeAspect="1"/>
            </wp:cNvGraphicFramePr>
            <a:graphic>
              <a:graphicData uri="http://schemas.openxmlformats.org/drawingml/2006/picture">
                <pic:pic>
                  <pic:nvPicPr>
                    <pic:cNvPr id="20" name="image16.jpeg"/>
                    <pic:cNvPicPr/>
                  </pic:nvPicPr>
                  <pic:blipFill>
                    <a:blip r:embed="rId30" cstate="print"/>
                    <a:stretch>
                      <a:fillRect/>
                    </a:stretch>
                  </pic:blipFill>
                  <pic:spPr>
                    <a:xfrm>
                      <a:off x="0" y="0"/>
                      <a:ext cx="2019568" cy="4334827"/>
                    </a:xfrm>
                    <a:prstGeom prst="rect">
                      <a:avLst/>
                    </a:prstGeom>
                  </pic:spPr>
                </pic:pic>
              </a:graphicData>
            </a:graphic>
          </wp:inline>
        </w:drawing>
      </w:r>
      <w:r>
        <w:rPr>
          <w:sz w:val="20"/>
        </w:rPr>
      </w:r>
    </w:p>
    <w:p>
      <w:pPr>
        <w:pStyle w:val="BodyText"/>
        <w:spacing w:line="360" w:lineRule="auto" w:before="97"/>
        <w:ind w:left="1802" w:right="1940"/>
        <w:jc w:val="center"/>
      </w:pPr>
      <w:r>
        <w:rPr>
          <w:b/>
        </w:rPr>
        <w:t>Figura 1.14 </w:t>
      </w:r>
      <w:r>
        <w:rPr/>
        <w:t>Representación de la celda unitaria del nylon 6,6, mostrando los planos de difracción [86].</w:t>
      </w:r>
    </w:p>
    <w:p>
      <w:pPr>
        <w:spacing w:after="0" w:line="360" w:lineRule="auto"/>
        <w:jc w:val="center"/>
        <w:sectPr>
          <w:pgSz w:w="12240" w:h="15840"/>
          <w:pgMar w:header="730" w:footer="1062" w:top="1160" w:bottom="1260" w:left="1580" w:right="1440"/>
        </w:sectPr>
      </w:pPr>
    </w:p>
    <w:p>
      <w:pPr>
        <w:pStyle w:val="BodyText"/>
        <w:spacing w:before="1"/>
        <w:rPr>
          <w:sz w:val="29"/>
        </w:rPr>
      </w:pPr>
    </w:p>
    <w:p>
      <w:pPr>
        <w:pStyle w:val="Heading4"/>
        <w:tabs>
          <w:tab w:pos="973" w:val="left" w:leader="none"/>
        </w:tabs>
        <w:spacing w:before="73"/>
      </w:pPr>
      <w:bookmarkStart w:name="_TOC_250020" w:id="1"/>
      <w:r>
        <w:rPr/>
        <w:t>1.3.5.3</w:t>
        <w:tab/>
        <w:t>Cristalización en nanocompositos de nylon</w:t>
      </w:r>
      <w:r>
        <w:rPr>
          <w:spacing w:val="-5"/>
        </w:rPr>
        <w:t> </w:t>
      </w:r>
      <w:bookmarkEnd w:id="1"/>
      <w:r>
        <w:rPr/>
        <w:t>6,6</w:t>
      </w:r>
    </w:p>
    <w:p>
      <w:pPr>
        <w:pStyle w:val="BodyText"/>
        <w:spacing w:line="321" w:lineRule="auto" w:before="80"/>
        <w:ind w:left="122" w:right="255" w:firstLine="283"/>
        <w:jc w:val="both"/>
      </w:pPr>
      <w:r>
        <w:rPr/>
        <w:t>La mayoría de los trabajos realizados sobre las propiedades de los nanocompositos en base a nylon 6,6 se enfocan principalmente a refuerzos como las nanoarcillas y los nanotubos de carbono. En donde además existe una pequeña cantidad de reportes enfocados a la eficiencia del grafeno como refuerzo en esta matriz polimérica.</w:t>
      </w:r>
    </w:p>
    <w:p>
      <w:pPr>
        <w:pStyle w:val="BodyText"/>
        <w:rPr>
          <w:sz w:val="30"/>
        </w:rPr>
      </w:pPr>
    </w:p>
    <w:p>
      <w:pPr>
        <w:pStyle w:val="BodyText"/>
        <w:spacing w:line="321" w:lineRule="auto" w:before="1"/>
        <w:ind w:left="122" w:right="255" w:firstLine="283"/>
        <w:jc w:val="both"/>
      </w:pPr>
      <w:r>
        <w:rPr/>
        <w:t>Entre las nanoarcillas más utilizadas se encuentra la montmorillonita (MMT), la cual consta de una serie de láminas de espesor de 1 nm y dimensiones laterales que varían desde cientos de nanómetros hasta micrómetros. La MMT no es compatible con el nylon 6,6, debido al carácter hidrofóbico de este material,  por lo que es común que sea modificada químicamente [11].</w:t>
      </w:r>
    </w:p>
    <w:p>
      <w:pPr>
        <w:pStyle w:val="BodyText"/>
        <w:spacing w:before="9"/>
        <w:rPr>
          <w:sz w:val="29"/>
        </w:rPr>
      </w:pPr>
    </w:p>
    <w:p>
      <w:pPr>
        <w:pStyle w:val="BodyText"/>
        <w:spacing w:line="321" w:lineRule="auto" w:before="1"/>
        <w:ind w:left="122" w:right="255" w:firstLine="283"/>
        <w:jc w:val="both"/>
      </w:pPr>
      <w:r>
        <w:rPr/>
        <w:t>Lu et al investigaron la influencia del procesamiento térmico en la perfección de los cristales de nanocompositos de nylon 6,6/MMT. En donde el tratamiento térmico lento proporcionó un mejor grado de cristalinidad y perfección del cristal que los nanocompositos obtenidos por fundido y enfriamiento brusco. Esto fue corroborado a través de FTIR y reportaron un aumento de tamaño de cristal perpendicular al plano (100) de 0.4 nm respecto al nylon 6,6 puro. Sin embargo, este dato no sirve de comparación debido a que el tamaño de cristal del polímero puro fue tomado de otro  trabajo reportado en la literatura</w:t>
      </w:r>
      <w:r>
        <w:rPr>
          <w:spacing w:val="-8"/>
        </w:rPr>
        <w:t> </w:t>
      </w:r>
      <w:r>
        <w:rPr/>
        <w:t>[84].</w:t>
      </w:r>
    </w:p>
    <w:p>
      <w:pPr>
        <w:pStyle w:val="BodyText"/>
        <w:spacing w:before="10"/>
        <w:rPr>
          <w:sz w:val="25"/>
        </w:rPr>
      </w:pPr>
    </w:p>
    <w:p>
      <w:pPr>
        <w:pStyle w:val="BodyText"/>
        <w:spacing w:line="357" w:lineRule="auto"/>
        <w:ind w:left="122" w:right="257" w:firstLine="283"/>
        <w:jc w:val="both"/>
      </w:pPr>
      <w:r>
        <w:rPr/>
        <w:t>Otra investigación mostró que la incorporación de 4% peso de MMT propició un aumento de 9% en el grado de cristalinidad de acuerdo a resultados de DSC. En contraste, la adición de 7% peso de esta nanorcilla disminuye la cristalinidad de los nanocompositos. A esta concentración, la curva de cristalización se caracterizó por un ensanchamiento respecto a la del polímero puro, atribuido al retraso de la velocidad de cristalización. Sin embargo, la T</w:t>
      </w:r>
      <w:r>
        <w:rPr>
          <w:position w:val="-2"/>
          <w:sz w:val="14"/>
        </w:rPr>
        <w:t>c </w:t>
      </w:r>
      <w:r>
        <w:rPr/>
        <w:t>fue aumentada en 24°C en comparación al nylon 6,6. Lo que indica que el tiempo de inducción de la nucleación fue reducida [94].</w:t>
      </w:r>
    </w:p>
    <w:p>
      <w:pPr>
        <w:pStyle w:val="BodyText"/>
      </w:pPr>
    </w:p>
    <w:p>
      <w:pPr>
        <w:pStyle w:val="BodyText"/>
        <w:spacing w:line="360" w:lineRule="auto" w:before="135"/>
        <w:ind w:left="122" w:right="255" w:firstLine="283"/>
        <w:jc w:val="both"/>
      </w:pPr>
      <w:r>
        <w:rPr/>
        <w:t>De manera similar, la adición de 4% peso de MMT aumentó ligeramente el índice de cristalinidad del nylon 6,6 de 0.38 a 0.42 para el nanocomposito, de acuerdo a resultados de difracción de rayos X. Además la adición de esta nanoarcilla afectó la estructura del cristal, favoreciendo el crecimiento en la dirección perpendicular al plano (010/110) [96]. Este comportamiento difiere con los difractogramas presentados en el trabajo anteriormente mencionado [95].</w:t>
      </w:r>
    </w:p>
    <w:p>
      <w:pPr>
        <w:pStyle w:val="BodyText"/>
      </w:pPr>
    </w:p>
    <w:p>
      <w:pPr>
        <w:pStyle w:val="BodyText"/>
        <w:spacing w:line="360" w:lineRule="auto" w:before="130"/>
        <w:ind w:left="122" w:right="255" w:firstLine="283"/>
        <w:jc w:val="both"/>
      </w:pPr>
      <w:r>
        <w:rPr/>
        <w:t>En cuanto a los trabajos en base a CNTs, se encuentra el de Li et al, quienes reportaron una reducción en el tamaño de cristal del nylon 6,6 a medida que se aumentó el contenido de   MWNTs.</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57" w:lineRule="auto" w:before="72"/>
        <w:ind w:left="122" w:right="255"/>
        <w:jc w:val="both"/>
      </w:pPr>
      <w:r>
        <w:rPr/>
        <w:t>Estas reducciones fueron de 4.15 a 3.83 nm y 4.39 a 4.06 nm respecto al polímero puro, para los dos planos de difracción de la fase cristalina α, a una concentración de 2% peso de MWNTs. Además encontraron que la adición de 0.1 a 2% peso aumentó la </w:t>
      </w:r>
      <w:r>
        <w:rPr>
          <w:spacing w:val="3"/>
        </w:rPr>
        <w:t>T</w:t>
      </w:r>
      <w:r>
        <w:rPr>
          <w:spacing w:val="3"/>
          <w:position w:val="-2"/>
          <w:sz w:val="14"/>
        </w:rPr>
        <w:t>c </w:t>
      </w:r>
      <w:r>
        <w:rPr/>
        <w:t>de los nanocompositos en comparación al polímero puro, comportamiento atribuido al confinamiento proporcionado por los nanotubos en  la matriz polimérica</w:t>
      </w:r>
      <w:r>
        <w:rPr>
          <w:spacing w:val="-7"/>
        </w:rPr>
        <w:t> </w:t>
      </w:r>
      <w:r>
        <w:rPr/>
        <w:t>[12].</w:t>
      </w:r>
    </w:p>
    <w:p>
      <w:pPr>
        <w:pStyle w:val="BodyText"/>
      </w:pPr>
    </w:p>
    <w:p>
      <w:pPr>
        <w:pStyle w:val="BodyText"/>
        <w:spacing w:line="360" w:lineRule="auto" w:before="133"/>
        <w:ind w:left="122" w:right="256" w:firstLine="283"/>
        <w:jc w:val="both"/>
      </w:pPr>
      <w:r>
        <w:rPr/>
        <w:t>Por otro lado, nanocompositos de nylon 6,6 con 5 y 7 % peso de MWNTs mostraron un  aumento en la intensidad en los picos de difracción del polímero, indicando un aumento en el tamaño de cristal en comparación al polímero puro. Además a través de microscopía, este grupo de investigación confirmó que tanto como los nanotubos como las cadenas del polímero tienen orientación preferencial a lo largo de las fibras obtenidas por electrospinning</w:t>
      </w:r>
      <w:r>
        <w:rPr>
          <w:spacing w:val="-23"/>
        </w:rPr>
        <w:t> </w:t>
      </w:r>
      <w:r>
        <w:rPr/>
        <w:t>[63].</w:t>
      </w:r>
    </w:p>
    <w:p>
      <w:pPr>
        <w:pStyle w:val="BodyText"/>
      </w:pPr>
    </w:p>
    <w:p>
      <w:pPr>
        <w:pStyle w:val="BodyText"/>
        <w:spacing w:line="360" w:lineRule="auto" w:before="130"/>
        <w:ind w:left="122" w:right="255" w:firstLine="283"/>
        <w:jc w:val="both"/>
      </w:pPr>
      <w:r>
        <w:rPr/>
        <w:t>Caamaño et al trabajaron con nanotubos de diferente diámetro, número de capas y con diferente modificación química. Todos los nanocompositos mostraron una disminución del tamaño de cristal a medida que la concentración de CNTs aumentó, la cual no fue cuantificada. Los efectos proporcionados por los diferentes refuerzos en la cristalización son muy similares. De éstos, solo sobresale la cristalización isotérmica, en donde se encontró que los CNTs con mayor diámetro requirieron un tiempo de cristalización media mayor que el resto de los refuerzos. Esto fue atribuido a una mayor área superficial específica, disponible para la cristalización debido a la buena  dispersión de estos nanotubos</w:t>
      </w:r>
      <w:r>
        <w:rPr>
          <w:spacing w:val="-7"/>
        </w:rPr>
        <w:t> </w:t>
      </w:r>
      <w:r>
        <w:rPr/>
        <w:t>[96].</w:t>
      </w:r>
    </w:p>
    <w:p>
      <w:pPr>
        <w:pStyle w:val="BodyText"/>
      </w:pPr>
    </w:p>
    <w:p>
      <w:pPr>
        <w:pStyle w:val="BodyText"/>
        <w:spacing w:line="360" w:lineRule="auto" w:before="130"/>
        <w:ind w:left="122" w:right="257" w:firstLine="283"/>
        <w:jc w:val="both"/>
      </w:pPr>
      <w:r>
        <w:rPr/>
        <w:t>A la fecha no existen reportes sobre la cristalización nanocompositos de nylon 6,6 en base a grafeno. Sin embargo, existen otros reportes en diferentes polímeros [65,66]. La mayoría de la información sobre los efectos de los nanomateriales de carbono en la cristalinidad en poliamidas está enfocada a estudios en nylon 6. Tal es el caso de la cristalización no isotérmica de nanocompositos de nylon 6/grafeno, donde se encontró que las características de nucleación y crecimiento de los cristales dependen de la velocidad de cristalización. En donde a altas velocidades de cristalización se obtuvo una morfología tridimensional compleja</w:t>
      </w:r>
      <w:r>
        <w:rPr>
          <w:spacing w:val="-22"/>
        </w:rPr>
        <w:t> </w:t>
      </w:r>
      <w:r>
        <w:rPr/>
        <w:t>[66].</w:t>
      </w:r>
    </w:p>
    <w:p>
      <w:pPr>
        <w:pStyle w:val="BodyText"/>
      </w:pPr>
    </w:p>
    <w:p>
      <w:pPr>
        <w:pStyle w:val="BodyText"/>
        <w:spacing w:line="360" w:lineRule="auto" w:before="130"/>
        <w:ind w:left="122" w:right="258" w:firstLine="283"/>
        <w:jc w:val="both"/>
      </w:pPr>
      <w:r>
        <w:rPr/>
        <w:t>Con lo anterior, se puede decir que el comportamiento de cristalización en nanocompositos en base a MMT, CNTs y grafeno son muy similares debido al efecto que proporcionan sus  dimensiones nanométricas. Dicho efecto será ampliado con mejor detalle en las siguientes secciones.</w:t>
      </w:r>
      <w:r>
        <w:rPr>
          <w:spacing w:val="42"/>
        </w:rPr>
        <w:t> </w:t>
      </w:r>
      <w:r>
        <w:rPr/>
        <w:t>Cabe</w:t>
      </w:r>
      <w:r>
        <w:rPr>
          <w:spacing w:val="40"/>
        </w:rPr>
        <w:t> </w:t>
      </w:r>
      <w:r>
        <w:rPr/>
        <w:t>destacar</w:t>
      </w:r>
      <w:r>
        <w:rPr>
          <w:spacing w:val="40"/>
        </w:rPr>
        <w:t> </w:t>
      </w:r>
      <w:r>
        <w:rPr/>
        <w:t>que</w:t>
      </w:r>
      <w:r>
        <w:rPr>
          <w:spacing w:val="42"/>
        </w:rPr>
        <w:t> </w:t>
      </w:r>
      <w:r>
        <w:rPr/>
        <w:t>las</w:t>
      </w:r>
      <w:r>
        <w:rPr>
          <w:spacing w:val="42"/>
        </w:rPr>
        <w:t> </w:t>
      </w:r>
      <w:r>
        <w:rPr/>
        <w:t>propiedades</w:t>
      </w:r>
      <w:r>
        <w:rPr>
          <w:spacing w:val="42"/>
        </w:rPr>
        <w:t> </w:t>
      </w:r>
      <w:r>
        <w:rPr/>
        <w:t>térmicas</w:t>
      </w:r>
      <w:r>
        <w:rPr>
          <w:spacing w:val="42"/>
        </w:rPr>
        <w:t> </w:t>
      </w:r>
      <w:r>
        <w:rPr/>
        <w:t>y</w:t>
      </w:r>
      <w:r>
        <w:rPr>
          <w:spacing w:val="39"/>
        </w:rPr>
        <w:t> </w:t>
      </w:r>
      <w:r>
        <w:rPr/>
        <w:t>eléctricas</w:t>
      </w:r>
      <w:r>
        <w:rPr>
          <w:spacing w:val="42"/>
        </w:rPr>
        <w:t> </w:t>
      </w:r>
      <w:r>
        <w:rPr/>
        <w:t>de</w:t>
      </w:r>
      <w:r>
        <w:rPr>
          <w:spacing w:val="40"/>
        </w:rPr>
        <w:t> </w:t>
      </w:r>
      <w:r>
        <w:rPr/>
        <w:t>los</w:t>
      </w:r>
      <w:r>
        <w:rPr>
          <w:spacing w:val="42"/>
        </w:rPr>
        <w:t> </w:t>
      </w:r>
      <w:r>
        <w:rPr/>
        <w:t>CNTs</w:t>
      </w:r>
      <w:r>
        <w:rPr>
          <w:spacing w:val="42"/>
        </w:rPr>
        <w:t> </w:t>
      </w:r>
      <w:r>
        <w:rPr/>
        <w:t>y</w:t>
      </w:r>
      <w:r>
        <w:rPr>
          <w:spacing w:val="39"/>
        </w:rPr>
        <w:t> </w:t>
      </w:r>
      <w:r>
        <w:rPr/>
        <w:t>grafeno</w:t>
      </w:r>
      <w:r>
        <w:rPr>
          <w:spacing w:val="42"/>
        </w:rPr>
        <w:t> </w:t>
      </w:r>
      <w:r>
        <w:rPr/>
        <w:t>son</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55"/>
        <w:jc w:val="both"/>
      </w:pPr>
      <w:r>
        <w:rPr/>
        <w:t>superiores a las de las nanoarcillas y que además, de acuerdo a una variedad de estudios las propiedades mecánicas y eléctricas de los nanocompositos en base a MMT son inferiores a aquellas resultantes de la incorporación de nanomateriales de carbono [8].</w:t>
      </w:r>
    </w:p>
    <w:p>
      <w:pPr>
        <w:pStyle w:val="BodyText"/>
      </w:pPr>
    </w:p>
    <w:p>
      <w:pPr>
        <w:pStyle w:val="BodyText"/>
        <w:spacing w:line="360" w:lineRule="auto" w:before="130"/>
        <w:ind w:left="122" w:right="255" w:firstLine="283"/>
        <w:jc w:val="both"/>
      </w:pPr>
      <w:r>
        <w:rPr/>
        <w:t>Como se ha mencionado con anterioridad, el procesamiento es otro de los aspectos importantes para la cristalización de los polímeros. En este trabajo se empleó moldeo por inyección que es un método por fundido, a partir del cual se obtienen esferulitas. La formación de estas estructuras se da ya sea por plegamientos espontáneos de las cadenas poliméricas o por una partícula externa que origina un núcleo de cristalización [8]. A esta cadena se le van añadiendo otras conformaciones plegadas paralelas provocando la formación de estructuras lamelares, las cuales crecen de manera radial, hasta que se ven limitadas espacialmente por otras lamelas adyacentes [42,59]. Además se empleó un método por solución, en donde en este caso, los cristales fueron creados por la evaporación del solvente mediante </w:t>
      </w:r>
      <w:r>
        <w:rPr>
          <w:i/>
        </w:rPr>
        <w:t>electrospinning. </w:t>
      </w:r>
      <w:r>
        <w:rPr/>
        <w:t>El esfuerzo de deformación proporcionado por esta técnica provoca una serie de arreglos en las cadenas poliméricas de manera que estas se orientan en la dirección del esfuerzo producido para dar lugar a la formación de fibrilas</w:t>
      </w:r>
      <w:r>
        <w:rPr>
          <w:spacing w:val="-25"/>
        </w:rPr>
        <w:t> </w:t>
      </w:r>
      <w:r>
        <w:rPr/>
        <w:t>[85].</w:t>
      </w:r>
    </w:p>
    <w:p>
      <w:pPr>
        <w:pStyle w:val="BodyText"/>
      </w:pPr>
    </w:p>
    <w:p>
      <w:pPr>
        <w:pStyle w:val="BodyText"/>
        <w:spacing w:line="360" w:lineRule="auto" w:before="130"/>
        <w:ind w:left="122" w:right="258" w:firstLine="283"/>
        <w:jc w:val="both"/>
      </w:pPr>
      <w:r>
        <w:rPr/>
        <w:t>En la Figura 1.15, se encuentran las estructuras cristalinas mencionadas anteriormente donde se incluyen los dos alótropos de carbono estudiados en este trabajo. En los CNTs las cadenas del polímero se alinean a lo largo del eje del nanotubo [27]. En cambio en las hojas de grafeno, el proceso es epitaxial, donde las cadenas poliméricas ajustan sus conformaciones con la gran superficie de la red grafítica [97].</w:t>
      </w:r>
    </w:p>
    <w:p>
      <w:pPr>
        <w:pStyle w:val="BodyText"/>
      </w:pPr>
    </w:p>
    <w:p>
      <w:pPr>
        <w:pStyle w:val="BodyText"/>
        <w:spacing w:line="360" w:lineRule="auto" w:before="130"/>
        <w:ind w:left="122" w:right="256" w:firstLine="283"/>
        <w:jc w:val="both"/>
      </w:pPr>
      <w:r>
        <w:rPr/>
        <w:t>Además estos alótropos de carbono interactúan de diferente forma con el polímero dependiendo de la química de ambas fases. Las cadenas poliméricas son adsorbidas sobre la superficie de los nanomateriales en estado puro a través de interacciones de tipo Van der Waals. En cambio, cuando los nanomateriales son funcionalizados con grupos carboxílicos o grupos amino, existe una interacción más fuerte con los grupos funcionales del nylon 6,6. Estas interacciones de tipo de puente de hidrógeno también se esquematizan en la Figura 1.15. Dichas características son importantes para una buena adhesión interfacial entre los dos materiales. De esta manera se resalta la importancia del estudio de estos alótropos de carbono y de los diversos factores involucrados en las propiedades de los</w:t>
      </w:r>
      <w:r>
        <w:rPr>
          <w:spacing w:val="-6"/>
        </w:rPr>
        <w:t> </w:t>
      </w:r>
      <w:r>
        <w:rPr/>
        <w:t>nanocompositos.</w:t>
      </w:r>
    </w:p>
    <w:p>
      <w:pPr>
        <w:spacing w:after="0" w:line="360" w:lineRule="auto"/>
        <w:jc w:val="both"/>
        <w:sectPr>
          <w:pgSz w:w="12240" w:h="15840"/>
          <w:pgMar w:header="730" w:footer="1062" w:top="1160" w:bottom="1260" w:left="1580" w:right="1440"/>
        </w:sectPr>
      </w:pPr>
    </w:p>
    <w:p>
      <w:pPr>
        <w:pStyle w:val="BodyText"/>
        <w:rPr>
          <w:sz w:val="28"/>
        </w:rPr>
      </w:pPr>
    </w:p>
    <w:p>
      <w:pPr>
        <w:pStyle w:val="BodyText"/>
        <w:ind w:left="1798"/>
        <w:rPr>
          <w:sz w:val="20"/>
        </w:rPr>
      </w:pPr>
      <w:r>
        <w:rPr>
          <w:sz w:val="20"/>
        </w:rPr>
        <w:drawing>
          <wp:inline distT="0" distB="0" distL="0" distR="0">
            <wp:extent cx="3707199" cy="7431024"/>
            <wp:effectExtent l="0" t="0" r="0" b="0"/>
            <wp:docPr id="21" name="image17.png" descr=""/>
            <wp:cNvGraphicFramePr>
              <a:graphicFrameLocks noChangeAspect="1"/>
            </wp:cNvGraphicFramePr>
            <a:graphic>
              <a:graphicData uri="http://schemas.openxmlformats.org/drawingml/2006/picture">
                <pic:pic>
                  <pic:nvPicPr>
                    <pic:cNvPr id="22" name="image17.png"/>
                    <pic:cNvPicPr/>
                  </pic:nvPicPr>
                  <pic:blipFill>
                    <a:blip r:embed="rId31" cstate="print"/>
                    <a:stretch>
                      <a:fillRect/>
                    </a:stretch>
                  </pic:blipFill>
                  <pic:spPr>
                    <a:xfrm>
                      <a:off x="0" y="0"/>
                      <a:ext cx="3707199" cy="7431024"/>
                    </a:xfrm>
                    <a:prstGeom prst="rect">
                      <a:avLst/>
                    </a:prstGeom>
                  </pic:spPr>
                </pic:pic>
              </a:graphicData>
            </a:graphic>
          </wp:inline>
        </w:drawing>
      </w:r>
      <w:r>
        <w:rPr>
          <w:sz w:val="20"/>
        </w:rPr>
      </w:r>
    </w:p>
    <w:p>
      <w:pPr>
        <w:pStyle w:val="BodyText"/>
        <w:spacing w:line="360" w:lineRule="auto" w:before="41"/>
        <w:ind w:left="2635" w:right="800" w:hanging="1676"/>
      </w:pPr>
      <w:r>
        <w:rPr>
          <w:b/>
        </w:rPr>
        <w:t>Figura 1.15. </w:t>
      </w:r>
      <w:r>
        <w:rPr/>
        <w:t>Esquema representativo de las estructuras cristalinas obtenidas a través de método por fundido y método por solución.</w:t>
      </w:r>
    </w:p>
    <w:p>
      <w:pPr>
        <w:spacing w:after="0" w:line="360" w:lineRule="auto"/>
        <w:sectPr>
          <w:pgSz w:w="12240" w:h="15840"/>
          <w:pgMar w:header="730" w:footer="1062" w:top="1160" w:bottom="1260" w:left="1580" w:right="1440"/>
        </w:sectPr>
      </w:pPr>
    </w:p>
    <w:p>
      <w:pPr>
        <w:pStyle w:val="BodyText"/>
        <w:spacing w:before="7"/>
        <w:rPr>
          <w:sz w:val="21"/>
        </w:rPr>
      </w:pPr>
    </w:p>
    <w:p>
      <w:pPr>
        <w:pStyle w:val="Heading4"/>
        <w:numPr>
          <w:ilvl w:val="1"/>
          <w:numId w:val="12"/>
        </w:numPr>
        <w:tabs>
          <w:tab w:pos="647" w:val="left" w:leader="none"/>
          <w:tab w:pos="648" w:val="left" w:leader="none"/>
        </w:tabs>
        <w:spacing w:line="240" w:lineRule="auto" w:before="72" w:after="0"/>
        <w:ind w:left="647" w:right="0" w:hanging="525"/>
        <w:jc w:val="left"/>
      </w:pPr>
      <w:bookmarkStart w:name="_TOC_250019" w:id="2"/>
      <w:bookmarkEnd w:id="2"/>
      <w:r>
        <w:rPr/>
        <w:t>Objetivo</w:t>
      </w:r>
    </w:p>
    <w:p>
      <w:pPr>
        <w:pStyle w:val="BodyText"/>
        <w:spacing w:line="360" w:lineRule="auto" w:before="121"/>
        <w:ind w:left="122" w:right="256" w:firstLine="283"/>
        <w:jc w:val="both"/>
      </w:pPr>
      <w:r>
        <w:rPr/>
        <w:t>Investigar la influencia de la estructura y la funcionalización química de los nanotubos de carbono y grafeno como agentes nucleantes en nanocompositos de matriz de nylon 6,6 al ser obtenidos por dos tipos de procesamiento diferentes; así como los efectos causados en las propiedades mecánicas y térmicas de los nanocompositos poliméricos.</w:t>
      </w:r>
    </w:p>
    <w:p>
      <w:pPr>
        <w:pStyle w:val="BodyText"/>
      </w:pPr>
    </w:p>
    <w:p>
      <w:pPr>
        <w:pStyle w:val="Heading4"/>
        <w:tabs>
          <w:tab w:pos="841" w:val="left" w:leader="none"/>
        </w:tabs>
      </w:pPr>
      <w:r>
        <w:rPr/>
        <w:t>1.4.1</w:t>
        <w:tab/>
        <w:t>Objetivos</w:t>
      </w:r>
      <w:r>
        <w:rPr>
          <w:spacing w:val="-7"/>
        </w:rPr>
        <w:t> </w:t>
      </w:r>
      <w:r>
        <w:rPr/>
        <w:t>particulares</w:t>
      </w:r>
    </w:p>
    <w:p>
      <w:pPr>
        <w:pStyle w:val="ListParagraph"/>
        <w:numPr>
          <w:ilvl w:val="2"/>
          <w:numId w:val="12"/>
        </w:numPr>
        <w:tabs>
          <w:tab w:pos="841" w:val="left" w:leader="none"/>
          <w:tab w:pos="842" w:val="left" w:leader="none"/>
        </w:tabs>
        <w:spacing w:line="355" w:lineRule="auto" w:before="120" w:after="0"/>
        <w:ind w:left="842" w:right="257" w:hanging="360"/>
        <w:jc w:val="left"/>
        <w:rPr>
          <w:sz w:val="22"/>
        </w:rPr>
      </w:pPr>
      <w:r>
        <w:rPr>
          <w:sz w:val="22"/>
        </w:rPr>
        <w:t>Obtener nanocompositos de un polímero semicristalino con CNTs, CNTs oxidados y CNTs funcionalizados con grupos</w:t>
      </w:r>
      <w:r>
        <w:rPr>
          <w:spacing w:val="-10"/>
          <w:sz w:val="22"/>
        </w:rPr>
        <w:t> </w:t>
      </w:r>
      <w:r>
        <w:rPr>
          <w:sz w:val="22"/>
        </w:rPr>
        <w:t>amino.</w:t>
      </w:r>
    </w:p>
    <w:p>
      <w:pPr>
        <w:pStyle w:val="ListParagraph"/>
        <w:numPr>
          <w:ilvl w:val="2"/>
          <w:numId w:val="12"/>
        </w:numPr>
        <w:tabs>
          <w:tab w:pos="841" w:val="left" w:leader="none"/>
          <w:tab w:pos="842" w:val="left" w:leader="none"/>
        </w:tabs>
        <w:spacing w:line="352" w:lineRule="auto" w:before="8" w:after="0"/>
        <w:ind w:left="842" w:right="262" w:hanging="360"/>
        <w:jc w:val="left"/>
        <w:rPr>
          <w:sz w:val="22"/>
        </w:rPr>
      </w:pPr>
      <w:r>
        <w:rPr>
          <w:sz w:val="22"/>
        </w:rPr>
        <w:t>Obtener nanocompositos en base a una matriz de un polímero semicristalino reforzada con grafeno, óxido de grafeno y grafeno funcionalizado con grupos</w:t>
      </w:r>
      <w:r>
        <w:rPr>
          <w:spacing w:val="-15"/>
          <w:sz w:val="22"/>
        </w:rPr>
        <w:t> </w:t>
      </w:r>
      <w:r>
        <w:rPr>
          <w:sz w:val="22"/>
        </w:rPr>
        <w:t>amino.</w:t>
      </w:r>
    </w:p>
    <w:p>
      <w:pPr>
        <w:pStyle w:val="ListParagraph"/>
        <w:numPr>
          <w:ilvl w:val="2"/>
          <w:numId w:val="12"/>
        </w:numPr>
        <w:tabs>
          <w:tab w:pos="841" w:val="left" w:leader="none"/>
          <w:tab w:pos="842" w:val="left" w:leader="none"/>
        </w:tabs>
        <w:spacing w:line="352" w:lineRule="auto" w:before="10" w:after="0"/>
        <w:ind w:left="842" w:right="260" w:hanging="360"/>
        <w:jc w:val="left"/>
        <w:rPr>
          <w:sz w:val="22"/>
        </w:rPr>
      </w:pPr>
      <w:r>
        <w:rPr>
          <w:sz w:val="22"/>
        </w:rPr>
        <w:t>Determinar la cristalinidad de los nanocompositos poliméricos en función del refuerzo y el tipo de</w:t>
      </w:r>
      <w:r>
        <w:rPr>
          <w:spacing w:val="-6"/>
          <w:sz w:val="22"/>
        </w:rPr>
        <w:t> </w:t>
      </w:r>
      <w:r>
        <w:rPr>
          <w:sz w:val="22"/>
        </w:rPr>
        <w:t>funcionalización.</w:t>
      </w:r>
    </w:p>
    <w:p>
      <w:pPr>
        <w:pStyle w:val="ListParagraph"/>
        <w:numPr>
          <w:ilvl w:val="2"/>
          <w:numId w:val="12"/>
        </w:numPr>
        <w:tabs>
          <w:tab w:pos="841" w:val="left" w:leader="none"/>
          <w:tab w:pos="842" w:val="left" w:leader="none"/>
        </w:tabs>
        <w:spacing w:line="240" w:lineRule="auto" w:before="10" w:after="0"/>
        <w:ind w:left="842" w:right="0" w:hanging="360"/>
        <w:jc w:val="left"/>
        <w:rPr>
          <w:sz w:val="22"/>
        </w:rPr>
      </w:pPr>
      <w:r>
        <w:rPr>
          <w:sz w:val="22"/>
        </w:rPr>
        <w:t>Determinar las propiedades mecánicas y térmicas  de los nanocompositos</w:t>
      </w:r>
      <w:r>
        <w:rPr>
          <w:spacing w:val="-24"/>
          <w:sz w:val="22"/>
        </w:rPr>
        <w:t> </w:t>
      </w:r>
      <w:r>
        <w:rPr>
          <w:sz w:val="22"/>
        </w:rPr>
        <w:t>obtenidos.</w:t>
      </w:r>
    </w:p>
    <w:p>
      <w:pPr>
        <w:pStyle w:val="ListParagraph"/>
        <w:numPr>
          <w:ilvl w:val="2"/>
          <w:numId w:val="12"/>
        </w:numPr>
        <w:tabs>
          <w:tab w:pos="841" w:val="left" w:leader="none"/>
          <w:tab w:pos="842" w:val="left" w:leader="none"/>
        </w:tabs>
        <w:spacing w:line="352" w:lineRule="auto" w:before="124" w:after="0"/>
        <w:ind w:left="842" w:right="262" w:hanging="360"/>
        <w:jc w:val="left"/>
        <w:rPr>
          <w:sz w:val="22"/>
        </w:rPr>
      </w:pPr>
      <w:r>
        <w:rPr>
          <w:sz w:val="22"/>
        </w:rPr>
        <w:t>Determinar el efecto de las propiedades mecánicas y térmicas de los nanocompositos dependiendo de la concentración, la funcionalización y el grado de</w:t>
      </w:r>
      <w:r>
        <w:rPr>
          <w:spacing w:val="-24"/>
          <w:sz w:val="22"/>
        </w:rPr>
        <w:t> </w:t>
      </w:r>
      <w:r>
        <w:rPr>
          <w:sz w:val="22"/>
        </w:rPr>
        <w:t>cristalinidad.</w:t>
      </w:r>
    </w:p>
    <w:p>
      <w:pPr>
        <w:pStyle w:val="Heading4"/>
        <w:numPr>
          <w:ilvl w:val="1"/>
          <w:numId w:val="12"/>
        </w:numPr>
        <w:tabs>
          <w:tab w:pos="601" w:val="left" w:leader="none"/>
          <w:tab w:pos="602" w:val="left" w:leader="none"/>
        </w:tabs>
        <w:spacing w:line="240" w:lineRule="auto" w:before="17" w:after="0"/>
        <w:ind w:left="602" w:right="0" w:hanging="480"/>
        <w:jc w:val="left"/>
      </w:pPr>
      <w:bookmarkStart w:name="_TOC_250018" w:id="3"/>
      <w:bookmarkEnd w:id="3"/>
      <w:r>
        <w:rPr/>
        <w:t>Hipótesis</w:t>
      </w:r>
    </w:p>
    <w:p>
      <w:pPr>
        <w:pStyle w:val="BodyText"/>
        <w:spacing w:line="360" w:lineRule="auto" w:before="121"/>
        <w:ind w:left="122" w:right="256" w:firstLine="479"/>
        <w:jc w:val="both"/>
      </w:pPr>
      <w:r>
        <w:rPr/>
        <w:t>La estructura nanométrica de los nanotubos de carbono y el grafeno así como la funcionalización química de los mismos y el tipo de procesamiento del polímero tienen influencia en la nucleación del polímero semicristalino y por ende en su grado de cristalinidad final. Estos factores afectan de manera diferente no solo en las propiedades de cristalinidad, sino también en la interfase entre el nanomaterial y el polímero, así como en la dispersión del refuerzo en la matriz. En donde la funcionalización favorecerá a estas características y por ende las propiedades mecánicas y térmicas de los nanocompositos poliméricos serán</w:t>
      </w:r>
      <w:r>
        <w:rPr>
          <w:spacing w:val="-20"/>
        </w:rPr>
        <w:t> </w:t>
      </w:r>
      <w:r>
        <w:rPr/>
        <w:t>superiores.</w:t>
      </w:r>
    </w:p>
    <w:p>
      <w:pPr>
        <w:pStyle w:val="BodyText"/>
      </w:pPr>
    </w:p>
    <w:p>
      <w:pPr>
        <w:pStyle w:val="Heading4"/>
        <w:numPr>
          <w:ilvl w:val="1"/>
          <w:numId w:val="12"/>
        </w:numPr>
        <w:tabs>
          <w:tab w:pos="550" w:val="left" w:leader="none"/>
        </w:tabs>
        <w:spacing w:line="240" w:lineRule="auto" w:before="136" w:after="0"/>
        <w:ind w:left="549" w:right="0" w:hanging="427"/>
        <w:jc w:val="left"/>
      </w:pPr>
      <w:bookmarkStart w:name="_TOC_250017" w:id="4"/>
      <w:bookmarkEnd w:id="4"/>
      <w:r>
        <w:rPr/>
        <w:t>Motivación</w:t>
      </w:r>
    </w:p>
    <w:p>
      <w:pPr>
        <w:pStyle w:val="BodyText"/>
        <w:spacing w:line="360" w:lineRule="auto" w:before="121"/>
        <w:ind w:left="122" w:right="255" w:firstLine="283"/>
        <w:jc w:val="both"/>
      </w:pPr>
      <w:r>
        <w:rPr/>
        <w:t>Actualmente existe abundante evidencia experimental acerca de las propiedades de los  nanotubos de carbono y grafeno. Muchas de estas propiedades se les han dado una mejor aplicación cuando estos nanomateriales son incorporados en una matriz polimérica. Por lo que la preparación de estos nanocompositos también ha sido objeto de innumerables estudios. A pesar del auge que ha tenido el estudio de estos alótropos de carbono aun quedan muchas vías por</w:t>
      </w:r>
      <w:r>
        <w:rPr>
          <w:spacing w:val="-18"/>
        </w:rPr>
        <w:t> </w:t>
      </w:r>
      <w:r>
        <w:rPr/>
        <w:t>explorar.</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55" w:firstLine="283"/>
        <w:jc w:val="both"/>
      </w:pPr>
      <w:r>
        <w:rPr/>
        <w:t>El grafeno es un material con una estructura base similar a la que presentan los nanotubos de carbono. Sin embargo, debido a la geometría diferente de estos dos nanomateriales, así como las diferentes funcionalizaciones propuestas en este trabajo existen diferentes mecanismos de cristalización, contribuyendo en las características de los dominios cristalinos. La repercusión de estos factores además está íntimamente ligada con las propiedades termo-mecánicas.</w:t>
      </w:r>
    </w:p>
    <w:p>
      <w:pPr>
        <w:pStyle w:val="BodyText"/>
      </w:pPr>
    </w:p>
    <w:p>
      <w:pPr>
        <w:pStyle w:val="BodyText"/>
        <w:spacing w:line="360" w:lineRule="auto" w:before="130"/>
        <w:ind w:left="122" w:right="256" w:firstLine="283"/>
        <w:jc w:val="both"/>
      </w:pPr>
      <w:r>
        <w:rPr/>
        <w:t>Por lo anterior, este trabajo expone los efectos que conlleva la incorporación de estos nanomateriales de carbono en la cristalinidad de una matriz de nylon 6,6 y los factores que afectan en mayor medida a las propiedades de los nanocompositos. De tal manera que los resultados de esta investigación contribuirán al entendimiento de las propiedades estructurales de nanocompositos cuyo mayor campo de aplicación potencial está en las industrias aeroespaciales y automotrices.</w:t>
      </w:r>
    </w:p>
    <w:p>
      <w:pPr>
        <w:spacing w:after="0" w:line="360" w:lineRule="auto"/>
        <w:jc w:val="both"/>
        <w:sectPr>
          <w:pgSz w:w="12240" w:h="15840"/>
          <w:pgMar w:header="730" w:footer="1062" w:top="1160" w:bottom="1260" w:left="1580" w:right="1440"/>
        </w:sectPr>
      </w:pPr>
    </w:p>
    <w:p>
      <w:pPr>
        <w:pStyle w:val="BodyText"/>
        <w:rPr>
          <w:sz w:val="20"/>
        </w:rPr>
      </w:pPr>
      <w:r>
        <w:rPr/>
        <w:pict>
          <v:group style="position:absolute;margin-left:122.175003pt;margin-top:212.714996pt;width:4.45pt;height:275.350pt;mso-position-horizontal-relative:page;mso-position-vertical-relative:page;z-index:-175456" coordorigin="2444,4254" coordsize="89,5507">
            <v:line style="position:absolute" from="2488,4299" to="2488,4515" stroked="true" strokeweight="4.440pt" strokecolor="#000000"/>
            <v:line style="position:absolute" from="2488,4515" to="2488,5353" stroked="true" strokeweight="4.440pt" strokecolor="#000000"/>
            <v:line style="position:absolute" from="2488,5353" to="2488,8663" stroked="true" strokeweight="4.440pt" strokecolor="#000000"/>
            <v:line style="position:absolute" from="2488,8663" to="2488,8879" stroked="true" strokeweight="4.440pt" strokecolor="#000000"/>
            <v:line style="position:absolute" from="2488,8879" to="2488,9717" stroked="true" strokeweight="4.440pt" strokecolor="#000000"/>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tbl>
      <w:tblPr>
        <w:tblW w:w="0" w:type="auto"/>
        <w:jc w:val="left"/>
        <w:tblInd w:w="7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696"/>
      </w:tblGrid>
      <w:tr>
        <w:trPr>
          <w:trHeight w:val="3029" w:hRule="exact"/>
        </w:trPr>
        <w:tc>
          <w:tcPr>
            <w:tcW w:w="5696" w:type="dxa"/>
          </w:tcPr>
          <w:p>
            <w:pPr>
              <w:pStyle w:val="TableParagraph"/>
              <w:spacing w:line="980" w:lineRule="exact"/>
              <w:ind w:left="109"/>
              <w:jc w:val="left"/>
              <w:rPr>
                <w:b/>
                <w:i/>
                <w:sz w:val="96"/>
              </w:rPr>
            </w:pPr>
            <w:r>
              <w:rPr>
                <w:b/>
                <w:i/>
                <w:sz w:val="96"/>
              </w:rPr>
              <w:t>Metodología</w:t>
            </w:r>
          </w:p>
          <w:p>
            <w:pPr>
              <w:pStyle w:val="TableParagraph"/>
              <w:spacing w:before="552"/>
              <w:ind w:left="109"/>
              <w:jc w:val="left"/>
              <w:rPr>
                <w:b/>
                <w:i/>
                <w:sz w:val="96"/>
              </w:rPr>
            </w:pPr>
            <w:r>
              <w:rPr>
                <w:b/>
                <w:i/>
                <w:sz w:val="96"/>
              </w:rPr>
              <w:t>Experimental</w:t>
            </w:r>
          </w:p>
        </w:tc>
      </w:tr>
      <w:tr>
        <w:trPr>
          <w:trHeight w:val="1173" w:hRule="exact"/>
        </w:trPr>
        <w:tc>
          <w:tcPr>
            <w:tcW w:w="5696" w:type="dxa"/>
          </w:tcPr>
          <w:p>
            <w:pPr>
              <w:pStyle w:val="TableParagraph"/>
              <w:spacing w:before="10"/>
              <w:jc w:val="left"/>
              <w:rPr>
                <w:sz w:val="31"/>
              </w:rPr>
            </w:pPr>
          </w:p>
          <w:p>
            <w:pPr>
              <w:pStyle w:val="TableParagraph"/>
              <w:ind w:left="116"/>
              <w:jc w:val="left"/>
              <w:rPr>
                <w:i/>
                <w:sz w:val="36"/>
              </w:rPr>
            </w:pPr>
            <w:r>
              <w:rPr>
                <w:i/>
                <w:sz w:val="36"/>
              </w:rPr>
              <w:t>Capítulo 2</w:t>
            </w:r>
          </w:p>
        </w:tc>
      </w:tr>
    </w:tbl>
    <w:p>
      <w:pPr>
        <w:spacing w:after="0"/>
        <w:jc w:val="left"/>
        <w:rPr>
          <w:sz w:val="36"/>
        </w:rPr>
        <w:sectPr>
          <w:headerReference w:type="default" r:id="rId32"/>
          <w:footerReference w:type="default" r:id="rId33"/>
          <w:pgSz w:w="12240" w:h="15840"/>
          <w:pgMar w:header="0" w:footer="0" w:top="1500" w:bottom="280" w:left="1720" w:right="1720"/>
        </w:sectPr>
      </w:pPr>
    </w:p>
    <w:p>
      <w:pPr>
        <w:pStyle w:val="BodyText"/>
        <w:spacing w:before="2"/>
        <w:rPr>
          <w:sz w:val="21"/>
        </w:rPr>
      </w:pPr>
    </w:p>
    <w:p>
      <w:pPr>
        <w:pStyle w:val="BodyText"/>
        <w:spacing w:line="360" w:lineRule="auto" w:before="72"/>
        <w:ind w:left="122" w:right="258" w:firstLine="283"/>
        <w:jc w:val="both"/>
      </w:pPr>
      <w:r>
        <w:rPr/>
        <w:t>En este capítulo se describen los materiales utilizados para obtener los nanocompositos de nylon 6,6 a través de </w:t>
      </w:r>
      <w:r>
        <w:rPr>
          <w:i/>
        </w:rPr>
        <w:t>electrospinning </w:t>
      </w:r>
      <w:r>
        <w:rPr/>
        <w:t>y moldeo por inyección. También se describe la metodología para llevar a cabo dichos procesos, así como las caracterizaciones realizadas para evaluar sus propiedades. Además se hace una breve descripción de las técnicas de caracterización empleadas para la generación de resultados experimentales donde se especifica las condiciones a las cuales se llevaron a cabo dichos análisis.</w:t>
      </w:r>
    </w:p>
    <w:p>
      <w:pPr>
        <w:pStyle w:val="BodyText"/>
      </w:pPr>
    </w:p>
    <w:p>
      <w:pPr>
        <w:pStyle w:val="Heading4"/>
        <w:numPr>
          <w:ilvl w:val="1"/>
          <w:numId w:val="13"/>
        </w:numPr>
        <w:tabs>
          <w:tab w:pos="550" w:val="left" w:leader="none"/>
        </w:tabs>
        <w:spacing w:line="240" w:lineRule="auto" w:before="135" w:after="0"/>
        <w:ind w:left="549" w:right="0" w:hanging="427"/>
        <w:jc w:val="left"/>
      </w:pPr>
      <w:bookmarkStart w:name="_TOC_250016" w:id="5"/>
      <w:r>
        <w:rPr/>
        <w:t>Materiales y</w:t>
      </w:r>
      <w:r>
        <w:rPr>
          <w:spacing w:val="-3"/>
        </w:rPr>
        <w:t> </w:t>
      </w:r>
      <w:bookmarkEnd w:id="5"/>
      <w:r>
        <w:rPr/>
        <w:t>equipo</w:t>
      </w:r>
    </w:p>
    <w:p>
      <w:pPr>
        <w:pStyle w:val="BodyText"/>
        <w:spacing w:line="357" w:lineRule="auto" w:before="124"/>
        <w:ind w:left="122" w:right="255" w:firstLine="283"/>
        <w:jc w:val="both"/>
      </w:pPr>
      <w:r>
        <w:rPr/>
        <w:t>Se utilizaron MWNT producidos por CVD proporcionados por la compañía Sunnano, con un diámetro de 10 a 30 nm, una longitud de 1 a 10 µm y una pureza alrededor de 80%, de acuerdo a los datos facilitados por el proveedor. Para la obtención del grafeno y sus derivados, se partió de grafito de la marca Electron Microscopy Science No. 70230. Los reactivos empleados para la oxidación de los materiales de carbono fueron: ácido nítrico HNO</w:t>
      </w:r>
      <w:r>
        <w:rPr>
          <w:position w:val="-2"/>
          <w:sz w:val="14"/>
        </w:rPr>
        <w:t>3</w:t>
      </w:r>
      <w:r>
        <w:rPr/>
        <w:t>, al 70% de Sigma-Aldrich, ácido sulfúrico H</w:t>
      </w:r>
      <w:r>
        <w:rPr>
          <w:position w:val="-2"/>
          <w:sz w:val="14"/>
        </w:rPr>
        <w:t>2</w:t>
      </w:r>
      <w:r>
        <w:rPr/>
        <w:t>SO</w:t>
      </w:r>
      <w:r>
        <w:rPr>
          <w:position w:val="-2"/>
          <w:sz w:val="14"/>
        </w:rPr>
        <w:t>4 </w:t>
      </w:r>
      <w:r>
        <w:rPr/>
        <w:t>al 98% de J.T. Baker, permanganato de potasio KMnO</w:t>
      </w:r>
      <w:r>
        <w:rPr>
          <w:position w:val="-2"/>
          <w:sz w:val="14"/>
        </w:rPr>
        <w:t>4 </w:t>
      </w:r>
      <w:r>
        <w:rPr/>
        <w:t>marca Merck, peróxido  de  hidrógeno H</w:t>
      </w:r>
      <w:r>
        <w:rPr>
          <w:position w:val="-2"/>
          <w:sz w:val="14"/>
        </w:rPr>
        <w:t>2</w:t>
      </w:r>
      <w:r>
        <w:rPr/>
        <w:t>O</w:t>
      </w:r>
      <w:r>
        <w:rPr>
          <w:position w:val="-2"/>
          <w:sz w:val="14"/>
        </w:rPr>
        <w:t>2 </w:t>
      </w:r>
      <w:r>
        <w:rPr/>
        <w:t>al 30%de J.T. Baker, ácido clorhídrico al 37% de Sigma-Aldrich. La reducción de óxido de grafeno se llevó a cabo con hexametilentetraamina (HMTA) marca Sigma-Aldrich. En la técnica de titulación ácido-base se utilizó hidróxido de sodio NaOH al 98% de Sigma-Aldrich. La funcionalización con grupos amida se llevó a cabo con dimetilamina al 40% marca Merck  utilizando hidrocloruro de 1-[3-(dimetilamino)propil]-3-etilcarbodiimida (EDAC) marca Sigma- Aldrich.</w:t>
      </w:r>
    </w:p>
    <w:p>
      <w:pPr>
        <w:pStyle w:val="BodyText"/>
      </w:pPr>
    </w:p>
    <w:p>
      <w:pPr>
        <w:pStyle w:val="BodyText"/>
        <w:spacing w:line="360" w:lineRule="auto" w:before="133"/>
        <w:ind w:left="122" w:right="257" w:firstLine="283"/>
        <w:jc w:val="both"/>
      </w:pPr>
      <w:r>
        <w:rPr/>
        <w:t>El nylon empleado fue proporcionado por la compañía Plásticos y Compuestos, S.A. de C.V, marca Ultramid A3K de BASF. En las soluciones poliméricas para la técnica de </w:t>
      </w:r>
      <w:r>
        <w:rPr>
          <w:i/>
        </w:rPr>
        <w:t>electrospinning </w:t>
      </w:r>
      <w:r>
        <w:rPr/>
        <w:t>se utilizó ácido fórmico al 88% de Sigma-Aldrich. Para la sonicación de los nanomateriales se utilizó un baño de ultrasonido Auto Science 10200B. Para la dosificación de la solución en el proceso de </w:t>
      </w:r>
      <w:r>
        <w:rPr>
          <w:i/>
        </w:rPr>
        <w:t>electrospinning </w:t>
      </w:r>
      <w:r>
        <w:rPr/>
        <w:t>se empleo una bomba KDScientific 100. La inyección de los nanocompositos se obtuvo en un equipo AB-200 Plastic Injector.</w:t>
      </w:r>
    </w:p>
    <w:p>
      <w:pPr>
        <w:pStyle w:val="BodyText"/>
      </w:pPr>
    </w:p>
    <w:p>
      <w:pPr>
        <w:pStyle w:val="Heading4"/>
        <w:numPr>
          <w:ilvl w:val="1"/>
          <w:numId w:val="13"/>
        </w:numPr>
        <w:tabs>
          <w:tab w:pos="550" w:val="left" w:leader="none"/>
        </w:tabs>
        <w:spacing w:line="240" w:lineRule="auto" w:before="135" w:after="0"/>
        <w:ind w:left="549" w:right="0" w:hanging="427"/>
        <w:jc w:val="left"/>
      </w:pPr>
      <w:bookmarkStart w:name="_TOC_250015" w:id="6"/>
      <w:r>
        <w:rPr/>
        <w:t>Procedimientos</w:t>
      </w:r>
      <w:r>
        <w:rPr>
          <w:spacing w:val="-9"/>
        </w:rPr>
        <w:t> </w:t>
      </w:r>
      <w:bookmarkEnd w:id="6"/>
      <w:r>
        <w:rPr/>
        <w:t>experimentales</w:t>
      </w:r>
    </w:p>
    <w:p>
      <w:pPr>
        <w:pStyle w:val="BodyText"/>
        <w:rPr>
          <w:b/>
        </w:rPr>
      </w:pPr>
    </w:p>
    <w:p>
      <w:pPr>
        <w:pStyle w:val="BodyText"/>
        <w:spacing w:before="10"/>
        <w:rPr>
          <w:b/>
          <w:sz w:val="21"/>
        </w:rPr>
      </w:pPr>
    </w:p>
    <w:p>
      <w:pPr>
        <w:pStyle w:val="Heading4"/>
        <w:numPr>
          <w:ilvl w:val="2"/>
          <w:numId w:val="13"/>
        </w:numPr>
        <w:tabs>
          <w:tab w:pos="689" w:val="left" w:leader="none"/>
        </w:tabs>
        <w:spacing w:line="240" w:lineRule="auto" w:before="1" w:after="0"/>
        <w:ind w:left="688" w:right="0" w:hanging="566"/>
        <w:jc w:val="left"/>
      </w:pPr>
      <w:bookmarkStart w:name="_TOC_250014" w:id="7"/>
      <w:r>
        <w:rPr/>
        <w:t>Oxidación de los nanotubos de</w:t>
      </w:r>
      <w:r>
        <w:rPr>
          <w:spacing w:val="-6"/>
        </w:rPr>
        <w:t> </w:t>
      </w:r>
      <w:bookmarkEnd w:id="7"/>
      <w:r>
        <w:rPr/>
        <w:t>carbono</w:t>
      </w:r>
    </w:p>
    <w:p>
      <w:pPr>
        <w:pStyle w:val="BodyText"/>
        <w:spacing w:line="360" w:lineRule="auto" w:before="121"/>
        <w:ind w:left="122" w:right="257" w:firstLine="283"/>
        <w:jc w:val="both"/>
      </w:pPr>
      <w:r>
        <w:rPr/>
        <w:t>La oxidación de los nanotubos de carbono puros (p-CNT) se llevó a cabo mediante el reflujo de una solución 3:1 molar de HNO</w:t>
      </w:r>
      <w:r>
        <w:rPr>
          <w:position w:val="-2"/>
          <w:sz w:val="14"/>
        </w:rPr>
        <w:t>3</w:t>
      </w:r>
      <w:r>
        <w:rPr/>
        <w:t>/H</w:t>
      </w:r>
      <w:r>
        <w:rPr>
          <w:position w:val="-2"/>
          <w:sz w:val="14"/>
        </w:rPr>
        <w:t>2</w:t>
      </w:r>
      <w:r>
        <w:rPr/>
        <w:t>SO</w:t>
      </w:r>
      <w:r>
        <w:rPr>
          <w:position w:val="-2"/>
          <w:sz w:val="14"/>
        </w:rPr>
        <w:t>4         </w:t>
      </w:r>
      <w:r>
        <w:rPr/>
        <w:t>a 80°C ±5°C., por 3 horas. Al término de la reacción los</w:t>
      </w:r>
    </w:p>
    <w:p>
      <w:pPr>
        <w:spacing w:after="0" w:line="360" w:lineRule="auto"/>
        <w:jc w:val="both"/>
        <w:sectPr>
          <w:headerReference w:type="default" r:id="rId34"/>
          <w:footerReference w:type="default" r:id="rId35"/>
          <w:pgSz w:w="12240" w:h="15840"/>
          <w:pgMar w:header="730" w:footer="1062" w:top="1160" w:bottom="1260" w:left="1580" w:right="1440"/>
          <w:pgNumType w:start="44"/>
        </w:sectPr>
      </w:pPr>
    </w:p>
    <w:p>
      <w:pPr>
        <w:pStyle w:val="BodyText"/>
        <w:spacing w:before="2"/>
        <w:rPr>
          <w:sz w:val="21"/>
        </w:rPr>
      </w:pPr>
    </w:p>
    <w:p>
      <w:pPr>
        <w:pStyle w:val="BodyText"/>
        <w:spacing w:line="360" w:lineRule="auto" w:before="72"/>
        <w:ind w:left="122" w:right="258"/>
        <w:jc w:val="both"/>
      </w:pPr>
      <w:r>
        <w:rPr/>
        <w:t>CNTs oxidados (OCNT) fueron lavados con agua destilada y filtrados hasta llegar a un pH neutro. El esquema de reacción se ejemplifica en la Figura 2.1. Finalmente los OCNT fueron secados durante la noche a una temperatura de 80°C.</w:t>
      </w:r>
    </w:p>
    <w:p>
      <w:pPr>
        <w:pStyle w:val="BodyText"/>
        <w:spacing w:before="10"/>
        <w:rPr>
          <w:sz w:val="14"/>
        </w:rPr>
      </w:pPr>
      <w:r>
        <w:rPr/>
        <w:drawing>
          <wp:anchor distT="0" distB="0" distL="0" distR="0" allowOverlap="1" layoutInCell="1" locked="0" behindDoc="0" simplePos="0" relativeHeight="1720">
            <wp:simplePos x="0" y="0"/>
            <wp:positionH relativeFrom="page">
              <wp:posOffset>1558925</wp:posOffset>
            </wp:positionH>
            <wp:positionV relativeFrom="paragraph">
              <wp:posOffset>133348</wp:posOffset>
            </wp:positionV>
            <wp:extent cx="4664126" cy="721137"/>
            <wp:effectExtent l="0" t="0" r="0" b="0"/>
            <wp:wrapTopAndBottom/>
            <wp:docPr id="23" name="image18.jpeg" descr=""/>
            <wp:cNvGraphicFramePr>
              <a:graphicFrameLocks noChangeAspect="1"/>
            </wp:cNvGraphicFramePr>
            <a:graphic>
              <a:graphicData uri="http://schemas.openxmlformats.org/drawingml/2006/picture">
                <pic:pic>
                  <pic:nvPicPr>
                    <pic:cNvPr id="24" name="image18.jpeg"/>
                    <pic:cNvPicPr/>
                  </pic:nvPicPr>
                  <pic:blipFill>
                    <a:blip r:embed="rId36" cstate="print"/>
                    <a:stretch>
                      <a:fillRect/>
                    </a:stretch>
                  </pic:blipFill>
                  <pic:spPr>
                    <a:xfrm>
                      <a:off x="0" y="0"/>
                      <a:ext cx="4664126" cy="721137"/>
                    </a:xfrm>
                    <a:prstGeom prst="rect">
                      <a:avLst/>
                    </a:prstGeom>
                  </pic:spPr>
                </pic:pic>
              </a:graphicData>
            </a:graphic>
          </wp:anchor>
        </w:drawing>
      </w:r>
    </w:p>
    <w:p>
      <w:pPr>
        <w:pStyle w:val="BodyText"/>
        <w:spacing w:before="5"/>
        <w:rPr>
          <w:sz w:val="25"/>
        </w:rPr>
      </w:pPr>
    </w:p>
    <w:p>
      <w:pPr>
        <w:spacing w:before="0"/>
        <w:ind w:left="2428" w:right="0" w:firstLine="0"/>
        <w:jc w:val="left"/>
        <w:rPr>
          <w:sz w:val="22"/>
        </w:rPr>
      </w:pPr>
      <w:r>
        <w:rPr>
          <w:b/>
          <w:sz w:val="22"/>
        </w:rPr>
        <w:t>Figura 2.1 </w:t>
      </w:r>
      <w:r>
        <w:rPr>
          <w:sz w:val="22"/>
        </w:rPr>
        <w:t>Esquema de oxidación de los CNTs.</w:t>
      </w:r>
    </w:p>
    <w:p>
      <w:pPr>
        <w:pStyle w:val="BodyText"/>
      </w:pPr>
    </w:p>
    <w:p>
      <w:pPr>
        <w:pStyle w:val="BodyText"/>
        <w:spacing w:before="7"/>
      </w:pPr>
    </w:p>
    <w:p>
      <w:pPr>
        <w:pStyle w:val="Heading4"/>
        <w:numPr>
          <w:ilvl w:val="2"/>
          <w:numId w:val="13"/>
        </w:numPr>
        <w:tabs>
          <w:tab w:pos="689" w:val="left" w:leader="none"/>
        </w:tabs>
        <w:spacing w:line="240" w:lineRule="auto" w:before="0" w:after="0"/>
        <w:ind w:left="688" w:right="0" w:hanging="566"/>
        <w:jc w:val="both"/>
      </w:pPr>
      <w:bookmarkStart w:name="_TOC_250013" w:id="8"/>
      <w:r>
        <w:rPr/>
        <w:t>Obtención del óxido de</w:t>
      </w:r>
      <w:r>
        <w:rPr>
          <w:spacing w:val="-5"/>
        </w:rPr>
        <w:t> </w:t>
      </w:r>
      <w:bookmarkEnd w:id="8"/>
      <w:r>
        <w:rPr/>
        <w:t>grafeno</w:t>
      </w:r>
    </w:p>
    <w:p>
      <w:pPr>
        <w:pStyle w:val="BodyText"/>
        <w:spacing w:line="357" w:lineRule="auto" w:before="121"/>
        <w:ind w:left="122" w:right="255" w:firstLine="283"/>
        <w:jc w:val="both"/>
      </w:pPr>
      <w:r>
        <w:rPr/>
        <w:t>El grafeno fue obtenido a partir del método Hummers modificado [98]. Dicho método consiste en la oxidación de 1 g de grafito mediante 23 ml H</w:t>
      </w:r>
      <w:r>
        <w:rPr>
          <w:position w:val="-2"/>
          <w:sz w:val="14"/>
        </w:rPr>
        <w:t>2</w:t>
      </w:r>
      <w:r>
        <w:rPr/>
        <w:t>SO</w:t>
      </w:r>
      <w:r>
        <w:rPr>
          <w:position w:val="-2"/>
          <w:sz w:val="14"/>
        </w:rPr>
        <w:t>4</w:t>
      </w:r>
      <w:r>
        <w:rPr/>
        <w:t>, los cuales se agregaron a un matraz que  fue sumergido en un baño con hielo. El ácido se mantuvo en este baño hasta alcanzar una temperatura de 0°C ±1.5°C. Posteriormente se agregó el grafito y 3g de KMNO</w:t>
      </w:r>
      <w:r>
        <w:rPr>
          <w:position w:val="-2"/>
          <w:sz w:val="14"/>
        </w:rPr>
        <w:t>4</w:t>
      </w:r>
      <w:r>
        <w:rPr/>
        <w:t>, los cuales se mantuvieron en agitación hasta alcanzar una temperatura de 35°C. Al término de 2 horas se retiró el calentamiento y se agregó una solución de 46 ml de agua destilada la cual se mantuvo en agitación durante 15 minutos. Posteriormente una solución de 5 ml de peróxido de hidrógeno en 135 ml de agua destilada fue agregada con el propósito de reducir los residuos de KMnO</w:t>
      </w:r>
      <w:r>
        <w:rPr>
          <w:position w:val="-2"/>
          <w:sz w:val="14"/>
        </w:rPr>
        <w:t>4</w:t>
      </w:r>
      <w:r>
        <w:rPr/>
        <w:t>. Finalmente el  óxido de grafito fue lavado con una solución de 2.5 ml de HCl en 100 ml de agua destilada para la remoción de iones metálicos, seguido por filtración con exceso de agua para remover el ácido hasta alcanzar un pH neutro. El óxido de grafito fue secado durante la noche a una temperatura </w:t>
      </w:r>
      <w:r>
        <w:rPr>
          <w:spacing w:val="2"/>
        </w:rPr>
        <w:t>de </w:t>
      </w:r>
      <w:r>
        <w:rPr/>
        <w:t>60°C. En la Figura 2.2 a) se  presenta un esquema de este</w:t>
      </w:r>
      <w:r>
        <w:rPr>
          <w:spacing w:val="-16"/>
        </w:rPr>
        <w:t> </w:t>
      </w:r>
      <w:r>
        <w:rPr/>
        <w:t>proceso.</w:t>
      </w:r>
    </w:p>
    <w:p>
      <w:pPr>
        <w:pStyle w:val="BodyText"/>
      </w:pPr>
    </w:p>
    <w:p>
      <w:pPr>
        <w:pStyle w:val="BodyText"/>
        <w:spacing w:line="360" w:lineRule="auto" w:before="133"/>
        <w:ind w:left="122" w:right="256" w:firstLine="283"/>
        <w:jc w:val="both"/>
      </w:pPr>
      <w:r>
        <w:rPr/>
        <w:t>El siguiente paso fue la obtención del óxido de grafeno a partir de 0.1 gr de óxido de grafito que fue dispersado en 10 ml de agua destilada y llevado al baño de ultrasonido por 3 horas, como se observa en la Figura 2.2 b). Finalmente el óxido de grafeno es filtrado y secado por no menos de 12 horas a 65°C.</w:t>
      </w:r>
    </w:p>
    <w:p>
      <w:pPr>
        <w:pStyle w:val="BodyText"/>
      </w:pPr>
    </w:p>
    <w:p>
      <w:pPr>
        <w:pStyle w:val="Heading4"/>
        <w:numPr>
          <w:ilvl w:val="2"/>
          <w:numId w:val="13"/>
        </w:numPr>
        <w:tabs>
          <w:tab w:pos="689" w:val="left" w:leader="none"/>
        </w:tabs>
        <w:spacing w:line="240" w:lineRule="auto" w:before="135" w:after="0"/>
        <w:ind w:left="688" w:right="0" w:hanging="566"/>
        <w:jc w:val="both"/>
      </w:pPr>
      <w:bookmarkStart w:name="_TOC_250012" w:id="9"/>
      <w:r>
        <w:rPr/>
        <w:t>Reducción del óxido de</w:t>
      </w:r>
      <w:r>
        <w:rPr>
          <w:spacing w:val="-3"/>
        </w:rPr>
        <w:t> </w:t>
      </w:r>
      <w:bookmarkEnd w:id="9"/>
      <w:r>
        <w:rPr/>
        <w:t>grafeno</w:t>
      </w:r>
    </w:p>
    <w:p>
      <w:pPr>
        <w:pStyle w:val="BodyText"/>
        <w:spacing w:line="360" w:lineRule="auto" w:before="121"/>
        <w:ind w:left="122" w:right="257" w:firstLine="283"/>
        <w:jc w:val="both"/>
      </w:pPr>
      <w:r>
        <w:rPr/>
        <w:t>Para llevar a cabo la obtención de grafeno, se partió de 1 g de óxido de grafito el cual fue dispersado en agua como se explicó anteriormente. Después de terminado el tiempo de sonicado se vació a un matraz de tres bocas donde se agregó 1 g de HMTA y se  mantuvo  bajo agitación a 100°C por  un periodo de 10 horas. Al  término de  la  reacción el  óxido de  grafeno reducido     fue</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pPr>
      <w:r>
        <w:rPr/>
        <w:t>filtrado y lavado con agua destillada hasta alcanzar un pH neutro. El producto resultante fue secado durante la noche a 60°C.</w:t>
      </w:r>
    </w:p>
    <w:p>
      <w:pPr>
        <w:pStyle w:val="BodyText"/>
        <w:rPr>
          <w:sz w:val="20"/>
        </w:rPr>
      </w:pPr>
    </w:p>
    <w:p>
      <w:pPr>
        <w:pStyle w:val="BodyText"/>
        <w:spacing w:before="9"/>
        <w:rPr>
          <w:sz w:val="27"/>
        </w:rPr>
      </w:pPr>
      <w:r>
        <w:rPr/>
        <w:pict>
          <v:group style="position:absolute;margin-left:94.197998pt;margin-top:17.967760pt;width:425.1pt;height:99.25pt;mso-position-horizontal-relative:page;mso-position-vertical-relative:paragraph;z-index:1768;mso-wrap-distance-left:0;mso-wrap-distance-right:0" coordorigin="1884,359" coordsize="8502,1985">
            <v:shape style="position:absolute;left:1884;top:359;width:8502;height:1984" type="#_x0000_t75" stroked="false">
              <v:imagedata r:id="rId37" o:title=""/>
            </v:shape>
            <v:shape style="position:absolute;left:2840;top:425;width:200;height:240" type="#_x0000_t202" filled="false" stroked="false">
              <v:textbox inset="0,0,0,0">
                <w:txbxContent>
                  <w:p>
                    <w:pPr>
                      <w:spacing w:line="240" w:lineRule="exact" w:before="0"/>
                      <w:ind w:left="0" w:right="-20" w:firstLine="0"/>
                      <w:jc w:val="left"/>
                      <w:rPr>
                        <w:b/>
                        <w:sz w:val="24"/>
                      </w:rPr>
                    </w:pPr>
                    <w:r>
                      <w:rPr>
                        <w:b/>
                        <w:sz w:val="24"/>
                      </w:rPr>
                      <w:t>a)</w:t>
                    </w:r>
                  </w:p>
                </w:txbxContent>
              </v:textbox>
              <w10:wrap type="none"/>
            </v:shape>
            <w10:wrap type="topAndBottom"/>
          </v:group>
        </w:pict>
      </w:r>
    </w:p>
    <w:p>
      <w:pPr>
        <w:pStyle w:val="BodyText"/>
        <w:spacing w:before="8"/>
      </w:pPr>
    </w:p>
    <w:p>
      <w:pPr>
        <w:spacing w:before="70"/>
        <w:ind w:left="1259" w:right="0" w:firstLine="0"/>
        <w:jc w:val="left"/>
        <w:rPr>
          <w:b/>
          <w:sz w:val="24"/>
        </w:rPr>
      </w:pPr>
      <w:r>
        <w:rPr/>
        <w:drawing>
          <wp:anchor distT="0" distB="0" distL="0" distR="0" allowOverlap="1" layoutInCell="1" locked="0" behindDoc="0" simplePos="0" relativeHeight="1792">
            <wp:simplePos x="0" y="0"/>
            <wp:positionH relativeFrom="page">
              <wp:posOffset>1099185</wp:posOffset>
            </wp:positionH>
            <wp:positionV relativeFrom="paragraph">
              <wp:posOffset>264161</wp:posOffset>
            </wp:positionV>
            <wp:extent cx="5705702" cy="1257871"/>
            <wp:effectExtent l="0" t="0" r="0" b="0"/>
            <wp:wrapTopAndBottom/>
            <wp:docPr id="25" name="image20.jpeg" descr=""/>
            <wp:cNvGraphicFramePr>
              <a:graphicFrameLocks noChangeAspect="1"/>
            </wp:cNvGraphicFramePr>
            <a:graphic>
              <a:graphicData uri="http://schemas.openxmlformats.org/drawingml/2006/picture">
                <pic:pic>
                  <pic:nvPicPr>
                    <pic:cNvPr id="26" name="image20.jpeg"/>
                    <pic:cNvPicPr/>
                  </pic:nvPicPr>
                  <pic:blipFill>
                    <a:blip r:embed="rId38" cstate="print"/>
                    <a:stretch>
                      <a:fillRect/>
                    </a:stretch>
                  </pic:blipFill>
                  <pic:spPr>
                    <a:xfrm>
                      <a:off x="0" y="0"/>
                      <a:ext cx="5705702" cy="1257871"/>
                    </a:xfrm>
                    <a:prstGeom prst="rect">
                      <a:avLst/>
                    </a:prstGeom>
                  </pic:spPr>
                </pic:pic>
              </a:graphicData>
            </a:graphic>
          </wp:anchor>
        </w:drawing>
      </w:r>
      <w:r>
        <w:rPr>
          <w:b/>
          <w:sz w:val="24"/>
        </w:rPr>
        <w:t>b)</w:t>
      </w:r>
    </w:p>
    <w:p>
      <w:pPr>
        <w:pStyle w:val="BodyText"/>
        <w:spacing w:before="8"/>
        <w:rPr>
          <w:b/>
          <w:sz w:val="25"/>
        </w:rPr>
      </w:pPr>
    </w:p>
    <w:p>
      <w:pPr>
        <w:spacing w:before="0"/>
        <w:ind w:left="2609" w:right="0" w:firstLine="0"/>
        <w:jc w:val="left"/>
        <w:rPr>
          <w:sz w:val="22"/>
        </w:rPr>
      </w:pPr>
      <w:r>
        <w:rPr>
          <w:b/>
          <w:sz w:val="22"/>
        </w:rPr>
        <w:t>Figura 2.2  </w:t>
      </w:r>
      <w:r>
        <w:rPr>
          <w:sz w:val="22"/>
        </w:rPr>
        <w:t>Obtención del óxido de grafeno</w:t>
      </w:r>
    </w:p>
    <w:p>
      <w:pPr>
        <w:pStyle w:val="BodyText"/>
        <w:rPr>
          <w:sz w:val="20"/>
        </w:rPr>
      </w:pPr>
    </w:p>
    <w:p>
      <w:pPr>
        <w:pStyle w:val="BodyText"/>
        <w:spacing w:before="7"/>
        <w:rPr>
          <w:sz w:val="17"/>
        </w:rPr>
      </w:pPr>
    </w:p>
    <w:p>
      <w:pPr>
        <w:pStyle w:val="BodyText"/>
        <w:spacing w:line="357" w:lineRule="auto" w:before="73"/>
        <w:ind w:left="122" w:right="298" w:firstLine="283"/>
        <w:jc w:val="both"/>
      </w:pPr>
      <w:r>
        <w:rPr/>
        <w:t>Este procedimiento de reducción para la obtención de óxido de grafeno reducido (RGO) ha sido explicado de la siguiente manera: a elevada temperatura el HMTA en solución acuosa puede hidrolizarse y generar lentamente amonio (NH</w:t>
      </w:r>
      <w:r>
        <w:rPr>
          <w:position w:val="-2"/>
          <w:sz w:val="14"/>
        </w:rPr>
        <w:t>3</w:t>
      </w:r>
      <w:r>
        <w:rPr/>
        <w:t>) y formaldehido (HCOOH), como resultado el GO puede ser reducido por el formaldehido generado in situ [99]. La reacción de reducción puede ser expresada como a continuación: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4"/>
        </w:rPr>
      </w:pPr>
    </w:p>
    <w:p>
      <w:pPr>
        <w:pStyle w:val="BodyText"/>
        <w:spacing w:before="80"/>
        <w:ind w:left="1883"/>
        <w:rPr>
          <w:rFonts w:ascii="Cambria Math"/>
          <w:sz w:val="16"/>
        </w:rPr>
      </w:pPr>
      <w:r>
        <w:rPr>
          <w:rFonts w:ascii="Cambria Math"/>
          <w:w w:val="252"/>
        </w:rPr>
        <w:t> </w:t>
      </w:r>
      <w:r>
        <w:rPr>
          <w:rFonts w:ascii="Cambria Math"/>
          <w:w w:val="305"/>
        </w:rPr>
        <w:t>   </w:t>
      </w:r>
      <w:r>
        <w:rPr>
          <w:rFonts w:ascii="Cambria Math"/>
          <w:spacing w:val="-1"/>
          <w:w w:val="305"/>
        </w:rPr>
        <w:t> </w:t>
      </w:r>
      <w:r>
        <w:rPr>
          <w:rFonts w:ascii="Cambria Math"/>
          <w:w w:val="331"/>
        </w:rPr>
        <w:t> </w:t>
      </w:r>
      <w:r>
        <w:rPr>
          <w:rFonts w:ascii="Cambria Math"/>
          <w:spacing w:val="5"/>
        </w:rPr>
        <w:t> </w:t>
      </w:r>
      <w:r>
        <w:rPr>
          <w:rFonts w:ascii="Cambria Math"/>
          <w:w w:val="340"/>
        </w:rPr>
        <w:t> </w:t>
      </w:r>
      <w:r>
        <w:rPr>
          <w:rFonts w:ascii="Cambria Math"/>
        </w:rPr>
        <w:t> </w:t>
      </w:r>
      <w:r>
        <w:rPr>
          <w:rFonts w:ascii="Cambria Math"/>
          <w:w w:val="319"/>
        </w:rPr>
        <w:t>   </w:t>
      </w:r>
      <w:r>
        <w:rPr>
          <w:rFonts w:ascii="Cambria Math"/>
          <w:spacing w:val="-1"/>
          <w:w w:val="319"/>
        </w:rPr>
        <w:t> </w:t>
      </w:r>
      <w:r>
        <w:rPr>
          <w:rFonts w:ascii="Cambria Math"/>
          <w:spacing w:val="-1"/>
          <w:w w:val="189"/>
          <w:position w:val="1"/>
        </w:rPr>
        <w:t> </w:t>
      </w:r>
      <w:r>
        <w:rPr>
          <w:rFonts w:ascii="Cambria Math"/>
          <w:w w:val="226"/>
        </w:rPr>
        <w:t> </w:t>
      </w:r>
      <w:r>
        <w:rPr>
          <w:rFonts w:ascii="Cambria Math"/>
          <w:w w:val="222"/>
        </w:rPr>
        <w:t>   </w:t>
      </w:r>
      <w:r>
        <w:rPr>
          <w:rFonts w:ascii="Cambria Math"/>
          <w:spacing w:val="1"/>
          <w:w w:val="222"/>
        </w:rPr>
        <w:t> </w:t>
      </w:r>
      <w:r>
        <w:rPr>
          <w:rFonts w:ascii="Cambria Math"/>
          <w:spacing w:val="2"/>
          <w:w w:val="242"/>
        </w:rPr>
        <w:t> </w:t>
      </w:r>
      <w:r>
        <w:rPr>
          <w:rFonts w:ascii="Cambria Math"/>
          <w:w w:val="189"/>
          <w:position w:val="1"/>
        </w:rPr>
        <w:t> </w:t>
      </w:r>
      <w:r>
        <w:rPr>
          <w:rFonts w:ascii="Cambria Math"/>
          <w:spacing w:val="11"/>
          <w:position w:val="1"/>
        </w:rPr>
        <w:t> </w:t>
      </w:r>
      <w:r>
        <w:rPr>
          <w:rFonts w:ascii="Cambria Math"/>
          <w:w w:val="381"/>
        </w:rPr>
        <w:t> </w:t>
      </w:r>
      <w:r>
        <w:rPr>
          <w:rFonts w:ascii="Cambria Math"/>
          <w:spacing w:val="11"/>
        </w:rPr>
        <w:t> </w:t>
      </w:r>
      <w:r>
        <w:rPr>
          <w:rFonts w:ascii="Cambria Math"/>
          <w:w w:val="252"/>
        </w:rPr>
        <w:t> </w:t>
      </w:r>
      <w:r>
        <w:rPr>
          <w:rFonts w:ascii="Cambria Math"/>
          <w:w w:val="303"/>
        </w:rPr>
        <w:t>  </w:t>
      </w:r>
      <w:r>
        <w:rPr>
          <w:rFonts w:ascii="Cambria Math"/>
          <w:spacing w:val="4"/>
          <w:w w:val="303"/>
        </w:rPr>
        <w:t> </w:t>
      </w:r>
      <w:r>
        <w:rPr>
          <w:rFonts w:ascii="Cambria Math"/>
          <w:spacing w:val="4"/>
          <w:w w:val="308"/>
        </w:rPr>
        <w:t> </w:t>
      </w:r>
      <w:r>
        <w:rPr>
          <w:rFonts w:ascii="Cambria Math"/>
          <w:w w:val="332"/>
          <w:position w:val="8"/>
          <w:sz w:val="16"/>
        </w:rPr>
        <w:t> </w:t>
      </w:r>
      <w:r>
        <w:rPr>
          <w:rFonts w:ascii="Cambria Math"/>
          <w:position w:val="8"/>
          <w:sz w:val="16"/>
        </w:rPr>
        <w:t> </w:t>
      </w:r>
      <w:r>
        <w:rPr>
          <w:rFonts w:ascii="Cambria Math"/>
          <w:spacing w:val="-15"/>
          <w:position w:val="8"/>
          <w:sz w:val="16"/>
        </w:rPr>
        <w:t> </w:t>
      </w:r>
      <w:r>
        <w:rPr>
          <w:rFonts w:ascii="Cambria Math"/>
          <w:w w:val="340"/>
        </w:rPr>
        <w:t> </w:t>
      </w:r>
      <w:r>
        <w:rPr>
          <w:rFonts w:ascii="Cambria Math"/>
        </w:rPr>
        <w:t> </w:t>
      </w:r>
      <w:r>
        <w:rPr>
          <w:rFonts w:ascii="Cambria Math"/>
          <w:w w:val="319"/>
        </w:rPr>
        <w:t>    </w:t>
      </w:r>
      <w:r>
        <w:rPr>
          <w:rFonts w:ascii="Cambria Math"/>
          <w:spacing w:val="1"/>
        </w:rPr>
        <w:t> </w:t>
      </w:r>
      <w:r>
        <w:rPr>
          <w:rFonts w:ascii="Cambria Math"/>
          <w:w w:val="340"/>
        </w:rPr>
        <w:t> </w:t>
      </w:r>
      <w:r>
        <w:rPr>
          <w:rFonts w:ascii="Cambria Math"/>
        </w:rPr>
        <w:t> </w:t>
      </w:r>
      <w:r>
        <w:rPr>
          <w:rFonts w:ascii="Cambria Math"/>
          <w:w w:val="252"/>
        </w:rPr>
        <w:t> </w:t>
      </w:r>
      <w:r>
        <w:rPr>
          <w:rFonts w:ascii="Cambria Math"/>
          <w:spacing w:val="7"/>
          <w:w w:val="331"/>
        </w:rPr>
        <w:t> </w:t>
      </w:r>
      <w:r>
        <w:rPr>
          <w:rFonts w:ascii="Cambria Math"/>
          <w:w w:val="332"/>
          <w:position w:val="8"/>
          <w:sz w:val="16"/>
        </w:rPr>
        <w:t> </w:t>
      </w:r>
    </w:p>
    <w:p>
      <w:pPr>
        <w:spacing w:after="0"/>
        <w:rPr>
          <w:rFonts w:ascii="Cambria Math"/>
          <w:sz w:val="16"/>
        </w:rPr>
        <w:sectPr>
          <w:pgSz w:w="12240" w:h="15840"/>
          <w:pgMar w:header="730" w:footer="1062" w:top="1160" w:bottom="1260" w:left="1580" w:right="1400"/>
        </w:sectPr>
      </w:pPr>
    </w:p>
    <w:p>
      <w:pPr>
        <w:pStyle w:val="BodyText"/>
        <w:rPr>
          <w:rFonts w:ascii="Cambria Math"/>
          <w:sz w:val="21"/>
        </w:rPr>
      </w:pPr>
    </w:p>
    <w:p>
      <w:pPr>
        <w:pStyle w:val="Heading4"/>
        <w:numPr>
          <w:ilvl w:val="2"/>
          <w:numId w:val="13"/>
        </w:numPr>
        <w:tabs>
          <w:tab w:pos="829" w:val="left" w:leader="none"/>
          <w:tab w:pos="830" w:val="left" w:leader="none"/>
        </w:tabs>
        <w:spacing w:line="240" w:lineRule="auto" w:before="72" w:after="0"/>
        <w:ind w:left="830" w:right="0" w:hanging="708"/>
        <w:jc w:val="left"/>
      </w:pPr>
      <w:bookmarkStart w:name="_TOC_250011" w:id="10"/>
      <w:r>
        <w:rPr/>
        <w:t>Titulación de los sitios</w:t>
      </w:r>
      <w:r>
        <w:rPr>
          <w:spacing w:val="-12"/>
        </w:rPr>
        <w:t> </w:t>
      </w:r>
      <w:bookmarkEnd w:id="10"/>
      <w:r>
        <w:rPr/>
        <w:t>carboxílicos</w:t>
      </w:r>
    </w:p>
    <w:p>
      <w:pPr>
        <w:pStyle w:val="BodyText"/>
        <w:spacing w:line="360" w:lineRule="auto" w:before="124"/>
        <w:ind w:left="122" w:right="257" w:firstLine="283"/>
        <w:jc w:val="both"/>
      </w:pPr>
      <w:r>
        <w:rPr/>
        <w:t>Se realizó una titulación ácido-base con el propósito de determinar la concentración de los grupos carboxílicos en la superficie de los nanomateriales de carbono para la funcionalización con grupos amida. El experimento consistió en agregar  0.08 g de nanomaterial en 25 ml de hidróxido  de sodio 0.04N. Dicha solución se mantuvo en agitación por 48 horas con el propósito de equilibrar el material sólido con la solución de NaOH. Es decir, durante este periodo los sitios carboxílicos se neutralizaron con dicha base. Posteriormente esta solución fue titulada con HCl 0.4 N con el propósito de determinar el NaOH en exceso en la solución y los grupos carboxílicos en los materiales de carbono [100]. La concentración de sitios ácidos en la superficie de los OCNT fue </w:t>
      </w:r>
      <w:r>
        <w:rPr>
          <w:spacing w:val="40"/>
        </w:rPr>
        <w:t> </w:t>
      </w:r>
      <w:r>
        <w:rPr/>
        <w:t>de</w:t>
      </w:r>
    </w:p>
    <w:p>
      <w:pPr>
        <w:pStyle w:val="BodyText"/>
        <w:spacing w:before="4"/>
        <w:ind w:left="122"/>
      </w:pPr>
      <w:r>
        <w:rPr/>
        <w:t>6.5 mmol/g y para el óxido de grafeno fue de 5.4 mmol/g.</w:t>
      </w:r>
    </w:p>
    <w:p>
      <w:pPr>
        <w:pStyle w:val="BodyText"/>
      </w:pPr>
    </w:p>
    <w:p>
      <w:pPr>
        <w:pStyle w:val="BodyText"/>
        <w:spacing w:before="4"/>
      </w:pPr>
    </w:p>
    <w:p>
      <w:pPr>
        <w:pStyle w:val="Heading4"/>
        <w:numPr>
          <w:ilvl w:val="2"/>
          <w:numId w:val="14"/>
        </w:numPr>
        <w:tabs>
          <w:tab w:pos="829" w:val="left" w:leader="none"/>
          <w:tab w:pos="830" w:val="left" w:leader="none"/>
        </w:tabs>
        <w:spacing w:line="240" w:lineRule="auto" w:before="0" w:after="0"/>
        <w:ind w:left="830" w:right="0" w:hanging="708"/>
        <w:jc w:val="left"/>
      </w:pPr>
      <w:bookmarkStart w:name="_TOC_250010" w:id="11"/>
      <w:r>
        <w:rPr/>
        <w:t>Aminación de los nanomateriales de</w:t>
      </w:r>
      <w:r>
        <w:rPr>
          <w:spacing w:val="-13"/>
        </w:rPr>
        <w:t> </w:t>
      </w:r>
      <w:bookmarkEnd w:id="11"/>
      <w:r>
        <w:rPr/>
        <w:t>carbono</w:t>
      </w:r>
    </w:p>
    <w:p>
      <w:pPr>
        <w:pStyle w:val="BodyText"/>
        <w:spacing w:line="360" w:lineRule="auto" w:before="121"/>
        <w:ind w:left="122" w:right="253" w:firstLine="283"/>
        <w:jc w:val="both"/>
      </w:pPr>
      <w:r>
        <w:rPr/>
        <w:t>La reacción de amidación se llevó a cabo en reflujo en donde una solución 1:1 molar de material de carbono oxidado con EDAC como agente acoplante en exceso de dimetilamina [101]. Esto se mantuvo a 80°C bajo agitación durante 6 horas. Una vez terminada la reacción el nanomaterial se filtró y lavó hasta obtener un pH neutro. Posteriormente esto se secó a 60°C durante la noche. El esquema de reacción se muestra en la Figura 2.3. La nomenclatura para estos nanomateriales fue f- CNT para los nanotubos de carbono con grupos amino y f-Ge para el grafeno con grupos amino.</w:t>
      </w:r>
    </w:p>
    <w:p>
      <w:pPr>
        <w:pStyle w:val="BodyText"/>
      </w:pPr>
    </w:p>
    <w:p>
      <w:pPr>
        <w:pStyle w:val="Heading5"/>
        <w:numPr>
          <w:ilvl w:val="2"/>
          <w:numId w:val="14"/>
        </w:numPr>
        <w:tabs>
          <w:tab w:pos="689" w:val="left" w:leader="none"/>
        </w:tabs>
        <w:spacing w:line="240" w:lineRule="auto" w:before="135" w:after="0"/>
        <w:ind w:left="688" w:right="0" w:hanging="566"/>
        <w:jc w:val="left"/>
        <w:rPr>
          <w:i/>
        </w:rPr>
      </w:pPr>
      <w:bookmarkStart w:name="_TOC_250009" w:id="12"/>
      <w:bookmarkEnd w:id="12"/>
      <w:r>
        <w:rPr>
          <w:i/>
        </w:rPr>
        <w:t>Electrospinning</w:t>
      </w:r>
    </w:p>
    <w:p>
      <w:pPr>
        <w:pStyle w:val="BodyText"/>
        <w:spacing w:line="360" w:lineRule="auto" w:before="121"/>
        <w:ind w:left="122" w:right="255" w:firstLine="283"/>
        <w:jc w:val="both"/>
      </w:pPr>
      <w:r>
        <w:rPr/>
        <w:t>Para llevar a cabo la obtención de los nanocompositos mediante la técnica de </w:t>
      </w:r>
      <w:r>
        <w:rPr>
          <w:i/>
        </w:rPr>
        <w:t>electrospinning</w:t>
      </w:r>
      <w:r>
        <w:rPr/>
        <w:t>, se partió de una solución de 5.5 g nylon 6,6 en 20 g de ácido fórmico. Dicha solución se mantuvo en agitación constante a 70°C por 2 horas para posteriormente agregar los nanomateriales de carbono. Se utilizaron concentraciones de: 0.1, 0.5 y 1 % en peso de los seis nanomateriales anteriormente mencionados. Se continuó la agitación por 2 horas a la misma temperatura. Posteriormente la solución se mantuvo en el baño ultrasónico por 30 minutos, al término la solución se dejó enfriar a temperatura ambiente para depositarla en una jeringa de 5 ml (BD Plastipak, 21 G 1”). La cual se montó en una bomba de dosificación. El voltaje en la fuente de poder se mantuvo en 20 kV, a una distancia de 15 cm de la punta de la jeringa al colector, con una velocidad constante de 5 ml/h. Se mantuvo un tiempo de residencia de 30 minutos para depositar las fibras en un colector de cobre envuelto con papel aluminio para obtener películas.</w:t>
      </w:r>
    </w:p>
    <w:p>
      <w:pPr>
        <w:spacing w:after="0" w:line="360" w:lineRule="auto"/>
        <w:jc w:val="both"/>
        <w:sectPr>
          <w:pgSz w:w="12240" w:h="15840"/>
          <w:pgMar w:header="730" w:footer="1062" w:top="1160" w:bottom="1260" w:left="1580" w:right="1440"/>
        </w:sectPr>
      </w:pPr>
    </w:p>
    <w:p>
      <w:pPr>
        <w:pStyle w:val="BodyText"/>
        <w:rPr>
          <w:sz w:val="28"/>
        </w:rPr>
      </w:pPr>
    </w:p>
    <w:p>
      <w:pPr>
        <w:pStyle w:val="BodyText"/>
        <w:ind w:left="151"/>
        <w:rPr>
          <w:sz w:val="20"/>
        </w:rPr>
      </w:pPr>
      <w:r>
        <w:rPr>
          <w:sz w:val="20"/>
        </w:rPr>
        <w:pict>
          <v:group style="width:444pt;height:257.95pt;mso-position-horizontal-relative:char;mso-position-vertical-relative:line" coordorigin="0,0" coordsize="8880,5159">
            <v:shape style="position:absolute;left:0;top:0;width:8880;height:5159" type="#_x0000_t75" stroked="false">
              <v:imagedata r:id="rId39" o:title=""/>
            </v:shape>
            <v:shape style="position:absolute;left:381;top:182;width:200;height:240" type="#_x0000_t202" filled="false" stroked="false">
              <v:textbox inset="0,0,0,0">
                <w:txbxContent>
                  <w:p>
                    <w:pPr>
                      <w:spacing w:line="240" w:lineRule="exact" w:before="0"/>
                      <w:ind w:left="0" w:right="-20" w:firstLine="0"/>
                      <w:jc w:val="left"/>
                      <w:rPr>
                        <w:b/>
                        <w:sz w:val="24"/>
                      </w:rPr>
                    </w:pPr>
                    <w:r>
                      <w:rPr>
                        <w:b/>
                        <w:sz w:val="24"/>
                      </w:rPr>
                      <w:t>a)</w:t>
                    </w:r>
                  </w:p>
                </w:txbxContent>
              </v:textbox>
              <w10:wrap type="none"/>
            </v:shape>
            <v:shape style="position:absolute;left:381;top:2246;width:216;height:240" type="#_x0000_t202" filled="false" stroked="false">
              <v:textbox inset="0,0,0,0">
                <w:txbxContent>
                  <w:p>
                    <w:pPr>
                      <w:spacing w:line="240" w:lineRule="exact" w:before="0"/>
                      <w:ind w:left="0" w:right="-18" w:firstLine="0"/>
                      <w:jc w:val="left"/>
                      <w:rPr>
                        <w:b/>
                        <w:sz w:val="24"/>
                      </w:rPr>
                    </w:pPr>
                    <w:r>
                      <w:rPr>
                        <w:b/>
                        <w:sz w:val="24"/>
                      </w:rPr>
                      <w:t>b)</w:t>
                    </w:r>
                  </w:p>
                </w:txbxContent>
              </v:textbox>
              <w10:wrap type="none"/>
            </v:shape>
          </v:group>
        </w:pict>
      </w:r>
      <w:r>
        <w:rPr>
          <w:sz w:val="20"/>
        </w:rPr>
      </w:r>
    </w:p>
    <w:p>
      <w:pPr>
        <w:pStyle w:val="BodyText"/>
        <w:spacing w:before="9"/>
        <w:rPr>
          <w:sz w:val="20"/>
        </w:rPr>
      </w:pPr>
    </w:p>
    <w:p>
      <w:pPr>
        <w:spacing w:before="73"/>
        <w:ind w:left="2358" w:right="0" w:firstLine="0"/>
        <w:jc w:val="left"/>
        <w:rPr>
          <w:sz w:val="22"/>
        </w:rPr>
      </w:pPr>
      <w:r>
        <w:rPr>
          <w:b/>
          <w:sz w:val="22"/>
        </w:rPr>
        <w:t>Figura 2.3 </w:t>
      </w:r>
      <w:r>
        <w:rPr>
          <w:sz w:val="22"/>
        </w:rPr>
        <w:t>Amidación de: a) CNTs y b) Grafeno.</w:t>
      </w:r>
    </w:p>
    <w:p>
      <w:pPr>
        <w:pStyle w:val="BodyText"/>
      </w:pPr>
    </w:p>
    <w:p>
      <w:pPr>
        <w:pStyle w:val="BodyText"/>
        <w:spacing w:before="4"/>
      </w:pPr>
    </w:p>
    <w:p>
      <w:pPr>
        <w:pStyle w:val="Heading4"/>
        <w:numPr>
          <w:ilvl w:val="2"/>
          <w:numId w:val="14"/>
        </w:numPr>
        <w:tabs>
          <w:tab w:pos="689" w:val="left" w:leader="none"/>
        </w:tabs>
        <w:spacing w:line="240" w:lineRule="auto" w:before="0" w:after="0"/>
        <w:ind w:left="688" w:right="0" w:hanging="566"/>
        <w:jc w:val="left"/>
      </w:pPr>
      <w:bookmarkStart w:name="_TOC_250008" w:id="13"/>
      <w:r>
        <w:rPr/>
        <w:t>Moldeo por</w:t>
      </w:r>
      <w:r>
        <w:rPr>
          <w:spacing w:val="-4"/>
        </w:rPr>
        <w:t> </w:t>
      </w:r>
      <w:bookmarkEnd w:id="13"/>
      <w:r>
        <w:rPr/>
        <w:t>inyección</w:t>
      </w:r>
    </w:p>
    <w:p>
      <w:pPr>
        <w:pStyle w:val="BodyText"/>
        <w:spacing w:line="360" w:lineRule="auto" w:before="121"/>
        <w:ind w:left="122" w:right="257" w:firstLine="283"/>
        <w:jc w:val="both"/>
      </w:pPr>
      <w:r>
        <w:rPr/>
        <w:t>Previamente a la inyección de los nanocompositos se llevó a cabo la obtención de las mezclas de polímero con los materiales de carbono. En este caso se manejaron concentraciones de 0.1, 0.3 y 0.5% peso. Los nanomateriales fueron depositados en un contenedor junto con el polímero donde ambos materiales fueron agitados por aproximadamente un minuto hasta que el refuerzo estuviera depositado homogéneamente a través de fuerzas electrostáticas en la superficie de los pellets de nylon 6,6.</w:t>
      </w:r>
    </w:p>
    <w:p>
      <w:pPr>
        <w:pStyle w:val="BodyText"/>
        <w:spacing w:before="2"/>
        <w:rPr>
          <w:sz w:val="31"/>
        </w:rPr>
      </w:pPr>
    </w:p>
    <w:p>
      <w:pPr>
        <w:pStyle w:val="BodyText"/>
        <w:spacing w:line="360" w:lineRule="auto"/>
        <w:ind w:left="122" w:right="257" w:firstLine="283"/>
        <w:jc w:val="both"/>
      </w:pPr>
      <w:r>
        <w:rPr/>
        <w:t>Las dimensiones del molde utilizado en este proceso fueron: 50x44x2 mm</w:t>
      </w:r>
      <w:r>
        <w:rPr>
          <w:position w:val="10"/>
          <w:sz w:val="14"/>
        </w:rPr>
        <w:t>3</w:t>
      </w:r>
      <w:r>
        <w:rPr/>
        <w:t>. El polímero se mantuvo en la cámara de fundido a 270°C por  5 minutos y  en seguida se realizó la inyección  a  una presión de 110 psi por 1 s y posteriormente la probeta resultante se dejó enfriar en el molde por 3 minutos para después desmontarla y dejarla enfriar hasta temperatura</w:t>
      </w:r>
      <w:r>
        <w:rPr>
          <w:spacing w:val="-22"/>
        </w:rPr>
        <w:t> </w:t>
      </w:r>
      <w:r>
        <w:rPr/>
        <w:t>ambiente.</w:t>
      </w:r>
    </w:p>
    <w:p>
      <w:pPr>
        <w:pStyle w:val="BodyText"/>
      </w:pPr>
    </w:p>
    <w:p>
      <w:pPr>
        <w:pStyle w:val="Heading4"/>
        <w:numPr>
          <w:ilvl w:val="1"/>
          <w:numId w:val="15"/>
        </w:numPr>
        <w:tabs>
          <w:tab w:pos="406" w:val="left" w:leader="none"/>
        </w:tabs>
        <w:spacing w:line="240" w:lineRule="auto" w:before="135" w:after="0"/>
        <w:ind w:left="405" w:right="0" w:hanging="283"/>
        <w:jc w:val="left"/>
      </w:pPr>
      <w:bookmarkStart w:name="_TOC_250007" w:id="14"/>
      <w:r>
        <w:rPr/>
        <w:t>Técnicas de</w:t>
      </w:r>
      <w:r>
        <w:rPr>
          <w:spacing w:val="-7"/>
        </w:rPr>
        <w:t> </w:t>
      </w:r>
      <w:bookmarkEnd w:id="14"/>
      <w:r>
        <w:rPr/>
        <w:t>caracterización</w:t>
      </w:r>
    </w:p>
    <w:p>
      <w:pPr>
        <w:pStyle w:val="BodyText"/>
        <w:spacing w:line="360" w:lineRule="auto" w:before="121"/>
        <w:ind w:left="122" w:right="260" w:firstLine="283"/>
        <w:jc w:val="both"/>
      </w:pPr>
      <w:r>
        <w:rPr/>
        <w:t>Las muestras obtenidas de los materiales de carbono fueron analizadas mediante distintas técnicas para obtener información de tipo estructural y morfológico. De  la misma  manera  se realizó la caracterización para los</w:t>
      </w:r>
      <w:r>
        <w:rPr>
          <w:spacing w:val="50"/>
        </w:rPr>
        <w:t> </w:t>
      </w:r>
      <w:r>
        <w:rPr/>
        <w:t>nanocompositos y también se estudiaron las propiedades de</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62"/>
      </w:pPr>
      <w:r>
        <w:rPr/>
        <w:t>cristalinidad, mecánicas y térmicas de los mismos. A continuación se describen las técnicas utilizadas y las condiciones a las cuales se realizaron los análisis de las muestras.</w:t>
      </w:r>
    </w:p>
    <w:p>
      <w:pPr>
        <w:pStyle w:val="BodyText"/>
      </w:pPr>
    </w:p>
    <w:p>
      <w:pPr>
        <w:pStyle w:val="Heading4"/>
        <w:numPr>
          <w:ilvl w:val="2"/>
          <w:numId w:val="15"/>
        </w:numPr>
        <w:tabs>
          <w:tab w:pos="829" w:val="left" w:leader="none"/>
          <w:tab w:pos="830" w:val="left" w:leader="none"/>
        </w:tabs>
        <w:spacing w:line="240" w:lineRule="auto" w:before="135" w:after="0"/>
        <w:ind w:left="830" w:right="0" w:hanging="708"/>
        <w:jc w:val="left"/>
      </w:pPr>
      <w:bookmarkStart w:name="_TOC_250006" w:id="15"/>
      <w:bookmarkEnd w:id="15"/>
      <w:r>
        <w:rPr/>
        <w:t>Espectroscopías</w:t>
      </w:r>
    </w:p>
    <w:p>
      <w:pPr>
        <w:pStyle w:val="BodyText"/>
        <w:spacing w:line="360" w:lineRule="auto" w:before="121"/>
        <w:ind w:left="122" w:right="257" w:firstLine="283"/>
        <w:jc w:val="both"/>
      </w:pPr>
      <w:r>
        <w:rPr/>
        <w:t>Todos los tipos de espectroscopias envuelven la interacción de la materia con radiación electromagnética. La radiación electromagnética o luz está compuesta por un flujo de partículas discretas o paquetes ondulatorios llamados fotones que tienen energías características dependiendo de la frecuencia de radiación [102].</w:t>
      </w:r>
    </w:p>
    <w:p>
      <w:pPr>
        <w:pStyle w:val="BodyText"/>
      </w:pPr>
    </w:p>
    <w:p>
      <w:pPr>
        <w:pStyle w:val="BodyText"/>
        <w:spacing w:before="133"/>
        <w:ind w:left="405"/>
      </w:pPr>
      <w:r>
        <w:rPr/>
        <w:t>La energía de un fotón de luz está dada por la ecuación de Planck-Einstein:</w:t>
      </w:r>
    </w:p>
    <w:p>
      <w:pPr>
        <w:pStyle w:val="BodyText"/>
        <w:rPr>
          <w:sz w:val="20"/>
        </w:rPr>
      </w:pPr>
    </w:p>
    <w:p>
      <w:pPr>
        <w:pStyle w:val="BodyText"/>
        <w:rPr>
          <w:sz w:val="20"/>
        </w:rPr>
      </w:pPr>
    </w:p>
    <w:p>
      <w:pPr>
        <w:pStyle w:val="BodyText"/>
        <w:rPr>
          <w:sz w:val="20"/>
        </w:rPr>
      </w:pPr>
    </w:p>
    <w:p>
      <w:pPr>
        <w:pStyle w:val="BodyText"/>
        <w:spacing w:before="5"/>
        <w:rPr>
          <w:sz w:val="19"/>
        </w:rPr>
      </w:pPr>
    </w:p>
    <w:p>
      <w:pPr>
        <w:pStyle w:val="BodyText"/>
        <w:ind w:left="122"/>
      </w:pPr>
      <w:r>
        <w:rPr/>
        <w:t>donde:</w:t>
      </w:r>
    </w:p>
    <w:p>
      <w:pPr>
        <w:pStyle w:val="BodyText"/>
        <w:spacing w:before="5"/>
        <w:rPr>
          <w:sz w:val="26"/>
        </w:rPr>
      </w:pPr>
    </w:p>
    <w:p>
      <w:pPr>
        <w:pStyle w:val="BodyText"/>
        <w:spacing w:before="1"/>
        <w:ind w:left="122"/>
      </w:pPr>
      <w:r>
        <w:rPr>
          <w:rFonts w:ascii="Cambria Math"/>
          <w:w w:val="251"/>
        </w:rPr>
        <w:t> </w:t>
      </w:r>
      <w:r>
        <w:rPr>
          <w:rFonts w:ascii="Cambria Math"/>
          <w:w w:val="120"/>
        </w:rPr>
        <w:t> </w:t>
      </w:r>
      <w:r>
        <w:rPr>
          <w:rFonts w:ascii="Cambria Math"/>
        </w:rPr>
        <w:t> </w:t>
      </w:r>
      <w:r>
        <w:rPr/>
        <w:t>Constante de Planck (4x10</w:t>
      </w:r>
      <w:r>
        <w:rPr>
          <w:position w:val="10"/>
          <w:sz w:val="14"/>
        </w:rPr>
        <w:t>-13 </w:t>
      </w:r>
      <w:r>
        <w:rPr/>
        <w:t>kJ/mol)</w:t>
      </w:r>
    </w:p>
    <w:p>
      <w:pPr>
        <w:pStyle w:val="BodyText"/>
        <w:spacing w:before="108"/>
        <w:ind w:left="122"/>
      </w:pPr>
      <w:r>
        <w:rPr>
          <w:w w:val="198"/>
        </w:rPr>
        <w:t> </w:t>
      </w:r>
      <w:r>
        <w:rPr>
          <w:rFonts w:ascii="Cambria Math"/>
          <w:w w:val="120"/>
        </w:rPr>
        <w:t> </w:t>
      </w:r>
      <w:r>
        <w:rPr>
          <w:rFonts w:ascii="Cambria Math"/>
        </w:rPr>
        <w:t> </w:t>
      </w:r>
      <w:r>
        <w:rPr/>
        <w:t>frecuencia de la luz (s</w:t>
      </w:r>
      <w:r>
        <w:rPr>
          <w:position w:val="10"/>
          <w:sz w:val="14"/>
        </w:rPr>
        <w:t>-1</w:t>
      </w:r>
      <w:r>
        <w:rPr/>
        <w:t>)</w:t>
      </w:r>
    </w:p>
    <w:p>
      <w:pPr>
        <w:pStyle w:val="BodyText"/>
        <w:rPr>
          <w:sz w:val="26"/>
        </w:rPr>
      </w:pPr>
    </w:p>
    <w:p>
      <w:pPr>
        <w:pStyle w:val="BodyText"/>
        <w:spacing w:before="211"/>
        <w:ind w:left="405"/>
      </w:pPr>
      <w:r>
        <w:rPr/>
        <w:t>La relación entre la frecuencia y la longitud de onda de la luz es:</w:t>
      </w:r>
    </w:p>
    <w:p>
      <w:pPr>
        <w:pStyle w:val="BodyText"/>
        <w:spacing w:before="136"/>
        <w:ind w:right="132"/>
        <w:jc w:val="center"/>
      </w:pPr>
      <w:r>
        <w:rPr>
          <w:w w:val="198"/>
        </w:rPr>
        <w:t> </w:t>
      </w:r>
      <w:r>
        <w:rPr>
          <w:spacing w:val="6"/>
        </w:rPr>
        <w:t> </w:t>
      </w:r>
      <w:r>
        <w:rPr>
          <w:rFonts w:ascii="Cambria Math"/>
          <w:w w:val="340"/>
        </w:rPr>
        <w:t> </w:t>
      </w:r>
      <w:r>
        <w:rPr>
          <w:rFonts w:ascii="Cambria Math"/>
          <w:spacing w:val="12"/>
        </w:rPr>
        <w:t> </w:t>
      </w:r>
      <w:r>
        <w:rPr>
          <w:rFonts w:ascii="Cambria Math"/>
          <w:spacing w:val="1"/>
          <w:w w:val="200"/>
        </w:rPr>
        <w:t> </w:t>
      </w:r>
      <w:r>
        <w:rPr>
          <w:rFonts w:ascii="Cambria Math"/>
          <w:spacing w:val="-1"/>
          <w:w w:val="223"/>
        </w:rPr>
        <w:t> </w:t>
      </w:r>
      <w:r>
        <w:rPr>
          <w:w w:val="194"/>
        </w:rPr>
        <w:t> </w:t>
      </w:r>
    </w:p>
    <w:p>
      <w:pPr>
        <w:pStyle w:val="BodyText"/>
        <w:spacing w:before="98"/>
        <w:ind w:left="122"/>
      </w:pPr>
      <w:r>
        <w:rPr/>
        <w:t>c: velocidad de la luz (3x10</w:t>
      </w:r>
      <w:r>
        <w:rPr>
          <w:position w:val="10"/>
          <w:sz w:val="14"/>
        </w:rPr>
        <w:t>10 </w:t>
      </w:r>
      <w:r>
        <w:rPr/>
        <w:t>cm/s)</w:t>
      </w:r>
    </w:p>
    <w:p>
      <w:pPr>
        <w:pStyle w:val="BodyText"/>
        <w:spacing w:before="131"/>
        <w:ind w:left="122"/>
      </w:pPr>
      <w:r>
        <w:rPr>
          <w:w w:val="194"/>
        </w:rPr>
        <w:t> </w:t>
      </w:r>
      <w:r>
        <w:rPr>
          <w:rFonts w:ascii="Cambria Math"/>
          <w:w w:val="120"/>
        </w:rPr>
        <w:t> </w:t>
      </w:r>
      <w:r>
        <w:rPr>
          <w:rFonts w:ascii="Cambria Math"/>
        </w:rPr>
        <w:t> </w:t>
      </w:r>
      <w:r>
        <w:rPr/>
        <w:t>longitud de onda (cm)</w:t>
      </w:r>
    </w:p>
    <w:p>
      <w:pPr>
        <w:pStyle w:val="BodyText"/>
      </w:pPr>
    </w:p>
    <w:p>
      <w:pPr>
        <w:pStyle w:val="BodyText"/>
        <w:spacing w:before="1"/>
      </w:pPr>
    </w:p>
    <w:p>
      <w:pPr>
        <w:pStyle w:val="BodyText"/>
        <w:spacing w:line="360" w:lineRule="auto" w:before="1"/>
        <w:ind w:left="122" w:right="255" w:firstLine="283"/>
        <w:jc w:val="both"/>
      </w:pPr>
      <w:r>
        <w:rPr/>
        <w:t>Cada elemento tiene electrones con niveles de energía únicos correspondientes a su estructura atómica, por lo que aunque un elemento este expuesto a radiación de diferentes longitudes de onda, solo los fotones cuya energía es igual a los niveles de los estados de energía dentro de un átomo pueden interactuar [103]. Este fenómeno es responsable de las líneas de emisión producidas por los átomos y moléculas excitadas, así como de las bandas de absorción de todas las regiones del espectro electromagnético y es la base de las espectroscopias. De esta manera se puede conocer información estructural de la molécula estudiada.</w:t>
      </w:r>
    </w:p>
    <w:p>
      <w:pPr>
        <w:pStyle w:val="BodyText"/>
      </w:pPr>
    </w:p>
    <w:p>
      <w:pPr>
        <w:pStyle w:val="Heading4"/>
        <w:numPr>
          <w:ilvl w:val="3"/>
          <w:numId w:val="15"/>
        </w:numPr>
        <w:tabs>
          <w:tab w:pos="973" w:val="left" w:leader="none"/>
          <w:tab w:pos="974" w:val="left" w:leader="none"/>
        </w:tabs>
        <w:spacing w:line="240" w:lineRule="auto" w:before="135" w:after="0"/>
        <w:ind w:left="974" w:right="0" w:hanging="852"/>
        <w:jc w:val="left"/>
      </w:pPr>
      <w:r>
        <w:rPr/>
        <w:t>Espectroscopia de</w:t>
      </w:r>
      <w:r>
        <w:rPr>
          <w:spacing w:val="-5"/>
        </w:rPr>
        <w:t> </w:t>
      </w:r>
      <w:r>
        <w:rPr/>
        <w:t>Infrarrojo</w:t>
      </w:r>
    </w:p>
    <w:p>
      <w:pPr>
        <w:pStyle w:val="BodyText"/>
        <w:spacing w:line="360" w:lineRule="auto" w:before="121"/>
        <w:ind w:left="122" w:right="263" w:firstLine="283"/>
        <w:jc w:val="both"/>
      </w:pPr>
      <w:r>
        <w:rPr/>
        <w:t>El requerimiento fundamental para que la actividad infrarroja dé lugar a la absorción de esta radiación es que debe de haber un cambio neto en el momento dipolar   durante la vibración o</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57"/>
        <w:jc w:val="both"/>
      </w:pPr>
      <w:r>
        <w:rPr/>
        <w:t>rotación de la molécula o grupo funcional bajo estudio [104]. Solo en estas circunstancias el campo eléctrico alterno de la radiación puede interaccionar con la molécula y provocar cambios en la amplitud de alguno de sus movimientos.</w:t>
      </w:r>
    </w:p>
    <w:p>
      <w:pPr>
        <w:pStyle w:val="BodyText"/>
      </w:pPr>
    </w:p>
    <w:p>
      <w:pPr>
        <w:pStyle w:val="BodyText"/>
        <w:spacing w:line="360" w:lineRule="auto" w:before="130"/>
        <w:ind w:left="122" w:right="257" w:firstLine="283"/>
        <w:jc w:val="both"/>
      </w:pPr>
      <w:r>
        <w:rPr/>
        <w:t>Existen dos tipos de vibraciones moleculares: de tensión y de flexión. Una vibración de tensión supone un cambio continuo en la distancia interatómica a lo largo del eje del enlace entre dos átomos, estas pueden ser simétricas o asimétricas. Las vibraciones de flexión se caracterizan por un cambio en el ángulo entre dos enlaces y son de cuatro tipos: de tijereteo, de balanceo, de aleteo y de torsión [103].</w:t>
      </w:r>
    </w:p>
    <w:p>
      <w:pPr>
        <w:pStyle w:val="BodyText"/>
      </w:pPr>
    </w:p>
    <w:p>
      <w:pPr>
        <w:pStyle w:val="BodyText"/>
        <w:spacing w:line="352" w:lineRule="auto" w:before="130"/>
        <w:ind w:left="122" w:right="262" w:firstLine="283"/>
        <w:jc w:val="both"/>
      </w:pPr>
      <w:r>
        <w:rPr/>
        <w:t>Los grupos funcionales muestran vibraciones características a las que les corresponden bandas de absorción en regiones definidas del espectro. Además los enlaces de estas moléculas o grupos funcionales pueden experimentar diferentes tipos de vibración, por lo que absorben energía en más de una longitud de onda. La región del infrarrojo más comúnmente utilizada es la que abarca de 4000 a los 400 cm</w:t>
      </w:r>
      <w:r>
        <w:rPr>
          <w:position w:val="10"/>
          <w:sz w:val="14"/>
        </w:rPr>
        <w:t>-1</w:t>
      </w:r>
      <w:r>
        <w:rPr>
          <w:spacing w:val="17"/>
          <w:position w:val="10"/>
          <w:sz w:val="14"/>
        </w:rPr>
        <w:t> </w:t>
      </w:r>
      <w:r>
        <w:rPr/>
        <w:t>[103].</w:t>
      </w:r>
    </w:p>
    <w:p>
      <w:pPr>
        <w:pStyle w:val="BodyText"/>
        <w:spacing w:before="9"/>
        <w:rPr>
          <w:sz w:val="32"/>
        </w:rPr>
      </w:pPr>
    </w:p>
    <w:p>
      <w:pPr>
        <w:pStyle w:val="BodyText"/>
        <w:spacing w:line="352" w:lineRule="auto"/>
        <w:ind w:left="122" w:right="259" w:firstLine="283"/>
        <w:jc w:val="both"/>
      </w:pPr>
      <w:r>
        <w:rPr/>
        <w:t>El análisis de los materiales de carbono a través de esta técnica fue llevado a cabo en un espectrofotómetro de Infrarrojo de Transformada de Fourier (FTIR) marca Bruker Optics Vector  33, con 1 cm</w:t>
      </w:r>
      <w:r>
        <w:rPr>
          <w:position w:val="10"/>
          <w:sz w:val="14"/>
        </w:rPr>
        <w:t>-1 </w:t>
      </w:r>
      <w:r>
        <w:rPr/>
        <w:t>de resolución. Las muestras se analizaron en forma de pastilla, utilizando bromuro de potasio. Los espectros de los nanocompositos fueron obtenidos mediante reflectancia total</w:t>
      </w:r>
      <w:r>
        <w:rPr>
          <w:spacing w:val="-30"/>
        </w:rPr>
        <w:t> </w:t>
      </w:r>
      <w:r>
        <w:rPr/>
        <w:t>atenuada.</w:t>
      </w:r>
    </w:p>
    <w:p>
      <w:pPr>
        <w:pStyle w:val="BodyText"/>
      </w:pPr>
    </w:p>
    <w:p>
      <w:pPr>
        <w:pStyle w:val="Heading4"/>
        <w:numPr>
          <w:ilvl w:val="3"/>
          <w:numId w:val="15"/>
        </w:numPr>
        <w:tabs>
          <w:tab w:pos="830" w:val="left" w:leader="none"/>
        </w:tabs>
        <w:spacing w:line="240" w:lineRule="auto" w:before="142" w:after="0"/>
        <w:ind w:left="830" w:right="0" w:hanging="708"/>
        <w:jc w:val="both"/>
      </w:pPr>
      <w:r>
        <w:rPr/>
        <w:t>Espectroscopia</w:t>
      </w:r>
      <w:r>
        <w:rPr>
          <w:spacing w:val="-2"/>
        </w:rPr>
        <w:t> </w:t>
      </w:r>
      <w:r>
        <w:rPr/>
        <w:t>Raman</w:t>
      </w:r>
    </w:p>
    <w:p>
      <w:pPr>
        <w:pStyle w:val="BodyText"/>
        <w:spacing w:line="360" w:lineRule="auto" w:before="121"/>
        <w:ind w:left="122" w:right="255" w:firstLine="283"/>
        <w:jc w:val="both"/>
      </w:pPr>
      <w:r>
        <w:rPr/>
        <w:t>La espectroscopia Raman es complementaria a la Infrarroja. En esta espectroscopia un cambio neto en la polarizabilidad de un enlace puede ser observado por una transición Raman activa [105]. Esta técnica se basa en la luz dispersada por un material al incidir sobre él un haz de luz monocromático. Es así como una pequeña porción de la luz es dispersada inelásticamente experimentando ligeros cambios de frecuencia que son característicos del material analizado e independiente de la frecuencia de la luz incidente. Si la molécula asciende de un estado fundamental a uno virtual y cae a un estado vibracional de menor energía el fotón dispersado tiene menor energía que la del fotón incidente y por lo tanto longitud de onda más grande. Este fenómeno se le conoce como dispersión Stokes. Si la molécula está en un estado vibracional inicial y después de la dispersión se encuentra en su estado fundamental el fotón dispersado posee más energía. Lo anterior se le conoce como dispersión anti-Stokes [106].</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57" w:firstLine="283"/>
        <w:jc w:val="both"/>
      </w:pPr>
      <w:r>
        <w:rPr/>
        <w:t>Estos cambios debido al efecto Raman están determinados por el espaciamiento en los estados vibracionales y los estados fundamentales. La luz dispersada inelásticamente será movida a una distancia igual a los lados opuestos de la luz dispersada Rayleigh. Por lo tanto el espectro es simétrico a lo largo de la longitud de onda de la luz usada, independientemente de la diferencia de intensidades. Los cambios en el número de onda son usados para determinar los modos de la muestra. Estos modos pueden ser vibracionales (fonones), rotacionales y otros modos de baja frecuencia [107].</w:t>
      </w:r>
    </w:p>
    <w:p>
      <w:pPr>
        <w:pStyle w:val="BodyText"/>
      </w:pPr>
    </w:p>
    <w:p>
      <w:pPr>
        <w:pStyle w:val="BodyText"/>
        <w:spacing w:line="360" w:lineRule="auto" w:before="133"/>
        <w:ind w:left="122" w:right="254" w:firstLine="283"/>
        <w:jc w:val="both"/>
      </w:pPr>
      <w:r>
        <w:rPr/>
        <w:t>Esta espectroscopía es sensible a enlaces covalentes altamente simétricos o aquellos que carecen de momento dipolar. Por lo que los enlaces C-C presentes en los nanomateriales de carbono se ajustan a este criterio y permite la obtención de valiosa información sobre su estructura [108]. A través de esta técnica se puede determinar la morfología molecular de los materiales de carbono, en donde los enlaces de carbono con diferentes energías se presentan a diferentes frecuencias [109].</w:t>
      </w:r>
    </w:p>
    <w:p>
      <w:pPr>
        <w:pStyle w:val="BodyText"/>
      </w:pPr>
    </w:p>
    <w:p>
      <w:pPr>
        <w:pStyle w:val="BodyText"/>
        <w:spacing w:line="357" w:lineRule="auto" w:before="130"/>
        <w:ind w:left="122" w:right="256" w:firstLine="283"/>
        <w:jc w:val="both"/>
      </w:pPr>
      <w:r>
        <w:rPr/>
        <w:t>Los espectros de Raman de los materiales de carbono fueron obtenidos usando un equipo Dylor LabRam II equipado con un microscopio confocal con resolución de 1 cm</w:t>
      </w:r>
      <w:r>
        <w:rPr>
          <w:position w:val="10"/>
          <w:sz w:val="14"/>
        </w:rPr>
        <w:t>-1</w:t>
      </w:r>
      <w:r>
        <w:rPr/>
        <w:t>. Se utilizó una línea de excitación de 632.8 nm (He-Ne) y una potencia de 20 mW. Un filtro de densidad neutra fue utilizado para evitar modificaciones en las muestras debido a los efectos de calentamiento del laser. Las muestras se analizaron en forma de polvo y fue necesaria una suficiente cantidad de material de manera que fue posible la obtención de un espectro apreciable. Todas las mediciones fueron hechas consistentemente usando la misma excitación de laser debido a que existen cambios en la forma, intensidad y frecuencia de aparición de las bandas  características de carbono</w:t>
      </w:r>
      <w:r>
        <w:rPr>
          <w:spacing w:val="-18"/>
        </w:rPr>
        <w:t> </w:t>
      </w:r>
      <w:r>
        <w:rPr/>
        <w:t>[110].</w:t>
      </w:r>
    </w:p>
    <w:p>
      <w:pPr>
        <w:pStyle w:val="BodyText"/>
      </w:pPr>
    </w:p>
    <w:p>
      <w:pPr>
        <w:pStyle w:val="Heading4"/>
        <w:numPr>
          <w:ilvl w:val="2"/>
          <w:numId w:val="15"/>
        </w:numPr>
        <w:tabs>
          <w:tab w:pos="829" w:val="left" w:leader="none"/>
          <w:tab w:pos="830" w:val="left" w:leader="none"/>
        </w:tabs>
        <w:spacing w:line="240" w:lineRule="auto" w:before="138" w:after="0"/>
        <w:ind w:left="830" w:right="0" w:hanging="708"/>
        <w:jc w:val="left"/>
      </w:pPr>
      <w:bookmarkStart w:name="_TOC_250005" w:id="16"/>
      <w:r>
        <w:rPr/>
        <w:t>Microscopía de transmisión de</w:t>
      </w:r>
      <w:r>
        <w:rPr>
          <w:spacing w:val="-7"/>
        </w:rPr>
        <w:t> </w:t>
      </w:r>
      <w:bookmarkEnd w:id="16"/>
      <w:r>
        <w:rPr/>
        <w:t>electrones</w:t>
      </w:r>
    </w:p>
    <w:p>
      <w:pPr>
        <w:pStyle w:val="BodyText"/>
        <w:spacing w:line="360" w:lineRule="auto" w:before="121"/>
        <w:ind w:left="122" w:right="257" w:firstLine="283"/>
        <w:jc w:val="both"/>
      </w:pPr>
      <w:r>
        <w:rPr/>
        <w:t>Esta microscopía es versátil y de gran valor para la caracterización microestructural de los materiales. Esta técnica es similar a la microscopía óptica convencional, a diferencia de que en ésta se emplean electrones como fuente de luz. Debido a que los electrones poseen una longitud de onda menor que la luz es posible conseguir una resolución mayor que un microscopio convencional [102].</w:t>
      </w:r>
    </w:p>
    <w:p>
      <w:pPr>
        <w:pStyle w:val="BodyText"/>
      </w:pPr>
    </w:p>
    <w:p>
      <w:pPr>
        <w:pStyle w:val="BodyText"/>
        <w:spacing w:line="360" w:lineRule="auto" w:before="130"/>
        <w:ind w:left="122" w:right="264" w:firstLine="283"/>
        <w:jc w:val="both"/>
      </w:pPr>
      <w:r>
        <w:rPr/>
        <w:t>La fuente de luz en este microscopio se encuentra en la parte superior y emite electrones que viajan a través de una columna a alto vacío. Para enfocar la muestra el microscopio cuenta con lentes magnéticas que permiten focalizar el haz de electrones y hacerlo pasar a través del material</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58"/>
        <w:jc w:val="both"/>
      </w:pPr>
      <w:r>
        <w:rPr/>
        <w:t>de estudio. Dependiendo de la densidad del material, algunos de los electrones son dispersados y se desprenden del haz mientras que los electrones que no fueron dispersados y atraviesan la muestra se impactan contra una pantalla fluorescente para dar imagen del espécimen, el cual puede mostrar diferentes tonalidades oscuras dependiendo de la densidad del material. La imagen es fotografiada con una cámara digital [102].</w:t>
      </w:r>
    </w:p>
    <w:p>
      <w:pPr>
        <w:pStyle w:val="BodyText"/>
      </w:pPr>
    </w:p>
    <w:p>
      <w:pPr>
        <w:pStyle w:val="BodyText"/>
        <w:spacing w:line="360" w:lineRule="auto" w:before="130"/>
        <w:ind w:left="122" w:right="257" w:firstLine="283"/>
        <w:jc w:val="both"/>
      </w:pPr>
      <w:r>
        <w:rPr/>
        <w:t>Las micrografías de transmisión electrónica fueron tomadas en un microscopio JEOL TEM  1010 operando a 80 kV. Para la preparación de las muestras de los nanomateriales, 10 mg de sólido fueron diluidos en 10 ml de acetona, posteriormente esto se llevó a un baño ultrasónico por 10 minutos para que posteriormente a través de un tubo capilar se depositaran dos gotas de solución sobre una rejilla de cobre, recubierta con una membrana fomvar. En el caso de la preparación de la muestra de las nanofibras, la rejilla fue acercada entre la punta de la jeringa y la placa de cobre por aproximadamente 3 segundos para que la fibras fueran depositadas directamente. Posteriormente se realizó un recubrimiento con</w:t>
      </w:r>
      <w:r>
        <w:rPr>
          <w:spacing w:val="-8"/>
        </w:rPr>
        <w:t> </w:t>
      </w:r>
      <w:r>
        <w:rPr/>
        <w:t>carbono.</w:t>
      </w:r>
    </w:p>
    <w:p>
      <w:pPr>
        <w:pStyle w:val="BodyText"/>
      </w:pPr>
    </w:p>
    <w:p>
      <w:pPr>
        <w:pStyle w:val="Heading4"/>
        <w:numPr>
          <w:ilvl w:val="2"/>
          <w:numId w:val="15"/>
        </w:numPr>
        <w:tabs>
          <w:tab w:pos="830" w:val="left" w:leader="none"/>
        </w:tabs>
        <w:spacing w:line="240" w:lineRule="auto" w:before="135" w:after="0"/>
        <w:ind w:left="830" w:right="0" w:hanging="708"/>
        <w:jc w:val="both"/>
      </w:pPr>
      <w:bookmarkStart w:name="_TOC_250004" w:id="17"/>
      <w:r>
        <w:rPr/>
        <w:t>Calorimetría diferencial de</w:t>
      </w:r>
      <w:r>
        <w:rPr>
          <w:spacing w:val="-11"/>
        </w:rPr>
        <w:t> </w:t>
      </w:r>
      <w:bookmarkEnd w:id="17"/>
      <w:r>
        <w:rPr/>
        <w:t>barrido</w:t>
      </w:r>
    </w:p>
    <w:p>
      <w:pPr>
        <w:pStyle w:val="BodyText"/>
        <w:spacing w:line="360" w:lineRule="auto" w:before="121"/>
        <w:ind w:left="122" w:right="257" w:firstLine="283"/>
        <w:jc w:val="both"/>
      </w:pPr>
      <w:r>
        <w:rPr/>
        <w:t>Este es un análisis térmico basado en la medición cuantitativa del calor absorbido o liberado por una muestra cuando esta es calentada, enfriada o permanece a temperatura constante. La energía absorbida o liberada por la muestra es debida a un cambio físico (fusión, cristalización, transición de estructuras cristalinas, etc.) o químico (síntesis, descomposición, etc.) sufrido por el material y es compensada por la adición o sustracción de una cantidad equivalente de energía eléctrica que actúa a través de un calentador localizado en el portamuestras</w:t>
      </w:r>
      <w:r>
        <w:rPr>
          <w:spacing w:val="-17"/>
        </w:rPr>
        <w:t> </w:t>
      </w:r>
      <w:r>
        <w:rPr/>
        <w:t>[111].</w:t>
      </w:r>
    </w:p>
    <w:p>
      <w:pPr>
        <w:pStyle w:val="BodyText"/>
      </w:pPr>
    </w:p>
    <w:p>
      <w:pPr>
        <w:pStyle w:val="BodyText"/>
        <w:spacing w:line="360" w:lineRule="auto" w:before="130"/>
        <w:ind w:left="122" w:right="257" w:firstLine="283"/>
        <w:jc w:val="both"/>
      </w:pPr>
      <w:r>
        <w:rPr/>
        <w:t>El equipo consta de dos cámaras aisladas térmicamente, una contiene la muestra en análisis y la otra actúa como referencia. Cada una de las cámaras tiene su propio sensor de temperatura y sus propias resistencias cuya función es mantener una temperatura igual en cada cámara. El sistema está dividido en dos lazos de control. Uno de ellos controla la temperatura media, motivando que la temperatura de la muestra y la de referencia aumente a una velocidad determinada. El otro lazo de control tiene la función de asegurar que cuando se produce una diferencia de temperatura entre la muestra y la referencia debido a un cambio exotérmico como la cristalización o endotérmico como la fusión se modifique la cantidad de energía de entrada a fin de contrarrestar esta diferencia y mantener una temperatura constante. La diferencia del calor de entrada a la muestra y a la referencia produce  una señal que  es amplificada  y enviada  a  un registrador. La  velocidad de calentamiento</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57"/>
        <w:jc w:val="both"/>
      </w:pPr>
      <w:r>
        <w:rPr/>
        <w:t>necesaria para mantener las temperaturas iguales se registran en función de la temperatura de la muestra. La ordenada del termograma diferencial puede ser expresada en unidades de flujo de calor por unidad de masa mientras que en la abscisa se registra la temperatura de calentamiento programada o el tiempo [111].</w:t>
      </w:r>
    </w:p>
    <w:p>
      <w:pPr>
        <w:pStyle w:val="BodyText"/>
      </w:pPr>
    </w:p>
    <w:p>
      <w:pPr>
        <w:pStyle w:val="BodyText"/>
        <w:spacing w:line="360" w:lineRule="auto" w:before="130"/>
        <w:ind w:left="122" w:right="255" w:firstLine="283"/>
        <w:jc w:val="both"/>
      </w:pPr>
      <w:r>
        <w:rPr/>
        <w:t>Los nanocompositos fueron analizados por calorimetría diferencial de barrido (DSC) con el propósito de determinar las temperaturas de fusión, cristalinidad y temperaturas de cristalización de los mismos. El equipo utilizado fue un calorímetro Perkin Elmer DSC-7, con sensibilidad de 0.1 J/g y precisión de 0.1°C. El cual fue calibrado usando un estándar de indio. Las muestras de aproximadamente 6 mg fueron encapsuladas en celdas de aluminio. Se empleó una rampa de calentamiento de 10°C/min hasta la temperatura de equilibrio del nylon 6,6 (280°C). Posteriormente aplicó una isoterma por 5 min para después someter la muestra a una rampa de enfriamiento de 10°C/min hasta llegar a 25°C. Se utilizó nitrógeno a un flujo constante.</w:t>
      </w:r>
    </w:p>
    <w:p>
      <w:pPr>
        <w:pStyle w:val="BodyText"/>
      </w:pPr>
    </w:p>
    <w:p>
      <w:pPr>
        <w:pStyle w:val="BodyText"/>
        <w:spacing w:line="360" w:lineRule="auto" w:before="130"/>
        <w:ind w:left="122" w:right="263" w:firstLine="283"/>
        <w:jc w:val="both"/>
      </w:pPr>
      <w:r>
        <w:rPr/>
        <w:t>Los termogramas de calentamiento fueron normalizados por su peso e integrados de 200 a 280°C. El porcentaje de cristalinidad fue obtenido por la siguiente ecuación:</w:t>
      </w:r>
    </w:p>
    <w:p>
      <w:pPr>
        <w:pStyle w:val="BodyText"/>
        <w:rPr>
          <w:sz w:val="20"/>
        </w:rPr>
      </w:pPr>
    </w:p>
    <w:p>
      <w:pPr>
        <w:pStyle w:val="BodyText"/>
        <w:rPr>
          <w:sz w:val="19"/>
        </w:rPr>
      </w:pPr>
      <w:r>
        <w:rPr/>
        <w:pict>
          <v:line style="position:absolute;mso-position-horizontal-relative:page;mso-position-vertical-relative:paragraph;z-index:1888;mso-wrap-distance-left:0;mso-wrap-distance-right:0" from="289.010010pt,13.290763pt" to="307.97001pt,13.290763pt" stroked="true" strokeweight=".72pt" strokecolor="#000000">
            <w10:wrap type="topAndBottom"/>
          </v:line>
        </w:pict>
      </w:r>
    </w:p>
    <w:p>
      <w:pPr>
        <w:pStyle w:val="BodyText"/>
        <w:rPr>
          <w:sz w:val="20"/>
        </w:rPr>
      </w:pPr>
    </w:p>
    <w:p>
      <w:pPr>
        <w:pStyle w:val="BodyText"/>
        <w:spacing w:before="10"/>
        <w:rPr>
          <w:sz w:val="20"/>
        </w:rPr>
      </w:pPr>
    </w:p>
    <w:p>
      <w:pPr>
        <w:pStyle w:val="BodyText"/>
        <w:spacing w:line="348" w:lineRule="auto" w:before="73"/>
        <w:ind w:left="122" w:right="262"/>
      </w:pPr>
      <w:r>
        <w:rPr/>
        <w:t>donde ΔH es la entalpía de fusión de la muestra que fue obtenida del área bajo la curva y ΔH</w:t>
      </w:r>
      <w:r>
        <w:rPr>
          <w:position w:val="-2"/>
          <w:sz w:val="14"/>
        </w:rPr>
        <w:t>0 </w:t>
      </w:r>
      <w:r>
        <w:rPr/>
        <w:t>es valor teórico de la entalpía de fusión del nylon 6,6, 100% cristalino (197 J/g) [112].</w:t>
      </w:r>
    </w:p>
    <w:p>
      <w:pPr>
        <w:pStyle w:val="BodyText"/>
      </w:pPr>
    </w:p>
    <w:p>
      <w:pPr>
        <w:pStyle w:val="Heading4"/>
        <w:numPr>
          <w:ilvl w:val="2"/>
          <w:numId w:val="15"/>
        </w:numPr>
        <w:tabs>
          <w:tab w:pos="829" w:val="left" w:leader="none"/>
          <w:tab w:pos="830" w:val="left" w:leader="none"/>
        </w:tabs>
        <w:spacing w:line="240" w:lineRule="auto" w:before="147" w:after="0"/>
        <w:ind w:left="830" w:right="0" w:hanging="708"/>
        <w:jc w:val="left"/>
      </w:pPr>
      <w:bookmarkStart w:name="_TOC_250003" w:id="18"/>
      <w:r>
        <w:rPr/>
        <w:t>Difracción de rayos</w:t>
      </w:r>
      <w:r>
        <w:rPr>
          <w:spacing w:val="-2"/>
        </w:rPr>
        <w:t> </w:t>
      </w:r>
      <w:bookmarkEnd w:id="18"/>
      <w:r>
        <w:rPr/>
        <w:t>X</w:t>
      </w:r>
    </w:p>
    <w:p>
      <w:pPr>
        <w:pStyle w:val="BodyText"/>
        <w:spacing w:line="360" w:lineRule="auto" w:before="124"/>
        <w:ind w:left="122" w:right="257" w:firstLine="283"/>
        <w:jc w:val="both"/>
      </w:pPr>
      <w:r>
        <w:rPr/>
        <w:t>Este análisis se fundamenta en la dispersión de los rayos X cuando estos inciden sobre la materia. La longitud de onda de los rayos X se encuentra en un rango de 0.1Å a 100Å, similares a las distancias interatómicas de los cristales. A través de esta técnica se puede identificar las fases cristalinas, estimar el grado de cristalinidad de la muestra, determinar la orientación de los cristales, determinar el tamaño de cristal y otros parámetros estructurales. Además permite estudiar la disposición de los átomos o moléculas en el espacio tridimensional, de tal manera que se puede determinar el tamaño y la forma de las celdas unitarias de los cristales, la simetría de los arreglos atómicos y las coordenadas de cada átomo en la celda unitaria</w:t>
      </w:r>
      <w:r>
        <w:rPr>
          <w:spacing w:val="-14"/>
        </w:rPr>
        <w:t> </w:t>
      </w:r>
      <w:r>
        <w:rPr/>
        <w:t>[102].</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57" w:lineRule="auto" w:before="72"/>
        <w:ind w:left="122" w:right="255" w:firstLine="283"/>
        <w:jc w:val="both"/>
      </w:pPr>
      <w:r>
        <w:rPr/>
        <w:t>Los rayos X se generan cuando un haz de electrones de alta energía incide en una superficie de metal, generalmente cobre, molibdeno o hierro. El haz de rayos X generado posee un espectro que consta de dos partes, una banda ancha de radiación continua y unas líneas características llamadas K</w:t>
      </w:r>
      <w:r>
        <w:rPr>
          <w:position w:val="-2"/>
          <w:sz w:val="14"/>
        </w:rPr>
        <w:t>α</w:t>
      </w:r>
      <w:r>
        <w:rPr/>
        <w:t>, K</w:t>
      </w:r>
      <w:r>
        <w:rPr>
          <w:position w:val="-2"/>
          <w:sz w:val="14"/>
        </w:rPr>
        <w:t>β</w:t>
      </w:r>
      <w:r>
        <w:rPr/>
        <w:t>, L</w:t>
      </w:r>
      <w:r>
        <w:rPr>
          <w:position w:val="-2"/>
          <w:sz w:val="14"/>
        </w:rPr>
        <w:t>α</w:t>
      </w:r>
      <w:r>
        <w:rPr/>
        <w:t>. Estas líneas son separadas por filtros especiales para obtener radiación de rayos X monocromática. Al incidir un haz de rayos X monocromático en una muestra que tiene estructura periódica, es decir, regiones cristalinas, los rayos X resultantes son coherentes. En dicho proceso la longitud de onda permanece constante y sin pérdida de fase entre los rayos incidente y transmitido, lo cual da lugar a la difracción de rayos X [113].</w:t>
      </w:r>
    </w:p>
    <w:p>
      <w:pPr>
        <w:pStyle w:val="BodyText"/>
      </w:pPr>
    </w:p>
    <w:p>
      <w:pPr>
        <w:pStyle w:val="BodyText"/>
        <w:spacing w:line="360" w:lineRule="auto" w:before="136"/>
        <w:ind w:left="122" w:right="255" w:firstLine="283"/>
        <w:jc w:val="both"/>
      </w:pPr>
      <w:r>
        <w:rPr/>
        <w:t>Los nanocompositos fueron analizados por difracción de rayos X de ángulo alto (WAXD) en un equipo PANalytical X’Pert Pro X-ray con una radiación Cu Kα (k =0.154 nm) y resolución de 0.001°. La velocidad de barrido fue de 0.05°/s. El índice de cristalinidad fue obtenido  de  la siguiente manera:</w:t>
      </w:r>
    </w:p>
    <w:p>
      <w:pPr>
        <w:pStyle w:val="BodyText"/>
        <w:spacing w:before="3"/>
        <w:rPr>
          <w:sz w:val="21"/>
        </w:rPr>
      </w:pPr>
      <w:r>
        <w:rPr/>
        <w:pict>
          <v:line style="position:absolute;mso-position-horizontal-relative:page;mso-position-vertical-relative:paragraph;z-index:1912;mso-wrap-distance-left:0;mso-wrap-distance-right:0" from="309.049988pt,14.569791pt" to="340.993988pt,14.569791pt" stroked="true" strokeweight=".72pt" strokecolor="#000000">
            <w10:wrap type="topAndBottom"/>
          </v:line>
        </w:pict>
      </w:r>
    </w:p>
    <w:p>
      <w:pPr>
        <w:pStyle w:val="BodyText"/>
        <w:rPr>
          <w:sz w:val="20"/>
        </w:rPr>
      </w:pPr>
    </w:p>
    <w:p>
      <w:pPr>
        <w:pStyle w:val="BodyText"/>
        <w:rPr>
          <w:sz w:val="20"/>
        </w:rPr>
      </w:pPr>
    </w:p>
    <w:p>
      <w:pPr>
        <w:pStyle w:val="BodyText"/>
        <w:spacing w:before="2"/>
        <w:rPr>
          <w:sz w:val="20"/>
        </w:rPr>
      </w:pPr>
    </w:p>
    <w:p>
      <w:pPr>
        <w:pStyle w:val="BodyText"/>
        <w:spacing w:line="362" w:lineRule="auto" w:before="74"/>
        <w:ind w:left="122" w:right="262"/>
      </w:pPr>
      <w:r>
        <w:rPr/>
        <w:t>donde representa el área de los picos cristalinos y el área del halo amorfo, una vez que el difractograma fue deconvolucionado. En este caso se utilizó un ajuste Gaussiano.</w:t>
      </w:r>
    </w:p>
    <w:p>
      <w:pPr>
        <w:pStyle w:val="BodyText"/>
      </w:pPr>
    </w:p>
    <w:p>
      <w:pPr>
        <w:pStyle w:val="BodyText"/>
        <w:spacing w:line="362" w:lineRule="auto" w:before="128"/>
        <w:ind w:left="122" w:firstLine="283"/>
      </w:pPr>
      <w:r>
        <w:rPr/>
        <w:t>Asimismo a través de esta técnica se pudo obtener el tamaño de cristal perpendicular a los ejes cristalinos utilizando la ecuación de Scherrer:</w:t>
      </w:r>
    </w:p>
    <w:p>
      <w:pPr>
        <w:pStyle w:val="BodyText"/>
        <w:rPr>
          <w:sz w:val="20"/>
        </w:rPr>
      </w:pPr>
    </w:p>
    <w:p>
      <w:pPr>
        <w:pStyle w:val="BodyText"/>
        <w:rPr>
          <w:sz w:val="20"/>
        </w:rPr>
      </w:pPr>
    </w:p>
    <w:p>
      <w:pPr>
        <w:pStyle w:val="BodyText"/>
        <w:spacing w:before="7"/>
        <w:rPr>
          <w:sz w:val="14"/>
        </w:rPr>
      </w:pPr>
      <w:r>
        <w:rPr/>
        <w:pict>
          <v:line style="position:absolute;mso-position-horizontal-relative:page;mso-position-vertical-relative:paragraph;z-index:1936;mso-wrap-distance-left:0;mso-wrap-distance-right:0" from="317.209991pt,10.769919pt" to="346.393991pt,10.769919pt" stroked="true" strokeweight=".72pt" strokecolor="#000000">
            <w10:wrap type="topAndBottom"/>
          </v:line>
        </w:pict>
      </w:r>
    </w:p>
    <w:p>
      <w:pPr>
        <w:pStyle w:val="BodyText"/>
        <w:rPr>
          <w:sz w:val="20"/>
        </w:rPr>
      </w:pPr>
    </w:p>
    <w:p>
      <w:pPr>
        <w:pStyle w:val="BodyText"/>
        <w:rPr>
          <w:sz w:val="20"/>
        </w:rPr>
      </w:pPr>
    </w:p>
    <w:p>
      <w:pPr>
        <w:pStyle w:val="BodyText"/>
        <w:spacing w:before="7"/>
        <w:rPr>
          <w:sz w:val="16"/>
        </w:rPr>
      </w:pPr>
    </w:p>
    <w:p>
      <w:pPr>
        <w:pStyle w:val="BodyText"/>
        <w:spacing w:before="72"/>
        <w:ind w:left="481"/>
      </w:pPr>
      <w:r>
        <w:rPr/>
        <w:t>donde:</w:t>
      </w:r>
    </w:p>
    <w:p>
      <w:pPr>
        <w:pStyle w:val="BodyText"/>
        <w:spacing w:before="148"/>
        <w:ind w:left="481"/>
        <w:rPr>
          <w:rFonts w:ascii="Cambria Math" w:hAnsi="Cambria Math"/>
        </w:rPr>
      </w:pPr>
      <w:r>
        <w:rPr/>
        <w:t>β : ancho del pico correspondiente, </w:t>
      </w:r>
      <w:r>
        <w:rPr>
          <w:rFonts w:ascii="Cambria Math" w:hAnsi="Cambria Math"/>
          <w:w w:val="276"/>
        </w:rPr>
        <w:t> </w:t>
      </w:r>
      <w:r>
        <w:rPr>
          <w:rFonts w:ascii="Cambria Math" w:hAnsi="Cambria Math"/>
        </w:rPr>
        <w:t> </w:t>
      </w:r>
      <w:r>
        <w:rPr>
          <w:rFonts w:ascii="Cambria Math" w:hAnsi="Cambria Math"/>
          <w:w w:val="340"/>
        </w:rPr>
        <w:t> </w:t>
      </w:r>
      <w:r>
        <w:rPr>
          <w:rFonts w:ascii="Cambria Math" w:hAnsi="Cambria Math"/>
        </w:rPr>
        <w:t> </w:t>
      </w:r>
      <w:r>
        <w:rPr>
          <w:rFonts w:ascii="Cambria Math" w:hAnsi="Cambria Math"/>
          <w:w w:val="189"/>
        </w:rPr>
        <w:t> </w:t>
      </w:r>
      <w:r>
        <w:rPr>
          <w:rFonts w:ascii="Cambria Math" w:hAnsi="Cambria Math"/>
          <w:w w:val="298"/>
        </w:rPr>
        <w:t> </w:t>
      </w:r>
      <w:r>
        <w:rPr>
          <w:rFonts w:ascii="Cambria Math" w:hAnsi="Cambria Math"/>
          <w:w w:val="264"/>
          <w:position w:val="8"/>
          <w:sz w:val="16"/>
        </w:rPr>
        <w:t> </w:t>
      </w:r>
      <w:r>
        <w:rPr>
          <w:rFonts w:ascii="Cambria Math" w:hAnsi="Cambria Math"/>
          <w:position w:val="8"/>
          <w:sz w:val="16"/>
        </w:rPr>
        <w:t>  </w:t>
      </w:r>
      <w:r>
        <w:rPr>
          <w:rFonts w:ascii="Cambria Math" w:hAnsi="Cambria Math"/>
          <w:w w:val="340"/>
        </w:rPr>
        <w:t> </w:t>
      </w:r>
      <w:r>
        <w:rPr>
          <w:rFonts w:ascii="Cambria Math" w:hAnsi="Cambria Math"/>
        </w:rPr>
        <w:t> </w:t>
      </w:r>
      <w:r>
        <w:rPr>
          <w:rFonts w:ascii="Cambria Math" w:hAnsi="Cambria Math"/>
          <w:w w:val="245"/>
        </w:rPr>
        <w:t> </w:t>
      </w:r>
      <w:r>
        <w:rPr>
          <w:rFonts w:ascii="Cambria Math" w:hAnsi="Cambria Math"/>
          <w:w w:val="264"/>
          <w:position w:val="-4"/>
          <w:sz w:val="16"/>
        </w:rPr>
        <w:t> </w:t>
      </w:r>
      <w:r>
        <w:rPr>
          <w:rFonts w:ascii="Cambria Math" w:hAnsi="Cambria Math"/>
          <w:w w:val="189"/>
        </w:rPr>
        <w:t> </w:t>
      </w:r>
    </w:p>
    <w:p>
      <w:pPr>
        <w:pStyle w:val="BodyText"/>
        <w:spacing w:before="131"/>
        <w:ind w:left="481"/>
      </w:pPr>
      <w:r>
        <w:rPr>
          <w:i/>
        </w:rPr>
        <w:t>B : </w:t>
      </w:r>
      <w:r>
        <w:rPr/>
        <w:t>Ancho a la altura media del pico</w:t>
      </w:r>
    </w:p>
    <w:p>
      <w:pPr>
        <w:pStyle w:val="BodyText"/>
        <w:spacing w:before="126"/>
        <w:ind w:left="481"/>
      </w:pPr>
      <w:r>
        <w:rPr>
          <w:i/>
        </w:rPr>
        <w:t>b</w:t>
      </w:r>
      <w:r>
        <w:rPr>
          <w:position w:val="-2"/>
          <w:sz w:val="14"/>
        </w:rPr>
        <w:t>0</w:t>
      </w:r>
      <w:r>
        <w:rPr/>
        <w:t>: factor de ensanchamiento instrumental</w:t>
      </w:r>
    </w:p>
    <w:p>
      <w:pPr>
        <w:pStyle w:val="BodyText"/>
        <w:spacing w:before="118"/>
        <w:ind w:left="481"/>
      </w:pPr>
      <w:r>
        <w:rPr>
          <w:rFonts w:ascii="Cambria Math"/>
          <w:w w:val="251"/>
        </w:rPr>
        <w:t> </w:t>
      </w:r>
      <w:r>
        <w:rPr/>
        <w:t>: factor de forma de cristal o constante de Scherrer (0.89)</w:t>
      </w:r>
    </w:p>
    <w:p>
      <w:pPr>
        <w:pStyle w:val="BodyText"/>
        <w:spacing w:before="128"/>
        <w:ind w:left="481"/>
      </w:pPr>
      <w:r>
        <w:rPr>
          <w:w w:val="194"/>
        </w:rPr>
        <w:t> </w:t>
      </w:r>
      <w:r>
        <w:rPr/>
        <w:t> :  longitud de onda de la radiación  empleada (0.154 nm)</w:t>
      </w:r>
    </w:p>
    <w:p>
      <w:pPr>
        <w:pStyle w:val="BodyText"/>
        <w:spacing w:before="131"/>
        <w:ind w:left="481"/>
      </w:pPr>
      <w:r>
        <w:rPr>
          <w:rFonts w:ascii="Cambria Math" w:hAnsi="Cambria Math"/>
          <w:w w:val="256"/>
        </w:rPr>
        <w:t> </w:t>
      </w:r>
      <w:r>
        <w:rPr>
          <w:rFonts w:ascii="Cambria Math" w:hAnsi="Cambria Math"/>
        </w:rPr>
        <w:t> </w:t>
      </w:r>
      <w:r>
        <w:rPr/>
        <w:t>: posición del pico</w:t>
      </w:r>
    </w:p>
    <w:p>
      <w:pPr>
        <w:spacing w:after="0"/>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255" w:firstLine="359"/>
        <w:jc w:val="both"/>
      </w:pPr>
      <w:r>
        <w:rPr/>
        <w:t>De acuerdo a esta ecuación el ancho del pico debe corregirse para tener en cuenta el efecto de ensanchamiento instrumental del equipo de medición. El cual de acuerdo al difractómetro empleado en este trabajo es de 0.12. En base a la literatura revisada, existen diferentes aspectos para determinar la constante de Scherrer a emplear, entre los que se encuentran la forma del cristal, el tipo de ajuste empleado para la deconvolución de los difractogramas y la cantidad de cifras significativas [12, 114,115]. De acuerdo a Holzwarth y Gibson, un valor de K=0.9 es una buena aproximación para la determinación del tamaño de cristal [114]. Sin embargo, Klug y Alexander consideran que un valor de K=0.891 sirve para determinar tamaños de cristal con una precisión de 3 decimales [115]. Además es importante mencionar que esta ecuación fue por primera vez empleada para calcular tamaños de cristal en partículas de oro de ~1nm longitud y sirve para determinar tamaños de cristal de hasta 200 nm [114]. Por lo que esta ecuación es la utilizada más comúnmente para determinar la distancia perpendicular a los planos de difracción de materiales poliméricos.</w:t>
      </w:r>
    </w:p>
    <w:p>
      <w:pPr>
        <w:pStyle w:val="BodyText"/>
      </w:pPr>
    </w:p>
    <w:p>
      <w:pPr>
        <w:pStyle w:val="BodyText"/>
        <w:spacing w:line="360" w:lineRule="auto" w:before="131"/>
        <w:ind w:left="122" w:right="255" w:firstLine="359"/>
        <w:jc w:val="both"/>
      </w:pPr>
      <w:r>
        <w:rPr/>
        <w:t>Con el valor de empleada y la posición </w:t>
      </w:r>
      <w:r>
        <w:rPr>
          <w:rFonts w:ascii="Symbol" w:hAnsi="Symbol"/>
        </w:rPr>
        <w:t></w:t>
      </w:r>
      <w:r>
        <w:rPr/>
        <w:t> de las reflexiones del nylon 6,6 se determinó la distancia entre los planos de difracción a partir de la ley de Bragg:</w:t>
      </w:r>
    </w:p>
    <w:p>
      <w:pPr>
        <w:pStyle w:val="BodyText"/>
        <w:spacing w:before="4"/>
        <w:rPr>
          <w:sz w:val="11"/>
        </w:rPr>
      </w:pPr>
    </w:p>
    <w:p>
      <w:pPr>
        <w:tabs>
          <w:tab w:pos="497" w:val="left" w:leader="none"/>
          <w:tab w:pos="922" w:val="left" w:leader="none"/>
        </w:tabs>
        <w:spacing w:line="377" w:lineRule="exact" w:before="64"/>
        <w:ind w:left="0" w:right="166" w:firstLine="0"/>
        <w:jc w:val="center"/>
        <w:rPr>
          <w:rFonts w:ascii="Symbol" w:hAnsi="Symbol"/>
          <w:i/>
          <w:sz w:val="25"/>
        </w:rPr>
      </w:pPr>
      <w:r>
        <w:rPr/>
        <w:pict>
          <v:line style="position:absolute;mso-position-horizontal-relative:page;mso-position-vertical-relative:paragraph;z-index:-175192" from="313.389984pt,20.223169pt" to="343.937405pt,20.223169pt" stroked="true" strokeweight=".599254pt" strokecolor="#000000">
            <w10:wrap type="none"/>
          </v:line>
        </w:pict>
      </w:r>
      <w:r>
        <w:rPr>
          <w:i/>
          <w:sz w:val="24"/>
        </w:rPr>
        <w:t>d</w:t>
        <w:tab/>
      </w:r>
      <w:r>
        <w:rPr>
          <w:rFonts w:ascii="Symbol" w:hAnsi="Symbol"/>
          <w:sz w:val="24"/>
        </w:rPr>
        <w:t></w:t>
      </w:r>
      <w:r>
        <w:rPr>
          <w:sz w:val="24"/>
        </w:rPr>
        <w:tab/>
      </w:r>
      <w:r>
        <w:rPr>
          <w:rFonts w:ascii="Symbol" w:hAnsi="Symbol"/>
          <w:i/>
          <w:position w:val="15"/>
          <w:sz w:val="25"/>
        </w:rPr>
        <w:t></w:t>
      </w:r>
    </w:p>
    <w:p>
      <w:pPr>
        <w:tabs>
          <w:tab w:pos="742" w:val="left" w:leader="none"/>
        </w:tabs>
        <w:spacing w:line="269" w:lineRule="exact" w:before="0"/>
        <w:ind w:left="164" w:right="0" w:firstLine="0"/>
        <w:jc w:val="center"/>
        <w:rPr>
          <w:rFonts w:ascii="Symbol" w:hAnsi="Symbol"/>
          <w:i/>
          <w:sz w:val="25"/>
        </w:rPr>
      </w:pPr>
      <w:r>
        <w:rPr>
          <w:rFonts w:ascii="Symbol" w:hAnsi="Symbol"/>
          <w:position w:val="11"/>
          <w:sz w:val="18"/>
        </w:rPr>
        <w:t></w:t>
      </w:r>
      <w:r>
        <w:rPr>
          <w:i/>
          <w:position w:val="12"/>
          <w:sz w:val="14"/>
        </w:rPr>
        <w:t>hkl</w:t>
      </w:r>
      <w:r>
        <w:rPr>
          <w:i/>
          <w:spacing w:val="-23"/>
          <w:position w:val="12"/>
          <w:sz w:val="14"/>
        </w:rPr>
        <w:t> </w:t>
      </w:r>
      <w:r>
        <w:rPr>
          <w:rFonts w:ascii="Symbol" w:hAnsi="Symbol"/>
          <w:position w:val="11"/>
          <w:sz w:val="18"/>
        </w:rPr>
        <w:t></w:t>
      </w:r>
      <w:r>
        <w:rPr>
          <w:position w:val="11"/>
          <w:sz w:val="18"/>
        </w:rPr>
        <w:tab/>
      </w:r>
      <w:r>
        <w:rPr>
          <w:spacing w:val="-6"/>
          <w:sz w:val="24"/>
        </w:rPr>
        <w:t>2</w:t>
      </w:r>
      <w:r>
        <w:rPr>
          <w:i/>
          <w:spacing w:val="-6"/>
          <w:sz w:val="24"/>
        </w:rPr>
        <w:t>sen</w:t>
      </w:r>
      <w:r>
        <w:rPr>
          <w:rFonts w:ascii="Symbol" w:hAnsi="Symbol"/>
          <w:i/>
          <w:spacing w:val="-6"/>
          <w:sz w:val="25"/>
        </w:rPr>
        <w:t></w:t>
      </w:r>
    </w:p>
    <w:p>
      <w:pPr>
        <w:pStyle w:val="BodyText"/>
        <w:rPr>
          <w:rFonts w:ascii="Symbol" w:hAnsi="Symbol"/>
          <w:i/>
          <w:sz w:val="20"/>
        </w:rPr>
      </w:pPr>
    </w:p>
    <w:p>
      <w:pPr>
        <w:pStyle w:val="BodyText"/>
        <w:spacing w:before="1"/>
        <w:rPr>
          <w:rFonts w:ascii="Symbol" w:hAnsi="Symbol"/>
          <w:i/>
          <w:sz w:val="15"/>
        </w:rPr>
      </w:pPr>
    </w:p>
    <w:p>
      <w:pPr>
        <w:pStyle w:val="Heading4"/>
        <w:numPr>
          <w:ilvl w:val="2"/>
          <w:numId w:val="15"/>
        </w:numPr>
        <w:tabs>
          <w:tab w:pos="829" w:val="left" w:leader="none"/>
          <w:tab w:pos="830" w:val="left" w:leader="none"/>
        </w:tabs>
        <w:spacing w:line="240" w:lineRule="auto" w:before="73" w:after="0"/>
        <w:ind w:left="830" w:right="0" w:hanging="708"/>
        <w:jc w:val="left"/>
      </w:pPr>
      <w:bookmarkStart w:name="_TOC_250002" w:id="19"/>
      <w:r>
        <w:rPr/>
        <w:t>Análisis dinámico</w:t>
      </w:r>
      <w:r>
        <w:rPr>
          <w:spacing w:val="-10"/>
        </w:rPr>
        <w:t> </w:t>
      </w:r>
      <w:bookmarkEnd w:id="19"/>
      <w:r>
        <w:rPr/>
        <w:t>mecánico</w:t>
      </w:r>
    </w:p>
    <w:p>
      <w:pPr>
        <w:pStyle w:val="BodyText"/>
        <w:spacing w:line="360" w:lineRule="auto" w:before="121"/>
        <w:ind w:left="122" w:right="255" w:firstLine="283"/>
        <w:jc w:val="both"/>
      </w:pPr>
      <w:r>
        <w:rPr/>
        <w:t>Este análisis es de utilidad para explicar los diferentes parámetros estructurales tales como cristalinidad, peso molecular, orientación, entrecruzamiento, copolimerización y sus efectos en las propiedades del material. También se puede estudiar el efecto de la variación de la temperatura, tiempo, frecuencia y el tipo de deformación.</w:t>
      </w:r>
    </w:p>
    <w:p>
      <w:pPr>
        <w:pStyle w:val="BodyText"/>
      </w:pPr>
    </w:p>
    <w:p>
      <w:pPr>
        <w:pStyle w:val="BodyText"/>
        <w:spacing w:line="360" w:lineRule="auto" w:before="131"/>
        <w:ind w:left="122" w:right="255" w:firstLine="283"/>
        <w:jc w:val="both"/>
      </w:pPr>
      <w:r>
        <w:rPr/>
        <w:t>Los materiales elásticos tienen la capacidad de almacenar energía mecánica sin ninguna disipación mientras que los líquidos viscosos en un estado de esfuerzo hidrostático tienen la capacidad de disipar energía sin ningún almacenamiento. Los materiales poliméricos poseen ambas características, son materiales sólidos elásticos y fluidos viscosos; cuando se deforman almacenan parte del trabajo realizado como una energía potencial y la energía restante se disipa como calor. La parte de la energía que es disipada como calor es debido a la fricción interna entre las cadenas del polímero. El equipo de DMA mide dos respuestas como dos módulos diferentes: el módulo de almacenamiento, que es el componente elástico de el módulo “en fase” con la carga aplicada y el</w:t>
      </w:r>
    </w:p>
    <w:p>
      <w:pPr>
        <w:spacing w:after="0" w:line="360"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pPr>
      <w:r>
        <w:rPr/>
        <w:t>módulo de pérdida, el componente viscoso y de amortiguamiento del módulo “fuera de fase” con la señal de entrada [116].</w:t>
      </w:r>
    </w:p>
    <w:p>
      <w:pPr>
        <w:pStyle w:val="BodyText"/>
      </w:pPr>
    </w:p>
    <w:p>
      <w:pPr>
        <w:pStyle w:val="BodyText"/>
        <w:spacing w:line="360" w:lineRule="auto" w:before="130"/>
        <w:ind w:left="122" w:right="255" w:firstLine="283"/>
        <w:jc w:val="both"/>
      </w:pPr>
      <w:r>
        <w:rPr/>
        <w:t>La relación de ambos módulos es la constante tan δ, la cual representa la habilidad de amortiguamiento relativa del material. Cuando un polímero se somete a una relajación o una transición donde existe un cambio marcado en las propiedades a una determinada temperatura se presenta un pico en la tan δ. El material polimérico a una baja temperatura es rígido y sus cadenas poseen una baja energía interna para moverse. Cuando se aplica calor al material, la energía interna del material se incrementa y las cadenas rígidas del polímero se expanden y empiezan a moverse cuando la temperatura alcanza un valor crítico llamado temperatura de transición vítrea, que muchas veces es llamada relajación α. La relajación α es la transición más prominente, la cual ocurre  cuando se inicia un movimiento micro Browniano en las cadenas del polímero. La temperatura de transición vítrea se ve afectada por varios factores tales como la flexibilidad del polímero, el volumen de los grupos funcionales, la polaridad de las moléculas, el porcentaje de cristalinidad de  la muestra y la presencia de diluyentes. Las relajaciones que ocurren más rápido que la transición vítrea, es decir las β, δ, etc., corresponden a la rotación de los grupos finales, el movimiento de de los grupos funcionales, la rotación de segmentos pequeños de la cadena principal, entre otros</w:t>
      </w:r>
      <w:r>
        <w:rPr>
          <w:spacing w:val="-24"/>
        </w:rPr>
        <w:t> </w:t>
      </w:r>
      <w:r>
        <w:rPr/>
        <w:t>[116].</w:t>
      </w:r>
    </w:p>
    <w:p>
      <w:pPr>
        <w:pStyle w:val="BodyText"/>
      </w:pPr>
    </w:p>
    <w:p>
      <w:pPr>
        <w:pStyle w:val="BodyText"/>
        <w:spacing w:line="355" w:lineRule="auto" w:before="133"/>
        <w:ind w:left="122" w:right="255" w:firstLine="283"/>
        <w:jc w:val="both"/>
      </w:pPr>
      <w:r>
        <w:rPr/>
        <w:t>Además del análisis dinámico mecánico, la temperatura de transición vítrea de los polímeros puede ser evaluada a través otras técnicas, como la calorimetría diferencial de barrido. Sin embargo, la T</w:t>
      </w:r>
      <w:r>
        <w:rPr>
          <w:position w:val="-2"/>
          <w:sz w:val="14"/>
        </w:rPr>
        <w:t>g </w:t>
      </w:r>
      <w:r>
        <w:rPr/>
        <w:t>de las poliamidas observada a través de DSC no es una transición evidente y esta se encuentra cercana a los anchos picos de fusión característicos de estos polímeros, como consecuencia de la relajación de esfuerzos producidos en las cadenas poliméricas debido al procesamiento [117-119]. Por lo anterior, la T</w:t>
      </w:r>
      <w:r>
        <w:rPr>
          <w:position w:val="-2"/>
          <w:sz w:val="14"/>
        </w:rPr>
        <w:t>g </w:t>
      </w:r>
      <w:r>
        <w:rPr/>
        <w:t>de las muestras fue determinada por el punto máximo de la curva tan δ. El modulo de almacenamiento reportado en las siguientes secciones fue tomado a una temperatura de 30°C.</w:t>
      </w:r>
    </w:p>
    <w:p>
      <w:pPr>
        <w:pStyle w:val="BodyText"/>
      </w:pPr>
    </w:p>
    <w:p>
      <w:pPr>
        <w:pStyle w:val="BodyText"/>
        <w:spacing w:line="352" w:lineRule="auto" w:before="138"/>
        <w:ind w:left="122" w:right="256" w:firstLine="283"/>
        <w:jc w:val="both"/>
      </w:pPr>
      <w:r>
        <w:rPr/>
        <w:t>Las propiedades termomecánicas de los nanocompositos fueron medidas usando un equipo de Análisis Dinámico Mecánico (DMA), DMA 2980 de TA instruments, con precisión de ±1% en los módulos de almacenamiento y pérdida y sensibilidad de tan δ de 0.0001. Las dimensiones de las muestras fueron de 30x5x0.5 mm</w:t>
      </w:r>
      <w:r>
        <w:rPr>
          <w:position w:val="10"/>
          <w:sz w:val="14"/>
        </w:rPr>
        <w:t>3 </w:t>
      </w:r>
      <w:r>
        <w:rPr/>
        <w:t>y fueron analizadas bajo modo tensión en el caso de los fibras obtenidas  por  </w:t>
      </w:r>
      <w:r>
        <w:rPr>
          <w:i/>
        </w:rPr>
        <w:t>electrospinning  </w:t>
      </w:r>
      <w:r>
        <w:rPr/>
        <w:t>y  con  dual  cantiléver  para  los  nanocompositos  obtenidos     por</w:t>
      </w:r>
    </w:p>
    <w:p>
      <w:pPr>
        <w:spacing w:after="0" w:line="352" w:lineRule="auto"/>
        <w:jc w:val="both"/>
        <w:sectPr>
          <w:pgSz w:w="12240" w:h="15840"/>
          <w:pgMar w:header="730" w:footer="1062" w:top="1160" w:bottom="1260" w:left="1580" w:right="1440"/>
        </w:sectPr>
      </w:pPr>
    </w:p>
    <w:p>
      <w:pPr>
        <w:pStyle w:val="BodyText"/>
        <w:spacing w:before="2"/>
        <w:rPr>
          <w:sz w:val="21"/>
        </w:rPr>
      </w:pPr>
    </w:p>
    <w:p>
      <w:pPr>
        <w:pStyle w:val="BodyText"/>
        <w:spacing w:line="360" w:lineRule="auto" w:before="72"/>
        <w:ind w:left="122" w:right="197"/>
      </w:pPr>
      <w:r>
        <w:rPr/>
        <w:t>inyección. Las muestras se corrieron de temperatura ambiente hasta 200°C a una frecuencia de 1 Hz y una velocidad de calentamiento de 5°/min.</w:t>
      </w:r>
    </w:p>
    <w:p>
      <w:pPr>
        <w:pStyle w:val="BodyText"/>
      </w:pPr>
    </w:p>
    <w:p>
      <w:pPr>
        <w:pStyle w:val="Heading4"/>
        <w:numPr>
          <w:ilvl w:val="2"/>
          <w:numId w:val="15"/>
        </w:numPr>
        <w:tabs>
          <w:tab w:pos="829" w:val="left" w:leader="none"/>
          <w:tab w:pos="830" w:val="left" w:leader="none"/>
        </w:tabs>
        <w:spacing w:line="240" w:lineRule="auto" w:before="135" w:after="0"/>
        <w:ind w:left="830" w:right="0" w:hanging="708"/>
        <w:jc w:val="left"/>
      </w:pPr>
      <w:bookmarkStart w:name="_TOC_250001" w:id="20"/>
      <w:r>
        <w:rPr/>
        <w:t>Análisis</w:t>
      </w:r>
      <w:r>
        <w:rPr>
          <w:spacing w:val="-8"/>
        </w:rPr>
        <w:t> </w:t>
      </w:r>
      <w:bookmarkEnd w:id="20"/>
      <w:r>
        <w:rPr/>
        <w:t>termo-gravimétrico</w:t>
      </w:r>
    </w:p>
    <w:p>
      <w:pPr>
        <w:pStyle w:val="BodyText"/>
        <w:spacing w:line="360" w:lineRule="auto" w:before="121"/>
        <w:ind w:left="122" w:right="257" w:firstLine="283"/>
        <w:jc w:val="both"/>
      </w:pPr>
      <w:r>
        <w:rPr/>
        <w:t>A través de este análisis se pueden determinar los cambios en la masa del material como función de la temperatura o el tiempo, lo cual permite el análisis de los procesos de desorción, degradación  y descomposición. En esta técnica se mide continuamente el cambio de la masa de una muestra bajo condiciones isotérmicas o durante el calentamiento o enfriamiento dinámico, por ejemplo a una velocidad de calentamiento constante</w:t>
      </w:r>
      <w:r>
        <w:rPr>
          <w:spacing w:val="-6"/>
        </w:rPr>
        <w:t> </w:t>
      </w:r>
      <w:r>
        <w:rPr/>
        <w:t>[102].</w:t>
      </w:r>
    </w:p>
    <w:p>
      <w:pPr>
        <w:pStyle w:val="BodyText"/>
      </w:pPr>
    </w:p>
    <w:p>
      <w:pPr>
        <w:pStyle w:val="BodyText"/>
        <w:spacing w:line="360" w:lineRule="auto" w:before="130"/>
        <w:ind w:left="122" w:right="255" w:firstLine="283"/>
        <w:jc w:val="both"/>
      </w:pPr>
      <w:r>
        <w:rPr/>
        <w:t>El análisis de termogravimetría (TGA) de los nanocompositos por electrospinning se llevo a  cabo en un equipo STA 449 F3 Jupiter con sensibilidad de 1 μg y 0.001 °C y los nanocompositos por inyección en un STD Q600 TA Instruments con sensibilidad de 0.1 μg y 0.001 °C. Las muestras pesaron alrededor de 6 mg y se analizaron en una atmósfera de nitrógeno a una rampa de 10°C/min hasta una temperatura de</w:t>
      </w:r>
      <w:r>
        <w:rPr>
          <w:spacing w:val="-10"/>
        </w:rPr>
        <w:t> </w:t>
      </w:r>
      <w:r>
        <w:rPr/>
        <w:t>600°C.</w:t>
      </w:r>
    </w:p>
    <w:p>
      <w:pPr>
        <w:spacing w:after="0" w:line="360" w:lineRule="auto"/>
        <w:jc w:val="both"/>
        <w:sectPr>
          <w:pgSz w:w="12240" w:h="15840"/>
          <w:pgMar w:header="730" w:footer="1062" w:top="1160" w:bottom="1260" w:left="1580" w:right="1440"/>
        </w:sectPr>
      </w:pPr>
    </w:p>
    <w:p>
      <w:pPr>
        <w:pStyle w:val="BodyText"/>
        <w:rPr>
          <w:sz w:val="20"/>
        </w:rPr>
      </w:pPr>
      <w:r>
        <w:rPr/>
        <w:pict>
          <v:group style="position:absolute;margin-left:122.175003pt;margin-top:212.595001pt;width:4.45pt;height:165.05pt;mso-position-horizontal-relative:page;mso-position-vertical-relative:page;z-index:-175168" coordorigin="2444,4252" coordsize="89,3301">
            <v:line style="position:absolute" from="2488,4296" to="2488,4512" stroked="true" strokeweight="4.440pt" strokecolor="#000000"/>
            <v:line style="position:absolute" from="2488,4513" to="2488,5144" stroked="true" strokeweight="4.440pt" strokecolor="#000000"/>
            <v:line style="position:absolute" from="2488,5144" to="2488,6248" stroked="true" strokeweight="4.440pt" strokecolor="#000000"/>
            <v:line style="position:absolute" from="2488,6248" to="2488,6464" stroked="true" strokeweight="4.440pt" strokecolor="#000000"/>
            <v:line style="position:absolute" from="2488,6464" to="2488,7508" stroked="true" strokeweight="4.440pt" strokecolor="#000000"/>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7"/>
        </w:rPr>
      </w:pPr>
    </w:p>
    <w:tbl>
      <w:tblPr>
        <w:tblW w:w="0" w:type="auto"/>
        <w:jc w:val="left"/>
        <w:tblInd w:w="7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36"/>
      </w:tblGrid>
      <w:tr>
        <w:trPr>
          <w:trHeight w:val="1098" w:hRule="exact"/>
        </w:trPr>
        <w:tc>
          <w:tcPr>
            <w:tcW w:w="3936" w:type="dxa"/>
          </w:tcPr>
          <w:p>
            <w:pPr>
              <w:pStyle w:val="TableParagraph"/>
              <w:spacing w:line="980" w:lineRule="exact"/>
              <w:ind w:left="109"/>
              <w:jc w:val="left"/>
              <w:rPr>
                <w:b/>
                <w:i/>
                <w:sz w:val="96"/>
              </w:rPr>
            </w:pPr>
            <w:r>
              <w:rPr>
                <w:b/>
                <w:i/>
                <w:sz w:val="96"/>
              </w:rPr>
              <w:t>Artículos</w:t>
            </w:r>
          </w:p>
        </w:tc>
      </w:tr>
      <w:tr>
        <w:trPr>
          <w:trHeight w:val="498" w:hRule="exact"/>
        </w:trPr>
        <w:tc>
          <w:tcPr>
            <w:tcW w:w="3936" w:type="dxa"/>
          </w:tcPr>
          <w:p>
            <w:pPr>
              <w:pStyle w:val="TableParagraph"/>
              <w:spacing w:before="91"/>
              <w:ind w:left="116"/>
              <w:jc w:val="left"/>
              <w:rPr>
                <w:i/>
                <w:sz w:val="36"/>
              </w:rPr>
            </w:pPr>
            <w:r>
              <w:rPr>
                <w:i/>
                <w:sz w:val="36"/>
              </w:rPr>
              <w:t>Capítulo 3</w:t>
            </w:r>
          </w:p>
        </w:tc>
      </w:tr>
    </w:tbl>
    <w:p>
      <w:pPr>
        <w:spacing w:after="0"/>
        <w:jc w:val="left"/>
        <w:rPr>
          <w:sz w:val="36"/>
        </w:rPr>
        <w:sectPr>
          <w:headerReference w:type="default" r:id="rId40"/>
          <w:footerReference w:type="default" r:id="rId41"/>
          <w:pgSz w:w="12240" w:h="15840"/>
          <w:pgMar w:header="0" w:footer="0" w:top="1500" w:bottom="280" w:left="1720" w:right="1720"/>
        </w:sectPr>
      </w:pPr>
    </w:p>
    <w:p>
      <w:pPr>
        <w:pStyle w:val="BodyText"/>
        <w:spacing w:before="8"/>
      </w:pPr>
    </w:p>
    <w:p>
      <w:pPr>
        <w:pStyle w:val="BodyText"/>
        <w:ind w:left="640"/>
        <w:rPr>
          <w:sz w:val="20"/>
        </w:rPr>
      </w:pPr>
      <w:r>
        <w:rPr>
          <w:sz w:val="20"/>
        </w:rPr>
        <w:drawing>
          <wp:inline distT="0" distB="0" distL="0" distR="0">
            <wp:extent cx="4894578" cy="7982616"/>
            <wp:effectExtent l="0" t="0" r="0" b="0"/>
            <wp:docPr id="27" name="image22.jpeg" descr=""/>
            <wp:cNvGraphicFramePr>
              <a:graphicFrameLocks noChangeAspect="1"/>
            </wp:cNvGraphicFramePr>
            <a:graphic>
              <a:graphicData uri="http://schemas.openxmlformats.org/drawingml/2006/picture">
                <pic:pic>
                  <pic:nvPicPr>
                    <pic:cNvPr id="28" name="image22.jpeg"/>
                    <pic:cNvPicPr/>
                  </pic:nvPicPr>
                  <pic:blipFill>
                    <a:blip r:embed="rId44" cstate="print"/>
                    <a:stretch>
                      <a:fillRect/>
                    </a:stretch>
                  </pic:blipFill>
                  <pic:spPr>
                    <a:xfrm>
                      <a:off x="0" y="0"/>
                      <a:ext cx="4894578" cy="7982616"/>
                    </a:xfrm>
                    <a:prstGeom prst="rect">
                      <a:avLst/>
                    </a:prstGeom>
                  </pic:spPr>
                </pic:pic>
              </a:graphicData>
            </a:graphic>
          </wp:inline>
        </w:drawing>
      </w:r>
      <w:r>
        <w:rPr>
          <w:sz w:val="20"/>
        </w:rPr>
      </w:r>
    </w:p>
    <w:p>
      <w:pPr>
        <w:spacing w:after="0"/>
        <w:rPr>
          <w:sz w:val="20"/>
        </w:rPr>
        <w:sectPr>
          <w:headerReference w:type="default" r:id="rId42"/>
          <w:footerReference w:type="default" r:id="rId43"/>
          <w:pgSz w:w="12240" w:h="15840"/>
          <w:pgMar w:header="730" w:footer="1060" w:top="1140" w:bottom="1260" w:left="1580" w:right="1560"/>
          <w:pgNumType w:start="59"/>
        </w:sectPr>
      </w:pPr>
    </w:p>
    <w:p>
      <w:pPr>
        <w:pStyle w:val="BodyText"/>
        <w:spacing w:before="10" w:after="1"/>
        <w:rPr>
          <w:sz w:val="20"/>
        </w:rPr>
      </w:pPr>
    </w:p>
    <w:p>
      <w:pPr>
        <w:pStyle w:val="BodyText"/>
        <w:ind w:left="640"/>
        <w:rPr>
          <w:sz w:val="20"/>
        </w:rPr>
      </w:pPr>
      <w:r>
        <w:rPr>
          <w:sz w:val="20"/>
        </w:rPr>
        <w:drawing>
          <wp:inline distT="0" distB="0" distL="0" distR="0">
            <wp:extent cx="4896820" cy="7978521"/>
            <wp:effectExtent l="0" t="0" r="0" b="0"/>
            <wp:docPr id="29" name="image23.jpeg" descr=""/>
            <wp:cNvGraphicFramePr>
              <a:graphicFrameLocks noChangeAspect="1"/>
            </wp:cNvGraphicFramePr>
            <a:graphic>
              <a:graphicData uri="http://schemas.openxmlformats.org/drawingml/2006/picture">
                <pic:pic>
                  <pic:nvPicPr>
                    <pic:cNvPr id="30" name="image23.jpeg"/>
                    <pic:cNvPicPr/>
                  </pic:nvPicPr>
                  <pic:blipFill>
                    <a:blip r:embed="rId45" cstate="print"/>
                    <a:stretch>
                      <a:fillRect/>
                    </a:stretch>
                  </pic:blipFill>
                  <pic:spPr>
                    <a:xfrm>
                      <a:off x="0" y="0"/>
                      <a:ext cx="4896820" cy="7978521"/>
                    </a:xfrm>
                    <a:prstGeom prst="rect">
                      <a:avLst/>
                    </a:prstGeom>
                  </pic:spPr>
                </pic:pic>
              </a:graphicData>
            </a:graphic>
          </wp:inline>
        </w:drawing>
      </w:r>
      <w:r>
        <w:rPr>
          <w:sz w:val="20"/>
        </w:rPr>
      </w:r>
    </w:p>
    <w:p>
      <w:pPr>
        <w:spacing w:after="0"/>
        <w:rPr>
          <w:sz w:val="20"/>
        </w:rPr>
        <w:sectPr>
          <w:pgSz w:w="12240" w:h="15840"/>
          <w:pgMar w:header="730" w:footer="1060" w:top="1160" w:bottom="1260" w:left="1580" w:right="1560"/>
        </w:sectPr>
      </w:pPr>
    </w:p>
    <w:p>
      <w:pPr>
        <w:pStyle w:val="BodyText"/>
        <w:spacing w:before="10" w:after="1"/>
        <w:rPr>
          <w:sz w:val="20"/>
        </w:rPr>
      </w:pPr>
    </w:p>
    <w:p>
      <w:pPr>
        <w:pStyle w:val="BodyText"/>
        <w:ind w:left="610"/>
        <w:rPr>
          <w:sz w:val="20"/>
        </w:rPr>
      </w:pPr>
      <w:r>
        <w:rPr>
          <w:sz w:val="20"/>
        </w:rPr>
        <w:drawing>
          <wp:inline distT="0" distB="0" distL="0" distR="0">
            <wp:extent cx="4926592" cy="7978521"/>
            <wp:effectExtent l="0" t="0" r="0" b="0"/>
            <wp:docPr id="31" name="image24.jpeg" descr=""/>
            <wp:cNvGraphicFramePr>
              <a:graphicFrameLocks noChangeAspect="1"/>
            </wp:cNvGraphicFramePr>
            <a:graphic>
              <a:graphicData uri="http://schemas.openxmlformats.org/drawingml/2006/picture">
                <pic:pic>
                  <pic:nvPicPr>
                    <pic:cNvPr id="32" name="image24.jpeg"/>
                    <pic:cNvPicPr/>
                  </pic:nvPicPr>
                  <pic:blipFill>
                    <a:blip r:embed="rId46" cstate="print"/>
                    <a:stretch>
                      <a:fillRect/>
                    </a:stretch>
                  </pic:blipFill>
                  <pic:spPr>
                    <a:xfrm>
                      <a:off x="0" y="0"/>
                      <a:ext cx="4926592" cy="7978521"/>
                    </a:xfrm>
                    <a:prstGeom prst="rect">
                      <a:avLst/>
                    </a:prstGeom>
                  </pic:spPr>
                </pic:pic>
              </a:graphicData>
            </a:graphic>
          </wp:inline>
        </w:drawing>
      </w:r>
      <w:r>
        <w:rPr>
          <w:sz w:val="20"/>
        </w:rPr>
      </w:r>
    </w:p>
    <w:p>
      <w:pPr>
        <w:spacing w:after="0"/>
        <w:rPr>
          <w:sz w:val="20"/>
        </w:rPr>
        <w:sectPr>
          <w:pgSz w:w="12240" w:h="15840"/>
          <w:pgMar w:header="730" w:footer="1060" w:top="1160" w:bottom="1260" w:left="1580" w:right="1560"/>
        </w:sectPr>
      </w:pPr>
    </w:p>
    <w:p>
      <w:pPr>
        <w:pStyle w:val="BodyText"/>
        <w:spacing w:before="10" w:after="1"/>
        <w:rPr>
          <w:sz w:val="20"/>
        </w:rPr>
      </w:pPr>
    </w:p>
    <w:p>
      <w:pPr>
        <w:pStyle w:val="BodyText"/>
        <w:ind w:left="625"/>
        <w:rPr>
          <w:sz w:val="20"/>
        </w:rPr>
      </w:pPr>
      <w:r>
        <w:rPr>
          <w:sz w:val="20"/>
        </w:rPr>
        <w:drawing>
          <wp:inline distT="0" distB="0" distL="0" distR="0">
            <wp:extent cx="4911474" cy="7982616"/>
            <wp:effectExtent l="0" t="0" r="0" b="0"/>
            <wp:docPr id="33" name="image25.jpeg" descr=""/>
            <wp:cNvGraphicFramePr>
              <a:graphicFrameLocks noChangeAspect="1"/>
            </wp:cNvGraphicFramePr>
            <a:graphic>
              <a:graphicData uri="http://schemas.openxmlformats.org/drawingml/2006/picture">
                <pic:pic>
                  <pic:nvPicPr>
                    <pic:cNvPr id="34" name="image25.jpeg"/>
                    <pic:cNvPicPr/>
                  </pic:nvPicPr>
                  <pic:blipFill>
                    <a:blip r:embed="rId47" cstate="print"/>
                    <a:stretch>
                      <a:fillRect/>
                    </a:stretch>
                  </pic:blipFill>
                  <pic:spPr>
                    <a:xfrm>
                      <a:off x="0" y="0"/>
                      <a:ext cx="4911474" cy="7982616"/>
                    </a:xfrm>
                    <a:prstGeom prst="rect">
                      <a:avLst/>
                    </a:prstGeom>
                  </pic:spPr>
                </pic:pic>
              </a:graphicData>
            </a:graphic>
          </wp:inline>
        </w:drawing>
      </w:r>
      <w:r>
        <w:rPr>
          <w:sz w:val="20"/>
        </w:rPr>
      </w:r>
    </w:p>
    <w:p>
      <w:pPr>
        <w:spacing w:after="0"/>
        <w:rPr>
          <w:sz w:val="20"/>
        </w:rPr>
        <w:sectPr>
          <w:pgSz w:w="12240" w:h="15840"/>
          <w:pgMar w:header="730" w:footer="1060" w:top="1160" w:bottom="1260" w:left="1580" w:right="1560"/>
        </w:sectPr>
      </w:pPr>
    </w:p>
    <w:p>
      <w:pPr>
        <w:pStyle w:val="BodyText"/>
        <w:spacing w:before="10" w:after="1"/>
        <w:rPr>
          <w:sz w:val="20"/>
        </w:rPr>
      </w:pPr>
    </w:p>
    <w:p>
      <w:pPr>
        <w:pStyle w:val="BodyText"/>
        <w:ind w:left="624"/>
        <w:rPr>
          <w:sz w:val="20"/>
        </w:rPr>
      </w:pPr>
      <w:r>
        <w:rPr>
          <w:sz w:val="20"/>
        </w:rPr>
        <w:drawing>
          <wp:inline distT="0" distB="0" distL="0" distR="0">
            <wp:extent cx="4919860" cy="7982616"/>
            <wp:effectExtent l="0" t="0" r="0" b="0"/>
            <wp:docPr id="35" name="image26.jpeg" descr=""/>
            <wp:cNvGraphicFramePr>
              <a:graphicFrameLocks noChangeAspect="1"/>
            </wp:cNvGraphicFramePr>
            <a:graphic>
              <a:graphicData uri="http://schemas.openxmlformats.org/drawingml/2006/picture">
                <pic:pic>
                  <pic:nvPicPr>
                    <pic:cNvPr id="36" name="image26.jpeg"/>
                    <pic:cNvPicPr/>
                  </pic:nvPicPr>
                  <pic:blipFill>
                    <a:blip r:embed="rId48" cstate="print"/>
                    <a:stretch>
                      <a:fillRect/>
                    </a:stretch>
                  </pic:blipFill>
                  <pic:spPr>
                    <a:xfrm>
                      <a:off x="0" y="0"/>
                      <a:ext cx="4919860" cy="7982616"/>
                    </a:xfrm>
                    <a:prstGeom prst="rect">
                      <a:avLst/>
                    </a:prstGeom>
                  </pic:spPr>
                </pic:pic>
              </a:graphicData>
            </a:graphic>
          </wp:inline>
        </w:drawing>
      </w:r>
      <w:r>
        <w:rPr>
          <w:sz w:val="20"/>
        </w:rPr>
      </w:r>
    </w:p>
    <w:p>
      <w:pPr>
        <w:spacing w:after="0"/>
        <w:rPr>
          <w:sz w:val="20"/>
        </w:rPr>
        <w:sectPr>
          <w:pgSz w:w="12240" w:h="15840"/>
          <w:pgMar w:header="730" w:footer="1060" w:top="1160" w:bottom="1260" w:left="1580" w:right="1560"/>
        </w:sectPr>
      </w:pPr>
    </w:p>
    <w:p>
      <w:pPr>
        <w:pStyle w:val="BodyText"/>
        <w:spacing w:before="10" w:after="1"/>
        <w:rPr>
          <w:sz w:val="20"/>
        </w:rPr>
      </w:pPr>
    </w:p>
    <w:p>
      <w:pPr>
        <w:pStyle w:val="BodyText"/>
        <w:ind w:left="624"/>
        <w:rPr>
          <w:sz w:val="20"/>
        </w:rPr>
      </w:pPr>
      <w:r>
        <w:rPr>
          <w:sz w:val="20"/>
        </w:rPr>
        <w:drawing>
          <wp:inline distT="0" distB="0" distL="0" distR="0">
            <wp:extent cx="4919860" cy="7982616"/>
            <wp:effectExtent l="0" t="0" r="0" b="0"/>
            <wp:docPr id="37" name="image27.jpeg" descr=""/>
            <wp:cNvGraphicFramePr>
              <a:graphicFrameLocks noChangeAspect="1"/>
            </wp:cNvGraphicFramePr>
            <a:graphic>
              <a:graphicData uri="http://schemas.openxmlformats.org/drawingml/2006/picture">
                <pic:pic>
                  <pic:nvPicPr>
                    <pic:cNvPr id="38" name="image27.jpeg"/>
                    <pic:cNvPicPr/>
                  </pic:nvPicPr>
                  <pic:blipFill>
                    <a:blip r:embed="rId49" cstate="print"/>
                    <a:stretch>
                      <a:fillRect/>
                    </a:stretch>
                  </pic:blipFill>
                  <pic:spPr>
                    <a:xfrm>
                      <a:off x="0" y="0"/>
                      <a:ext cx="4919860" cy="7982616"/>
                    </a:xfrm>
                    <a:prstGeom prst="rect">
                      <a:avLst/>
                    </a:prstGeom>
                  </pic:spPr>
                </pic:pic>
              </a:graphicData>
            </a:graphic>
          </wp:inline>
        </w:drawing>
      </w:r>
      <w:r>
        <w:rPr>
          <w:sz w:val="20"/>
        </w:rPr>
      </w:r>
    </w:p>
    <w:p>
      <w:pPr>
        <w:spacing w:after="0"/>
        <w:rPr>
          <w:sz w:val="20"/>
        </w:rPr>
        <w:sectPr>
          <w:pgSz w:w="12240" w:h="15840"/>
          <w:pgMar w:header="730" w:footer="1060" w:top="1160" w:bottom="1260" w:left="1580" w:right="1560"/>
        </w:sectPr>
      </w:pPr>
    </w:p>
    <w:p>
      <w:pPr>
        <w:pStyle w:val="BodyText"/>
        <w:spacing w:before="11"/>
        <w:rPr>
          <w:sz w:val="20"/>
        </w:rPr>
      </w:pPr>
    </w:p>
    <w:p>
      <w:pPr>
        <w:pStyle w:val="BodyText"/>
        <w:ind w:left="151"/>
        <w:rPr>
          <w:sz w:val="20"/>
        </w:rPr>
      </w:pPr>
      <w:r>
        <w:rPr>
          <w:sz w:val="20"/>
        </w:rPr>
        <w:drawing>
          <wp:inline distT="0" distB="0" distL="0" distR="0">
            <wp:extent cx="5568144" cy="6611588"/>
            <wp:effectExtent l="0" t="0" r="0" b="0"/>
            <wp:docPr id="39" name="image28.jpeg" descr=""/>
            <wp:cNvGraphicFramePr>
              <a:graphicFrameLocks noChangeAspect="1"/>
            </wp:cNvGraphicFramePr>
            <a:graphic>
              <a:graphicData uri="http://schemas.openxmlformats.org/drawingml/2006/picture">
                <pic:pic>
                  <pic:nvPicPr>
                    <pic:cNvPr id="40" name="image28.jpeg"/>
                    <pic:cNvPicPr/>
                  </pic:nvPicPr>
                  <pic:blipFill>
                    <a:blip r:embed="rId50" cstate="print"/>
                    <a:stretch>
                      <a:fillRect/>
                    </a:stretch>
                  </pic:blipFill>
                  <pic:spPr>
                    <a:xfrm>
                      <a:off x="0" y="0"/>
                      <a:ext cx="5568144" cy="6611588"/>
                    </a:xfrm>
                    <a:prstGeom prst="rect">
                      <a:avLst/>
                    </a:prstGeom>
                  </pic:spPr>
                </pic:pic>
              </a:graphicData>
            </a:graphic>
          </wp:inline>
        </w:drawing>
      </w:r>
      <w:r>
        <w:rPr>
          <w:sz w:val="20"/>
        </w:rPr>
      </w:r>
    </w:p>
    <w:p>
      <w:pPr>
        <w:spacing w:after="0"/>
        <w:rPr>
          <w:sz w:val="20"/>
        </w:rPr>
        <w:sectPr>
          <w:pgSz w:w="12240" w:h="15840"/>
          <w:pgMar w:header="730" w:footer="1060" w:top="1160" w:bottom="1260" w:left="1580" w:right="1560"/>
        </w:sectPr>
      </w:pPr>
    </w:p>
    <w:p>
      <w:pPr>
        <w:pStyle w:val="BodyText"/>
        <w:spacing w:before="9"/>
        <w:rPr>
          <w:sz w:val="19"/>
        </w:rPr>
      </w:pPr>
    </w:p>
    <w:p>
      <w:pPr>
        <w:spacing w:after="0"/>
        <w:rPr>
          <w:sz w:val="19"/>
        </w:rPr>
        <w:sectPr>
          <w:pgSz w:w="12240" w:h="15840"/>
          <w:pgMar w:header="730" w:footer="1060" w:top="1160" w:bottom="1260" w:left="1580" w:right="1560"/>
        </w:sectPr>
      </w:pPr>
    </w:p>
    <w:p>
      <w:pPr>
        <w:spacing w:before="69"/>
        <w:ind w:left="122" w:right="-19" w:firstLine="0"/>
        <w:jc w:val="left"/>
        <w:rPr>
          <w:sz w:val="24"/>
        </w:rPr>
      </w:pPr>
      <w:r>
        <w:rPr>
          <w:i/>
          <w:sz w:val="24"/>
        </w:rPr>
        <w:t>Materials </w:t>
      </w:r>
      <w:r>
        <w:rPr>
          <w:b/>
          <w:sz w:val="24"/>
        </w:rPr>
        <w:t>2013</w:t>
      </w:r>
      <w:r>
        <w:rPr>
          <w:sz w:val="24"/>
        </w:rPr>
        <w:t>, </w:t>
      </w:r>
      <w:r>
        <w:rPr>
          <w:i/>
          <w:sz w:val="24"/>
        </w:rPr>
        <w:t>6</w:t>
      </w:r>
      <w:r>
        <w:rPr>
          <w:sz w:val="24"/>
        </w:rPr>
        <w:t>, 1-x manuscripts; doi:10.3390/ma60x000x</w:t>
      </w:r>
    </w:p>
    <w:p>
      <w:pPr>
        <w:pStyle w:val="BodyText"/>
        <w:spacing w:before="7" w:after="25"/>
        <w:rPr>
          <w:sz w:val="28"/>
        </w:rPr>
      </w:pPr>
      <w:r>
        <w:rPr/>
        <w:br w:type="column"/>
      </w:r>
      <w:r>
        <w:rPr>
          <w:sz w:val="28"/>
        </w:rPr>
      </w:r>
    </w:p>
    <w:p>
      <w:pPr>
        <w:pStyle w:val="BodyText"/>
        <w:ind w:left="988"/>
        <w:rPr>
          <w:sz w:val="20"/>
        </w:rPr>
      </w:pPr>
      <w:r>
        <w:rPr>
          <w:sz w:val="20"/>
        </w:rPr>
        <w:pict>
          <v:shape style="width:79.3pt;height:22.2pt;mso-position-horizontal-relative:char;mso-position-vertical-relative:line" type="#_x0000_t202" filled="true" fillcolor="#00afef" stroked="false">
            <w10:anchorlock/>
            <v:textbox inset="0,0,0,0">
              <w:txbxContent>
                <w:p>
                  <w:pPr>
                    <w:spacing w:line="241" w:lineRule="exact" w:before="0"/>
                    <w:ind w:left="226" w:right="0" w:firstLine="0"/>
                    <w:jc w:val="left"/>
                    <w:rPr>
                      <w:rFonts w:ascii="Calibri"/>
                      <w:b/>
                      <w:sz w:val="20"/>
                    </w:rPr>
                  </w:pPr>
                  <w:r>
                    <w:rPr>
                      <w:rFonts w:ascii="Calibri"/>
                      <w:b/>
                      <w:color w:val="FFFFFF"/>
                      <w:sz w:val="20"/>
                    </w:rPr>
                    <w:t>OPEN ACCESS</w:t>
                  </w:r>
                </w:p>
              </w:txbxContent>
            </v:textbox>
            <v:fill type="solid"/>
          </v:shape>
        </w:pict>
      </w:r>
      <w:r>
        <w:rPr>
          <w:sz w:val="20"/>
        </w:rPr>
      </w:r>
    </w:p>
    <w:p>
      <w:pPr>
        <w:spacing w:before="0"/>
        <w:ind w:left="122" w:right="0" w:firstLine="0"/>
        <w:jc w:val="left"/>
        <w:rPr>
          <w:b/>
          <w:i/>
          <w:sz w:val="64"/>
        </w:rPr>
      </w:pPr>
      <w:r>
        <w:rPr>
          <w:b/>
          <w:i/>
          <w:color w:val="996633"/>
          <w:sz w:val="64"/>
        </w:rPr>
        <w:t>materials</w:t>
      </w:r>
    </w:p>
    <w:p>
      <w:pPr>
        <w:pStyle w:val="Heading2"/>
      </w:pPr>
      <w:r>
        <w:rPr/>
        <w:t>ISSN 1996-1944</w:t>
      </w:r>
    </w:p>
    <w:p>
      <w:pPr>
        <w:spacing w:after="0"/>
        <w:sectPr>
          <w:type w:val="continuous"/>
          <w:pgSz w:w="12240" w:h="15840"/>
          <w:pgMar w:top="1420" w:bottom="280" w:left="1580" w:right="1560"/>
          <w:cols w:num="2" w:equalWidth="0">
            <w:col w:w="5976" w:space="409"/>
            <w:col w:w="2715"/>
          </w:cols>
        </w:sectPr>
      </w:pPr>
    </w:p>
    <w:p>
      <w:pPr>
        <w:pStyle w:val="Heading3"/>
        <w:spacing w:line="271" w:lineRule="exact"/>
        <w:ind w:left="5719"/>
      </w:pPr>
      <w:hyperlink r:id="rId51">
        <w:r>
          <w:rPr/>
          <w:t>www.mdpi.com/journal/materials</w:t>
        </w:r>
      </w:hyperlink>
    </w:p>
    <w:p>
      <w:pPr>
        <w:spacing w:before="65"/>
        <w:ind w:left="122" w:right="41" w:firstLine="0"/>
        <w:jc w:val="left"/>
        <w:rPr>
          <w:i/>
          <w:sz w:val="24"/>
        </w:rPr>
      </w:pPr>
      <w:r>
        <w:rPr>
          <w:i/>
          <w:sz w:val="24"/>
        </w:rPr>
        <w:t>Article</w:t>
      </w:r>
    </w:p>
    <w:p>
      <w:pPr>
        <w:pStyle w:val="BodyText"/>
        <w:spacing w:before="5"/>
        <w:rPr>
          <w:i/>
          <w:sz w:val="16"/>
        </w:rPr>
      </w:pPr>
    </w:p>
    <w:p>
      <w:pPr>
        <w:spacing w:before="54"/>
        <w:ind w:left="122" w:right="547" w:firstLine="0"/>
        <w:jc w:val="left"/>
        <w:rPr>
          <w:b/>
          <w:sz w:val="36"/>
        </w:rPr>
      </w:pPr>
      <w:r>
        <w:rPr>
          <w:b/>
          <w:sz w:val="36"/>
        </w:rPr>
        <w:t>Effects on the Thermo-Mechanical and Crystallinity Properties of Nylon 6,6 Electrospun Fibres Reinforced with One Dimensional (1D) and Two Dimensional (2D) Carbon</w:t>
      </w:r>
    </w:p>
    <w:p>
      <w:pPr>
        <w:pStyle w:val="Heading4"/>
        <w:spacing w:line="300" w:lineRule="auto" w:before="301"/>
        <w:ind w:right="364"/>
      </w:pPr>
      <w:r>
        <w:rPr/>
        <w:t>Fabiola Navarro-Pardo </w:t>
      </w:r>
      <w:r>
        <w:rPr>
          <w:position w:val="10"/>
          <w:sz w:val="14"/>
        </w:rPr>
        <w:t>1,2,3</w:t>
      </w:r>
      <w:r>
        <w:rPr/>
        <w:t>, Gonzalo Martínez-Barrera </w:t>
      </w:r>
      <w:r>
        <w:rPr>
          <w:position w:val="10"/>
          <w:sz w:val="14"/>
        </w:rPr>
        <w:t>1,2</w:t>
      </w:r>
      <w:r>
        <w:rPr/>
        <w:t>, Ana Laura Martínez-Hernández </w:t>
      </w:r>
      <w:r>
        <w:rPr>
          <w:position w:val="10"/>
          <w:sz w:val="14"/>
        </w:rPr>
        <w:t>3,4</w:t>
      </w:r>
      <w:r>
        <w:rPr/>
        <w:t>, Víctor M. Castaño </w:t>
      </w:r>
      <w:r>
        <w:rPr>
          <w:position w:val="10"/>
          <w:sz w:val="14"/>
        </w:rPr>
        <w:t>3</w:t>
      </w:r>
      <w:r>
        <w:rPr/>
        <w:t>, José Luis Rivera-Armenta </w:t>
      </w:r>
      <w:r>
        <w:rPr>
          <w:position w:val="10"/>
          <w:sz w:val="14"/>
        </w:rPr>
        <w:t>5</w:t>
      </w:r>
      <w:r>
        <w:rPr/>
        <w:t>, Francisco Medellín-Rodríguez </w:t>
      </w:r>
      <w:r>
        <w:rPr>
          <w:position w:val="10"/>
          <w:sz w:val="14"/>
        </w:rPr>
        <w:t>6 </w:t>
      </w:r>
      <w:r>
        <w:rPr/>
        <w:t>and Carlos Velasco-Santos </w:t>
      </w:r>
      <w:r>
        <w:rPr>
          <w:position w:val="10"/>
          <w:sz w:val="14"/>
        </w:rPr>
        <w:t>3,4,</w:t>
      </w:r>
      <w:r>
        <w:rPr/>
        <w:t>*</w:t>
      </w:r>
    </w:p>
    <w:p>
      <w:pPr>
        <w:pStyle w:val="BodyText"/>
        <w:tabs>
          <w:tab w:pos="410" w:val="left" w:leader="none"/>
        </w:tabs>
        <w:spacing w:line="321" w:lineRule="auto" w:before="227"/>
        <w:ind w:left="410" w:right="375" w:hanging="288"/>
      </w:pPr>
      <w:r>
        <w:rPr>
          <w:position w:val="10"/>
          <w:sz w:val="14"/>
        </w:rPr>
        <w:t>1</w:t>
        <w:tab/>
      </w:r>
      <w:r>
        <w:rPr/>
        <w:t>Materials Science Postgraduate Studies, Faculty of  Chemistry, Autonomous</w:t>
      </w:r>
      <w:r>
        <w:rPr>
          <w:spacing w:val="-23"/>
        </w:rPr>
        <w:t> </w:t>
      </w:r>
      <w:r>
        <w:rPr/>
        <w:t>University</w:t>
      </w:r>
      <w:r>
        <w:rPr>
          <w:spacing w:val="-6"/>
        </w:rPr>
        <w:t> </w:t>
      </w:r>
      <w:r>
        <w:rPr/>
        <w:t>of</w:t>
      </w:r>
      <w:r>
        <w:rPr>
          <w:w w:val="100"/>
        </w:rPr>
        <w:t> </w:t>
      </w:r>
      <w:r>
        <w:rPr/>
        <w:t>Mexico State, Km. 12 de la carretera Toluca-Atlacomulco, C.P. 50200, San Cayetano, Toluca, Estado de México, México; E-Mails: </w:t>
      </w:r>
      <w:hyperlink r:id="rId52">
        <w:r>
          <w:rPr/>
          <w:t>faby.navpard@gmail.com</w:t>
        </w:r>
      </w:hyperlink>
      <w:r>
        <w:rPr/>
        <w:t> (F.N.-P.); </w:t>
      </w:r>
      <w:hyperlink r:id="rId53">
        <w:r>
          <w:rPr>
            <w:spacing w:val="-3"/>
          </w:rPr>
          <w:t>gonzomartinez02@yahoo.com.mx</w:t>
        </w:r>
      </w:hyperlink>
      <w:r>
        <w:rPr>
          <w:spacing w:val="20"/>
        </w:rPr>
        <w:t> </w:t>
      </w:r>
      <w:r>
        <w:rPr>
          <w:spacing w:val="-3"/>
        </w:rPr>
        <w:t>(G.M.-B.)</w:t>
      </w:r>
    </w:p>
    <w:p>
      <w:pPr>
        <w:pStyle w:val="BodyText"/>
        <w:tabs>
          <w:tab w:pos="410" w:val="left" w:leader="none"/>
        </w:tabs>
        <w:spacing w:line="258" w:lineRule="exact"/>
        <w:ind w:left="122" w:right="41"/>
      </w:pPr>
      <w:r>
        <w:rPr>
          <w:position w:val="10"/>
          <w:sz w:val="14"/>
        </w:rPr>
        <w:t>2</w:t>
        <w:tab/>
      </w:r>
      <w:r>
        <w:rPr>
          <w:spacing w:val="-3"/>
        </w:rPr>
        <w:t>Laboratory </w:t>
      </w:r>
      <w:r>
        <w:rPr/>
        <w:t>of Research and </w:t>
      </w:r>
      <w:r>
        <w:rPr>
          <w:spacing w:val="-3"/>
        </w:rPr>
        <w:t>Advanced </w:t>
      </w:r>
      <w:r>
        <w:rPr/>
        <w:t>Materials </w:t>
      </w:r>
      <w:r>
        <w:rPr>
          <w:spacing w:val="-3"/>
        </w:rPr>
        <w:t>Development, </w:t>
      </w:r>
      <w:r>
        <w:rPr/>
        <w:t>Faculty of</w:t>
      </w:r>
      <w:r>
        <w:rPr>
          <w:spacing w:val="13"/>
        </w:rPr>
        <w:t> </w:t>
      </w:r>
      <w:r>
        <w:rPr/>
        <w:t>Chemistry,</w:t>
      </w:r>
    </w:p>
    <w:p>
      <w:pPr>
        <w:pStyle w:val="BodyText"/>
        <w:spacing w:line="321" w:lineRule="auto" w:before="88"/>
        <w:ind w:left="410" w:right="547"/>
      </w:pPr>
      <w:r>
        <w:rPr/>
        <w:t>Autonomous University of Mexico State, </w:t>
      </w:r>
      <w:r>
        <w:rPr>
          <w:spacing w:val="-3"/>
        </w:rPr>
        <w:t>Km. </w:t>
      </w:r>
      <w:r>
        <w:rPr/>
        <w:t>12 de la carretera </w:t>
      </w:r>
      <w:r>
        <w:rPr>
          <w:spacing w:val="-3"/>
        </w:rPr>
        <w:t>Toluca-Atlacomulco, C.P. 50200, </w:t>
      </w:r>
      <w:r>
        <w:rPr/>
        <w:t>San </w:t>
      </w:r>
      <w:r>
        <w:rPr>
          <w:spacing w:val="-3"/>
        </w:rPr>
        <w:t>Cayetano, </w:t>
      </w:r>
      <w:r>
        <w:rPr/>
        <w:t>Toluca, </w:t>
      </w:r>
      <w:r>
        <w:rPr>
          <w:spacing w:val="-3"/>
        </w:rPr>
        <w:t>Estado </w:t>
      </w:r>
      <w:r>
        <w:rPr/>
        <w:t>de </w:t>
      </w:r>
      <w:r>
        <w:rPr>
          <w:spacing w:val="-3"/>
        </w:rPr>
        <w:t>México, México</w:t>
      </w:r>
    </w:p>
    <w:p>
      <w:pPr>
        <w:pStyle w:val="BodyText"/>
        <w:tabs>
          <w:tab w:pos="410" w:val="left" w:leader="none"/>
        </w:tabs>
        <w:spacing w:line="258" w:lineRule="exact"/>
        <w:ind w:left="122" w:right="41"/>
      </w:pPr>
      <w:r>
        <w:rPr>
          <w:position w:val="10"/>
          <w:sz w:val="14"/>
        </w:rPr>
        <w:t>3</w:t>
        <w:tab/>
      </w:r>
      <w:r>
        <w:rPr/>
        <w:t>Centre of Applied Physics and Advanced Technology, National Autonomous University</w:t>
      </w:r>
      <w:r>
        <w:rPr>
          <w:spacing w:val="-19"/>
        </w:rPr>
        <w:t> </w:t>
      </w:r>
      <w:r>
        <w:rPr/>
        <w:t>of</w:t>
      </w:r>
    </w:p>
    <w:p>
      <w:pPr>
        <w:pStyle w:val="BodyText"/>
        <w:spacing w:line="321" w:lineRule="auto" w:before="88"/>
        <w:ind w:left="410" w:right="274"/>
      </w:pPr>
      <w:r>
        <w:rPr/>
        <w:t>Mexico, Boulevard Juriquilla No. 3001, C.P. 76230, Juriquilla, Santiago de Querétaro, México; E-Mails: </w:t>
      </w:r>
      <w:hyperlink r:id="rId54">
        <w:r>
          <w:rPr/>
          <w:t>almh72@gmail.com</w:t>
        </w:r>
      </w:hyperlink>
      <w:r>
        <w:rPr/>
        <w:t> (A.L.M-H.); </w:t>
      </w:r>
      <w:hyperlink r:id="rId55">
        <w:r>
          <w:rPr/>
          <w:t>meneses@unam.mx</w:t>
        </w:r>
      </w:hyperlink>
      <w:r>
        <w:rPr/>
        <w:t> (V.M.C.)</w:t>
      </w:r>
    </w:p>
    <w:p>
      <w:pPr>
        <w:pStyle w:val="BodyText"/>
        <w:tabs>
          <w:tab w:pos="410" w:val="left" w:leader="none"/>
        </w:tabs>
        <w:spacing w:line="258" w:lineRule="exact"/>
        <w:ind w:left="122" w:right="41"/>
      </w:pPr>
      <w:r>
        <w:rPr>
          <w:position w:val="10"/>
          <w:sz w:val="14"/>
        </w:rPr>
        <w:t>4</w:t>
        <w:tab/>
      </w:r>
      <w:r>
        <w:rPr/>
        <w:t>Division of Postgraduate Studies and Research, Technological Institute of Queretaro,</w:t>
      </w:r>
      <w:r>
        <w:rPr>
          <w:spacing w:val="-23"/>
        </w:rPr>
        <w:t> </w:t>
      </w:r>
      <w:r>
        <w:rPr/>
        <w:t>Av.</w:t>
      </w:r>
    </w:p>
    <w:p>
      <w:pPr>
        <w:pStyle w:val="BodyText"/>
        <w:spacing w:line="321" w:lineRule="auto" w:before="88"/>
        <w:ind w:left="410" w:right="341"/>
      </w:pPr>
      <w:r>
        <w:rPr/>
        <w:t>Tecnológico s/n, esq. Gral. Mariano Escobedo, Col. Centro Histórico, C.P. 76000, Santiago de Querétaro, Querétaro, México</w:t>
      </w:r>
    </w:p>
    <w:p>
      <w:pPr>
        <w:pStyle w:val="BodyText"/>
        <w:tabs>
          <w:tab w:pos="410" w:val="left" w:leader="none"/>
        </w:tabs>
        <w:spacing w:line="258" w:lineRule="exact"/>
        <w:ind w:left="122" w:right="41"/>
      </w:pPr>
      <w:r>
        <w:rPr>
          <w:position w:val="10"/>
          <w:sz w:val="14"/>
        </w:rPr>
        <w:t>5</w:t>
        <w:tab/>
      </w:r>
      <w:r>
        <w:rPr/>
        <w:t>Division of Postgraduate Studies and Research, Technological Institute of Madero</w:t>
      </w:r>
      <w:r>
        <w:rPr>
          <w:spacing w:val="-28"/>
        </w:rPr>
        <w:t> </w:t>
      </w:r>
      <w:r>
        <w:rPr/>
        <w:t>City,</w:t>
      </w:r>
    </w:p>
    <w:p>
      <w:pPr>
        <w:pStyle w:val="BodyText"/>
        <w:spacing w:line="321" w:lineRule="auto" w:before="88"/>
        <w:ind w:left="410" w:right="604"/>
      </w:pPr>
      <w:r>
        <w:rPr/>
        <w:t>Juventino Rosas y Jesús Ureta, Col. Los Mangos, C.P. 89440, Ciudad Madero, Tamaulipas, México; E-Mail: </w:t>
      </w:r>
      <w:hyperlink r:id="rId56">
        <w:r>
          <w:rPr/>
          <w:t>jlriveraarmenta@itcm.edu.mx</w:t>
        </w:r>
      </w:hyperlink>
    </w:p>
    <w:p>
      <w:pPr>
        <w:pStyle w:val="BodyText"/>
        <w:tabs>
          <w:tab w:pos="410" w:val="left" w:leader="none"/>
        </w:tabs>
        <w:spacing w:line="258" w:lineRule="exact"/>
        <w:ind w:left="122" w:right="41"/>
      </w:pPr>
      <w:r>
        <w:rPr>
          <w:position w:val="10"/>
          <w:sz w:val="14"/>
        </w:rPr>
        <w:t>6</w:t>
        <w:tab/>
      </w:r>
      <w:r>
        <w:rPr/>
        <w:t>Faculty of Chemical Science, Autonomous University of San Luis Potosí, Av. Manuel Nava</w:t>
      </w:r>
      <w:r>
        <w:rPr>
          <w:spacing w:val="-17"/>
        </w:rPr>
        <w:t> </w:t>
      </w:r>
      <w:r>
        <w:rPr/>
        <w:t>6,</w:t>
      </w:r>
    </w:p>
    <w:p>
      <w:pPr>
        <w:pStyle w:val="BodyText"/>
        <w:spacing w:before="88"/>
        <w:ind w:left="410" w:right="41"/>
      </w:pPr>
      <w:r>
        <w:rPr/>
        <w:t>Zona Universitaria, C.P. 78210, San Luis Potosí, San Luis Potosí, México;</w:t>
      </w:r>
    </w:p>
    <w:p>
      <w:pPr>
        <w:pStyle w:val="BodyText"/>
        <w:spacing w:before="85"/>
        <w:ind w:left="410" w:right="41"/>
      </w:pPr>
      <w:r>
        <w:rPr/>
        <w:t>E-Mail: </w:t>
      </w:r>
      <w:hyperlink r:id="rId57">
        <w:r>
          <w:rPr/>
          <w:t>francmr@uaslp.mx</w:t>
        </w:r>
      </w:hyperlink>
      <w:r>
        <w:rPr/>
        <w:t> (please translate highted affiliation into English if posible)</w:t>
      </w:r>
    </w:p>
    <w:p>
      <w:pPr>
        <w:spacing w:after="0"/>
        <w:sectPr>
          <w:type w:val="continuous"/>
          <w:pgSz w:w="12240" w:h="15840"/>
          <w:pgMar w:top="1420" w:bottom="280" w:left="1580" w:right="1560"/>
        </w:sectPr>
      </w:pPr>
    </w:p>
    <w:p>
      <w:pPr>
        <w:pStyle w:val="BodyText"/>
        <w:spacing w:before="6"/>
        <w:rPr>
          <w:sz w:val="21"/>
        </w:rPr>
      </w:pPr>
    </w:p>
    <w:p>
      <w:pPr>
        <w:pStyle w:val="BodyText"/>
        <w:spacing w:line="324" w:lineRule="auto" w:before="73"/>
        <w:ind w:left="430" w:right="1125" w:hanging="288"/>
      </w:pPr>
      <w:r>
        <w:rPr>
          <w:b/>
        </w:rPr>
        <w:t>* </w:t>
      </w:r>
      <w:r>
        <w:rPr/>
        <w:t>Author to whom correspondence should be addressed; E-Mail: </w:t>
      </w:r>
      <w:hyperlink r:id="rId58">
        <w:r>
          <w:rPr/>
          <w:t>cylaura@gmail.com;</w:t>
        </w:r>
      </w:hyperlink>
      <w:r>
        <w:rPr/>
        <w:t> Tel.: +52-442-238-1145; Fax: +52-442-238-1165.</w:t>
      </w:r>
    </w:p>
    <w:p>
      <w:pPr>
        <w:pStyle w:val="BodyText"/>
        <w:spacing w:before="1"/>
        <w:rPr>
          <w:sz w:val="21"/>
        </w:rPr>
      </w:pPr>
    </w:p>
    <w:p>
      <w:pPr>
        <w:spacing w:line="321" w:lineRule="auto" w:before="0"/>
        <w:ind w:left="142" w:right="1125" w:firstLine="0"/>
        <w:jc w:val="left"/>
        <w:rPr>
          <w:i/>
          <w:sz w:val="22"/>
        </w:rPr>
      </w:pPr>
      <w:r>
        <w:rPr>
          <w:i/>
          <w:sz w:val="22"/>
        </w:rPr>
        <w:t>Received: 30 April June 2013; in revised form: 30 July 2013 / Accepted: 1 August 2013 / </w:t>
      </w:r>
      <w:r>
        <w:rPr>
          <w:i/>
          <w:sz w:val="22"/>
        </w:rPr>
        <w:t>Published:</w:t>
      </w:r>
    </w:p>
    <w:p>
      <w:pPr>
        <w:pStyle w:val="BodyText"/>
        <w:spacing w:before="4"/>
        <w:rPr>
          <w:i/>
          <w:sz w:val="21"/>
        </w:rPr>
      </w:pPr>
      <w:r>
        <w:rPr/>
        <w:pict>
          <v:line style="position:absolute;mso-position-horizontal-relative:page;mso-position-vertical-relative:paragraph;z-index:2032;mso-wrap-distance-left:0;mso-wrap-distance-right:0" from="83.664001pt,14.478872pt" to="528.574001pt,14.478872pt" stroked="true" strokeweight=".48pt" strokecolor="#000000">
            <w10:wrap type="topAndBottom"/>
          </v:line>
        </w:pict>
      </w:r>
    </w:p>
    <w:p>
      <w:pPr>
        <w:pStyle w:val="BodyText"/>
        <w:rPr>
          <w:i/>
          <w:sz w:val="19"/>
        </w:rPr>
      </w:pPr>
    </w:p>
    <w:p>
      <w:pPr>
        <w:pStyle w:val="BodyText"/>
        <w:spacing w:line="321" w:lineRule="auto" w:before="72"/>
        <w:ind w:left="703" w:right="697"/>
        <w:jc w:val="both"/>
      </w:pPr>
      <w:r>
        <w:rPr>
          <w:b/>
        </w:rPr>
        <w:t>Abstract: </w:t>
      </w:r>
      <w:r>
        <w:rPr/>
        <w:t>Electrospun one dimensional (1D) and two dimensional (2D) carbon based polymer nanocomposites are studied in order to determine the effect provided by the two differently structured nanofillers on crystallinity and thermo-mechanical properties of the nanofibres. The nanomaterials studied are pristine carbon nanotubes, oxidised carbon nanotubes, reduced graphene oxide and graphene oxide. Functional groups associated with the order structure of the polymers are analysed by infrared and Raman spectroscopies; the morphology is studied by scanning electron microscopy and the crystallinity properties are investigated by differential scanning calorimetry and X-ray diffraction. Differences in crystallisation behaviour between 1D and 2D carbon based nanofibres are shown by their crystallinity degree and their crystal sizes. The nanocomposite crystal sizes perpendicular to the plane (100) decrease with nanofiller content in all cases. The crystallinity trend and crystal sizes are in accordance with storage modulus response. The results also suggest that functionalisation favours interfacial bonding and dispersion of the nanomaterials within the polymer matrix. As  a consequence the number of nucleating sites increases which in turn decreases the crystal size in the nanocomposites. These features explain the improved thermo-mechanical properties in the</w:t>
      </w:r>
      <w:r>
        <w:rPr>
          <w:spacing w:val="-13"/>
        </w:rPr>
        <w:t> </w:t>
      </w:r>
      <w:r>
        <w:rPr/>
        <w:t>nanocomposites.</w:t>
      </w:r>
    </w:p>
    <w:p>
      <w:pPr>
        <w:pStyle w:val="BodyText"/>
        <w:spacing w:before="3"/>
        <w:rPr>
          <w:sz w:val="21"/>
        </w:rPr>
      </w:pPr>
    </w:p>
    <w:p>
      <w:pPr>
        <w:pStyle w:val="BodyText"/>
        <w:spacing w:line="321" w:lineRule="auto"/>
        <w:ind w:left="703" w:right="703"/>
        <w:jc w:val="both"/>
      </w:pPr>
      <w:r>
        <w:rPr>
          <w:b/>
        </w:rPr>
        <w:t>Keywords: </w:t>
      </w:r>
      <w:r>
        <w:rPr/>
        <w:t>carbon nanotubes; graphene; polymer nanocomposites; crystallisation; mechanical properties</w:t>
      </w:r>
    </w:p>
    <w:p>
      <w:pPr>
        <w:pStyle w:val="BodyText"/>
        <w:spacing w:before="4"/>
        <w:rPr>
          <w:sz w:val="21"/>
        </w:rPr>
      </w:pPr>
      <w:r>
        <w:rPr/>
        <w:pict>
          <v:line style="position:absolute;mso-position-horizontal-relative:page;mso-position-vertical-relative:paragraph;z-index:2056;mso-wrap-distance-left:0;mso-wrap-distance-right:0" from="83.664001pt,14.478845pt" to="528.574001pt,14.478845pt" stroked="true" strokeweight=".47998pt" strokecolor="#000000">
            <w10:wrap type="topAndBottom"/>
          </v:line>
        </w:pict>
      </w:r>
    </w:p>
    <w:p>
      <w:pPr>
        <w:pStyle w:val="BodyText"/>
        <w:rPr>
          <w:sz w:val="20"/>
        </w:rPr>
      </w:pPr>
    </w:p>
    <w:p>
      <w:pPr>
        <w:pStyle w:val="BodyText"/>
        <w:spacing w:before="4"/>
        <w:rPr>
          <w:sz w:val="20"/>
        </w:rPr>
      </w:pPr>
    </w:p>
    <w:p>
      <w:pPr>
        <w:pStyle w:val="Heading4"/>
        <w:numPr>
          <w:ilvl w:val="0"/>
          <w:numId w:val="16"/>
        </w:numPr>
        <w:tabs>
          <w:tab w:pos="363" w:val="left" w:leader="none"/>
        </w:tabs>
        <w:spacing w:line="240" w:lineRule="auto" w:before="72" w:after="0"/>
        <w:ind w:left="362" w:right="0" w:hanging="220"/>
        <w:jc w:val="left"/>
      </w:pPr>
      <w:r>
        <w:rPr/>
        <w:t>Introduction</w:t>
      </w:r>
    </w:p>
    <w:p>
      <w:pPr>
        <w:pStyle w:val="BodyText"/>
        <w:spacing w:before="1"/>
        <w:rPr>
          <w:b/>
          <w:sz w:val="28"/>
        </w:rPr>
      </w:pPr>
    </w:p>
    <w:p>
      <w:pPr>
        <w:pStyle w:val="BodyText"/>
        <w:spacing w:line="321" w:lineRule="auto"/>
        <w:ind w:left="142" w:right="135" w:firstLine="288"/>
        <w:jc w:val="both"/>
      </w:pPr>
      <w:r>
        <w:rPr/>
        <w:t>Carbon nanotubes (CNTs) and graphene have attracted growing interest from a large variety of scientific communities investigating the properties and applications of these nanomaterials [1–10]. The great versatility of carbon nanomaterials arises from their physical, mechanical, electrical and thermal properties [1–3]. Their unique properties make them promising candidates for their use as advanced reinforcing fillers for high-strength, light-weight and functional polymer nanocomposites [11–20].</w:t>
      </w:r>
    </w:p>
    <w:p>
      <w:pPr>
        <w:spacing w:after="0" w:line="321" w:lineRule="auto"/>
        <w:jc w:val="both"/>
        <w:sectPr>
          <w:pgSz w:w="12240" w:h="15840"/>
          <w:pgMar w:header="730" w:footer="1060" w:top="1160" w:bottom="1260" w:left="1560" w:right="1560"/>
        </w:sectPr>
      </w:pPr>
    </w:p>
    <w:p>
      <w:pPr>
        <w:pStyle w:val="BodyText"/>
        <w:spacing w:before="6"/>
        <w:rPr>
          <w:sz w:val="21"/>
        </w:rPr>
      </w:pPr>
    </w:p>
    <w:p>
      <w:pPr>
        <w:pStyle w:val="BodyText"/>
        <w:spacing w:line="321" w:lineRule="auto" w:before="73"/>
        <w:ind w:left="122" w:right="138" w:firstLine="288"/>
        <w:jc w:val="both"/>
      </w:pPr>
      <w:r>
        <w:rPr/>
        <w:t>Polymer nanocomposites require homogeneous dispersion and strong interfacial interaction between the filler and the polymer matrix for the enhancement of mechanical and thermal  properties [11]. Functionalisation in these materials provides efficient stress transfer between the polymer matrix and the nanometric carbon by preventing aggregation and providing a better dispersion of the nanomaterials in the polymer matrix [6,9]. Additionally, the functional groups at the surface of nanometric carbon create the strongest type of interfacial bonding with the polymer matrix</w:t>
      </w:r>
      <w:r>
        <w:rPr>
          <w:spacing w:val="-2"/>
        </w:rPr>
        <w:t> </w:t>
      </w:r>
      <w:r>
        <w:rPr/>
        <w:t>[7,11].</w:t>
      </w:r>
    </w:p>
    <w:p>
      <w:pPr>
        <w:pStyle w:val="BodyText"/>
        <w:spacing w:line="321" w:lineRule="auto" w:before="5"/>
        <w:ind w:left="122" w:right="135" w:firstLine="288"/>
        <w:jc w:val="both"/>
      </w:pPr>
      <w:r>
        <w:rPr/>
        <w:t>The crystalline structure and the degree of crystallinity also play a crucial role in </w:t>
      </w:r>
      <w:r>
        <w:rPr>
          <w:spacing w:val="3"/>
        </w:rPr>
        <w:t>the </w:t>
      </w:r>
      <w:r>
        <w:rPr/>
        <w:t>properties of semi-crystalline polymers [13,14,17–23]. Nylon 6,6, is a semicrystalline polymer which has good thermal stability and mechanical strength and it is an important engineering thermoplastic [22–24]. This polymer is suitable for electrospinning processing due to its poly-electrolytic behaviour in acid solution [25]. The nanofibres obtained from electrospinning offer the possibility to incorporate active components on a nanoscale [16,26]. Furthermore, it is well known that the addition of carbon nanomaterials can promote the crystallisation process  of  polymers  due  to  their  nucleating  effects</w:t>
      </w:r>
      <w:r>
        <w:rPr>
          <w:spacing w:val="-24"/>
        </w:rPr>
        <w:t> </w:t>
      </w:r>
      <w:r>
        <w:rPr/>
        <w:t>[13,14,16–19].</w:t>
      </w:r>
    </w:p>
    <w:p>
      <w:pPr>
        <w:pStyle w:val="BodyText"/>
        <w:spacing w:line="321" w:lineRule="auto" w:before="2"/>
        <w:ind w:left="122" w:right="135" w:firstLine="288"/>
        <w:jc w:val="both"/>
      </w:pPr>
      <w:r>
        <w:rPr/>
        <w:t>The enhancement of the nanocomposite mechanical properties due to functionalisation of 1D  and 2D carbon has been widely studied [11–14]. The impact on crystallisation that both carbon nanomaterials provide in polymer nanocomposites has also  been  investigated  [13,14,17–21].  Rong </w:t>
      </w:r>
      <w:r>
        <w:rPr>
          <w:i/>
        </w:rPr>
        <w:t>et al. </w:t>
      </w:r>
      <w:r>
        <w:rPr/>
        <w:t>found that functionalised CNTs have a better performance in improving the mechanical properties of poly (ether ether ketone) when compared to pristine CNTs [13]. However at high content of functionalised CNTs the crystallisation rate decreases [13,14]. Yun </w:t>
      </w:r>
      <w:r>
        <w:rPr>
          <w:i/>
        </w:rPr>
        <w:t>et al. </w:t>
      </w:r>
      <w:r>
        <w:rPr/>
        <w:t>have shown that the re-crystallisation temperatures and Young’s modulus of polypropylene were increased gradually with increasing alkylated graphene oxide content [18]. Xu </w:t>
      </w:r>
      <w:r>
        <w:rPr>
          <w:i/>
        </w:rPr>
        <w:t>et al. </w:t>
      </w:r>
      <w:r>
        <w:rPr/>
        <w:t>worked on the crystallisation of poly (L-lactide) induced by CNTs and graphene [19]. They found that when increasing the CNT content the nanocomposite crystallisation rate was enhanced but the reverse situation was found for graphene nanocomposites. Our research group worked with amine modified CNTs and graphene in electrospun fibres [20]. Amino functionalised CNTs resulted in better mechanical properties at the lowest loading; on the other hand amino functionalised graphene showed improved reinforcing effect by increasing the nanofiller loading. This trend was consistent with the crystallinity of the nanofibres.</w:t>
      </w:r>
    </w:p>
    <w:p>
      <w:pPr>
        <w:pStyle w:val="BodyText"/>
        <w:spacing w:line="321" w:lineRule="auto" w:before="2"/>
        <w:ind w:left="122" w:right="136" w:firstLine="288"/>
        <w:jc w:val="both"/>
      </w:pPr>
      <w:r>
        <w:rPr/>
        <w:t>To-date, several studies describe the fabrication of nanocomposite fibres with improved thermo-mechanical properties derived from the incorporation of nanometric carbon. To our knowledge there is no previous research that focuses on the crystallinity and mechanical properties of pristine and functionalised 1D and 2D structured carbon nanocomposites obtained at the same conditions and in the same matrix. The goal of this study is to understand the influence of these novel carbon nanomaterials with different structure (1D and 2D) and chemistry, as reinforcing and nucleating fillers in a polymer nanocomposite processed at the same conditions.</w:t>
      </w:r>
    </w:p>
    <w:p>
      <w:pPr>
        <w:spacing w:after="0" w:line="321" w:lineRule="auto"/>
        <w:jc w:val="both"/>
        <w:sectPr>
          <w:pgSz w:w="12240" w:h="15840"/>
          <w:pgMar w:header="730" w:footer="1060" w:top="1160" w:bottom="1260" w:left="1580" w:right="1560"/>
        </w:sectPr>
      </w:pPr>
    </w:p>
    <w:p>
      <w:pPr>
        <w:pStyle w:val="BodyText"/>
      </w:pPr>
    </w:p>
    <w:p>
      <w:pPr>
        <w:pStyle w:val="Heading4"/>
        <w:numPr>
          <w:ilvl w:val="0"/>
          <w:numId w:val="16"/>
        </w:numPr>
        <w:tabs>
          <w:tab w:pos="343" w:val="left" w:leader="none"/>
        </w:tabs>
        <w:spacing w:line="240" w:lineRule="auto" w:before="72" w:after="0"/>
        <w:ind w:left="342" w:right="0" w:hanging="220"/>
        <w:jc w:val="left"/>
      </w:pPr>
      <w:r>
        <w:rPr/>
        <w:t>Results and</w:t>
      </w:r>
      <w:r>
        <w:rPr>
          <w:spacing w:val="-6"/>
        </w:rPr>
        <w:t> </w:t>
      </w:r>
      <w:r>
        <w:rPr/>
        <w:t>Discussion</w:t>
      </w:r>
    </w:p>
    <w:p>
      <w:pPr>
        <w:pStyle w:val="BodyText"/>
        <w:spacing w:before="1"/>
        <w:rPr>
          <w:b/>
          <w:sz w:val="28"/>
        </w:rPr>
      </w:pPr>
    </w:p>
    <w:p>
      <w:pPr>
        <w:pStyle w:val="BodyText"/>
        <w:spacing w:line="309" w:lineRule="auto"/>
        <w:ind w:left="122" w:right="137" w:firstLine="288"/>
        <w:jc w:val="both"/>
      </w:pPr>
      <w:r>
        <w:rPr/>
        <w:t>Fourier transform infrared (FTIR) spectra of pristine CNTs and oxidised carbon nanotubes (OCNTs) are shown in Figure 1. The OCNTs present peaks at 1208 cm</w:t>
      </w:r>
      <w:r>
        <w:rPr>
          <w:position w:val="10"/>
          <w:sz w:val="14"/>
        </w:rPr>
        <w:t>−1</w:t>
      </w:r>
      <w:r>
        <w:rPr/>
        <w:t>, 1350 cm</w:t>
      </w:r>
      <w:r>
        <w:rPr>
          <w:position w:val="10"/>
          <w:sz w:val="14"/>
        </w:rPr>
        <w:t>−1 </w:t>
      </w:r>
      <w:r>
        <w:rPr/>
        <w:t>and 1713 cm</w:t>
      </w:r>
      <w:r>
        <w:rPr>
          <w:position w:val="10"/>
          <w:sz w:val="14"/>
        </w:rPr>
        <w:t>−1 </w:t>
      </w:r>
      <w:r>
        <w:rPr/>
        <w:t>corresponding to the characteristic C–O, O–H and C=O  stretching  vibrations  of  carboxylic  groups [13,15]. The peak at 1560 cm</w:t>
      </w:r>
      <w:r>
        <w:rPr>
          <w:position w:val="10"/>
          <w:sz w:val="14"/>
        </w:rPr>
        <w:t>−1 </w:t>
      </w:r>
      <w:r>
        <w:rPr/>
        <w:t>is attributable to the influence of the C=O vibration of carboxilate groups produced in the oxidation process</w:t>
      </w:r>
      <w:r>
        <w:rPr>
          <w:spacing w:val="-14"/>
        </w:rPr>
        <w:t> </w:t>
      </w:r>
      <w:r>
        <w:rPr/>
        <w:t>[14].</w:t>
      </w:r>
    </w:p>
    <w:p>
      <w:pPr>
        <w:pStyle w:val="BodyText"/>
        <w:spacing w:line="312" w:lineRule="auto" w:before="14"/>
        <w:ind w:left="122" w:right="135" w:firstLine="288"/>
        <w:jc w:val="both"/>
      </w:pPr>
      <w:r>
        <w:rPr/>
        <w:t>Figure 1 also shows the typical peaks of graphene oxide (GO) for C–O stretching of epoxy and alcoxi at 1058 cm</w:t>
      </w:r>
      <w:r>
        <w:rPr>
          <w:position w:val="10"/>
          <w:sz w:val="14"/>
        </w:rPr>
        <w:t>−1 </w:t>
      </w:r>
      <w:r>
        <w:rPr/>
        <w:t>and 1240 cm</w:t>
      </w:r>
      <w:r>
        <w:rPr>
          <w:position w:val="10"/>
          <w:sz w:val="14"/>
        </w:rPr>
        <w:t>−1 </w:t>
      </w:r>
      <w:r>
        <w:rPr/>
        <w:t>respectively [6,7]. The peaks at 1395 cm</w:t>
      </w:r>
      <w:r>
        <w:rPr>
          <w:position w:val="10"/>
          <w:sz w:val="14"/>
        </w:rPr>
        <w:t>−1 </w:t>
      </w:r>
      <w:r>
        <w:rPr/>
        <w:t>and 1728 cm</w:t>
      </w:r>
      <w:r>
        <w:rPr>
          <w:position w:val="10"/>
          <w:sz w:val="14"/>
        </w:rPr>
        <w:t>−1 </w:t>
      </w:r>
      <w:r>
        <w:rPr/>
        <w:t>reflect the carboxylic acid groups due to the O–H in-plane deformation for the former and C=O stretching vibration for the latter [5,7,8]. The peak at 1616 cm</w:t>
      </w:r>
      <w:r>
        <w:rPr>
          <w:position w:val="10"/>
          <w:sz w:val="14"/>
        </w:rPr>
        <w:t>−1 </w:t>
      </w:r>
      <w:r>
        <w:rPr/>
        <w:t>is attributable to skeletal vibrations of unoxidised graphitic domains and also to the stretching vibration of intercalated water. This is also observed in the broad peak around 3300 cm</w:t>
      </w:r>
      <w:r>
        <w:rPr>
          <w:position w:val="10"/>
          <w:sz w:val="14"/>
        </w:rPr>
        <w:t>−1 </w:t>
      </w:r>
      <w:r>
        <w:rPr/>
        <w:t>and is a feature of the O–H stretching vibration [5,6,8]. Several studies have reported that complete water removal from GO is practically impossible [8]. After reduction the peaks of oxygen functional groups vanished. The weak peaks at 1030 cm</w:t>
      </w:r>
      <w:r>
        <w:rPr>
          <w:position w:val="10"/>
          <w:sz w:val="14"/>
        </w:rPr>
        <w:t>−1</w:t>
      </w:r>
      <w:r>
        <w:rPr/>
        <w:t>, 1187 cm</w:t>
      </w:r>
      <w:r>
        <w:rPr>
          <w:position w:val="10"/>
          <w:sz w:val="14"/>
        </w:rPr>
        <w:t>−1 </w:t>
      </w:r>
      <w:r>
        <w:rPr/>
        <w:t>and 1333 cm</w:t>
      </w:r>
      <w:r>
        <w:rPr>
          <w:position w:val="10"/>
          <w:sz w:val="14"/>
        </w:rPr>
        <w:t>−1 </w:t>
      </w:r>
      <w:r>
        <w:rPr/>
        <w:t>are features of the C–N stretching [9]. The peak at 1698 cm</w:t>
      </w:r>
      <w:r>
        <w:rPr>
          <w:position w:val="10"/>
          <w:sz w:val="14"/>
        </w:rPr>
        <w:t>−1 </w:t>
      </w:r>
      <w:r>
        <w:rPr/>
        <w:t>is ascribed to the C=O stretching [9]. This indicates a few amine groups adhered to the graphene surface. The peak at 1570 cm</w:t>
      </w:r>
      <w:r>
        <w:rPr>
          <w:position w:val="10"/>
          <w:sz w:val="14"/>
        </w:rPr>
        <w:t>−1 </w:t>
      </w:r>
      <w:r>
        <w:rPr/>
        <w:t>is in accordance with the C=C vibrations contributed from aromatic ring mode</w:t>
      </w:r>
      <w:r>
        <w:rPr>
          <w:spacing w:val="-24"/>
        </w:rPr>
        <w:t> </w:t>
      </w:r>
      <w:r>
        <w:rPr/>
        <w:t>[10].</w:t>
      </w:r>
    </w:p>
    <w:p>
      <w:pPr>
        <w:pStyle w:val="BodyText"/>
        <w:spacing w:before="2"/>
        <w:rPr>
          <w:sz w:val="23"/>
        </w:rPr>
      </w:pPr>
    </w:p>
    <w:p>
      <w:pPr>
        <w:pStyle w:val="BodyText"/>
        <w:ind w:left="131" w:right="41"/>
      </w:pPr>
      <w:r>
        <w:rPr>
          <w:b/>
        </w:rPr>
        <w:t>Figure 1. </w:t>
      </w:r>
      <w:r>
        <w:rPr/>
        <w:t>Fourier transform infrared spectroscopy (FTIR) spectra of: (</w:t>
      </w:r>
      <w:r>
        <w:rPr>
          <w:b/>
        </w:rPr>
        <w:t>a</w:t>
      </w:r>
      <w:r>
        <w:rPr/>
        <w:t>) Carbon nanotubes (CNTs);</w:t>
      </w:r>
    </w:p>
    <w:p>
      <w:pPr>
        <w:pStyle w:val="ListParagraph"/>
        <w:numPr>
          <w:ilvl w:val="1"/>
          <w:numId w:val="16"/>
        </w:numPr>
        <w:tabs>
          <w:tab w:pos="718" w:val="left" w:leader="none"/>
        </w:tabs>
        <w:spacing w:line="324" w:lineRule="auto" w:before="85" w:after="0"/>
        <w:ind w:left="4008" w:right="409" w:hanging="3618"/>
        <w:jc w:val="left"/>
        <w:rPr>
          <w:sz w:val="22"/>
        </w:rPr>
      </w:pPr>
      <w:r>
        <w:rPr/>
        <w:drawing>
          <wp:anchor distT="0" distB="0" distL="0" distR="0" allowOverlap="1" layoutInCell="1" locked="0" behindDoc="1" simplePos="0" relativeHeight="268260383">
            <wp:simplePos x="0" y="0"/>
            <wp:positionH relativeFrom="page">
              <wp:posOffset>2421254</wp:posOffset>
            </wp:positionH>
            <wp:positionV relativeFrom="paragraph">
              <wp:posOffset>434968</wp:posOffset>
            </wp:positionV>
            <wp:extent cx="2950972" cy="2879725"/>
            <wp:effectExtent l="0" t="0" r="0" b="0"/>
            <wp:wrapNone/>
            <wp:docPr id="41" name="image29.png" descr=""/>
            <wp:cNvGraphicFramePr>
              <a:graphicFrameLocks noChangeAspect="1"/>
            </wp:cNvGraphicFramePr>
            <a:graphic>
              <a:graphicData uri="http://schemas.openxmlformats.org/drawingml/2006/picture">
                <pic:pic>
                  <pic:nvPicPr>
                    <pic:cNvPr id="42" name="image29.png"/>
                    <pic:cNvPicPr/>
                  </pic:nvPicPr>
                  <pic:blipFill>
                    <a:blip r:embed="rId59" cstate="print"/>
                    <a:stretch>
                      <a:fillRect/>
                    </a:stretch>
                  </pic:blipFill>
                  <pic:spPr>
                    <a:xfrm>
                      <a:off x="0" y="0"/>
                      <a:ext cx="2950972" cy="2879725"/>
                    </a:xfrm>
                    <a:prstGeom prst="rect">
                      <a:avLst/>
                    </a:prstGeom>
                  </pic:spPr>
                </pic:pic>
              </a:graphicData>
            </a:graphic>
          </wp:anchor>
        </w:drawing>
      </w:r>
      <w:r>
        <w:rPr>
          <w:sz w:val="22"/>
        </w:rPr>
        <w:t>oxidised carbon nanotubes (OCNTs); (</w:t>
      </w:r>
      <w:r>
        <w:rPr>
          <w:b/>
          <w:sz w:val="22"/>
        </w:rPr>
        <w:t>c</w:t>
      </w:r>
      <w:r>
        <w:rPr>
          <w:sz w:val="22"/>
        </w:rPr>
        <w:t>) reduced graphene oxide (RGO) and (</w:t>
      </w:r>
      <w:r>
        <w:rPr>
          <w:b/>
          <w:sz w:val="22"/>
        </w:rPr>
        <w:t>d</w:t>
      </w:r>
      <w:r>
        <w:rPr>
          <w:sz w:val="22"/>
        </w:rPr>
        <w:t>)</w:t>
      </w:r>
      <w:r>
        <w:rPr>
          <w:spacing w:val="-28"/>
          <w:sz w:val="22"/>
        </w:rPr>
        <w:t> </w:t>
      </w:r>
      <w:r>
        <w:rPr>
          <w:sz w:val="22"/>
        </w:rPr>
        <w:t>graphene oxide</w:t>
      </w:r>
      <w:r>
        <w:rPr>
          <w:spacing w:val="-1"/>
          <w:sz w:val="22"/>
        </w:rPr>
        <w:t> </w:t>
      </w:r>
      <w:r>
        <w:rPr>
          <w:sz w:val="22"/>
        </w:rPr>
        <w:t>(GO).</w:t>
      </w:r>
    </w:p>
    <w:p>
      <w:pPr>
        <w:spacing w:after="0" w:line="324" w:lineRule="auto"/>
        <w:jc w:val="left"/>
        <w:rPr>
          <w:sz w:val="22"/>
        </w:rPr>
        <w:sectPr>
          <w:pgSz w:w="12240" w:h="15840"/>
          <w:pgMar w:header="730" w:footer="1060" w:top="1160" w:bottom="1260" w:left="1580" w:right="1560"/>
        </w:sectPr>
      </w:pPr>
    </w:p>
    <w:p>
      <w:pPr>
        <w:pStyle w:val="BodyText"/>
        <w:spacing w:before="6"/>
        <w:rPr>
          <w:sz w:val="21"/>
        </w:rPr>
      </w:pPr>
    </w:p>
    <w:p>
      <w:pPr>
        <w:pStyle w:val="BodyText"/>
        <w:spacing w:line="309" w:lineRule="auto" w:before="73"/>
        <w:ind w:left="122" w:right="135" w:firstLine="288"/>
        <w:jc w:val="both"/>
      </w:pPr>
      <w:r>
        <w:rPr/>
        <w:t>Raman spectroscopy is a suitable technique to study the ordered/disordered crystal structures of carbonaceous materials. These materials show similar features in the 800–2000 cm</w:t>
      </w:r>
      <w:r>
        <w:rPr>
          <w:position w:val="10"/>
          <w:sz w:val="14"/>
        </w:rPr>
        <w:t>−1 </w:t>
      </w:r>
      <w:r>
        <w:rPr/>
        <w:t>region, which is of interest for CNTs and graphene [2]. The usual characteristics of carbon materials in Raman spectra are the G and the D bands. The G band (~1580 cm</w:t>
      </w:r>
      <w:r>
        <w:rPr>
          <w:position w:val="10"/>
          <w:sz w:val="14"/>
        </w:rPr>
        <w:t>−1</w:t>
      </w:r>
      <w:r>
        <w:rPr/>
        <w:t>) is usually attributed to the E</w:t>
      </w:r>
      <w:r>
        <w:rPr>
          <w:position w:val="-2"/>
          <w:sz w:val="14"/>
        </w:rPr>
        <w:t>2g </w:t>
      </w:r>
      <w:r>
        <w:rPr/>
        <w:t>phonon of C sp</w:t>
      </w:r>
      <w:r>
        <w:rPr>
          <w:position w:val="-2"/>
          <w:sz w:val="14"/>
        </w:rPr>
        <w:t>2 </w:t>
      </w:r>
      <w:r>
        <w:rPr/>
        <w:t>atoms and the D band (~1320 cm</w:t>
      </w:r>
      <w:r>
        <w:rPr>
          <w:position w:val="10"/>
          <w:sz w:val="14"/>
        </w:rPr>
        <w:t>−1</w:t>
      </w:r>
      <w:r>
        <w:rPr/>
        <w:t>) is due to the breathing mode of κ-point phonons of A</w:t>
      </w:r>
      <w:r>
        <w:rPr>
          <w:position w:val="-2"/>
          <w:sz w:val="14"/>
        </w:rPr>
        <w:t>1g </w:t>
      </w:r>
      <w:r>
        <w:rPr/>
        <w:t>symmetry [3]. The D band reflects the local defects and disorders particularly located at the edges  of graphene. The Raman spectra of carbon nanotubes and graphene are shown in Figure 2. </w:t>
      </w:r>
      <w:r>
        <w:rPr>
          <w:spacing w:val="-2"/>
        </w:rPr>
        <w:t>All </w:t>
      </w:r>
      <w:r>
        <w:rPr/>
        <w:t>spectra display the G and D bands. The intensity ratio of the D and the G band (I</w:t>
      </w:r>
      <w:r>
        <w:rPr>
          <w:position w:val="-2"/>
          <w:sz w:val="14"/>
        </w:rPr>
        <w:t>D</w:t>
      </w:r>
      <w:r>
        <w:rPr/>
        <w:t>/I</w:t>
      </w:r>
      <w:r>
        <w:rPr>
          <w:position w:val="-2"/>
          <w:sz w:val="14"/>
        </w:rPr>
        <w:t>G</w:t>
      </w:r>
      <w:r>
        <w:rPr/>
        <w:t>) for CNTs and OCNTs were 1.53 and 1.40. This has been attributed to sp</w:t>
      </w:r>
      <w:r>
        <w:rPr>
          <w:position w:val="10"/>
          <w:sz w:val="14"/>
        </w:rPr>
        <w:t>2 </w:t>
      </w:r>
      <w:r>
        <w:rPr/>
        <w:t>C atoms converted to sp</w:t>
      </w:r>
      <w:r>
        <w:rPr>
          <w:position w:val="10"/>
          <w:sz w:val="14"/>
        </w:rPr>
        <w:t>3 </w:t>
      </w:r>
      <w:r>
        <w:rPr/>
        <w:t>C atoms at the surface of the CNTs after functionalisation [12]. The values of the I</w:t>
      </w:r>
      <w:r>
        <w:rPr>
          <w:position w:val="-2"/>
          <w:sz w:val="14"/>
        </w:rPr>
        <w:t>D</w:t>
      </w:r>
      <w:r>
        <w:rPr/>
        <w:t>/I</w:t>
      </w:r>
      <w:r>
        <w:rPr>
          <w:position w:val="-2"/>
          <w:sz w:val="14"/>
        </w:rPr>
        <w:t>G </w:t>
      </w:r>
      <w:r>
        <w:rPr/>
        <w:t>ratio for reduced graphene oxide (RGO) and GO are 1.32 and 1.14 respectively. A larger I</w:t>
      </w:r>
      <w:r>
        <w:rPr>
          <w:position w:val="-2"/>
          <w:sz w:val="14"/>
        </w:rPr>
        <w:t>D</w:t>
      </w:r>
      <w:r>
        <w:rPr/>
        <w:t>/I</w:t>
      </w:r>
      <w:r>
        <w:rPr>
          <w:position w:val="-2"/>
          <w:sz w:val="14"/>
        </w:rPr>
        <w:t>G </w:t>
      </w:r>
      <w:r>
        <w:rPr/>
        <w:t>peak intensity ratio has been assigned to a decrease in the average size of the sp</w:t>
      </w:r>
      <w:r>
        <w:rPr>
          <w:position w:val="10"/>
          <w:sz w:val="14"/>
        </w:rPr>
        <w:t>2 </w:t>
      </w:r>
      <w:r>
        <w:rPr/>
        <w:t>domains upon reduction of GO, meaning that  the newly created graphitic domains are smaller but more numerous in number [27]. Moreover a 5 cm</w:t>
      </w:r>
      <w:r>
        <w:rPr>
          <w:position w:val="10"/>
          <w:sz w:val="14"/>
        </w:rPr>
        <w:t>−1 </w:t>
      </w:r>
      <w:r>
        <w:rPr/>
        <w:t>redshift in the G band of RGO was observed. This feature shows the successful reduction of graphene oxide [7]. Another fingerprint of carbon nanomaterials is the 2D band (sometimes labelled as D’ band) at about 2650 cm</w:t>
      </w:r>
      <w:r>
        <w:rPr>
          <w:position w:val="10"/>
          <w:sz w:val="14"/>
        </w:rPr>
        <w:t>−1</w:t>
      </w:r>
      <w:r>
        <w:rPr/>
        <w:t>. The shape, position and intensity relative to the D band of this peak depend markedly on the number of layers in graphene [28]. This band is difficult to observe in the spectra; however this weak and broad peak is in accordance with studies of chemically reduced graphene</w:t>
      </w:r>
      <w:r>
        <w:rPr>
          <w:spacing w:val="-1"/>
        </w:rPr>
        <w:t> </w:t>
      </w:r>
      <w:r>
        <w:rPr/>
        <w:t>[6].</w:t>
      </w:r>
    </w:p>
    <w:p>
      <w:pPr>
        <w:spacing w:before="183"/>
        <w:ind w:left="1278" w:right="41" w:firstLine="0"/>
        <w:jc w:val="left"/>
        <w:rPr>
          <w:sz w:val="22"/>
        </w:rPr>
      </w:pPr>
      <w:r>
        <w:rPr>
          <w:b/>
          <w:sz w:val="22"/>
        </w:rPr>
        <w:t>Figure 2. </w:t>
      </w:r>
      <w:r>
        <w:rPr>
          <w:sz w:val="22"/>
        </w:rPr>
        <w:t>Raman spectra of: (</w:t>
      </w:r>
      <w:r>
        <w:rPr>
          <w:b/>
          <w:sz w:val="22"/>
        </w:rPr>
        <w:t>a</w:t>
      </w:r>
      <w:r>
        <w:rPr>
          <w:sz w:val="22"/>
        </w:rPr>
        <w:t>) CNTs; (</w:t>
      </w:r>
      <w:r>
        <w:rPr>
          <w:b/>
          <w:sz w:val="22"/>
        </w:rPr>
        <w:t>b</w:t>
      </w:r>
      <w:r>
        <w:rPr>
          <w:sz w:val="22"/>
        </w:rPr>
        <w:t>) OCNTs; (</w:t>
      </w:r>
      <w:r>
        <w:rPr>
          <w:b/>
          <w:sz w:val="22"/>
        </w:rPr>
        <w:t>c</w:t>
      </w:r>
      <w:r>
        <w:rPr>
          <w:sz w:val="22"/>
        </w:rPr>
        <w:t>) RGO and (</w:t>
      </w:r>
      <w:r>
        <w:rPr>
          <w:b/>
          <w:sz w:val="22"/>
        </w:rPr>
        <w:t>d</w:t>
      </w:r>
      <w:r>
        <w:rPr>
          <w:sz w:val="22"/>
        </w:rPr>
        <w:t>) GO.</w:t>
      </w:r>
    </w:p>
    <w:p>
      <w:pPr>
        <w:pStyle w:val="BodyText"/>
        <w:spacing w:before="1"/>
        <w:rPr>
          <w:sz w:val="19"/>
        </w:rPr>
      </w:pPr>
      <w:r>
        <w:rPr/>
        <w:drawing>
          <wp:anchor distT="0" distB="0" distL="0" distR="0" allowOverlap="1" layoutInCell="1" locked="0" behindDoc="0" simplePos="0" relativeHeight="2104">
            <wp:simplePos x="0" y="0"/>
            <wp:positionH relativeFrom="page">
              <wp:posOffset>2449829</wp:posOffset>
            </wp:positionH>
            <wp:positionV relativeFrom="paragraph">
              <wp:posOffset>164472</wp:posOffset>
            </wp:positionV>
            <wp:extent cx="2914239" cy="2900172"/>
            <wp:effectExtent l="0" t="0" r="0" b="0"/>
            <wp:wrapTopAndBottom/>
            <wp:docPr id="43" name="image30.png" descr=""/>
            <wp:cNvGraphicFramePr>
              <a:graphicFrameLocks noChangeAspect="1"/>
            </wp:cNvGraphicFramePr>
            <a:graphic>
              <a:graphicData uri="http://schemas.openxmlformats.org/drawingml/2006/picture">
                <pic:pic>
                  <pic:nvPicPr>
                    <pic:cNvPr id="44" name="image30.png"/>
                    <pic:cNvPicPr/>
                  </pic:nvPicPr>
                  <pic:blipFill>
                    <a:blip r:embed="rId60" cstate="print"/>
                    <a:stretch>
                      <a:fillRect/>
                    </a:stretch>
                  </pic:blipFill>
                  <pic:spPr>
                    <a:xfrm>
                      <a:off x="0" y="0"/>
                      <a:ext cx="2914239" cy="2900172"/>
                    </a:xfrm>
                    <a:prstGeom prst="rect">
                      <a:avLst/>
                    </a:prstGeom>
                  </pic:spPr>
                </pic:pic>
              </a:graphicData>
            </a:graphic>
          </wp:anchor>
        </w:drawing>
      </w:r>
    </w:p>
    <w:p>
      <w:pPr>
        <w:pStyle w:val="BodyText"/>
        <w:spacing w:before="8"/>
      </w:pPr>
    </w:p>
    <w:p>
      <w:pPr>
        <w:pStyle w:val="BodyText"/>
        <w:spacing w:line="324" w:lineRule="auto"/>
        <w:ind w:left="122" w:right="140" w:firstLine="288"/>
        <w:jc w:val="both"/>
      </w:pPr>
      <w:r>
        <w:rPr/>
        <w:t>The morphologies of the carbon materials are shown in Figure 3. Transmission electron microscopy (TEM) images showed black spots in the structure of the CNTs indicating impurities.</w:t>
      </w:r>
    </w:p>
    <w:p>
      <w:pPr>
        <w:spacing w:after="0" w:line="324" w:lineRule="auto"/>
        <w:jc w:val="both"/>
        <w:sectPr>
          <w:pgSz w:w="12240" w:h="15840"/>
          <w:pgMar w:header="730" w:footer="1060" w:top="1160" w:bottom="1260" w:left="1580" w:right="1560"/>
        </w:sectPr>
      </w:pPr>
    </w:p>
    <w:p>
      <w:pPr>
        <w:pStyle w:val="BodyText"/>
        <w:spacing w:before="6"/>
        <w:rPr>
          <w:sz w:val="21"/>
        </w:rPr>
      </w:pPr>
    </w:p>
    <w:p>
      <w:pPr>
        <w:pStyle w:val="BodyText"/>
        <w:spacing w:line="321" w:lineRule="auto" w:before="73"/>
        <w:ind w:left="122" w:right="143"/>
        <w:jc w:val="both"/>
      </w:pPr>
      <w:r>
        <w:rPr/>
        <w:t>After oxidation, there are few black spots in their structure which means that most of the impurities have been removed [8]. Graphene sheets appear as a transparent thin paper structure with some folds. Their resemblance of crumpled silk veil waves that were corrugated and scrolled is intrinsic  to graphene sheets [6]. Wrinkling in GO is due to defects and attraction between oxygen groups formed on the surface of the sheet</w:t>
      </w:r>
      <w:r>
        <w:rPr>
          <w:spacing w:val="-11"/>
        </w:rPr>
        <w:t> </w:t>
      </w:r>
      <w:r>
        <w:rPr/>
        <w:t>[10].</w:t>
      </w:r>
    </w:p>
    <w:p>
      <w:pPr>
        <w:pStyle w:val="BodyText"/>
        <w:spacing w:before="3"/>
        <w:rPr>
          <w:sz w:val="21"/>
        </w:rPr>
      </w:pPr>
    </w:p>
    <w:p>
      <w:pPr>
        <w:pStyle w:val="BodyText"/>
        <w:ind w:left="158" w:right="174"/>
        <w:jc w:val="center"/>
      </w:pPr>
      <w:r>
        <w:rPr>
          <w:b/>
        </w:rPr>
        <w:t>Figure 3. </w:t>
      </w:r>
      <w:r>
        <w:rPr/>
        <w:t>Transmission electron microscopy (TEM) images of: (</w:t>
      </w:r>
      <w:r>
        <w:rPr>
          <w:b/>
        </w:rPr>
        <w:t>a</w:t>
      </w:r>
      <w:r>
        <w:rPr/>
        <w:t>) CNTs; (</w:t>
      </w:r>
      <w:r>
        <w:rPr>
          <w:b/>
        </w:rPr>
        <w:t>b</w:t>
      </w:r>
      <w:r>
        <w:rPr/>
        <w:t>) OCNTs;</w:t>
      </w:r>
    </w:p>
    <w:p>
      <w:pPr>
        <w:pStyle w:val="ListParagraph"/>
        <w:numPr>
          <w:ilvl w:val="1"/>
          <w:numId w:val="16"/>
        </w:numPr>
        <w:tabs>
          <w:tab w:pos="3898" w:val="left" w:leader="none"/>
        </w:tabs>
        <w:spacing w:line="240" w:lineRule="auto" w:before="85" w:after="7"/>
        <w:ind w:left="3897" w:right="0" w:hanging="302"/>
        <w:jc w:val="left"/>
        <w:rPr>
          <w:sz w:val="22"/>
        </w:rPr>
      </w:pPr>
      <w:r>
        <w:rPr>
          <w:sz w:val="22"/>
        </w:rPr>
        <w:t>RGO and (</w:t>
      </w:r>
      <w:r>
        <w:rPr>
          <w:b/>
          <w:sz w:val="22"/>
        </w:rPr>
        <w:t>d</w:t>
      </w:r>
      <w:r>
        <w:rPr>
          <w:sz w:val="22"/>
        </w:rPr>
        <w:t>)</w:t>
      </w:r>
      <w:r>
        <w:rPr>
          <w:spacing w:val="-6"/>
          <w:sz w:val="22"/>
        </w:rPr>
        <w:t> </w:t>
      </w:r>
      <w:r>
        <w:rPr>
          <w:sz w:val="22"/>
        </w:rPr>
        <w:t>GO.</w:t>
      </w:r>
    </w:p>
    <w:p>
      <w:pPr>
        <w:pStyle w:val="BodyText"/>
        <w:ind w:left="2283"/>
        <w:rPr>
          <w:sz w:val="20"/>
        </w:rPr>
      </w:pPr>
      <w:r>
        <w:rPr>
          <w:sz w:val="20"/>
        </w:rPr>
        <w:drawing>
          <wp:inline distT="0" distB="0" distL="0" distR="0">
            <wp:extent cx="2902615" cy="2897504"/>
            <wp:effectExtent l="0" t="0" r="0" b="0"/>
            <wp:docPr id="45" name="image31.jpeg" descr=""/>
            <wp:cNvGraphicFramePr>
              <a:graphicFrameLocks noChangeAspect="1"/>
            </wp:cNvGraphicFramePr>
            <a:graphic>
              <a:graphicData uri="http://schemas.openxmlformats.org/drawingml/2006/picture">
                <pic:pic>
                  <pic:nvPicPr>
                    <pic:cNvPr id="46" name="image31.jpeg"/>
                    <pic:cNvPicPr/>
                  </pic:nvPicPr>
                  <pic:blipFill>
                    <a:blip r:embed="rId61" cstate="print"/>
                    <a:stretch>
                      <a:fillRect/>
                    </a:stretch>
                  </pic:blipFill>
                  <pic:spPr>
                    <a:xfrm>
                      <a:off x="0" y="0"/>
                      <a:ext cx="2902615" cy="2897504"/>
                    </a:xfrm>
                    <a:prstGeom prst="rect">
                      <a:avLst/>
                    </a:prstGeom>
                  </pic:spPr>
                </pic:pic>
              </a:graphicData>
            </a:graphic>
          </wp:inline>
        </w:drawing>
      </w:r>
      <w:r>
        <w:rPr>
          <w:sz w:val="20"/>
        </w:rPr>
      </w:r>
    </w:p>
    <w:p>
      <w:pPr>
        <w:pStyle w:val="BodyText"/>
        <w:spacing w:before="6"/>
        <w:rPr>
          <w:sz w:val="25"/>
        </w:rPr>
      </w:pPr>
    </w:p>
    <w:p>
      <w:pPr>
        <w:pStyle w:val="BodyText"/>
        <w:spacing w:line="321" w:lineRule="auto" w:before="1"/>
        <w:ind w:left="122" w:right="137" w:firstLine="288"/>
        <w:jc w:val="both"/>
      </w:pPr>
      <w:r>
        <w:rPr/>
        <w:t>FTIR spectroscopy has been applied for identification of the basic structural units present in nylon 6,6 electrospun fibres and carbon based nanocomposites. The nanocomposites were labelled as listed in Table 1. The assignments of all the fundamental bands are given in Table 2 [29–31]. The FTIR spectra of the electrospun nanofibres are presented in Figures 4 and 5. The FTIR spectra show the        characteristic bands of nylon 6,6: N–H deformation and C–N stretching of amide  II band at</w:t>
      </w:r>
    </w:p>
    <w:p>
      <w:pPr>
        <w:pStyle w:val="BodyText"/>
        <w:spacing w:line="256" w:lineRule="exact"/>
        <w:ind w:left="122"/>
        <w:jc w:val="both"/>
      </w:pPr>
      <w:r>
        <w:rPr/>
        <w:t>~1535  cm</w:t>
      </w:r>
      <w:r>
        <w:rPr>
          <w:position w:val="10"/>
          <w:sz w:val="14"/>
        </w:rPr>
        <w:t>−1</w:t>
      </w:r>
      <w:r>
        <w:rPr/>
        <w:t>,  C=O  stretching,  N–H  stretching  vibration  of  amide  I  band  at  ~1635  cm</w:t>
      </w:r>
      <w:r>
        <w:rPr>
          <w:position w:val="10"/>
          <w:sz w:val="14"/>
        </w:rPr>
        <w:t>−1      </w:t>
      </w:r>
      <w:r>
        <w:rPr/>
        <w:t>and</w:t>
      </w:r>
    </w:p>
    <w:p>
      <w:pPr>
        <w:pStyle w:val="BodyText"/>
        <w:spacing w:line="316" w:lineRule="auto" w:before="63"/>
        <w:ind w:left="122" w:right="135"/>
        <w:jc w:val="both"/>
      </w:pPr>
      <w:r>
        <w:rPr/>
        <w:t>N–H stretching at ~3300 cm</w:t>
      </w:r>
      <w:r>
        <w:rPr>
          <w:position w:val="10"/>
          <w:sz w:val="14"/>
        </w:rPr>
        <w:t>−1 </w:t>
      </w:r>
      <w:r>
        <w:rPr/>
        <w:t>[29,32]. Infrarred (IR) spectra are sensitive to the conformation and packing of chain molecules, and this sensitivity has been widely exploited to characterise semicrystalline polymers in terms of their crystallinity. Nylon 6,6 has two characteristic crystalline peaks at 935 cm</w:t>
      </w:r>
      <w:r>
        <w:rPr>
          <w:position w:val="10"/>
          <w:sz w:val="14"/>
        </w:rPr>
        <w:t>−1 </w:t>
      </w:r>
      <w:r>
        <w:rPr/>
        <w:t>and 1200 cm</w:t>
      </w:r>
      <w:r>
        <w:rPr>
          <w:position w:val="10"/>
          <w:sz w:val="14"/>
        </w:rPr>
        <w:t>−1 </w:t>
      </w:r>
      <w:r>
        <w:rPr/>
        <w:t>[29,32,33]. The addition of carbon nanomaterials changed the peak intensities compared to pure polymer indicating enhanced crystallinity as seen in the zoom-in of the crystalline peaks of Figures 4 and 5. Furthermore, Figure 6a,b shows a zoom-in of the 1485–1695 cm</w:t>
      </w:r>
      <w:r>
        <w:rPr>
          <w:position w:val="10"/>
          <w:sz w:val="14"/>
        </w:rPr>
        <w:t>−1 </w:t>
      </w:r>
      <w:r>
        <w:rPr/>
        <w:t>FTIR region indicating the amide I and the amide II bands. These bands are of particular interest because they are related to hydrogen bonding [34,35]. Lu </w:t>
      </w:r>
      <w:r>
        <w:rPr>
          <w:i/>
        </w:rPr>
        <w:t>et al. </w:t>
      </w:r>
      <w:r>
        <w:rPr/>
        <w:t>studied the amide I band in nylon 6,6/clay nanocomposites, which is composed of two components, attributable to the   ordered</w:t>
      </w:r>
    </w:p>
    <w:p>
      <w:pPr>
        <w:spacing w:after="0" w:line="316" w:lineRule="auto"/>
        <w:jc w:val="both"/>
        <w:sectPr>
          <w:pgSz w:w="12240" w:h="15840"/>
          <w:pgMar w:header="730" w:footer="1060" w:top="1160" w:bottom="1260" w:left="1580" w:right="1560"/>
        </w:sectPr>
      </w:pPr>
    </w:p>
    <w:p>
      <w:pPr>
        <w:pStyle w:val="BodyText"/>
        <w:spacing w:before="6"/>
        <w:rPr>
          <w:sz w:val="21"/>
        </w:rPr>
      </w:pPr>
    </w:p>
    <w:p>
      <w:pPr>
        <w:pStyle w:val="BodyText"/>
        <w:spacing w:line="319" w:lineRule="auto" w:before="73"/>
        <w:ind w:left="242" w:right="215"/>
        <w:jc w:val="both"/>
      </w:pPr>
      <w:r>
        <w:rPr/>
        <w:t>and disordered hydrogen-bonded carbonyl groups [34]. They found the former had a higher strength and that their frequency of stretching was lower than that of the latter. Our nanocomposites showed an increase of intensity in the amide I and the amide II bands as the nanofiller loading increased, which is also indicative of the formation of hydrogen bonding [35]. The spectra also show that amide II band splits in two components, as evidenced by the peaks at ~1537 cm</w:t>
      </w:r>
      <w:r>
        <w:rPr>
          <w:position w:val="10"/>
          <w:sz w:val="14"/>
        </w:rPr>
        <w:t>−1 </w:t>
      </w:r>
      <w:r>
        <w:rPr/>
        <w:t>and ~1544 cm</w:t>
      </w:r>
      <w:r>
        <w:rPr>
          <w:position w:val="10"/>
          <w:sz w:val="14"/>
        </w:rPr>
        <w:t>−1</w:t>
      </w:r>
      <w:r>
        <w:rPr/>
        <w:t>. At lower frequency the peak becomes more intense as the content of OCNTs and GO is increased. The amide II band in PA66/10GO nanofibres lacks of this splitting because the component of the ordered hydrogen-bonded groups overlap the component of the ones in the disordered state. These features demonstrate the hydrogen bonding between the nanofillers and the polymer, as displayed in the schemes of Figure 6c,d.</w:t>
      </w:r>
    </w:p>
    <w:p>
      <w:pPr>
        <w:pStyle w:val="BodyText"/>
        <w:spacing w:before="5"/>
        <w:rPr>
          <w:sz w:val="21"/>
        </w:rPr>
      </w:pPr>
    </w:p>
    <w:p>
      <w:pPr>
        <w:pStyle w:val="BodyText"/>
        <w:spacing w:before="1"/>
        <w:ind w:left="2507"/>
      </w:pPr>
      <w:r>
        <w:rPr>
          <w:b/>
        </w:rPr>
        <w:t>Table 1. </w:t>
      </w:r>
      <w:r>
        <w:rPr/>
        <w:t>Nomenclature of the electrospun fibres.</w:t>
      </w:r>
    </w:p>
    <w:p>
      <w:pPr>
        <w:pStyle w:val="BodyText"/>
        <w:spacing w:before="1"/>
        <w:rPr>
          <w:sz w:val="11"/>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401"/>
        <w:gridCol w:w="1900"/>
        <w:gridCol w:w="1891"/>
        <w:gridCol w:w="1879"/>
      </w:tblGrid>
      <w:tr>
        <w:trPr>
          <w:trHeight w:val="314" w:hRule="exact"/>
        </w:trPr>
        <w:tc>
          <w:tcPr>
            <w:tcW w:w="3401" w:type="dxa"/>
            <w:vMerge w:val="restart"/>
            <w:tcBorders>
              <w:left w:val="nil"/>
              <w:right w:val="nil"/>
            </w:tcBorders>
          </w:tcPr>
          <w:p>
            <w:pPr>
              <w:pStyle w:val="TableParagraph"/>
              <w:spacing w:before="190"/>
              <w:ind w:left="820" w:right="478"/>
              <w:jc w:val="left"/>
              <w:rPr>
                <w:b/>
                <w:sz w:val="22"/>
              </w:rPr>
            </w:pPr>
            <w:r>
              <w:rPr>
                <w:b/>
                <w:sz w:val="22"/>
              </w:rPr>
              <w:t>Type of nanofillers</w:t>
            </w:r>
          </w:p>
        </w:tc>
        <w:tc>
          <w:tcPr>
            <w:tcW w:w="5670" w:type="dxa"/>
            <w:gridSpan w:val="3"/>
            <w:tcBorders>
              <w:left w:val="nil"/>
              <w:bottom w:val="single" w:sz="4" w:space="0" w:color="000000"/>
              <w:right w:val="nil"/>
            </w:tcBorders>
          </w:tcPr>
          <w:p>
            <w:pPr>
              <w:pStyle w:val="TableParagraph"/>
              <w:spacing w:before="34"/>
              <w:ind w:left="1961" w:right="1963"/>
              <w:rPr>
                <w:b/>
                <w:sz w:val="22"/>
              </w:rPr>
            </w:pPr>
            <w:r>
              <w:rPr>
                <w:b/>
                <w:sz w:val="22"/>
              </w:rPr>
              <w:t>Nanofiller content</w:t>
            </w:r>
          </w:p>
        </w:tc>
      </w:tr>
      <w:tr>
        <w:trPr>
          <w:trHeight w:val="310" w:hRule="exact"/>
        </w:trPr>
        <w:tc>
          <w:tcPr>
            <w:tcW w:w="3401" w:type="dxa"/>
            <w:vMerge/>
            <w:tcBorders>
              <w:left w:val="nil"/>
              <w:bottom w:val="single" w:sz="4" w:space="0" w:color="000000"/>
              <w:right w:val="nil"/>
            </w:tcBorders>
          </w:tcPr>
          <w:p>
            <w:pPr/>
          </w:p>
        </w:tc>
        <w:tc>
          <w:tcPr>
            <w:tcW w:w="1900" w:type="dxa"/>
            <w:tcBorders>
              <w:top w:val="single" w:sz="4" w:space="0" w:color="000000"/>
              <w:left w:val="nil"/>
              <w:bottom w:val="single" w:sz="4" w:space="0" w:color="000000"/>
              <w:right w:val="nil"/>
            </w:tcBorders>
          </w:tcPr>
          <w:p>
            <w:pPr>
              <w:pStyle w:val="TableParagraph"/>
              <w:spacing w:before="34"/>
              <w:ind w:left="530"/>
              <w:jc w:val="left"/>
              <w:rPr>
                <w:b/>
                <w:sz w:val="22"/>
              </w:rPr>
            </w:pPr>
            <w:r>
              <w:rPr>
                <w:b/>
                <w:sz w:val="22"/>
              </w:rPr>
              <w:t>0.1 wt %</w:t>
            </w:r>
          </w:p>
        </w:tc>
        <w:tc>
          <w:tcPr>
            <w:tcW w:w="1891" w:type="dxa"/>
            <w:tcBorders>
              <w:top w:val="single" w:sz="4" w:space="0" w:color="000000"/>
              <w:left w:val="nil"/>
              <w:bottom w:val="single" w:sz="4" w:space="0" w:color="000000"/>
              <w:right w:val="nil"/>
            </w:tcBorders>
          </w:tcPr>
          <w:p>
            <w:pPr>
              <w:pStyle w:val="TableParagraph"/>
              <w:spacing w:before="34"/>
              <w:ind w:left="529"/>
              <w:jc w:val="left"/>
              <w:rPr>
                <w:b/>
                <w:sz w:val="22"/>
              </w:rPr>
            </w:pPr>
            <w:r>
              <w:rPr>
                <w:b/>
                <w:sz w:val="22"/>
              </w:rPr>
              <w:t>0.5 wt %</w:t>
            </w:r>
          </w:p>
        </w:tc>
        <w:tc>
          <w:tcPr>
            <w:tcW w:w="1879" w:type="dxa"/>
            <w:tcBorders>
              <w:top w:val="single" w:sz="4" w:space="0" w:color="000000"/>
              <w:left w:val="nil"/>
              <w:bottom w:val="single" w:sz="4" w:space="0" w:color="000000"/>
              <w:right w:val="nil"/>
            </w:tcBorders>
          </w:tcPr>
          <w:p>
            <w:pPr>
              <w:pStyle w:val="TableParagraph"/>
              <w:spacing w:before="34"/>
              <w:ind w:left="522"/>
              <w:jc w:val="left"/>
              <w:rPr>
                <w:b/>
                <w:sz w:val="22"/>
              </w:rPr>
            </w:pPr>
            <w:r>
              <w:rPr>
                <w:b/>
                <w:sz w:val="22"/>
              </w:rPr>
              <w:t>1.0 wt %</w:t>
            </w:r>
          </w:p>
        </w:tc>
      </w:tr>
      <w:tr>
        <w:trPr>
          <w:trHeight w:val="328" w:hRule="exact"/>
        </w:trPr>
        <w:tc>
          <w:tcPr>
            <w:tcW w:w="3401" w:type="dxa"/>
            <w:tcBorders>
              <w:top w:val="single" w:sz="4" w:space="0" w:color="000000"/>
              <w:left w:val="nil"/>
              <w:bottom w:val="nil"/>
              <w:right w:val="nil"/>
            </w:tcBorders>
          </w:tcPr>
          <w:p>
            <w:pPr>
              <w:pStyle w:val="TableParagraph"/>
              <w:spacing w:before="34"/>
              <w:ind w:left="264" w:right="250"/>
              <w:rPr>
                <w:sz w:val="22"/>
              </w:rPr>
            </w:pPr>
            <w:r>
              <w:rPr>
                <w:sz w:val="22"/>
              </w:rPr>
              <w:t>Carbon nanotubes (CNTs)</w:t>
            </w:r>
          </w:p>
        </w:tc>
        <w:tc>
          <w:tcPr>
            <w:tcW w:w="1900" w:type="dxa"/>
            <w:tcBorders>
              <w:top w:val="single" w:sz="4" w:space="0" w:color="000000"/>
              <w:left w:val="nil"/>
              <w:bottom w:val="nil"/>
              <w:right w:val="nil"/>
            </w:tcBorders>
          </w:tcPr>
          <w:p>
            <w:pPr>
              <w:pStyle w:val="TableParagraph"/>
              <w:spacing w:before="34"/>
              <w:ind w:left="196" w:right="196"/>
              <w:rPr>
                <w:sz w:val="22"/>
              </w:rPr>
            </w:pPr>
            <w:r>
              <w:rPr>
                <w:sz w:val="22"/>
              </w:rPr>
              <w:t>PA66/01CNTs</w:t>
            </w:r>
          </w:p>
        </w:tc>
        <w:tc>
          <w:tcPr>
            <w:tcW w:w="1891" w:type="dxa"/>
            <w:tcBorders>
              <w:top w:val="single" w:sz="4" w:space="0" w:color="000000"/>
              <w:left w:val="nil"/>
              <w:bottom w:val="nil"/>
              <w:right w:val="nil"/>
            </w:tcBorders>
          </w:tcPr>
          <w:p>
            <w:pPr>
              <w:pStyle w:val="TableParagraph"/>
              <w:spacing w:before="34"/>
              <w:ind w:left="194" w:right="188"/>
              <w:rPr>
                <w:sz w:val="22"/>
              </w:rPr>
            </w:pPr>
            <w:r>
              <w:rPr>
                <w:sz w:val="22"/>
              </w:rPr>
              <w:t>PA66/05CNTs</w:t>
            </w:r>
          </w:p>
        </w:tc>
        <w:tc>
          <w:tcPr>
            <w:tcW w:w="1879" w:type="dxa"/>
            <w:tcBorders>
              <w:top w:val="single" w:sz="4" w:space="0" w:color="000000"/>
              <w:left w:val="nil"/>
              <w:bottom w:val="nil"/>
              <w:right w:val="nil"/>
            </w:tcBorders>
          </w:tcPr>
          <w:p>
            <w:pPr>
              <w:pStyle w:val="TableParagraph"/>
              <w:spacing w:before="34"/>
              <w:ind w:left="187" w:right="183"/>
              <w:rPr>
                <w:sz w:val="22"/>
              </w:rPr>
            </w:pPr>
            <w:r>
              <w:rPr>
                <w:sz w:val="22"/>
              </w:rPr>
              <w:t>PA66/10CNTs</w:t>
            </w:r>
          </w:p>
        </w:tc>
      </w:tr>
      <w:tr>
        <w:trPr>
          <w:trHeight w:val="600" w:hRule="exact"/>
        </w:trPr>
        <w:tc>
          <w:tcPr>
            <w:tcW w:w="3401" w:type="dxa"/>
            <w:tcBorders>
              <w:top w:val="nil"/>
              <w:left w:val="nil"/>
              <w:bottom w:val="nil"/>
              <w:right w:val="nil"/>
            </w:tcBorders>
          </w:tcPr>
          <w:p>
            <w:pPr>
              <w:pStyle w:val="TableParagraph"/>
              <w:spacing w:line="285" w:lineRule="auto" w:before="12"/>
              <w:ind w:left="1291" w:right="478" w:hanging="783"/>
              <w:jc w:val="left"/>
              <w:rPr>
                <w:sz w:val="22"/>
              </w:rPr>
            </w:pPr>
            <w:r>
              <w:rPr>
                <w:sz w:val="22"/>
              </w:rPr>
              <w:t>Oxidised carbon nanotubes (OCNTs)</w:t>
            </w:r>
          </w:p>
        </w:tc>
        <w:tc>
          <w:tcPr>
            <w:tcW w:w="1900" w:type="dxa"/>
            <w:tcBorders>
              <w:top w:val="nil"/>
              <w:left w:val="nil"/>
              <w:bottom w:val="nil"/>
              <w:right w:val="nil"/>
            </w:tcBorders>
          </w:tcPr>
          <w:p>
            <w:pPr>
              <w:pStyle w:val="TableParagraph"/>
              <w:spacing w:before="163"/>
              <w:ind w:left="196" w:right="196"/>
              <w:rPr>
                <w:sz w:val="22"/>
              </w:rPr>
            </w:pPr>
            <w:r>
              <w:rPr>
                <w:sz w:val="22"/>
              </w:rPr>
              <w:t>PA66/01OCNTs</w:t>
            </w:r>
          </w:p>
        </w:tc>
        <w:tc>
          <w:tcPr>
            <w:tcW w:w="1891" w:type="dxa"/>
            <w:tcBorders>
              <w:top w:val="nil"/>
              <w:left w:val="nil"/>
              <w:bottom w:val="nil"/>
              <w:right w:val="nil"/>
            </w:tcBorders>
          </w:tcPr>
          <w:p>
            <w:pPr>
              <w:pStyle w:val="TableParagraph"/>
              <w:spacing w:before="163"/>
              <w:ind w:left="195" w:right="188"/>
              <w:rPr>
                <w:sz w:val="22"/>
              </w:rPr>
            </w:pPr>
            <w:r>
              <w:rPr>
                <w:sz w:val="22"/>
              </w:rPr>
              <w:t>PA66/05OCNTs</w:t>
            </w:r>
          </w:p>
        </w:tc>
        <w:tc>
          <w:tcPr>
            <w:tcW w:w="1879" w:type="dxa"/>
            <w:tcBorders>
              <w:top w:val="nil"/>
              <w:left w:val="nil"/>
              <w:bottom w:val="nil"/>
              <w:right w:val="nil"/>
            </w:tcBorders>
          </w:tcPr>
          <w:p>
            <w:pPr>
              <w:pStyle w:val="TableParagraph"/>
              <w:spacing w:before="163"/>
              <w:ind w:left="188" w:right="183"/>
              <w:rPr>
                <w:sz w:val="22"/>
              </w:rPr>
            </w:pPr>
            <w:r>
              <w:rPr>
                <w:sz w:val="22"/>
              </w:rPr>
              <w:t>PA66/10OCNTs</w:t>
            </w:r>
          </w:p>
        </w:tc>
      </w:tr>
      <w:tr>
        <w:trPr>
          <w:trHeight w:val="300" w:hRule="exact"/>
        </w:trPr>
        <w:tc>
          <w:tcPr>
            <w:tcW w:w="3401" w:type="dxa"/>
            <w:tcBorders>
              <w:top w:val="nil"/>
              <w:left w:val="nil"/>
              <w:bottom w:val="nil"/>
              <w:right w:val="nil"/>
            </w:tcBorders>
          </w:tcPr>
          <w:p>
            <w:pPr>
              <w:pStyle w:val="TableParagraph"/>
              <w:spacing w:before="12"/>
              <w:ind w:left="264" w:right="255"/>
              <w:rPr>
                <w:sz w:val="22"/>
              </w:rPr>
            </w:pPr>
            <w:r>
              <w:rPr>
                <w:sz w:val="22"/>
              </w:rPr>
              <w:t>Reduced graphene oxide (RGO)</w:t>
            </w:r>
          </w:p>
        </w:tc>
        <w:tc>
          <w:tcPr>
            <w:tcW w:w="1900" w:type="dxa"/>
            <w:tcBorders>
              <w:top w:val="nil"/>
              <w:left w:val="nil"/>
              <w:bottom w:val="nil"/>
              <w:right w:val="nil"/>
            </w:tcBorders>
          </w:tcPr>
          <w:p>
            <w:pPr>
              <w:pStyle w:val="TableParagraph"/>
              <w:spacing w:before="12"/>
              <w:ind w:left="196" w:right="196"/>
              <w:rPr>
                <w:sz w:val="22"/>
              </w:rPr>
            </w:pPr>
            <w:r>
              <w:rPr>
                <w:sz w:val="22"/>
              </w:rPr>
              <w:t>PA66/01RGO</w:t>
            </w:r>
          </w:p>
        </w:tc>
        <w:tc>
          <w:tcPr>
            <w:tcW w:w="1891" w:type="dxa"/>
            <w:tcBorders>
              <w:top w:val="nil"/>
              <w:left w:val="nil"/>
              <w:bottom w:val="nil"/>
              <w:right w:val="nil"/>
            </w:tcBorders>
          </w:tcPr>
          <w:p>
            <w:pPr>
              <w:pStyle w:val="TableParagraph"/>
              <w:spacing w:before="12"/>
              <w:ind w:left="191" w:right="188"/>
              <w:rPr>
                <w:sz w:val="22"/>
              </w:rPr>
            </w:pPr>
            <w:r>
              <w:rPr>
                <w:sz w:val="22"/>
              </w:rPr>
              <w:t>PA66/05RGO</w:t>
            </w:r>
          </w:p>
        </w:tc>
        <w:tc>
          <w:tcPr>
            <w:tcW w:w="1879" w:type="dxa"/>
            <w:tcBorders>
              <w:top w:val="nil"/>
              <w:left w:val="nil"/>
              <w:bottom w:val="nil"/>
              <w:right w:val="nil"/>
            </w:tcBorders>
          </w:tcPr>
          <w:p>
            <w:pPr>
              <w:pStyle w:val="TableParagraph"/>
              <w:spacing w:before="12"/>
              <w:ind w:left="188" w:right="182"/>
              <w:rPr>
                <w:sz w:val="22"/>
              </w:rPr>
            </w:pPr>
            <w:r>
              <w:rPr>
                <w:sz w:val="22"/>
              </w:rPr>
              <w:t>PA66/10RGO</w:t>
            </w:r>
          </w:p>
        </w:tc>
      </w:tr>
      <w:tr>
        <w:trPr>
          <w:trHeight w:val="289" w:hRule="exact"/>
        </w:trPr>
        <w:tc>
          <w:tcPr>
            <w:tcW w:w="3401" w:type="dxa"/>
            <w:tcBorders>
              <w:top w:val="nil"/>
              <w:left w:val="nil"/>
              <w:right w:val="nil"/>
            </w:tcBorders>
          </w:tcPr>
          <w:p>
            <w:pPr>
              <w:pStyle w:val="TableParagraph"/>
              <w:spacing w:before="12"/>
              <w:ind w:left="264" w:right="250"/>
              <w:rPr>
                <w:sz w:val="22"/>
              </w:rPr>
            </w:pPr>
            <w:r>
              <w:rPr>
                <w:sz w:val="22"/>
              </w:rPr>
              <w:t>Graphene oxide (GO)</w:t>
            </w:r>
          </w:p>
        </w:tc>
        <w:tc>
          <w:tcPr>
            <w:tcW w:w="1900" w:type="dxa"/>
            <w:tcBorders>
              <w:top w:val="nil"/>
              <w:left w:val="nil"/>
              <w:right w:val="nil"/>
            </w:tcBorders>
          </w:tcPr>
          <w:p>
            <w:pPr>
              <w:pStyle w:val="TableParagraph"/>
              <w:spacing w:before="12"/>
              <w:ind w:left="196" w:right="196"/>
              <w:rPr>
                <w:sz w:val="22"/>
              </w:rPr>
            </w:pPr>
            <w:r>
              <w:rPr>
                <w:sz w:val="22"/>
              </w:rPr>
              <w:t>PA66/01GO</w:t>
            </w:r>
          </w:p>
        </w:tc>
        <w:tc>
          <w:tcPr>
            <w:tcW w:w="1891" w:type="dxa"/>
            <w:tcBorders>
              <w:top w:val="nil"/>
              <w:left w:val="nil"/>
              <w:right w:val="nil"/>
            </w:tcBorders>
          </w:tcPr>
          <w:p>
            <w:pPr>
              <w:pStyle w:val="TableParagraph"/>
              <w:spacing w:before="12"/>
              <w:ind w:left="194" w:right="188"/>
              <w:rPr>
                <w:sz w:val="22"/>
              </w:rPr>
            </w:pPr>
            <w:r>
              <w:rPr>
                <w:sz w:val="22"/>
              </w:rPr>
              <w:t>PA66/05GO</w:t>
            </w:r>
          </w:p>
        </w:tc>
        <w:tc>
          <w:tcPr>
            <w:tcW w:w="1879" w:type="dxa"/>
            <w:tcBorders>
              <w:top w:val="nil"/>
              <w:left w:val="nil"/>
              <w:right w:val="nil"/>
            </w:tcBorders>
          </w:tcPr>
          <w:p>
            <w:pPr>
              <w:pStyle w:val="TableParagraph"/>
              <w:spacing w:before="12"/>
              <w:ind w:left="188" w:right="180"/>
              <w:rPr>
                <w:sz w:val="22"/>
              </w:rPr>
            </w:pPr>
            <w:r>
              <w:rPr>
                <w:sz w:val="22"/>
              </w:rPr>
              <w:t>PA66/10GO</w:t>
            </w:r>
          </w:p>
        </w:tc>
      </w:tr>
    </w:tbl>
    <w:p>
      <w:pPr>
        <w:pStyle w:val="BodyText"/>
        <w:spacing w:before="6"/>
        <w:rPr>
          <w:sz w:val="21"/>
        </w:rPr>
      </w:pPr>
    </w:p>
    <w:p>
      <w:pPr>
        <w:pStyle w:val="BodyText"/>
        <w:spacing w:before="73"/>
        <w:ind w:left="256"/>
      </w:pPr>
      <w:r>
        <w:rPr>
          <w:b/>
        </w:rPr>
        <w:t>Table 2. </w:t>
      </w:r>
      <w:r>
        <w:rPr/>
        <w:t>Fourier transform infrared spectroscopy (FTIR) band assignments in Nylon 6,6 [26,30,33].</w:t>
      </w:r>
    </w:p>
    <w:p>
      <w:pPr>
        <w:pStyle w:val="BodyText"/>
        <w:spacing w:before="10"/>
        <w:rPr>
          <w:sz w:val="10"/>
        </w:rPr>
      </w:pPr>
    </w:p>
    <w:tbl>
      <w:tblPr>
        <w:tblW w:w="0" w:type="auto"/>
        <w:jc w:val="left"/>
        <w:tblInd w:w="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899"/>
        <w:gridCol w:w="6157"/>
      </w:tblGrid>
      <w:tr>
        <w:trPr>
          <w:trHeight w:val="317" w:hRule="exact"/>
        </w:trPr>
        <w:tc>
          <w:tcPr>
            <w:tcW w:w="2899" w:type="dxa"/>
            <w:tcBorders>
              <w:left w:val="nil"/>
              <w:bottom w:val="single" w:sz="4" w:space="0" w:color="000000"/>
              <w:right w:val="nil"/>
            </w:tcBorders>
          </w:tcPr>
          <w:p>
            <w:pPr>
              <w:pStyle w:val="TableParagraph"/>
              <w:spacing w:before="11"/>
              <w:ind w:left="270" w:right="178"/>
              <w:rPr>
                <w:b/>
                <w:sz w:val="22"/>
              </w:rPr>
            </w:pPr>
            <w:r>
              <w:rPr>
                <w:b/>
                <w:sz w:val="22"/>
              </w:rPr>
              <w:t>Band [cm</w:t>
            </w:r>
            <w:r>
              <w:rPr>
                <w:b/>
                <w:position w:val="10"/>
                <w:sz w:val="14"/>
              </w:rPr>
              <w:t>−1</w:t>
            </w:r>
            <w:r>
              <w:rPr>
                <w:b/>
                <w:sz w:val="22"/>
              </w:rPr>
              <w:t>]</w:t>
            </w:r>
          </w:p>
        </w:tc>
        <w:tc>
          <w:tcPr>
            <w:tcW w:w="6157" w:type="dxa"/>
            <w:tcBorders>
              <w:left w:val="nil"/>
              <w:bottom w:val="single" w:sz="4" w:space="0" w:color="000000"/>
              <w:right w:val="nil"/>
            </w:tcBorders>
          </w:tcPr>
          <w:p>
            <w:pPr>
              <w:pStyle w:val="TableParagraph"/>
              <w:spacing w:before="37"/>
              <w:ind w:left="199" w:right="293"/>
              <w:jc w:val="left"/>
              <w:rPr>
                <w:b/>
                <w:sz w:val="22"/>
              </w:rPr>
            </w:pPr>
            <w:r>
              <w:rPr>
                <w:b/>
                <w:sz w:val="22"/>
              </w:rPr>
              <w:t>Assignments</w:t>
            </w:r>
          </w:p>
        </w:tc>
      </w:tr>
      <w:tr>
        <w:trPr>
          <w:trHeight w:val="328" w:hRule="exact"/>
        </w:trPr>
        <w:tc>
          <w:tcPr>
            <w:tcW w:w="2899" w:type="dxa"/>
            <w:tcBorders>
              <w:top w:val="single" w:sz="4" w:space="0" w:color="000000"/>
              <w:left w:val="nil"/>
              <w:bottom w:val="nil"/>
              <w:right w:val="nil"/>
            </w:tcBorders>
          </w:tcPr>
          <w:p>
            <w:pPr>
              <w:pStyle w:val="TableParagraph"/>
              <w:spacing w:before="34"/>
              <w:ind w:left="270" w:right="180"/>
              <w:rPr>
                <w:sz w:val="22"/>
              </w:rPr>
            </w:pPr>
            <w:r>
              <w:rPr>
                <w:sz w:val="22"/>
              </w:rPr>
              <w:t>~934</w:t>
            </w:r>
          </w:p>
        </w:tc>
        <w:tc>
          <w:tcPr>
            <w:tcW w:w="6157" w:type="dxa"/>
            <w:tcBorders>
              <w:top w:val="single" w:sz="4" w:space="0" w:color="000000"/>
              <w:left w:val="nil"/>
              <w:bottom w:val="nil"/>
              <w:right w:val="nil"/>
            </w:tcBorders>
          </w:tcPr>
          <w:p>
            <w:pPr>
              <w:pStyle w:val="TableParagraph"/>
              <w:spacing w:before="34"/>
              <w:ind w:left="199" w:right="293"/>
              <w:jc w:val="left"/>
              <w:rPr>
                <w:sz w:val="22"/>
              </w:rPr>
            </w:pPr>
            <w:r>
              <w:rPr>
                <w:sz w:val="22"/>
              </w:rPr>
              <w:t>Crystalline peak, amide axial deformation (C–C=O)</w:t>
            </w:r>
          </w:p>
        </w:tc>
      </w:tr>
      <w:tr>
        <w:trPr>
          <w:trHeight w:val="300" w:hRule="exact"/>
        </w:trPr>
        <w:tc>
          <w:tcPr>
            <w:tcW w:w="2899" w:type="dxa"/>
            <w:tcBorders>
              <w:top w:val="nil"/>
              <w:left w:val="nil"/>
              <w:bottom w:val="nil"/>
              <w:right w:val="nil"/>
            </w:tcBorders>
          </w:tcPr>
          <w:p>
            <w:pPr>
              <w:pStyle w:val="TableParagraph"/>
              <w:spacing w:before="12"/>
              <w:ind w:left="270" w:right="180"/>
              <w:rPr>
                <w:sz w:val="22"/>
              </w:rPr>
            </w:pPr>
            <w:r>
              <w:rPr>
                <w:sz w:val="22"/>
              </w:rPr>
              <w:t>1033–1043 and 1063–1066</w:t>
            </w:r>
          </w:p>
        </w:tc>
        <w:tc>
          <w:tcPr>
            <w:tcW w:w="6157" w:type="dxa"/>
            <w:tcBorders>
              <w:top w:val="nil"/>
              <w:left w:val="nil"/>
              <w:bottom w:val="nil"/>
              <w:right w:val="nil"/>
            </w:tcBorders>
          </w:tcPr>
          <w:p>
            <w:pPr>
              <w:pStyle w:val="TableParagraph"/>
              <w:spacing w:before="12"/>
              <w:ind w:left="199" w:right="293"/>
              <w:jc w:val="left"/>
              <w:rPr>
                <w:sz w:val="22"/>
              </w:rPr>
            </w:pPr>
            <w:r>
              <w:rPr>
                <w:sz w:val="22"/>
              </w:rPr>
              <w:t>Triclinic structure, skeleton axial elongation (C–C)</w:t>
            </w:r>
          </w:p>
        </w:tc>
      </w:tr>
      <w:tr>
        <w:trPr>
          <w:trHeight w:val="300" w:hRule="exact"/>
        </w:trPr>
        <w:tc>
          <w:tcPr>
            <w:tcW w:w="2899" w:type="dxa"/>
            <w:tcBorders>
              <w:top w:val="nil"/>
              <w:left w:val="nil"/>
              <w:bottom w:val="nil"/>
              <w:right w:val="nil"/>
            </w:tcBorders>
          </w:tcPr>
          <w:p>
            <w:pPr>
              <w:pStyle w:val="TableParagraph"/>
              <w:spacing w:before="12"/>
              <w:ind w:left="270" w:right="180"/>
              <w:rPr>
                <w:sz w:val="22"/>
              </w:rPr>
            </w:pPr>
            <w:r>
              <w:rPr>
                <w:sz w:val="22"/>
              </w:rPr>
              <w:t>1140–1146</w:t>
            </w:r>
          </w:p>
        </w:tc>
        <w:tc>
          <w:tcPr>
            <w:tcW w:w="6157" w:type="dxa"/>
            <w:tcBorders>
              <w:top w:val="nil"/>
              <w:left w:val="nil"/>
              <w:bottom w:val="nil"/>
              <w:right w:val="nil"/>
            </w:tcBorders>
          </w:tcPr>
          <w:p>
            <w:pPr>
              <w:pStyle w:val="TableParagraph"/>
              <w:spacing w:before="12"/>
              <w:ind w:left="199" w:right="293"/>
              <w:jc w:val="left"/>
              <w:rPr>
                <w:sz w:val="22"/>
              </w:rPr>
            </w:pPr>
            <w:r>
              <w:rPr>
                <w:sz w:val="22"/>
              </w:rPr>
              <w:t>Angular deformation out of plane of carbonyl groups</w:t>
            </w:r>
          </w:p>
        </w:tc>
      </w:tr>
      <w:tr>
        <w:trPr>
          <w:trHeight w:val="600" w:hRule="exact"/>
        </w:trPr>
        <w:tc>
          <w:tcPr>
            <w:tcW w:w="2899" w:type="dxa"/>
            <w:tcBorders>
              <w:top w:val="nil"/>
              <w:left w:val="nil"/>
              <w:bottom w:val="nil"/>
              <w:right w:val="nil"/>
            </w:tcBorders>
          </w:tcPr>
          <w:p>
            <w:pPr>
              <w:pStyle w:val="TableParagraph"/>
              <w:spacing w:before="160"/>
              <w:ind w:left="270" w:right="180"/>
              <w:rPr>
                <w:sz w:val="22"/>
              </w:rPr>
            </w:pPr>
            <w:r>
              <w:rPr>
                <w:sz w:val="22"/>
              </w:rPr>
              <w:t>~1202</w:t>
            </w:r>
          </w:p>
        </w:tc>
        <w:tc>
          <w:tcPr>
            <w:tcW w:w="6157" w:type="dxa"/>
            <w:tcBorders>
              <w:top w:val="nil"/>
              <w:left w:val="nil"/>
              <w:bottom w:val="nil"/>
              <w:right w:val="nil"/>
            </w:tcBorders>
          </w:tcPr>
          <w:p>
            <w:pPr>
              <w:pStyle w:val="TableParagraph"/>
              <w:spacing w:line="285" w:lineRule="auto" w:before="12"/>
              <w:ind w:left="199" w:right="293"/>
              <w:jc w:val="left"/>
              <w:rPr>
                <w:sz w:val="22"/>
              </w:rPr>
            </w:pPr>
            <w:r>
              <w:rPr>
                <w:sz w:val="22"/>
              </w:rPr>
              <w:t>Crystalline peak: symmetrical angular deformation out of plane, amide III.</w:t>
            </w:r>
          </w:p>
        </w:tc>
      </w:tr>
      <w:tr>
        <w:trPr>
          <w:trHeight w:val="300" w:hRule="exact"/>
        </w:trPr>
        <w:tc>
          <w:tcPr>
            <w:tcW w:w="2899" w:type="dxa"/>
            <w:tcBorders>
              <w:top w:val="nil"/>
              <w:left w:val="nil"/>
              <w:bottom w:val="nil"/>
              <w:right w:val="nil"/>
            </w:tcBorders>
          </w:tcPr>
          <w:p>
            <w:pPr>
              <w:pStyle w:val="TableParagraph"/>
              <w:spacing w:before="12"/>
              <w:ind w:left="270" w:right="180"/>
              <w:rPr>
                <w:sz w:val="22"/>
              </w:rPr>
            </w:pPr>
            <w:r>
              <w:rPr>
                <w:sz w:val="22"/>
              </w:rPr>
              <w:t>~1220</w:t>
            </w:r>
          </w:p>
        </w:tc>
        <w:tc>
          <w:tcPr>
            <w:tcW w:w="6157" w:type="dxa"/>
            <w:tcBorders>
              <w:top w:val="nil"/>
              <w:left w:val="nil"/>
              <w:bottom w:val="nil"/>
              <w:right w:val="nil"/>
            </w:tcBorders>
          </w:tcPr>
          <w:p>
            <w:pPr>
              <w:pStyle w:val="TableParagraph"/>
              <w:spacing w:before="12"/>
              <w:ind w:left="199" w:right="293"/>
              <w:jc w:val="left"/>
              <w:rPr>
                <w:sz w:val="22"/>
              </w:rPr>
            </w:pPr>
            <w:r>
              <w:rPr>
                <w:sz w:val="22"/>
              </w:rPr>
              <w:t>Angular deformation out of plane,(H–N–C=O)</w:t>
            </w:r>
          </w:p>
        </w:tc>
      </w:tr>
      <w:tr>
        <w:trPr>
          <w:trHeight w:val="300" w:hRule="exact"/>
        </w:trPr>
        <w:tc>
          <w:tcPr>
            <w:tcW w:w="2899" w:type="dxa"/>
            <w:tcBorders>
              <w:top w:val="nil"/>
              <w:left w:val="nil"/>
              <w:bottom w:val="nil"/>
              <w:right w:val="nil"/>
            </w:tcBorders>
          </w:tcPr>
          <w:p>
            <w:pPr>
              <w:pStyle w:val="TableParagraph"/>
              <w:spacing w:before="12"/>
              <w:ind w:left="270" w:right="180"/>
              <w:rPr>
                <w:sz w:val="22"/>
              </w:rPr>
            </w:pPr>
            <w:r>
              <w:rPr>
                <w:sz w:val="22"/>
              </w:rPr>
              <w:t>1300–1305</w:t>
            </w:r>
          </w:p>
        </w:tc>
        <w:tc>
          <w:tcPr>
            <w:tcW w:w="6157" w:type="dxa"/>
            <w:tcBorders>
              <w:top w:val="nil"/>
              <w:left w:val="nil"/>
              <w:bottom w:val="nil"/>
              <w:right w:val="nil"/>
            </w:tcBorders>
          </w:tcPr>
          <w:p>
            <w:pPr>
              <w:pStyle w:val="TableParagraph"/>
              <w:spacing w:before="12"/>
              <w:ind w:left="199" w:right="293"/>
              <w:jc w:val="left"/>
              <w:rPr>
                <w:sz w:val="22"/>
              </w:rPr>
            </w:pPr>
            <w:r>
              <w:rPr>
                <w:sz w:val="22"/>
              </w:rPr>
              <w:t>Angular deformation out of plane, N–H</w:t>
            </w:r>
          </w:p>
        </w:tc>
      </w:tr>
      <w:tr>
        <w:trPr>
          <w:trHeight w:val="300" w:hRule="exact"/>
        </w:trPr>
        <w:tc>
          <w:tcPr>
            <w:tcW w:w="2899" w:type="dxa"/>
            <w:tcBorders>
              <w:top w:val="nil"/>
              <w:left w:val="nil"/>
              <w:bottom w:val="nil"/>
              <w:right w:val="nil"/>
            </w:tcBorders>
          </w:tcPr>
          <w:p>
            <w:pPr>
              <w:pStyle w:val="TableParagraph"/>
              <w:spacing w:before="12"/>
              <w:ind w:left="270" w:right="180"/>
              <w:rPr>
                <w:sz w:val="22"/>
              </w:rPr>
            </w:pPr>
            <w:r>
              <w:rPr>
                <w:sz w:val="22"/>
              </w:rPr>
              <w:t>~1370</w:t>
            </w:r>
          </w:p>
        </w:tc>
        <w:tc>
          <w:tcPr>
            <w:tcW w:w="6157" w:type="dxa"/>
            <w:tcBorders>
              <w:top w:val="nil"/>
              <w:left w:val="nil"/>
              <w:bottom w:val="nil"/>
              <w:right w:val="nil"/>
            </w:tcBorders>
          </w:tcPr>
          <w:p>
            <w:pPr>
              <w:pStyle w:val="TableParagraph"/>
              <w:spacing w:before="12"/>
              <w:ind w:left="199" w:right="293"/>
              <w:jc w:val="left"/>
              <w:rPr>
                <w:sz w:val="22"/>
              </w:rPr>
            </w:pPr>
            <w:r>
              <w:rPr>
                <w:sz w:val="22"/>
              </w:rPr>
              <w:t>C–N axial deformation</w:t>
            </w:r>
          </w:p>
        </w:tc>
      </w:tr>
      <w:tr>
        <w:trPr>
          <w:trHeight w:val="308" w:hRule="exact"/>
        </w:trPr>
        <w:tc>
          <w:tcPr>
            <w:tcW w:w="2899" w:type="dxa"/>
            <w:tcBorders>
              <w:top w:val="nil"/>
              <w:left w:val="nil"/>
              <w:bottom w:val="nil"/>
              <w:right w:val="nil"/>
            </w:tcBorders>
          </w:tcPr>
          <w:p>
            <w:pPr>
              <w:pStyle w:val="TableParagraph"/>
              <w:spacing w:before="12"/>
              <w:ind w:left="270" w:right="180"/>
              <w:rPr>
                <w:sz w:val="22"/>
              </w:rPr>
            </w:pPr>
            <w:r>
              <w:rPr>
                <w:sz w:val="22"/>
              </w:rPr>
              <w:t>~1440</w:t>
            </w:r>
          </w:p>
        </w:tc>
        <w:tc>
          <w:tcPr>
            <w:tcW w:w="6157" w:type="dxa"/>
            <w:tcBorders>
              <w:top w:val="nil"/>
              <w:left w:val="nil"/>
              <w:bottom w:val="nil"/>
              <w:right w:val="nil"/>
            </w:tcBorders>
          </w:tcPr>
          <w:p>
            <w:pPr>
              <w:pStyle w:val="TableParagraph"/>
              <w:spacing w:before="12"/>
              <w:ind w:left="199" w:right="293"/>
              <w:jc w:val="left"/>
              <w:rPr>
                <w:sz w:val="22"/>
              </w:rPr>
            </w:pPr>
            <w:r>
              <w:rPr>
                <w:sz w:val="22"/>
              </w:rPr>
              <w:t>CH</w:t>
            </w:r>
            <w:r>
              <w:rPr>
                <w:position w:val="-2"/>
                <w:sz w:val="14"/>
              </w:rPr>
              <w:t>2 </w:t>
            </w:r>
            <w:r>
              <w:rPr>
                <w:sz w:val="22"/>
              </w:rPr>
              <w:t>deformation</w:t>
            </w:r>
          </w:p>
        </w:tc>
      </w:tr>
      <w:tr>
        <w:trPr>
          <w:trHeight w:val="592" w:hRule="exact"/>
        </w:trPr>
        <w:tc>
          <w:tcPr>
            <w:tcW w:w="2899" w:type="dxa"/>
            <w:tcBorders>
              <w:top w:val="nil"/>
              <w:left w:val="nil"/>
              <w:bottom w:val="nil"/>
              <w:right w:val="nil"/>
            </w:tcBorders>
          </w:tcPr>
          <w:p>
            <w:pPr>
              <w:pStyle w:val="TableParagraph"/>
              <w:spacing w:before="153"/>
              <w:ind w:left="270" w:right="180"/>
              <w:rPr>
                <w:sz w:val="22"/>
              </w:rPr>
            </w:pPr>
            <w:r>
              <w:rPr>
                <w:sz w:val="22"/>
              </w:rPr>
              <w:t>1535–1555</w:t>
            </w:r>
          </w:p>
        </w:tc>
        <w:tc>
          <w:tcPr>
            <w:tcW w:w="6157" w:type="dxa"/>
            <w:tcBorders>
              <w:top w:val="nil"/>
              <w:left w:val="nil"/>
              <w:bottom w:val="nil"/>
              <w:right w:val="nil"/>
            </w:tcBorders>
          </w:tcPr>
          <w:p>
            <w:pPr>
              <w:pStyle w:val="TableParagraph"/>
              <w:spacing w:line="285" w:lineRule="auto" w:before="4"/>
              <w:ind w:left="199" w:right="146"/>
              <w:jc w:val="left"/>
              <w:rPr>
                <w:sz w:val="22"/>
              </w:rPr>
            </w:pPr>
            <w:r>
              <w:rPr>
                <w:sz w:val="22"/>
              </w:rPr>
              <w:t>C–N axial deformation and CO–N–H angular deformation, amide II</w:t>
            </w:r>
          </w:p>
        </w:tc>
      </w:tr>
      <w:tr>
        <w:trPr>
          <w:trHeight w:val="300" w:hRule="exact"/>
        </w:trPr>
        <w:tc>
          <w:tcPr>
            <w:tcW w:w="2899" w:type="dxa"/>
            <w:tcBorders>
              <w:top w:val="nil"/>
              <w:left w:val="nil"/>
              <w:bottom w:val="nil"/>
              <w:right w:val="nil"/>
            </w:tcBorders>
          </w:tcPr>
          <w:p>
            <w:pPr>
              <w:pStyle w:val="TableParagraph"/>
              <w:spacing w:before="12"/>
              <w:ind w:left="270" w:right="180"/>
              <w:rPr>
                <w:sz w:val="22"/>
              </w:rPr>
            </w:pPr>
            <w:r>
              <w:rPr>
                <w:sz w:val="22"/>
              </w:rPr>
              <w:t>~1640</w:t>
            </w:r>
          </w:p>
        </w:tc>
        <w:tc>
          <w:tcPr>
            <w:tcW w:w="6157" w:type="dxa"/>
            <w:tcBorders>
              <w:top w:val="nil"/>
              <w:left w:val="nil"/>
              <w:bottom w:val="nil"/>
              <w:right w:val="nil"/>
            </w:tcBorders>
          </w:tcPr>
          <w:p>
            <w:pPr>
              <w:pStyle w:val="TableParagraph"/>
              <w:spacing w:before="12"/>
              <w:ind w:left="199" w:right="293"/>
              <w:jc w:val="left"/>
              <w:rPr>
                <w:sz w:val="22"/>
              </w:rPr>
            </w:pPr>
            <w:r>
              <w:rPr>
                <w:sz w:val="22"/>
              </w:rPr>
              <w:t>C=O axial deformation, amide I</w:t>
            </w:r>
          </w:p>
        </w:tc>
      </w:tr>
      <w:tr>
        <w:trPr>
          <w:trHeight w:val="308" w:hRule="exact"/>
        </w:trPr>
        <w:tc>
          <w:tcPr>
            <w:tcW w:w="2899" w:type="dxa"/>
            <w:tcBorders>
              <w:top w:val="nil"/>
              <w:left w:val="nil"/>
              <w:bottom w:val="nil"/>
              <w:right w:val="nil"/>
            </w:tcBorders>
          </w:tcPr>
          <w:p>
            <w:pPr>
              <w:pStyle w:val="TableParagraph"/>
              <w:spacing w:before="12"/>
              <w:ind w:left="270" w:right="180"/>
              <w:rPr>
                <w:sz w:val="22"/>
              </w:rPr>
            </w:pPr>
            <w:r>
              <w:rPr>
                <w:sz w:val="22"/>
              </w:rPr>
              <w:t>~2858</w:t>
            </w:r>
          </w:p>
        </w:tc>
        <w:tc>
          <w:tcPr>
            <w:tcW w:w="6157" w:type="dxa"/>
            <w:tcBorders>
              <w:top w:val="nil"/>
              <w:left w:val="nil"/>
              <w:bottom w:val="nil"/>
              <w:right w:val="nil"/>
            </w:tcBorders>
          </w:tcPr>
          <w:p>
            <w:pPr>
              <w:pStyle w:val="TableParagraph"/>
              <w:spacing w:before="12"/>
              <w:ind w:left="199" w:right="293"/>
              <w:jc w:val="left"/>
              <w:rPr>
                <w:sz w:val="22"/>
              </w:rPr>
            </w:pPr>
            <w:r>
              <w:rPr>
                <w:sz w:val="22"/>
              </w:rPr>
              <w:t>CH</w:t>
            </w:r>
            <w:r>
              <w:rPr>
                <w:position w:val="-2"/>
                <w:sz w:val="14"/>
              </w:rPr>
              <w:t>2  </w:t>
            </w:r>
            <w:r>
              <w:rPr>
                <w:sz w:val="22"/>
              </w:rPr>
              <w:t>axial deformation</w:t>
            </w:r>
          </w:p>
        </w:tc>
      </w:tr>
      <w:tr>
        <w:trPr>
          <w:trHeight w:val="300" w:hRule="exact"/>
        </w:trPr>
        <w:tc>
          <w:tcPr>
            <w:tcW w:w="2899" w:type="dxa"/>
            <w:tcBorders>
              <w:top w:val="nil"/>
              <w:left w:val="nil"/>
              <w:bottom w:val="nil"/>
              <w:right w:val="nil"/>
            </w:tcBorders>
          </w:tcPr>
          <w:p>
            <w:pPr>
              <w:pStyle w:val="TableParagraph"/>
              <w:spacing w:before="4"/>
              <w:ind w:left="270" w:right="180"/>
              <w:rPr>
                <w:sz w:val="22"/>
              </w:rPr>
            </w:pPr>
            <w:r>
              <w:rPr>
                <w:sz w:val="22"/>
              </w:rPr>
              <w:t>~2950</w:t>
            </w:r>
          </w:p>
        </w:tc>
        <w:tc>
          <w:tcPr>
            <w:tcW w:w="6157" w:type="dxa"/>
            <w:tcBorders>
              <w:top w:val="nil"/>
              <w:left w:val="nil"/>
              <w:bottom w:val="nil"/>
              <w:right w:val="nil"/>
            </w:tcBorders>
          </w:tcPr>
          <w:p>
            <w:pPr>
              <w:pStyle w:val="TableParagraph"/>
              <w:spacing w:before="4"/>
              <w:ind w:left="199" w:right="293"/>
              <w:jc w:val="left"/>
              <w:rPr>
                <w:sz w:val="22"/>
              </w:rPr>
            </w:pPr>
            <w:r>
              <w:rPr>
                <w:sz w:val="22"/>
              </w:rPr>
              <w:t>CH</w:t>
            </w:r>
            <w:r>
              <w:rPr>
                <w:position w:val="-2"/>
                <w:sz w:val="14"/>
              </w:rPr>
              <w:t>2  </w:t>
            </w:r>
            <w:r>
              <w:rPr>
                <w:sz w:val="22"/>
              </w:rPr>
              <w:t>axial deformation</w:t>
            </w:r>
          </w:p>
        </w:tc>
      </w:tr>
      <w:tr>
        <w:trPr>
          <w:trHeight w:val="292" w:hRule="exact"/>
        </w:trPr>
        <w:tc>
          <w:tcPr>
            <w:tcW w:w="2899" w:type="dxa"/>
            <w:tcBorders>
              <w:top w:val="nil"/>
              <w:left w:val="nil"/>
              <w:bottom w:val="nil"/>
              <w:right w:val="nil"/>
            </w:tcBorders>
          </w:tcPr>
          <w:p>
            <w:pPr>
              <w:pStyle w:val="TableParagraph"/>
              <w:spacing w:before="4"/>
              <w:ind w:left="270" w:right="180"/>
              <w:rPr>
                <w:sz w:val="22"/>
              </w:rPr>
            </w:pPr>
            <w:r>
              <w:rPr>
                <w:sz w:val="22"/>
              </w:rPr>
              <w:t>~3080</w:t>
            </w:r>
          </w:p>
        </w:tc>
        <w:tc>
          <w:tcPr>
            <w:tcW w:w="6157" w:type="dxa"/>
            <w:tcBorders>
              <w:top w:val="nil"/>
              <w:left w:val="nil"/>
              <w:bottom w:val="nil"/>
              <w:right w:val="nil"/>
            </w:tcBorders>
          </w:tcPr>
          <w:p>
            <w:pPr>
              <w:pStyle w:val="TableParagraph"/>
              <w:spacing w:before="4"/>
              <w:ind w:left="199" w:right="293"/>
              <w:jc w:val="left"/>
              <w:rPr>
                <w:sz w:val="22"/>
              </w:rPr>
            </w:pPr>
            <w:r>
              <w:rPr>
                <w:sz w:val="22"/>
              </w:rPr>
              <w:t>N–H angular deformation in the plane</w:t>
            </w:r>
          </w:p>
        </w:tc>
      </w:tr>
      <w:tr>
        <w:trPr>
          <w:trHeight w:val="287" w:hRule="exact"/>
        </w:trPr>
        <w:tc>
          <w:tcPr>
            <w:tcW w:w="2899" w:type="dxa"/>
            <w:tcBorders>
              <w:top w:val="nil"/>
              <w:left w:val="nil"/>
              <w:right w:val="nil"/>
            </w:tcBorders>
          </w:tcPr>
          <w:p>
            <w:pPr>
              <w:pStyle w:val="TableParagraph"/>
              <w:spacing w:before="12"/>
              <w:ind w:left="270" w:right="180"/>
              <w:rPr>
                <w:sz w:val="22"/>
              </w:rPr>
            </w:pPr>
            <w:r>
              <w:rPr>
                <w:sz w:val="22"/>
              </w:rPr>
              <w:t>~3300</w:t>
            </w:r>
          </w:p>
        </w:tc>
        <w:tc>
          <w:tcPr>
            <w:tcW w:w="6157" w:type="dxa"/>
            <w:tcBorders>
              <w:top w:val="nil"/>
              <w:left w:val="nil"/>
              <w:right w:val="nil"/>
            </w:tcBorders>
          </w:tcPr>
          <w:p>
            <w:pPr>
              <w:pStyle w:val="TableParagraph"/>
              <w:spacing w:before="12"/>
              <w:ind w:left="199" w:right="293"/>
              <w:jc w:val="left"/>
              <w:rPr>
                <w:sz w:val="22"/>
              </w:rPr>
            </w:pPr>
            <w:r>
              <w:rPr>
                <w:sz w:val="22"/>
              </w:rPr>
              <w:t>Free N–H axial deformation</w:t>
            </w:r>
          </w:p>
        </w:tc>
      </w:tr>
    </w:tbl>
    <w:p>
      <w:pPr>
        <w:spacing w:after="0"/>
        <w:jc w:val="left"/>
        <w:rPr>
          <w:sz w:val="22"/>
        </w:rPr>
        <w:sectPr>
          <w:pgSz w:w="12240" w:h="15840"/>
          <w:pgMar w:header="730" w:footer="1060" w:top="1160" w:bottom="1260" w:left="1460" w:right="1480"/>
        </w:sectPr>
      </w:pPr>
    </w:p>
    <w:p>
      <w:pPr>
        <w:pStyle w:val="BodyText"/>
        <w:spacing w:before="6"/>
        <w:rPr>
          <w:sz w:val="18"/>
        </w:rPr>
      </w:pPr>
    </w:p>
    <w:p>
      <w:pPr>
        <w:pStyle w:val="BodyText"/>
        <w:spacing w:line="300" w:lineRule="auto" w:before="82"/>
        <w:ind w:left="136" w:right="713"/>
        <w:jc w:val="center"/>
      </w:pPr>
      <w:r>
        <w:rPr>
          <w:b/>
        </w:rPr>
        <w:t>Figure 4. </w:t>
      </w:r>
      <w:r>
        <w:rPr/>
        <w:t>FTIR spectra of (</w:t>
      </w:r>
      <w:r>
        <w:rPr>
          <w:b/>
        </w:rPr>
        <w:t>A</w:t>
      </w:r>
      <w:r>
        <w:rPr/>
        <w:t>) zoom-in of ~935 cm</w:t>
      </w:r>
      <w:r>
        <w:rPr>
          <w:position w:val="10"/>
          <w:sz w:val="14"/>
        </w:rPr>
        <w:t>−1 </w:t>
      </w:r>
      <w:r>
        <w:rPr/>
        <w:t>peak; (</w:t>
      </w:r>
      <w:r>
        <w:rPr>
          <w:b/>
        </w:rPr>
        <w:t>B</w:t>
      </w:r>
      <w:r>
        <w:rPr/>
        <w:t>) zoom-in of ~1200 cm</w:t>
      </w:r>
      <w:r>
        <w:rPr>
          <w:position w:val="10"/>
          <w:sz w:val="14"/>
        </w:rPr>
        <w:t>−1 </w:t>
      </w:r>
      <w:r>
        <w:rPr/>
        <w:t>peak and (</w:t>
      </w:r>
      <w:r>
        <w:rPr>
          <w:b/>
        </w:rPr>
        <w:t>C</w:t>
      </w:r>
      <w:r>
        <w:rPr/>
        <w:t>) region of 900–3500 cm</w:t>
      </w:r>
      <w:r>
        <w:rPr>
          <w:position w:val="10"/>
          <w:sz w:val="14"/>
        </w:rPr>
        <w:t>−1  </w:t>
      </w:r>
      <w:r>
        <w:rPr/>
        <w:t>of the samples: (</w:t>
      </w:r>
      <w:r>
        <w:rPr>
          <w:b/>
        </w:rPr>
        <w:t>a</w:t>
      </w:r>
      <w:r>
        <w:rPr/>
        <w:t>) pure PA66; (</w:t>
      </w:r>
      <w:r>
        <w:rPr>
          <w:b/>
        </w:rPr>
        <w:t>b</w:t>
      </w:r>
      <w:r>
        <w:rPr/>
        <w:t>) PA66/01CNTs; (</w:t>
      </w:r>
      <w:r>
        <w:rPr>
          <w:b/>
        </w:rPr>
        <w:t>c</w:t>
      </w:r>
      <w:r>
        <w:rPr/>
        <w:t>)</w:t>
      </w:r>
    </w:p>
    <w:p>
      <w:pPr>
        <w:pStyle w:val="BodyText"/>
        <w:spacing w:before="19"/>
        <w:ind w:left="135" w:right="713"/>
        <w:jc w:val="center"/>
      </w:pPr>
      <w:r>
        <w:rPr/>
        <w:t>PA66/05CNTs; (</w:t>
      </w:r>
      <w:r>
        <w:rPr>
          <w:b/>
        </w:rPr>
        <w:t>d</w:t>
      </w:r>
      <w:r>
        <w:rPr/>
        <w:t>) PA66/10CNTs; (</w:t>
      </w:r>
      <w:r>
        <w:rPr>
          <w:b/>
        </w:rPr>
        <w:t>e</w:t>
      </w:r>
      <w:r>
        <w:rPr/>
        <w:t>) PA66/01OCNTs; (</w:t>
      </w:r>
      <w:r>
        <w:rPr>
          <w:b/>
        </w:rPr>
        <w:t>f</w:t>
      </w:r>
      <w:r>
        <w:rPr/>
        <w:t>) PA66/05OCNTs and</w:t>
      </w:r>
    </w:p>
    <w:p>
      <w:pPr>
        <w:pStyle w:val="BodyText"/>
        <w:spacing w:before="85"/>
        <w:ind w:left="3343" w:right="41"/>
      </w:pPr>
      <w:r>
        <w:rPr/>
        <w:t>(</w:t>
      </w:r>
      <w:r>
        <w:rPr>
          <w:b/>
        </w:rPr>
        <w:t>g</w:t>
      </w:r>
      <w:r>
        <w:rPr/>
        <w:t>) PA66/10OCNTs.</w:t>
      </w:r>
    </w:p>
    <w:p>
      <w:pPr>
        <w:pStyle w:val="BodyText"/>
        <w:spacing w:before="1"/>
        <w:rPr>
          <w:sz w:val="18"/>
        </w:rPr>
      </w:pPr>
      <w:r>
        <w:rPr/>
        <w:drawing>
          <wp:anchor distT="0" distB="0" distL="0" distR="0" allowOverlap="1" layoutInCell="1" locked="0" behindDoc="0" simplePos="0" relativeHeight="2128">
            <wp:simplePos x="0" y="0"/>
            <wp:positionH relativeFrom="page">
              <wp:posOffset>2420620</wp:posOffset>
            </wp:positionH>
            <wp:positionV relativeFrom="paragraph">
              <wp:posOffset>157107</wp:posOffset>
            </wp:positionV>
            <wp:extent cx="2926493" cy="2854737"/>
            <wp:effectExtent l="0" t="0" r="0" b="0"/>
            <wp:wrapTopAndBottom/>
            <wp:docPr id="47" name="image32.jpeg" descr=""/>
            <wp:cNvGraphicFramePr>
              <a:graphicFrameLocks noChangeAspect="1"/>
            </wp:cNvGraphicFramePr>
            <a:graphic>
              <a:graphicData uri="http://schemas.openxmlformats.org/drawingml/2006/picture">
                <pic:pic>
                  <pic:nvPicPr>
                    <pic:cNvPr id="48" name="image32.jpeg"/>
                    <pic:cNvPicPr/>
                  </pic:nvPicPr>
                  <pic:blipFill>
                    <a:blip r:embed="rId62" cstate="print"/>
                    <a:stretch>
                      <a:fillRect/>
                    </a:stretch>
                  </pic:blipFill>
                  <pic:spPr>
                    <a:xfrm>
                      <a:off x="0" y="0"/>
                      <a:ext cx="2926493" cy="2854737"/>
                    </a:xfrm>
                    <a:prstGeom prst="rect">
                      <a:avLst/>
                    </a:prstGeom>
                  </pic:spPr>
                </pic:pic>
              </a:graphicData>
            </a:graphic>
          </wp:anchor>
        </w:drawing>
      </w:r>
    </w:p>
    <w:p>
      <w:pPr>
        <w:pStyle w:val="BodyText"/>
        <w:spacing w:before="8"/>
        <w:rPr>
          <w:sz w:val="26"/>
        </w:rPr>
      </w:pPr>
    </w:p>
    <w:p>
      <w:pPr>
        <w:pStyle w:val="BodyText"/>
        <w:spacing w:line="309" w:lineRule="auto"/>
        <w:ind w:left="138" w:right="713"/>
        <w:jc w:val="center"/>
      </w:pPr>
      <w:r>
        <w:rPr>
          <w:b/>
        </w:rPr>
        <w:t>Figure 5. </w:t>
      </w:r>
      <w:r>
        <w:rPr/>
        <w:t>FTIR spectra of (</w:t>
      </w:r>
      <w:r>
        <w:rPr>
          <w:b/>
        </w:rPr>
        <w:t>A</w:t>
      </w:r>
      <w:r>
        <w:rPr/>
        <w:t>) zoom-in of ~935 cm</w:t>
      </w:r>
      <w:r>
        <w:rPr>
          <w:position w:val="10"/>
          <w:sz w:val="14"/>
        </w:rPr>
        <w:t>−1 </w:t>
      </w:r>
      <w:r>
        <w:rPr/>
        <w:t>peak</w:t>
      </w:r>
      <w:r>
        <w:rPr>
          <w:b/>
        </w:rPr>
        <w:t>; </w:t>
      </w:r>
      <w:r>
        <w:rPr/>
        <w:t>(</w:t>
      </w:r>
      <w:r>
        <w:rPr>
          <w:b/>
        </w:rPr>
        <w:t>B</w:t>
      </w:r>
      <w:r>
        <w:rPr/>
        <w:t>) zoom-in of ~1200 cm</w:t>
      </w:r>
      <w:r>
        <w:rPr>
          <w:position w:val="10"/>
          <w:sz w:val="14"/>
        </w:rPr>
        <w:t>−1 </w:t>
      </w:r>
      <w:r>
        <w:rPr/>
        <w:t>peak and (</w:t>
      </w:r>
      <w:r>
        <w:rPr>
          <w:b/>
        </w:rPr>
        <w:t>C</w:t>
      </w:r>
      <w:r>
        <w:rPr/>
        <w:t>) region of 900–3500 cm</w:t>
      </w:r>
      <w:r>
        <w:rPr>
          <w:position w:val="10"/>
          <w:sz w:val="14"/>
        </w:rPr>
        <w:t>−1 </w:t>
      </w:r>
      <w:r>
        <w:rPr/>
        <w:t>of the samples: (</w:t>
      </w:r>
      <w:r>
        <w:rPr>
          <w:b/>
        </w:rPr>
        <w:t>a</w:t>
      </w:r>
      <w:r>
        <w:rPr/>
        <w:t>) pure PA66; (</w:t>
      </w:r>
      <w:r>
        <w:rPr>
          <w:b/>
        </w:rPr>
        <w:t>b</w:t>
      </w:r>
      <w:r>
        <w:rPr/>
        <w:t>) PA66/01RGO; (</w:t>
      </w:r>
      <w:r>
        <w:rPr>
          <w:b/>
        </w:rPr>
        <w:t>c</w:t>
      </w:r>
      <w:r>
        <w:rPr/>
        <w:t>) PA66/05RGO; (</w:t>
      </w:r>
      <w:r>
        <w:rPr>
          <w:b/>
        </w:rPr>
        <w:t>d</w:t>
      </w:r>
      <w:r>
        <w:rPr/>
        <w:t>) PA66/10RGO; (</w:t>
      </w:r>
      <w:r>
        <w:rPr>
          <w:b/>
        </w:rPr>
        <w:t>e</w:t>
      </w:r>
      <w:r>
        <w:rPr/>
        <w:t>) PA66/01GO; (</w:t>
      </w:r>
      <w:r>
        <w:rPr>
          <w:b/>
        </w:rPr>
        <w:t>f</w:t>
      </w:r>
      <w:r>
        <w:rPr/>
        <w:t>) PA66/05GO and (</w:t>
      </w:r>
      <w:r>
        <w:rPr>
          <w:b/>
        </w:rPr>
        <w:t>g</w:t>
      </w:r>
      <w:r>
        <w:rPr/>
        <w:t>) PA66/10GO.</w:t>
      </w:r>
    </w:p>
    <w:p>
      <w:pPr>
        <w:pStyle w:val="BodyText"/>
        <w:spacing w:before="10"/>
        <w:rPr>
          <w:sz w:val="11"/>
        </w:rPr>
      </w:pPr>
      <w:r>
        <w:rPr/>
        <w:drawing>
          <wp:anchor distT="0" distB="0" distL="0" distR="0" allowOverlap="1" layoutInCell="1" locked="0" behindDoc="0" simplePos="0" relativeHeight="2152">
            <wp:simplePos x="0" y="0"/>
            <wp:positionH relativeFrom="page">
              <wp:posOffset>2411857</wp:posOffset>
            </wp:positionH>
            <wp:positionV relativeFrom="paragraph">
              <wp:posOffset>111479</wp:posOffset>
            </wp:positionV>
            <wp:extent cx="2931077" cy="2842450"/>
            <wp:effectExtent l="0" t="0" r="0" b="0"/>
            <wp:wrapTopAndBottom/>
            <wp:docPr id="49" name="image33.jpeg" descr=""/>
            <wp:cNvGraphicFramePr>
              <a:graphicFrameLocks noChangeAspect="1"/>
            </wp:cNvGraphicFramePr>
            <a:graphic>
              <a:graphicData uri="http://schemas.openxmlformats.org/drawingml/2006/picture">
                <pic:pic>
                  <pic:nvPicPr>
                    <pic:cNvPr id="50" name="image33.jpeg"/>
                    <pic:cNvPicPr/>
                  </pic:nvPicPr>
                  <pic:blipFill>
                    <a:blip r:embed="rId63" cstate="print"/>
                    <a:stretch>
                      <a:fillRect/>
                    </a:stretch>
                  </pic:blipFill>
                  <pic:spPr>
                    <a:xfrm>
                      <a:off x="0" y="0"/>
                      <a:ext cx="2931077" cy="2842450"/>
                    </a:xfrm>
                    <a:prstGeom prst="rect">
                      <a:avLst/>
                    </a:prstGeom>
                  </pic:spPr>
                </pic:pic>
              </a:graphicData>
            </a:graphic>
          </wp:anchor>
        </w:drawing>
      </w:r>
    </w:p>
    <w:p>
      <w:pPr>
        <w:spacing w:after="0"/>
        <w:rPr>
          <w:sz w:val="11"/>
        </w:rPr>
        <w:sectPr>
          <w:pgSz w:w="12240" w:h="15840"/>
          <w:pgMar w:header="730" w:footer="1060" w:top="1160" w:bottom="1260" w:left="1580" w:right="1560"/>
        </w:sectPr>
      </w:pPr>
    </w:p>
    <w:p>
      <w:pPr>
        <w:pStyle w:val="BodyText"/>
        <w:spacing w:before="6"/>
        <w:rPr>
          <w:sz w:val="21"/>
        </w:rPr>
      </w:pPr>
    </w:p>
    <w:p>
      <w:pPr>
        <w:pStyle w:val="BodyText"/>
        <w:spacing w:line="324" w:lineRule="auto" w:before="73"/>
        <w:ind w:left="158" w:right="173"/>
        <w:jc w:val="center"/>
      </w:pPr>
      <w:r>
        <w:rPr>
          <w:b/>
        </w:rPr>
        <w:t>Figure 6. </w:t>
      </w:r>
      <w:r>
        <w:rPr/>
        <w:t>Nanofibres intramolecular bonding in the (</w:t>
      </w:r>
      <w:r>
        <w:rPr>
          <w:b/>
        </w:rPr>
        <w:t>a</w:t>
      </w:r>
      <w:r>
        <w:rPr/>
        <w:t>,</w:t>
      </w:r>
      <w:r>
        <w:rPr>
          <w:b/>
        </w:rPr>
        <w:t>c</w:t>
      </w:r>
      <w:r>
        <w:rPr/>
        <w:t>) PA66/OCNTs and the (</w:t>
      </w:r>
      <w:r>
        <w:rPr>
          <w:b/>
        </w:rPr>
        <w:t>b</w:t>
      </w:r>
      <w:r>
        <w:rPr/>
        <w:t>,</w:t>
      </w:r>
      <w:r>
        <w:rPr>
          <w:b/>
        </w:rPr>
        <w:t>d</w:t>
      </w:r>
      <w:r>
        <w:rPr/>
        <w:t>) PA66/GO nanocomposites.</w:t>
      </w:r>
    </w:p>
    <w:p>
      <w:pPr>
        <w:pStyle w:val="BodyText"/>
        <w:spacing w:before="7"/>
        <w:rPr>
          <w:sz w:val="10"/>
        </w:rPr>
      </w:pPr>
      <w:r>
        <w:rPr/>
        <w:drawing>
          <wp:anchor distT="0" distB="0" distL="0" distR="0" allowOverlap="1" layoutInCell="1" locked="0" behindDoc="0" simplePos="0" relativeHeight="2176">
            <wp:simplePos x="0" y="0"/>
            <wp:positionH relativeFrom="page">
              <wp:posOffset>1357375</wp:posOffset>
            </wp:positionH>
            <wp:positionV relativeFrom="paragraph">
              <wp:posOffset>102832</wp:posOffset>
            </wp:positionV>
            <wp:extent cx="5044047" cy="4291869"/>
            <wp:effectExtent l="0" t="0" r="0" b="0"/>
            <wp:wrapTopAndBottom/>
            <wp:docPr id="51" name="image34.jpeg" descr=""/>
            <wp:cNvGraphicFramePr>
              <a:graphicFrameLocks noChangeAspect="1"/>
            </wp:cNvGraphicFramePr>
            <a:graphic>
              <a:graphicData uri="http://schemas.openxmlformats.org/drawingml/2006/picture">
                <pic:pic>
                  <pic:nvPicPr>
                    <pic:cNvPr id="52" name="image34.jpeg"/>
                    <pic:cNvPicPr/>
                  </pic:nvPicPr>
                  <pic:blipFill>
                    <a:blip r:embed="rId64" cstate="print"/>
                    <a:stretch>
                      <a:fillRect/>
                    </a:stretch>
                  </pic:blipFill>
                  <pic:spPr>
                    <a:xfrm>
                      <a:off x="0" y="0"/>
                      <a:ext cx="5044047" cy="4291869"/>
                    </a:xfrm>
                    <a:prstGeom prst="rect">
                      <a:avLst/>
                    </a:prstGeom>
                  </pic:spPr>
                </pic:pic>
              </a:graphicData>
            </a:graphic>
          </wp:anchor>
        </w:drawing>
      </w:r>
    </w:p>
    <w:p>
      <w:pPr>
        <w:pStyle w:val="BodyText"/>
        <w:spacing w:before="1"/>
        <w:rPr>
          <w:sz w:val="29"/>
        </w:rPr>
      </w:pPr>
    </w:p>
    <w:p>
      <w:pPr>
        <w:pStyle w:val="BodyText"/>
        <w:spacing w:line="324" w:lineRule="auto" w:before="1"/>
        <w:ind w:left="122" w:right="135" w:firstLine="288"/>
        <w:jc w:val="both"/>
      </w:pPr>
      <w:r>
        <w:rPr/>
        <w:t>IR and Raman spectroscopy are complementary to each other. Strong IR bands are related to polar functional groups whereas non-polar functional groups give rise to strong Raman bands [33]. Raman spectra of the nanocomposites are shown in Figures 7 and 8. C–C=O stretching is found at</w:t>
      </w:r>
    </w:p>
    <w:p>
      <w:pPr>
        <w:pStyle w:val="BodyText"/>
        <w:spacing w:line="253" w:lineRule="exact"/>
        <w:ind w:left="122"/>
        <w:jc w:val="both"/>
      </w:pPr>
      <w:r>
        <w:rPr/>
        <w:t>~945 cm</w:t>
      </w:r>
      <w:r>
        <w:rPr>
          <w:position w:val="10"/>
          <w:sz w:val="14"/>
        </w:rPr>
        <w:t>−1</w:t>
      </w:r>
      <w:r>
        <w:rPr/>
        <w:t>. The region between 1000 cm</w:t>
      </w:r>
      <w:r>
        <w:rPr>
          <w:position w:val="10"/>
          <w:sz w:val="14"/>
        </w:rPr>
        <w:t>−1 </w:t>
      </w:r>
      <w:r>
        <w:rPr/>
        <w:t>and 1170 cm</w:t>
      </w:r>
      <w:r>
        <w:rPr>
          <w:position w:val="10"/>
          <w:sz w:val="14"/>
        </w:rPr>
        <w:t>−1  </w:t>
      </w:r>
      <w:r>
        <w:rPr/>
        <w:t>is characteristic of the stretching of the</w:t>
      </w:r>
    </w:p>
    <w:p>
      <w:pPr>
        <w:pStyle w:val="BodyText"/>
        <w:spacing w:line="302" w:lineRule="auto" w:before="63"/>
        <w:ind w:left="122" w:right="136"/>
        <w:jc w:val="both"/>
      </w:pPr>
      <w:r>
        <w:rPr/>
        <w:t>C–C skeletal backbone structure. The peak at ~1235 cm</w:t>
      </w:r>
      <w:r>
        <w:rPr>
          <w:position w:val="10"/>
          <w:sz w:val="14"/>
        </w:rPr>
        <w:t>−1 </w:t>
      </w:r>
      <w:r>
        <w:rPr/>
        <w:t>is due to N–H wagging. Peaks ranging from 1265 to 1500 cm</w:t>
      </w:r>
      <w:r>
        <w:rPr>
          <w:position w:val="10"/>
          <w:sz w:val="14"/>
        </w:rPr>
        <w:t>−1 </w:t>
      </w:r>
      <w:r>
        <w:rPr/>
        <w:t>are attributable to bending vibrations of the CH</w:t>
      </w:r>
      <w:r>
        <w:rPr>
          <w:position w:val="-2"/>
          <w:sz w:val="14"/>
        </w:rPr>
        <w:t>2 </w:t>
      </w:r>
      <w:r>
        <w:rPr/>
        <w:t>groups. Carbon based nanocomposites spectra show overlapping of the D band in this region. G band also is also overlapped in the zone between 1480 cm</w:t>
      </w:r>
      <w:r>
        <w:rPr>
          <w:position w:val="10"/>
          <w:sz w:val="14"/>
        </w:rPr>
        <w:t>−1  </w:t>
      </w:r>
      <w:r>
        <w:rPr/>
        <w:t>and 1700 cm</w:t>
      </w:r>
      <w:r>
        <w:rPr>
          <w:position w:val="10"/>
          <w:sz w:val="14"/>
        </w:rPr>
        <w:t>−1  </w:t>
      </w:r>
      <w:r>
        <w:rPr/>
        <w:t>where amide I band (C=O) is located   at</w:t>
      </w:r>
    </w:p>
    <w:p>
      <w:pPr>
        <w:pStyle w:val="BodyText"/>
        <w:spacing w:line="302" w:lineRule="auto"/>
        <w:ind w:left="122" w:right="137"/>
        <w:jc w:val="both"/>
      </w:pPr>
      <w:r>
        <w:rPr/>
        <w:t>~1640 cm</w:t>
      </w:r>
      <w:r>
        <w:rPr>
          <w:position w:val="10"/>
          <w:sz w:val="14"/>
        </w:rPr>
        <w:t>−1</w:t>
      </w:r>
      <w:r>
        <w:rPr/>
        <w:t>. The 2D band appears at ~2620 cm</w:t>
      </w:r>
      <w:r>
        <w:rPr>
          <w:position w:val="10"/>
          <w:sz w:val="14"/>
        </w:rPr>
        <w:t>−1 </w:t>
      </w:r>
      <w:r>
        <w:rPr/>
        <w:t>for CNT based nanocomposites and features as a weak wide band in the region of 2500–2800 cm</w:t>
      </w:r>
      <w:r>
        <w:rPr>
          <w:position w:val="10"/>
          <w:sz w:val="14"/>
        </w:rPr>
        <w:t>−1 </w:t>
      </w:r>
      <w:r>
        <w:rPr/>
        <w:t>for the graphene based nanocomposites. The CH</w:t>
      </w:r>
      <w:r>
        <w:rPr>
          <w:position w:val="-2"/>
          <w:sz w:val="14"/>
        </w:rPr>
        <w:t>2 </w:t>
      </w:r>
      <w:r>
        <w:rPr/>
        <w:t>asymmetric and symmetric stretching and the N–H stretching appear as strong broad bands in the 2800–3000 cm</w:t>
      </w:r>
      <w:r>
        <w:rPr>
          <w:position w:val="10"/>
          <w:sz w:val="14"/>
        </w:rPr>
        <w:t>−1 </w:t>
      </w:r>
      <w:r>
        <w:rPr/>
        <w:t>region for the former and in the3200–3400 cm</w:t>
      </w:r>
      <w:r>
        <w:rPr>
          <w:position w:val="10"/>
          <w:sz w:val="14"/>
        </w:rPr>
        <w:t>−1 </w:t>
      </w:r>
      <w:r>
        <w:rPr/>
        <w:t>region for the latter [33].</w:t>
      </w:r>
    </w:p>
    <w:p>
      <w:pPr>
        <w:spacing w:after="0" w:line="302" w:lineRule="auto"/>
        <w:jc w:val="both"/>
        <w:sectPr>
          <w:pgSz w:w="12240" w:h="15840"/>
          <w:pgMar w:header="730" w:footer="1060" w:top="1160" w:bottom="1260" w:left="1580" w:right="1560"/>
        </w:sectPr>
      </w:pPr>
    </w:p>
    <w:p>
      <w:pPr>
        <w:pStyle w:val="BodyText"/>
        <w:spacing w:before="6"/>
        <w:rPr>
          <w:sz w:val="18"/>
        </w:rPr>
      </w:pPr>
    </w:p>
    <w:p>
      <w:pPr>
        <w:pStyle w:val="BodyText"/>
        <w:spacing w:line="312" w:lineRule="auto" w:before="82"/>
        <w:ind w:left="215" w:right="793" w:firstLine="3"/>
        <w:jc w:val="center"/>
      </w:pPr>
      <w:r>
        <w:rPr>
          <w:b/>
        </w:rPr>
        <w:t>Figure 7. </w:t>
      </w:r>
      <w:r>
        <w:rPr/>
        <w:t>Raman spectra of the (</w:t>
      </w:r>
      <w:r>
        <w:rPr>
          <w:b/>
        </w:rPr>
        <w:t>A</w:t>
      </w:r>
      <w:r>
        <w:rPr/>
        <w:t>) 800–2000 cm</w:t>
      </w:r>
      <w:r>
        <w:rPr>
          <w:position w:val="10"/>
          <w:sz w:val="14"/>
        </w:rPr>
        <w:t>−1 </w:t>
      </w:r>
      <w:r>
        <w:rPr/>
        <w:t>region and (</w:t>
      </w:r>
      <w:r>
        <w:rPr>
          <w:b/>
        </w:rPr>
        <w:t>B</w:t>
      </w:r>
      <w:r>
        <w:rPr/>
        <w:t>) zoom-out of the 2800– 3350 cm</w:t>
      </w:r>
      <w:r>
        <w:rPr>
          <w:position w:val="10"/>
          <w:sz w:val="14"/>
        </w:rPr>
        <w:t>−1 </w:t>
      </w:r>
      <w:r>
        <w:rPr/>
        <w:t>region of the samples: (</w:t>
      </w:r>
      <w:r>
        <w:rPr>
          <w:b/>
        </w:rPr>
        <w:t>a</w:t>
      </w:r>
      <w:r>
        <w:rPr/>
        <w:t>) pure PA66; (</w:t>
      </w:r>
      <w:r>
        <w:rPr>
          <w:b/>
        </w:rPr>
        <w:t>b</w:t>
      </w:r>
      <w:r>
        <w:rPr/>
        <w:t>) PA66/01CNTs; (</w:t>
      </w:r>
      <w:r>
        <w:rPr>
          <w:b/>
        </w:rPr>
        <w:t>c</w:t>
      </w:r>
      <w:r>
        <w:rPr/>
        <w:t>) PA66/05CNTs; (</w:t>
      </w:r>
      <w:r>
        <w:rPr>
          <w:b/>
        </w:rPr>
        <w:t>d</w:t>
      </w:r>
      <w:r>
        <w:rPr/>
        <w:t>) PA66/10CNTs; (</w:t>
      </w:r>
      <w:r>
        <w:rPr>
          <w:b/>
        </w:rPr>
        <w:t>e</w:t>
      </w:r>
      <w:r>
        <w:rPr/>
        <w:t>) PA66/01OCNTs; (</w:t>
      </w:r>
      <w:r>
        <w:rPr>
          <w:b/>
        </w:rPr>
        <w:t>f</w:t>
      </w:r>
      <w:r>
        <w:rPr/>
        <w:t>) PA66/05OCNTs and (</w:t>
      </w:r>
      <w:r>
        <w:rPr>
          <w:b/>
        </w:rPr>
        <w:t>g</w:t>
      </w:r>
      <w:r>
        <w:rPr/>
        <w:t>) PA66/10OCNTs.</w:t>
      </w:r>
    </w:p>
    <w:p>
      <w:pPr>
        <w:pStyle w:val="BodyText"/>
        <w:spacing w:before="7"/>
        <w:rPr>
          <w:sz w:val="11"/>
        </w:rPr>
      </w:pPr>
      <w:r>
        <w:rPr/>
        <w:drawing>
          <wp:anchor distT="0" distB="0" distL="0" distR="0" allowOverlap="1" layoutInCell="1" locked="0" behindDoc="0" simplePos="0" relativeHeight="2200">
            <wp:simplePos x="0" y="0"/>
            <wp:positionH relativeFrom="page">
              <wp:posOffset>2343150</wp:posOffset>
            </wp:positionH>
            <wp:positionV relativeFrom="paragraph">
              <wp:posOffset>109678</wp:posOffset>
            </wp:positionV>
            <wp:extent cx="3130372" cy="3088957"/>
            <wp:effectExtent l="0" t="0" r="0" b="0"/>
            <wp:wrapTopAndBottom/>
            <wp:docPr id="53" name="image35.jpeg" descr=""/>
            <wp:cNvGraphicFramePr>
              <a:graphicFrameLocks noChangeAspect="1"/>
            </wp:cNvGraphicFramePr>
            <a:graphic>
              <a:graphicData uri="http://schemas.openxmlformats.org/drawingml/2006/picture">
                <pic:pic>
                  <pic:nvPicPr>
                    <pic:cNvPr id="54" name="image35.jpeg"/>
                    <pic:cNvPicPr/>
                  </pic:nvPicPr>
                  <pic:blipFill>
                    <a:blip r:embed="rId65" cstate="print"/>
                    <a:stretch>
                      <a:fillRect/>
                    </a:stretch>
                  </pic:blipFill>
                  <pic:spPr>
                    <a:xfrm>
                      <a:off x="0" y="0"/>
                      <a:ext cx="3130372" cy="3088957"/>
                    </a:xfrm>
                    <a:prstGeom prst="rect">
                      <a:avLst/>
                    </a:prstGeom>
                  </pic:spPr>
                </pic:pic>
              </a:graphicData>
            </a:graphic>
          </wp:anchor>
        </w:drawing>
      </w:r>
    </w:p>
    <w:p>
      <w:pPr>
        <w:pStyle w:val="BodyText"/>
        <w:spacing w:before="5"/>
        <w:rPr>
          <w:sz w:val="20"/>
        </w:rPr>
      </w:pPr>
    </w:p>
    <w:p>
      <w:pPr>
        <w:pStyle w:val="BodyText"/>
        <w:spacing w:line="312" w:lineRule="auto"/>
        <w:ind w:left="122" w:right="141" w:firstLine="3"/>
        <w:jc w:val="center"/>
      </w:pPr>
      <w:r>
        <w:rPr/>
        <w:drawing>
          <wp:anchor distT="0" distB="0" distL="0" distR="0" allowOverlap="1" layoutInCell="1" locked="0" behindDoc="0" simplePos="0" relativeHeight="2224">
            <wp:simplePos x="0" y="0"/>
            <wp:positionH relativeFrom="page">
              <wp:posOffset>2312161</wp:posOffset>
            </wp:positionH>
            <wp:positionV relativeFrom="paragraph">
              <wp:posOffset>738570</wp:posOffset>
            </wp:positionV>
            <wp:extent cx="3126732" cy="3018853"/>
            <wp:effectExtent l="0" t="0" r="0" b="0"/>
            <wp:wrapTopAndBottom/>
            <wp:docPr id="55" name="image36.jpeg" descr=""/>
            <wp:cNvGraphicFramePr>
              <a:graphicFrameLocks noChangeAspect="1"/>
            </wp:cNvGraphicFramePr>
            <a:graphic>
              <a:graphicData uri="http://schemas.openxmlformats.org/drawingml/2006/picture">
                <pic:pic>
                  <pic:nvPicPr>
                    <pic:cNvPr id="56" name="image36.jpeg"/>
                    <pic:cNvPicPr/>
                  </pic:nvPicPr>
                  <pic:blipFill>
                    <a:blip r:embed="rId66" cstate="print"/>
                    <a:stretch>
                      <a:fillRect/>
                    </a:stretch>
                  </pic:blipFill>
                  <pic:spPr>
                    <a:xfrm>
                      <a:off x="0" y="0"/>
                      <a:ext cx="3126732" cy="3018853"/>
                    </a:xfrm>
                    <a:prstGeom prst="rect">
                      <a:avLst/>
                    </a:prstGeom>
                  </pic:spPr>
                </pic:pic>
              </a:graphicData>
            </a:graphic>
          </wp:anchor>
        </w:drawing>
      </w:r>
      <w:r>
        <w:rPr>
          <w:b/>
        </w:rPr>
        <w:t>Figure 8. </w:t>
      </w:r>
      <w:r>
        <w:rPr/>
        <w:t>Raman spectra of the (</w:t>
      </w:r>
      <w:r>
        <w:rPr>
          <w:b/>
        </w:rPr>
        <w:t>A</w:t>
      </w:r>
      <w:r>
        <w:rPr/>
        <w:t>) 800–2000 cm</w:t>
      </w:r>
      <w:r>
        <w:rPr>
          <w:position w:val="10"/>
          <w:sz w:val="14"/>
        </w:rPr>
        <w:t>−1  </w:t>
      </w:r>
      <w:r>
        <w:rPr/>
        <w:t>region and (</w:t>
      </w:r>
      <w:r>
        <w:rPr>
          <w:b/>
        </w:rPr>
        <w:t>B</w:t>
      </w:r>
      <w:r>
        <w:rPr/>
        <w:t>) zoom-out of the 2800–3350 cm</w:t>
      </w:r>
      <w:r>
        <w:rPr>
          <w:position w:val="10"/>
          <w:sz w:val="14"/>
        </w:rPr>
        <w:t>−1 </w:t>
      </w:r>
      <w:r>
        <w:rPr/>
        <w:t>region of the samples: (</w:t>
      </w:r>
      <w:r>
        <w:rPr>
          <w:b/>
        </w:rPr>
        <w:t>a</w:t>
      </w:r>
      <w:r>
        <w:rPr/>
        <w:t>) pure PA66; (</w:t>
      </w:r>
      <w:r>
        <w:rPr>
          <w:b/>
        </w:rPr>
        <w:t>b</w:t>
      </w:r>
      <w:r>
        <w:rPr/>
        <w:t>) PA66/01RGO; (</w:t>
      </w:r>
      <w:r>
        <w:rPr>
          <w:b/>
        </w:rPr>
        <w:t>c</w:t>
      </w:r>
      <w:r>
        <w:rPr/>
        <w:t>) PA66/05RGO; (</w:t>
      </w:r>
      <w:r>
        <w:rPr>
          <w:b/>
        </w:rPr>
        <w:t>d</w:t>
      </w:r>
      <w:r>
        <w:rPr/>
        <w:t>) PA66/10RGO; (</w:t>
      </w:r>
      <w:r>
        <w:rPr>
          <w:b/>
        </w:rPr>
        <w:t>e</w:t>
      </w:r>
      <w:r>
        <w:rPr/>
        <w:t>) PA66/01GO; (</w:t>
      </w:r>
      <w:r>
        <w:rPr>
          <w:b/>
        </w:rPr>
        <w:t>f</w:t>
      </w:r>
      <w:r>
        <w:rPr/>
        <w:t>) PA66/05GO and  (</w:t>
      </w:r>
      <w:r>
        <w:rPr>
          <w:b/>
        </w:rPr>
        <w:t>g</w:t>
      </w:r>
      <w:r>
        <w:rPr/>
        <w:t>)</w:t>
      </w:r>
      <w:r>
        <w:rPr>
          <w:spacing w:val="-22"/>
        </w:rPr>
        <w:t> </w:t>
      </w:r>
      <w:r>
        <w:rPr/>
        <w:t>PA66/10GO.</w:t>
      </w:r>
    </w:p>
    <w:p>
      <w:pPr>
        <w:spacing w:after="0" w:line="312" w:lineRule="auto"/>
        <w:jc w:val="center"/>
        <w:sectPr>
          <w:pgSz w:w="12240" w:h="15840"/>
          <w:pgMar w:header="730" w:footer="1060" w:top="1160" w:bottom="1260" w:left="1580" w:right="1560"/>
        </w:sectPr>
      </w:pPr>
    </w:p>
    <w:p>
      <w:pPr>
        <w:pStyle w:val="BodyText"/>
        <w:spacing w:before="6"/>
        <w:rPr>
          <w:sz w:val="21"/>
        </w:rPr>
      </w:pPr>
    </w:p>
    <w:p>
      <w:pPr>
        <w:pStyle w:val="BodyText"/>
        <w:spacing w:line="321" w:lineRule="auto" w:before="73"/>
        <w:ind w:left="222" w:right="215" w:firstLine="288"/>
        <w:jc w:val="both"/>
      </w:pPr>
      <w:r>
        <w:rPr/>
        <w:t>The diameters of the fibres were obtained from the scanning electron microscopy (SEM) images, as displayed in Table 3. Nylon 6,6 nanofibres had an average diameter of 633 nm. The addition of nanometric carbon to the polymeric matrix resulted in a decrease of the nanofibre diameters. Physical properties such as viscosity and conductivity influence the morphology of the nanofibres [31]. The incorporation of carbon nanomaterials increased the viscosity and improved the conductivity of the solution. While a more viscous solution produces thicker fibres, the increase in conductivity favours the stretching of thinner fibres [26]. These parameters are the reason of the variable diameters in the samples. Figure 9a–e shows the morphology of the nanofibres containing the highest nanofiller loading.</w:t>
      </w:r>
    </w:p>
    <w:p>
      <w:pPr>
        <w:pStyle w:val="BodyText"/>
        <w:spacing w:before="1"/>
        <w:rPr>
          <w:sz w:val="21"/>
        </w:rPr>
      </w:pPr>
    </w:p>
    <w:p>
      <w:pPr>
        <w:pStyle w:val="BodyText"/>
        <w:ind w:left="2283"/>
      </w:pPr>
      <w:r>
        <w:rPr>
          <w:b/>
        </w:rPr>
        <w:t>Table 3. </w:t>
      </w:r>
      <w:r>
        <w:rPr/>
        <w:t>Average diameters of the electrospun fibres.</w:t>
      </w:r>
    </w:p>
    <w:p>
      <w:pPr>
        <w:pStyle w:val="BodyText"/>
        <w:spacing w:before="1"/>
        <w:rPr>
          <w:sz w:val="11"/>
        </w:rPr>
      </w:pP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023"/>
        <w:gridCol w:w="1737"/>
        <w:gridCol w:w="1954"/>
        <w:gridCol w:w="1742"/>
        <w:gridCol w:w="1602"/>
      </w:tblGrid>
      <w:tr>
        <w:trPr>
          <w:trHeight w:val="614" w:hRule="exact"/>
        </w:trPr>
        <w:tc>
          <w:tcPr>
            <w:tcW w:w="2023" w:type="dxa"/>
            <w:tcBorders>
              <w:left w:val="nil"/>
              <w:bottom w:val="single" w:sz="4" w:space="0" w:color="000000"/>
              <w:right w:val="nil"/>
            </w:tcBorders>
          </w:tcPr>
          <w:p>
            <w:pPr>
              <w:pStyle w:val="TableParagraph"/>
              <w:spacing w:before="186"/>
              <w:ind w:left="205" w:right="261"/>
              <w:rPr>
                <w:b/>
                <w:sz w:val="22"/>
              </w:rPr>
            </w:pPr>
            <w:r>
              <w:rPr>
                <w:b/>
                <w:sz w:val="22"/>
              </w:rPr>
              <w:t>Nanofiller wt %</w:t>
            </w:r>
          </w:p>
        </w:tc>
        <w:tc>
          <w:tcPr>
            <w:tcW w:w="1737" w:type="dxa"/>
            <w:tcBorders>
              <w:left w:val="nil"/>
              <w:bottom w:val="single" w:sz="4" w:space="0" w:color="000000"/>
              <w:right w:val="nil"/>
            </w:tcBorders>
          </w:tcPr>
          <w:p>
            <w:pPr>
              <w:pStyle w:val="TableParagraph"/>
              <w:spacing w:before="34"/>
              <w:ind w:left="262" w:right="309"/>
              <w:rPr>
                <w:b/>
                <w:sz w:val="22"/>
              </w:rPr>
            </w:pPr>
            <w:r>
              <w:rPr>
                <w:b/>
                <w:sz w:val="22"/>
              </w:rPr>
              <w:t>PA66/CNTs</w:t>
            </w:r>
          </w:p>
          <w:p>
            <w:pPr>
              <w:pStyle w:val="TableParagraph"/>
              <w:spacing w:before="47"/>
              <w:ind w:left="262" w:right="303"/>
              <w:rPr>
                <w:b/>
                <w:sz w:val="22"/>
              </w:rPr>
            </w:pPr>
            <w:r>
              <w:rPr>
                <w:b/>
                <w:sz w:val="22"/>
              </w:rPr>
              <w:t>[nm]</w:t>
            </w:r>
          </w:p>
        </w:tc>
        <w:tc>
          <w:tcPr>
            <w:tcW w:w="1954" w:type="dxa"/>
            <w:tcBorders>
              <w:left w:val="nil"/>
              <w:bottom w:val="single" w:sz="4" w:space="0" w:color="000000"/>
              <w:right w:val="nil"/>
            </w:tcBorders>
          </w:tcPr>
          <w:p>
            <w:pPr>
              <w:pStyle w:val="TableParagraph"/>
              <w:spacing w:before="34"/>
              <w:ind w:left="311" w:right="307"/>
              <w:rPr>
                <w:b/>
                <w:sz w:val="22"/>
              </w:rPr>
            </w:pPr>
            <w:r>
              <w:rPr>
                <w:b/>
                <w:sz w:val="22"/>
              </w:rPr>
              <w:t>PA66/OCNTs</w:t>
            </w:r>
          </w:p>
          <w:p>
            <w:pPr>
              <w:pStyle w:val="TableParagraph"/>
              <w:spacing w:before="47"/>
              <w:ind w:left="311" w:right="302"/>
              <w:rPr>
                <w:b/>
                <w:sz w:val="22"/>
              </w:rPr>
            </w:pPr>
            <w:r>
              <w:rPr>
                <w:b/>
                <w:sz w:val="22"/>
              </w:rPr>
              <w:t>[nm]</w:t>
            </w:r>
          </w:p>
        </w:tc>
        <w:tc>
          <w:tcPr>
            <w:tcW w:w="1742" w:type="dxa"/>
            <w:tcBorders>
              <w:left w:val="nil"/>
              <w:bottom w:val="single" w:sz="4" w:space="0" w:color="000000"/>
              <w:right w:val="nil"/>
            </w:tcBorders>
          </w:tcPr>
          <w:p>
            <w:pPr>
              <w:pStyle w:val="TableParagraph"/>
              <w:spacing w:before="34"/>
              <w:ind w:left="307" w:right="318"/>
              <w:rPr>
                <w:b/>
                <w:sz w:val="22"/>
              </w:rPr>
            </w:pPr>
            <w:r>
              <w:rPr>
                <w:b/>
                <w:sz w:val="22"/>
              </w:rPr>
              <w:t>PA66/RGO</w:t>
            </w:r>
          </w:p>
          <w:p>
            <w:pPr>
              <w:pStyle w:val="TableParagraph"/>
              <w:spacing w:before="47"/>
              <w:ind w:left="307" w:right="313"/>
              <w:rPr>
                <w:b/>
                <w:sz w:val="22"/>
              </w:rPr>
            </w:pPr>
            <w:r>
              <w:rPr>
                <w:b/>
                <w:sz w:val="22"/>
              </w:rPr>
              <w:t>[nm]</w:t>
            </w:r>
          </w:p>
        </w:tc>
        <w:tc>
          <w:tcPr>
            <w:tcW w:w="1602" w:type="dxa"/>
            <w:tcBorders>
              <w:left w:val="nil"/>
              <w:bottom w:val="single" w:sz="4" w:space="0" w:color="000000"/>
              <w:right w:val="nil"/>
            </w:tcBorders>
          </w:tcPr>
          <w:p>
            <w:pPr>
              <w:pStyle w:val="TableParagraph"/>
              <w:spacing w:before="34"/>
              <w:ind w:left="321" w:right="324"/>
              <w:rPr>
                <w:b/>
                <w:sz w:val="22"/>
              </w:rPr>
            </w:pPr>
            <w:r>
              <w:rPr>
                <w:b/>
                <w:sz w:val="22"/>
              </w:rPr>
              <w:t>PA66/GO</w:t>
            </w:r>
          </w:p>
          <w:p>
            <w:pPr>
              <w:pStyle w:val="TableParagraph"/>
              <w:spacing w:before="47"/>
              <w:ind w:left="321" w:right="323"/>
              <w:rPr>
                <w:b/>
                <w:sz w:val="22"/>
              </w:rPr>
            </w:pPr>
            <w:r>
              <w:rPr>
                <w:b/>
                <w:sz w:val="22"/>
              </w:rPr>
              <w:t>[nm]</w:t>
            </w:r>
          </w:p>
        </w:tc>
      </w:tr>
      <w:tr>
        <w:trPr>
          <w:trHeight w:val="330" w:hRule="exact"/>
        </w:trPr>
        <w:tc>
          <w:tcPr>
            <w:tcW w:w="2023" w:type="dxa"/>
            <w:tcBorders>
              <w:top w:val="single" w:sz="4" w:space="0" w:color="000000"/>
              <w:left w:val="nil"/>
              <w:bottom w:val="nil"/>
              <w:right w:val="nil"/>
            </w:tcBorders>
          </w:tcPr>
          <w:p>
            <w:pPr>
              <w:pStyle w:val="TableParagraph"/>
              <w:spacing w:before="37"/>
              <w:ind w:left="202" w:right="261"/>
              <w:rPr>
                <w:sz w:val="22"/>
              </w:rPr>
            </w:pPr>
            <w:r>
              <w:rPr>
                <w:sz w:val="22"/>
              </w:rPr>
              <w:t>0.1</w:t>
            </w:r>
          </w:p>
        </w:tc>
        <w:tc>
          <w:tcPr>
            <w:tcW w:w="1737" w:type="dxa"/>
            <w:tcBorders>
              <w:top w:val="single" w:sz="4" w:space="0" w:color="000000"/>
              <w:left w:val="nil"/>
              <w:bottom w:val="nil"/>
              <w:right w:val="nil"/>
            </w:tcBorders>
          </w:tcPr>
          <w:p>
            <w:pPr>
              <w:pStyle w:val="TableParagraph"/>
              <w:spacing w:before="37"/>
              <w:ind w:left="262" w:right="304"/>
              <w:rPr>
                <w:sz w:val="22"/>
              </w:rPr>
            </w:pPr>
            <w:r>
              <w:rPr>
                <w:sz w:val="22"/>
              </w:rPr>
              <w:t>243</w:t>
            </w:r>
          </w:p>
        </w:tc>
        <w:tc>
          <w:tcPr>
            <w:tcW w:w="1954" w:type="dxa"/>
            <w:tcBorders>
              <w:top w:val="single" w:sz="4" w:space="0" w:color="000000"/>
              <w:left w:val="nil"/>
              <w:bottom w:val="nil"/>
              <w:right w:val="nil"/>
            </w:tcBorders>
          </w:tcPr>
          <w:p>
            <w:pPr>
              <w:pStyle w:val="TableParagraph"/>
              <w:spacing w:before="37"/>
              <w:ind w:left="311" w:right="303"/>
              <w:rPr>
                <w:sz w:val="22"/>
              </w:rPr>
            </w:pPr>
            <w:r>
              <w:rPr>
                <w:sz w:val="22"/>
              </w:rPr>
              <w:t>427</w:t>
            </w:r>
          </w:p>
        </w:tc>
        <w:tc>
          <w:tcPr>
            <w:tcW w:w="1742" w:type="dxa"/>
            <w:tcBorders>
              <w:top w:val="single" w:sz="4" w:space="0" w:color="000000"/>
              <w:left w:val="nil"/>
              <w:bottom w:val="nil"/>
              <w:right w:val="nil"/>
            </w:tcBorders>
          </w:tcPr>
          <w:p>
            <w:pPr>
              <w:pStyle w:val="TableParagraph"/>
              <w:spacing w:before="37"/>
              <w:ind w:left="307" w:right="314"/>
              <w:rPr>
                <w:sz w:val="22"/>
              </w:rPr>
            </w:pPr>
            <w:r>
              <w:rPr>
                <w:sz w:val="22"/>
              </w:rPr>
              <w:t>315</w:t>
            </w:r>
          </w:p>
        </w:tc>
        <w:tc>
          <w:tcPr>
            <w:tcW w:w="1602" w:type="dxa"/>
            <w:tcBorders>
              <w:top w:val="single" w:sz="4" w:space="0" w:color="000000"/>
              <w:left w:val="nil"/>
              <w:bottom w:val="nil"/>
              <w:right w:val="nil"/>
            </w:tcBorders>
          </w:tcPr>
          <w:p>
            <w:pPr>
              <w:pStyle w:val="TableParagraph"/>
              <w:spacing w:before="37"/>
              <w:ind w:left="320" w:right="324"/>
              <w:rPr>
                <w:sz w:val="22"/>
              </w:rPr>
            </w:pPr>
            <w:r>
              <w:rPr>
                <w:sz w:val="22"/>
              </w:rPr>
              <w:t>306</w:t>
            </w:r>
          </w:p>
        </w:tc>
      </w:tr>
      <w:tr>
        <w:trPr>
          <w:trHeight w:val="300" w:hRule="exact"/>
        </w:trPr>
        <w:tc>
          <w:tcPr>
            <w:tcW w:w="2023" w:type="dxa"/>
            <w:tcBorders>
              <w:top w:val="nil"/>
              <w:left w:val="nil"/>
              <w:bottom w:val="nil"/>
              <w:right w:val="nil"/>
            </w:tcBorders>
          </w:tcPr>
          <w:p>
            <w:pPr>
              <w:pStyle w:val="TableParagraph"/>
              <w:spacing w:before="12"/>
              <w:ind w:left="202" w:right="261"/>
              <w:rPr>
                <w:sz w:val="22"/>
              </w:rPr>
            </w:pPr>
            <w:r>
              <w:rPr>
                <w:sz w:val="22"/>
              </w:rPr>
              <w:t>0.5</w:t>
            </w:r>
          </w:p>
        </w:tc>
        <w:tc>
          <w:tcPr>
            <w:tcW w:w="1737" w:type="dxa"/>
            <w:tcBorders>
              <w:top w:val="nil"/>
              <w:left w:val="nil"/>
              <w:bottom w:val="nil"/>
              <w:right w:val="nil"/>
            </w:tcBorders>
          </w:tcPr>
          <w:p>
            <w:pPr>
              <w:pStyle w:val="TableParagraph"/>
              <w:spacing w:before="12"/>
              <w:ind w:left="262" w:right="304"/>
              <w:rPr>
                <w:sz w:val="22"/>
              </w:rPr>
            </w:pPr>
            <w:r>
              <w:rPr>
                <w:sz w:val="22"/>
              </w:rPr>
              <w:t>332</w:t>
            </w:r>
          </w:p>
        </w:tc>
        <w:tc>
          <w:tcPr>
            <w:tcW w:w="1954" w:type="dxa"/>
            <w:tcBorders>
              <w:top w:val="nil"/>
              <w:left w:val="nil"/>
              <w:bottom w:val="nil"/>
              <w:right w:val="nil"/>
            </w:tcBorders>
          </w:tcPr>
          <w:p>
            <w:pPr>
              <w:pStyle w:val="TableParagraph"/>
              <w:spacing w:before="12"/>
              <w:ind w:left="311" w:right="303"/>
              <w:rPr>
                <w:sz w:val="22"/>
              </w:rPr>
            </w:pPr>
            <w:r>
              <w:rPr>
                <w:sz w:val="22"/>
              </w:rPr>
              <w:t>357</w:t>
            </w:r>
          </w:p>
        </w:tc>
        <w:tc>
          <w:tcPr>
            <w:tcW w:w="1742" w:type="dxa"/>
            <w:tcBorders>
              <w:top w:val="nil"/>
              <w:left w:val="nil"/>
              <w:bottom w:val="nil"/>
              <w:right w:val="nil"/>
            </w:tcBorders>
          </w:tcPr>
          <w:p>
            <w:pPr>
              <w:pStyle w:val="TableParagraph"/>
              <w:spacing w:before="12"/>
              <w:ind w:left="307" w:right="314"/>
              <w:rPr>
                <w:sz w:val="22"/>
              </w:rPr>
            </w:pPr>
            <w:r>
              <w:rPr>
                <w:sz w:val="22"/>
              </w:rPr>
              <w:t>260</w:t>
            </w:r>
          </w:p>
        </w:tc>
        <w:tc>
          <w:tcPr>
            <w:tcW w:w="1602" w:type="dxa"/>
            <w:tcBorders>
              <w:top w:val="nil"/>
              <w:left w:val="nil"/>
              <w:bottom w:val="nil"/>
              <w:right w:val="nil"/>
            </w:tcBorders>
          </w:tcPr>
          <w:p>
            <w:pPr>
              <w:pStyle w:val="TableParagraph"/>
              <w:spacing w:before="12"/>
              <w:ind w:left="320" w:right="324"/>
              <w:rPr>
                <w:sz w:val="22"/>
              </w:rPr>
            </w:pPr>
            <w:r>
              <w:rPr>
                <w:sz w:val="22"/>
              </w:rPr>
              <w:t>271</w:t>
            </w:r>
          </w:p>
        </w:tc>
      </w:tr>
      <w:tr>
        <w:trPr>
          <w:trHeight w:val="287" w:hRule="exact"/>
        </w:trPr>
        <w:tc>
          <w:tcPr>
            <w:tcW w:w="2023" w:type="dxa"/>
            <w:tcBorders>
              <w:top w:val="nil"/>
              <w:left w:val="nil"/>
              <w:right w:val="nil"/>
            </w:tcBorders>
          </w:tcPr>
          <w:p>
            <w:pPr>
              <w:pStyle w:val="TableParagraph"/>
              <w:spacing w:before="12"/>
              <w:ind w:left="202" w:right="261"/>
              <w:rPr>
                <w:sz w:val="22"/>
              </w:rPr>
            </w:pPr>
            <w:r>
              <w:rPr>
                <w:sz w:val="22"/>
              </w:rPr>
              <w:t>1.0</w:t>
            </w:r>
          </w:p>
        </w:tc>
        <w:tc>
          <w:tcPr>
            <w:tcW w:w="1737" w:type="dxa"/>
            <w:tcBorders>
              <w:top w:val="nil"/>
              <w:left w:val="nil"/>
              <w:right w:val="nil"/>
            </w:tcBorders>
          </w:tcPr>
          <w:p>
            <w:pPr>
              <w:pStyle w:val="TableParagraph"/>
              <w:spacing w:before="12"/>
              <w:ind w:left="262" w:right="304"/>
              <w:rPr>
                <w:sz w:val="22"/>
              </w:rPr>
            </w:pPr>
            <w:r>
              <w:rPr>
                <w:sz w:val="22"/>
              </w:rPr>
              <w:t>410</w:t>
            </w:r>
          </w:p>
        </w:tc>
        <w:tc>
          <w:tcPr>
            <w:tcW w:w="1954" w:type="dxa"/>
            <w:tcBorders>
              <w:top w:val="nil"/>
              <w:left w:val="nil"/>
              <w:right w:val="nil"/>
            </w:tcBorders>
          </w:tcPr>
          <w:p>
            <w:pPr>
              <w:pStyle w:val="TableParagraph"/>
              <w:spacing w:before="12"/>
              <w:ind w:left="311" w:right="303"/>
              <w:rPr>
                <w:sz w:val="22"/>
              </w:rPr>
            </w:pPr>
            <w:r>
              <w:rPr>
                <w:sz w:val="22"/>
              </w:rPr>
              <w:t>325</w:t>
            </w:r>
          </w:p>
        </w:tc>
        <w:tc>
          <w:tcPr>
            <w:tcW w:w="1742" w:type="dxa"/>
            <w:tcBorders>
              <w:top w:val="nil"/>
              <w:left w:val="nil"/>
              <w:right w:val="nil"/>
            </w:tcBorders>
          </w:tcPr>
          <w:p>
            <w:pPr>
              <w:pStyle w:val="TableParagraph"/>
              <w:spacing w:before="12"/>
              <w:ind w:left="307" w:right="314"/>
              <w:rPr>
                <w:sz w:val="22"/>
              </w:rPr>
            </w:pPr>
            <w:r>
              <w:rPr>
                <w:sz w:val="22"/>
              </w:rPr>
              <w:t>428</w:t>
            </w:r>
          </w:p>
        </w:tc>
        <w:tc>
          <w:tcPr>
            <w:tcW w:w="1602" w:type="dxa"/>
            <w:tcBorders>
              <w:top w:val="nil"/>
              <w:left w:val="nil"/>
              <w:right w:val="nil"/>
            </w:tcBorders>
          </w:tcPr>
          <w:p>
            <w:pPr>
              <w:pStyle w:val="TableParagraph"/>
              <w:spacing w:before="12"/>
              <w:ind w:left="320" w:right="324"/>
              <w:rPr>
                <w:sz w:val="22"/>
              </w:rPr>
            </w:pPr>
            <w:r>
              <w:rPr>
                <w:sz w:val="22"/>
              </w:rPr>
              <w:t>302</w:t>
            </w:r>
          </w:p>
        </w:tc>
      </w:tr>
    </w:tbl>
    <w:p>
      <w:pPr>
        <w:pStyle w:val="BodyText"/>
        <w:spacing w:before="6"/>
        <w:rPr>
          <w:sz w:val="21"/>
        </w:rPr>
      </w:pPr>
    </w:p>
    <w:p>
      <w:pPr>
        <w:pStyle w:val="BodyText"/>
        <w:spacing w:line="324" w:lineRule="auto" w:before="72"/>
        <w:ind w:left="1026" w:right="608" w:hanging="452"/>
      </w:pPr>
      <w:r>
        <w:rPr>
          <w:b/>
        </w:rPr>
        <w:t>Figure 9. </w:t>
      </w:r>
      <w:r>
        <w:rPr/>
        <w:t>Scanning electron microscopy (SEM) and TEM images of: (</w:t>
      </w:r>
      <w:r>
        <w:rPr>
          <w:b/>
        </w:rPr>
        <w:t>a</w:t>
      </w:r>
      <w:r>
        <w:rPr/>
        <w:t>,</w:t>
      </w:r>
      <w:r>
        <w:rPr>
          <w:b/>
        </w:rPr>
        <w:t>f</w:t>
      </w:r>
      <w:r>
        <w:rPr/>
        <w:t>) pure PA66; (</w:t>
      </w:r>
      <w:r>
        <w:rPr>
          <w:b/>
        </w:rPr>
        <w:t>b</w:t>
      </w:r>
      <w:r>
        <w:rPr/>
        <w:t>,</w:t>
      </w:r>
      <w:r>
        <w:rPr>
          <w:b/>
        </w:rPr>
        <w:t>g</w:t>
      </w:r>
      <w:r>
        <w:rPr/>
        <w:t>) PA66/10CNTs; (</w:t>
      </w:r>
      <w:r>
        <w:rPr>
          <w:b/>
        </w:rPr>
        <w:t>c</w:t>
      </w:r>
      <w:r>
        <w:rPr/>
        <w:t>,</w:t>
      </w:r>
      <w:r>
        <w:rPr>
          <w:b/>
        </w:rPr>
        <w:t>h</w:t>
      </w:r>
      <w:r>
        <w:rPr/>
        <w:t>) PA66/10OCNTs; (</w:t>
      </w:r>
      <w:r>
        <w:rPr>
          <w:b/>
        </w:rPr>
        <w:t>d</w:t>
      </w:r>
      <w:r>
        <w:rPr/>
        <w:t>,</w:t>
      </w:r>
      <w:r>
        <w:rPr>
          <w:b/>
        </w:rPr>
        <w:t>i</w:t>
      </w:r>
      <w:r>
        <w:rPr/>
        <w:t>) PA66/10RGO and (</w:t>
      </w:r>
      <w:r>
        <w:rPr>
          <w:b/>
        </w:rPr>
        <w:t>e</w:t>
      </w:r>
      <w:r>
        <w:rPr/>
        <w:t>,</w:t>
      </w:r>
      <w:r>
        <w:rPr>
          <w:b/>
        </w:rPr>
        <w:t>j</w:t>
      </w:r>
      <w:r>
        <w:rPr/>
        <w:t>) PA66/10GO.</w:t>
      </w:r>
    </w:p>
    <w:p>
      <w:pPr>
        <w:pStyle w:val="BodyText"/>
        <w:spacing w:before="5"/>
        <w:rPr>
          <w:sz w:val="10"/>
        </w:rPr>
      </w:pPr>
      <w:r>
        <w:rPr/>
        <w:drawing>
          <wp:anchor distT="0" distB="0" distL="0" distR="0" allowOverlap="1" layoutInCell="1" locked="0" behindDoc="0" simplePos="0" relativeHeight="2248">
            <wp:simplePos x="0" y="0"/>
            <wp:positionH relativeFrom="page">
              <wp:posOffset>1143000</wp:posOffset>
            </wp:positionH>
            <wp:positionV relativeFrom="paragraph">
              <wp:posOffset>101308</wp:posOffset>
            </wp:positionV>
            <wp:extent cx="5415439" cy="3723036"/>
            <wp:effectExtent l="0" t="0" r="0" b="0"/>
            <wp:wrapTopAndBottom/>
            <wp:docPr id="57" name="image37.jpeg" descr=""/>
            <wp:cNvGraphicFramePr>
              <a:graphicFrameLocks noChangeAspect="1"/>
            </wp:cNvGraphicFramePr>
            <a:graphic>
              <a:graphicData uri="http://schemas.openxmlformats.org/drawingml/2006/picture">
                <pic:pic>
                  <pic:nvPicPr>
                    <pic:cNvPr id="58" name="image37.jpeg"/>
                    <pic:cNvPicPr/>
                  </pic:nvPicPr>
                  <pic:blipFill>
                    <a:blip r:embed="rId67" cstate="print"/>
                    <a:stretch>
                      <a:fillRect/>
                    </a:stretch>
                  </pic:blipFill>
                  <pic:spPr>
                    <a:xfrm>
                      <a:off x="0" y="0"/>
                      <a:ext cx="5415439" cy="3723036"/>
                    </a:xfrm>
                    <a:prstGeom prst="rect">
                      <a:avLst/>
                    </a:prstGeom>
                  </pic:spPr>
                </pic:pic>
              </a:graphicData>
            </a:graphic>
          </wp:anchor>
        </w:drawing>
      </w:r>
    </w:p>
    <w:p>
      <w:pPr>
        <w:spacing w:after="0"/>
        <w:rPr>
          <w:sz w:val="10"/>
        </w:rPr>
        <w:sectPr>
          <w:pgSz w:w="12240" w:h="15840"/>
          <w:pgMar w:header="730" w:footer="1060" w:top="1160" w:bottom="1260" w:left="1480" w:right="1480"/>
        </w:sectPr>
      </w:pPr>
    </w:p>
    <w:p>
      <w:pPr>
        <w:pStyle w:val="BodyText"/>
        <w:spacing w:before="6"/>
        <w:rPr>
          <w:sz w:val="21"/>
        </w:rPr>
      </w:pPr>
    </w:p>
    <w:p>
      <w:pPr>
        <w:pStyle w:val="BodyText"/>
        <w:spacing w:line="321" w:lineRule="auto" w:before="73"/>
        <w:ind w:left="122" w:right="298" w:firstLine="288"/>
        <w:jc w:val="both"/>
      </w:pPr>
      <w:r>
        <w:rPr/>
        <w:t>TEM images are included in Figure 9g–j, the micrographs of the nanocomposites show the dispersion of the nanofillers in the matrix. Figure 9g shows that at the highest loading pristine CNTs are agglomerated in the nanofibre, as indicated by the arrows. On the other hand, Figure 9h shows the OCNTs are aligned along the fibre. Figure 9i,j shows the graphene nanomaterials are embedded within the polymer and GO followed a pattern along the fibre.</w:t>
      </w:r>
    </w:p>
    <w:p>
      <w:pPr>
        <w:pStyle w:val="BodyText"/>
        <w:spacing w:line="321" w:lineRule="auto" w:before="5" w:after="58"/>
        <w:ind w:left="122" w:right="295" w:firstLine="288"/>
        <w:jc w:val="both"/>
      </w:pPr>
      <w:r>
        <w:rPr/>
        <w:pict>
          <v:line style="position:absolute;mso-position-horizontal-relative:page;mso-position-vertical-relative:paragraph;z-index:-174880" from="270.961243pt,171.22229pt" to="300.263257pt,171.22229pt" stroked="true" strokeweight=".588819pt" strokecolor="#000000">
            <w10:wrap type="none"/>
          </v:line>
        </w:pict>
      </w:r>
      <w:r>
        <w:rPr/>
        <w:t>The melting and crystallisation curves obtained from differential scanning calorimetry (DSC) are shown in Figures 10 and 11. There is a slight difference in the melting peaks as seen in Figures 10A and 11A. Both electrospun nanocomposites and nylon 6,6 showed a broad melting peak at ~260 °C, indicating the melting of α-crystals [22]. There is also a slight broad shoulder on the low temperature side at ~250 °C which is more noticeable in the RGO nanocomposites. This has been attributed to morphological changes in the crystallite or the melting of small and less stable crystalline units [23,24,29]. The crystal characteristics found in the nanocomposites due to the different nanometric structure of CNTs and graphene will be discussed in more detail later. The degree of crystallinity (X</w:t>
      </w:r>
      <w:r>
        <w:rPr>
          <w:i/>
          <w:position w:val="-2"/>
          <w:sz w:val="14"/>
        </w:rPr>
        <w:t>c</w:t>
      </w:r>
      <w:r>
        <w:rPr/>
        <w:t>) was calculated as shown in Equation</w:t>
      </w:r>
      <w:r>
        <w:rPr>
          <w:spacing w:val="-21"/>
        </w:rPr>
        <w:t> </w:t>
      </w:r>
      <w:r>
        <w:rPr/>
        <w:t>(1).</w:t>
      </w:r>
    </w:p>
    <w:tbl>
      <w:tblPr>
        <w:tblW w:w="0" w:type="auto"/>
        <w:jc w:val="left"/>
        <w:tblInd w:w="31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96"/>
        <w:gridCol w:w="2230"/>
      </w:tblGrid>
      <w:tr>
        <w:trPr>
          <w:trHeight w:val="624" w:hRule="exact"/>
        </w:trPr>
        <w:tc>
          <w:tcPr>
            <w:tcW w:w="3796" w:type="dxa"/>
          </w:tcPr>
          <w:p>
            <w:pPr>
              <w:pStyle w:val="TableParagraph"/>
              <w:spacing w:line="343" w:lineRule="exact"/>
              <w:ind w:left="195" w:right="1764"/>
              <w:rPr>
                <w:sz w:val="24"/>
              </w:rPr>
            </w:pPr>
            <w:r>
              <w:rPr>
                <w:i/>
                <w:sz w:val="24"/>
              </w:rPr>
              <w:t>X   </w:t>
            </w:r>
            <w:r>
              <w:rPr>
                <w:rFonts w:ascii="Symbol" w:hAnsi="Symbol"/>
                <w:sz w:val="24"/>
              </w:rPr>
              <w:t></w:t>
            </w:r>
            <w:r>
              <w:rPr>
                <w:sz w:val="24"/>
              </w:rPr>
              <w:t>  </w:t>
            </w:r>
            <w:r>
              <w:rPr>
                <w:rFonts w:ascii="Symbol" w:hAnsi="Symbol"/>
                <w:position w:val="15"/>
                <w:sz w:val="24"/>
              </w:rPr>
              <w:t></w:t>
            </w:r>
            <w:r>
              <w:rPr>
                <w:i/>
                <w:position w:val="15"/>
                <w:sz w:val="24"/>
              </w:rPr>
              <w:t>H</w:t>
            </w:r>
            <w:r>
              <w:rPr>
                <w:i/>
                <w:position w:val="9"/>
                <w:sz w:val="14"/>
              </w:rPr>
              <w:t>m   </w:t>
            </w:r>
            <w:r>
              <w:rPr>
                <w:rFonts w:ascii="Symbol" w:hAnsi="Symbol"/>
                <w:sz w:val="24"/>
              </w:rPr>
              <w:t></w:t>
            </w:r>
            <w:r>
              <w:rPr>
                <w:sz w:val="24"/>
              </w:rPr>
              <w:t>100%</w:t>
            </w:r>
          </w:p>
          <w:p>
            <w:pPr>
              <w:pStyle w:val="TableParagraph"/>
              <w:tabs>
                <w:tab w:pos="719" w:val="left" w:leader="none"/>
              </w:tabs>
              <w:spacing w:line="184" w:lineRule="exact"/>
              <w:ind w:left="370"/>
              <w:jc w:val="left"/>
              <w:rPr>
                <w:sz w:val="14"/>
              </w:rPr>
            </w:pPr>
            <w:r>
              <w:rPr>
                <w:i/>
                <w:position w:val="12"/>
                <w:sz w:val="14"/>
              </w:rPr>
              <w:t>c</w:t>
              <w:tab/>
            </w:r>
            <w:r>
              <w:rPr>
                <w:rFonts w:ascii="Symbol" w:hAnsi="Symbol"/>
                <w:sz w:val="24"/>
              </w:rPr>
              <w:t></w:t>
            </w:r>
            <w:r>
              <w:rPr>
                <w:i/>
                <w:sz w:val="24"/>
              </w:rPr>
              <w:t>H</w:t>
            </w:r>
            <w:r>
              <w:rPr>
                <w:i/>
                <w:spacing w:val="-24"/>
                <w:sz w:val="24"/>
              </w:rPr>
              <w:t> </w:t>
            </w:r>
            <w:r>
              <w:rPr>
                <w:position w:val="11"/>
                <w:sz w:val="14"/>
              </w:rPr>
              <w:t>0</w:t>
            </w:r>
          </w:p>
          <w:p>
            <w:pPr>
              <w:pStyle w:val="TableParagraph"/>
              <w:spacing w:line="100" w:lineRule="exact"/>
              <w:ind w:right="1381"/>
              <w:rPr>
                <w:i/>
                <w:sz w:val="14"/>
              </w:rPr>
            </w:pPr>
            <w:r>
              <w:rPr>
                <w:i/>
                <w:w w:val="100"/>
                <w:sz w:val="14"/>
              </w:rPr>
              <w:t>m</w:t>
            </w:r>
          </w:p>
        </w:tc>
        <w:tc>
          <w:tcPr>
            <w:tcW w:w="2230" w:type="dxa"/>
          </w:tcPr>
          <w:p>
            <w:pPr>
              <w:pStyle w:val="TableParagraph"/>
              <w:spacing w:before="11"/>
              <w:jc w:val="left"/>
              <w:rPr>
                <w:sz w:val="18"/>
              </w:rPr>
            </w:pPr>
          </w:p>
          <w:p>
            <w:pPr>
              <w:pStyle w:val="TableParagraph"/>
              <w:ind w:right="198"/>
              <w:jc w:val="right"/>
              <w:rPr>
                <w:sz w:val="22"/>
              </w:rPr>
            </w:pPr>
            <w:r>
              <w:rPr>
                <w:sz w:val="22"/>
              </w:rPr>
              <w:t>(1)</w:t>
            </w:r>
          </w:p>
        </w:tc>
      </w:tr>
    </w:tbl>
    <w:p>
      <w:pPr>
        <w:pStyle w:val="BodyText"/>
        <w:rPr>
          <w:sz w:val="10"/>
        </w:rPr>
      </w:pPr>
    </w:p>
    <w:p>
      <w:pPr>
        <w:pStyle w:val="BodyText"/>
        <w:spacing w:line="319" w:lineRule="auto" w:before="82"/>
        <w:ind w:left="122" w:right="297"/>
        <w:jc w:val="both"/>
      </w:pPr>
      <w:r>
        <w:rPr/>
        <w:t>where </w:t>
      </w:r>
      <w:r>
        <w:rPr>
          <w:i/>
        </w:rPr>
        <w:t>ΔH</w:t>
      </w:r>
      <w:r>
        <w:rPr>
          <w:i/>
          <w:position w:val="-2"/>
          <w:sz w:val="14"/>
        </w:rPr>
        <w:t>m  </w:t>
      </w:r>
      <w:r>
        <w:rPr/>
        <w:t>and </w:t>
      </w:r>
      <w:r>
        <w:rPr>
          <w:i/>
        </w:rPr>
        <w:t>ΔH</w:t>
      </w:r>
      <w:r>
        <w:rPr>
          <w:i/>
          <w:position w:val="-2"/>
          <w:sz w:val="14"/>
        </w:rPr>
        <w:t>m</w:t>
      </w:r>
      <w:r>
        <w:rPr>
          <w:position w:val="10"/>
          <w:sz w:val="14"/>
        </w:rPr>
        <w:t>0  </w:t>
      </w:r>
      <w:r>
        <w:rPr/>
        <w:t>(197 J/g) are the enthalpies of the nanocomposite and purely crystalline   nylon 6,6 respectively [23]. The crystallinity properties are summarised in Table 4. The electrospun nanocomposites resulted in higher crystallinity than pure polymer. These results are consistent with earlier</w:t>
      </w:r>
      <w:r>
        <w:rPr>
          <w:spacing w:val="30"/>
        </w:rPr>
        <w:t> </w:t>
      </w:r>
      <w:r>
        <w:rPr/>
        <w:t>studies</w:t>
      </w:r>
      <w:r>
        <w:rPr>
          <w:spacing w:val="30"/>
        </w:rPr>
        <w:t> </w:t>
      </w:r>
      <w:r>
        <w:rPr/>
        <w:t>of</w:t>
      </w:r>
      <w:r>
        <w:rPr>
          <w:spacing w:val="30"/>
        </w:rPr>
        <w:t> </w:t>
      </w:r>
      <w:r>
        <w:rPr/>
        <w:t>carbon</w:t>
      </w:r>
      <w:r>
        <w:rPr>
          <w:spacing w:val="30"/>
        </w:rPr>
        <w:t> </w:t>
      </w:r>
      <w:r>
        <w:rPr/>
        <w:t>based</w:t>
      </w:r>
      <w:r>
        <w:rPr>
          <w:spacing w:val="30"/>
        </w:rPr>
        <w:t> </w:t>
      </w:r>
      <w:r>
        <w:rPr/>
        <w:t>nanocomposites</w:t>
      </w:r>
      <w:r>
        <w:rPr>
          <w:spacing w:val="30"/>
        </w:rPr>
        <w:t> </w:t>
      </w:r>
      <w:r>
        <w:rPr/>
        <w:t>[16,21].</w:t>
      </w:r>
      <w:r>
        <w:rPr>
          <w:spacing w:val="30"/>
        </w:rPr>
        <w:t> </w:t>
      </w:r>
      <w:r>
        <w:rPr/>
        <w:t>The</w:t>
      </w:r>
      <w:r>
        <w:rPr>
          <w:spacing w:val="30"/>
        </w:rPr>
        <w:t> </w:t>
      </w:r>
      <w:r>
        <w:rPr/>
        <w:t>crystallinity</w:t>
      </w:r>
      <w:r>
        <w:rPr>
          <w:spacing w:val="27"/>
        </w:rPr>
        <w:t> </w:t>
      </w:r>
      <w:r>
        <w:rPr/>
        <w:t>changes</w:t>
      </w:r>
      <w:r>
        <w:rPr>
          <w:spacing w:val="30"/>
        </w:rPr>
        <w:t> </w:t>
      </w:r>
      <w:r>
        <w:rPr/>
        <w:t>from</w:t>
      </w:r>
      <w:r>
        <w:rPr>
          <w:spacing w:val="26"/>
        </w:rPr>
        <w:t> </w:t>
      </w:r>
      <w:r>
        <w:rPr/>
        <w:t>~39%</w:t>
      </w:r>
      <w:r>
        <w:rPr>
          <w:spacing w:val="28"/>
        </w:rPr>
        <w:t> </w:t>
      </w:r>
      <w:r>
        <w:rPr/>
        <w:t>to</w:t>
      </w:r>
    </w:p>
    <w:p>
      <w:pPr>
        <w:pStyle w:val="BodyText"/>
        <w:spacing w:line="321" w:lineRule="auto" w:before="7"/>
        <w:ind w:left="122" w:right="299"/>
        <w:jc w:val="both"/>
      </w:pPr>
      <w:r>
        <w:rPr/>
        <w:t>~44% for the PA66/10GO sample compared to nylon 6,6. The higher results in degree of crystallinity when increasing the content indicate the induced crystallisation due to the CNTs and graphene materials.</w:t>
      </w:r>
    </w:p>
    <w:p>
      <w:pPr>
        <w:pStyle w:val="BodyText"/>
        <w:spacing w:line="319" w:lineRule="auto" w:before="5"/>
        <w:ind w:left="122" w:right="291" w:firstLine="288"/>
        <w:jc w:val="both"/>
      </w:pPr>
      <w:r>
        <w:rPr/>
        <w:t>The crystallisation thermograms of the nanocomposites showed higher crystallisation temperatures (T</w:t>
      </w:r>
      <w:r>
        <w:rPr>
          <w:i/>
          <w:position w:val="-2"/>
          <w:sz w:val="14"/>
        </w:rPr>
        <w:t>c</w:t>
      </w:r>
      <w:r>
        <w:rPr/>
        <w:t>) for the CNT based nanocomposites than nylon 6,6. This is explained by the increased amount of nuclei crystallising in the matrix due to addition of CNTs. The one- dimensional carbon material also blocked the nylon 6,6 chains mobility which resulted in an accelerated nucleation process [13].</w:t>
      </w:r>
    </w:p>
    <w:p>
      <w:pPr>
        <w:pStyle w:val="BodyText"/>
        <w:spacing w:line="316" w:lineRule="auto" w:before="5"/>
        <w:ind w:left="122" w:right="296" w:firstLine="288"/>
        <w:jc w:val="both"/>
      </w:pPr>
      <w:r>
        <w:rPr/>
        <w:t>CNT thermograms displayed an average increase in </w:t>
      </w:r>
      <w:r>
        <w:rPr>
          <w:spacing w:val="2"/>
        </w:rPr>
        <w:t>T</w:t>
      </w:r>
      <w:r>
        <w:rPr>
          <w:i/>
          <w:spacing w:val="2"/>
          <w:position w:val="-2"/>
          <w:sz w:val="14"/>
        </w:rPr>
        <w:t>c </w:t>
      </w:r>
      <w:r>
        <w:rPr/>
        <w:t>of 6 °C compared to pure polymer. The average T</w:t>
      </w:r>
      <w:r>
        <w:rPr>
          <w:i/>
          <w:position w:val="-2"/>
          <w:sz w:val="14"/>
        </w:rPr>
        <w:t>c </w:t>
      </w:r>
      <w:r>
        <w:rPr/>
        <w:t>in OCNT nanocomposites resulted in an increase of 4.6 °C. This behaviour indicates that functionalisation of carbon nanomaterials slightly weakens the heterogeneous nucleation effect of the nanotubes as is in agreement with earlier studies [13,14]. On the other hand, graphene based nanocomposites showed comparable or slightly higher </w:t>
      </w:r>
      <w:r>
        <w:rPr>
          <w:spacing w:val="3"/>
        </w:rPr>
        <w:t>T</w:t>
      </w:r>
      <w:r>
        <w:rPr>
          <w:i/>
          <w:spacing w:val="3"/>
          <w:position w:val="-2"/>
          <w:sz w:val="14"/>
        </w:rPr>
        <w:t>c </w:t>
      </w:r>
      <w:r>
        <w:rPr/>
        <w:t>to that of nylon 6,6. A similar nucleating effect of the graphene compared to CNTs has been found in polypropylene and poly(L-lactide) nanocomposites [18,19]. This behaviour has been explained by the considerable large surface  </w:t>
      </w:r>
      <w:r>
        <w:rPr>
          <w:spacing w:val="51"/>
        </w:rPr>
        <w:t> </w:t>
      </w:r>
      <w:r>
        <w:rPr/>
        <w:t>area</w:t>
      </w:r>
    </w:p>
    <w:p>
      <w:pPr>
        <w:spacing w:after="0" w:line="316" w:lineRule="auto"/>
        <w:jc w:val="both"/>
        <w:sectPr>
          <w:pgSz w:w="12240" w:h="15840"/>
          <w:pgMar w:header="730" w:footer="1060" w:top="1160" w:bottom="1260" w:left="1580" w:right="1400"/>
        </w:sectPr>
      </w:pPr>
    </w:p>
    <w:p>
      <w:pPr>
        <w:pStyle w:val="BodyText"/>
        <w:spacing w:before="6"/>
        <w:rPr>
          <w:sz w:val="21"/>
        </w:rPr>
      </w:pPr>
    </w:p>
    <w:p>
      <w:pPr>
        <w:pStyle w:val="BodyText"/>
        <w:spacing w:line="324" w:lineRule="auto" w:before="73"/>
        <w:ind w:left="122" w:right="41"/>
      </w:pPr>
      <w:r>
        <w:rPr/>
        <w:t>of the graphene sheets where the polymer chains need more time to adjust their conformations making the induction of crystallisation slower [19].</w:t>
      </w:r>
    </w:p>
    <w:p>
      <w:pPr>
        <w:pStyle w:val="BodyText"/>
        <w:spacing w:before="1"/>
        <w:rPr>
          <w:sz w:val="21"/>
        </w:rPr>
      </w:pPr>
    </w:p>
    <w:p>
      <w:pPr>
        <w:pStyle w:val="BodyText"/>
        <w:ind w:left="222" w:right="41"/>
      </w:pPr>
      <w:r>
        <w:rPr>
          <w:b/>
        </w:rPr>
        <w:t>Figure 10. </w:t>
      </w:r>
      <w:r>
        <w:rPr/>
        <w:t>Differential scanning calorimetry (DSC) (</w:t>
      </w:r>
      <w:r>
        <w:rPr>
          <w:b/>
        </w:rPr>
        <w:t>A</w:t>
      </w:r>
      <w:r>
        <w:rPr/>
        <w:t>) heating and (</w:t>
      </w:r>
      <w:r>
        <w:rPr>
          <w:b/>
        </w:rPr>
        <w:t>B</w:t>
      </w:r>
      <w:r>
        <w:rPr/>
        <w:t>) cooling thermograms of:</w:t>
      </w:r>
    </w:p>
    <w:p>
      <w:pPr>
        <w:pStyle w:val="BodyText"/>
        <w:spacing w:line="324" w:lineRule="auto" w:before="85"/>
        <w:ind w:left="2652" w:right="217" w:hanging="2485"/>
      </w:pPr>
      <w:r>
        <w:rPr/>
        <w:t>(</w:t>
      </w:r>
      <w:r>
        <w:rPr>
          <w:b/>
        </w:rPr>
        <w:t>a</w:t>
      </w:r>
      <w:r>
        <w:rPr/>
        <w:t>) pure PA66; (</w:t>
      </w:r>
      <w:r>
        <w:rPr>
          <w:b/>
        </w:rPr>
        <w:t>b</w:t>
      </w:r>
      <w:r>
        <w:rPr/>
        <w:t>) PA66/01CNTs; (</w:t>
      </w:r>
      <w:r>
        <w:rPr>
          <w:b/>
        </w:rPr>
        <w:t>c</w:t>
      </w:r>
      <w:r>
        <w:rPr/>
        <w:t>) PA66/05CNTs; (</w:t>
      </w:r>
      <w:r>
        <w:rPr>
          <w:b/>
        </w:rPr>
        <w:t>d</w:t>
      </w:r>
      <w:r>
        <w:rPr/>
        <w:t>) PA66/10CNTs; (</w:t>
      </w:r>
      <w:r>
        <w:rPr>
          <w:b/>
        </w:rPr>
        <w:t>e</w:t>
      </w:r>
      <w:r>
        <w:rPr/>
        <w:t>) PA66/01OCNTs; (</w:t>
      </w:r>
      <w:r>
        <w:rPr>
          <w:b/>
        </w:rPr>
        <w:t>f</w:t>
      </w:r>
      <w:r>
        <w:rPr/>
        <w:t>) PA66/05OCNTs and (</w:t>
      </w:r>
      <w:r>
        <w:rPr>
          <w:b/>
        </w:rPr>
        <w:t>g</w:t>
      </w:r>
      <w:r>
        <w:rPr/>
        <w:t>) PA66/10OCNTs.</w:t>
      </w:r>
    </w:p>
    <w:p>
      <w:pPr>
        <w:pStyle w:val="BodyText"/>
        <w:spacing w:before="7"/>
        <w:rPr>
          <w:sz w:val="10"/>
        </w:rPr>
      </w:pPr>
      <w:r>
        <w:rPr/>
        <w:drawing>
          <wp:anchor distT="0" distB="0" distL="0" distR="0" allowOverlap="1" layoutInCell="1" locked="0" behindDoc="0" simplePos="0" relativeHeight="2296">
            <wp:simplePos x="0" y="0"/>
            <wp:positionH relativeFrom="page">
              <wp:posOffset>2448814</wp:posOffset>
            </wp:positionH>
            <wp:positionV relativeFrom="paragraph">
              <wp:posOffset>102832</wp:posOffset>
            </wp:positionV>
            <wp:extent cx="2920886" cy="2904363"/>
            <wp:effectExtent l="0" t="0" r="0" b="0"/>
            <wp:wrapTopAndBottom/>
            <wp:docPr id="59" name="image38.jpeg" descr=""/>
            <wp:cNvGraphicFramePr>
              <a:graphicFrameLocks noChangeAspect="1"/>
            </wp:cNvGraphicFramePr>
            <a:graphic>
              <a:graphicData uri="http://schemas.openxmlformats.org/drawingml/2006/picture">
                <pic:pic>
                  <pic:nvPicPr>
                    <pic:cNvPr id="60" name="image38.jpeg"/>
                    <pic:cNvPicPr/>
                  </pic:nvPicPr>
                  <pic:blipFill>
                    <a:blip r:embed="rId68" cstate="print"/>
                    <a:stretch>
                      <a:fillRect/>
                    </a:stretch>
                  </pic:blipFill>
                  <pic:spPr>
                    <a:xfrm>
                      <a:off x="0" y="0"/>
                      <a:ext cx="2920886" cy="2904363"/>
                    </a:xfrm>
                    <a:prstGeom prst="rect">
                      <a:avLst/>
                    </a:prstGeom>
                  </pic:spPr>
                </pic:pic>
              </a:graphicData>
            </a:graphic>
          </wp:anchor>
        </w:drawing>
      </w:r>
    </w:p>
    <w:p>
      <w:pPr>
        <w:pStyle w:val="BodyText"/>
        <w:spacing w:before="1"/>
      </w:pPr>
    </w:p>
    <w:p>
      <w:pPr>
        <w:pStyle w:val="BodyText"/>
        <w:spacing w:line="321" w:lineRule="auto" w:before="1"/>
        <w:ind w:left="421" w:right="311" w:hanging="164"/>
      </w:pPr>
      <w:r>
        <w:rPr>
          <w:b/>
        </w:rPr>
        <w:t>Figure 11. </w:t>
      </w:r>
      <w:r>
        <w:rPr/>
        <w:t>DSC (</w:t>
      </w:r>
      <w:r>
        <w:rPr>
          <w:b/>
        </w:rPr>
        <w:t>A</w:t>
      </w:r>
      <w:r>
        <w:rPr/>
        <w:t>) heating and (</w:t>
      </w:r>
      <w:r>
        <w:rPr>
          <w:b/>
        </w:rPr>
        <w:t>B</w:t>
      </w:r>
      <w:r>
        <w:rPr/>
        <w:t>) cooling thermograms of: (</w:t>
      </w:r>
      <w:r>
        <w:rPr>
          <w:b/>
        </w:rPr>
        <w:t>a</w:t>
      </w:r>
      <w:r>
        <w:rPr/>
        <w:t>) pure PA66; (</w:t>
      </w:r>
      <w:r>
        <w:rPr>
          <w:b/>
        </w:rPr>
        <w:t>b</w:t>
      </w:r>
      <w:r>
        <w:rPr/>
        <w:t>) PA66/01RGO; (</w:t>
      </w:r>
      <w:r>
        <w:rPr>
          <w:b/>
        </w:rPr>
        <w:t>c</w:t>
      </w:r>
      <w:r>
        <w:rPr/>
        <w:t>) PA66/05RGO; (</w:t>
      </w:r>
      <w:r>
        <w:rPr>
          <w:b/>
        </w:rPr>
        <w:t>d</w:t>
      </w:r>
      <w:r>
        <w:rPr/>
        <w:t>) PA66/10RGO; (</w:t>
      </w:r>
      <w:r>
        <w:rPr>
          <w:b/>
        </w:rPr>
        <w:t>e</w:t>
      </w:r>
      <w:r>
        <w:rPr/>
        <w:t>) PA66/01GO;  (</w:t>
      </w:r>
      <w:r>
        <w:rPr>
          <w:b/>
        </w:rPr>
        <w:t>f</w:t>
      </w:r>
      <w:r>
        <w:rPr/>
        <w:t>) PA66/05GO and (</w:t>
      </w:r>
      <w:r>
        <w:rPr>
          <w:b/>
        </w:rPr>
        <w:t>g</w:t>
      </w:r>
      <w:r>
        <w:rPr/>
        <w:t>) PA66/10GO.</w:t>
      </w:r>
    </w:p>
    <w:p>
      <w:pPr>
        <w:pStyle w:val="BodyText"/>
        <w:spacing w:before="9"/>
        <w:rPr>
          <w:sz w:val="10"/>
        </w:rPr>
      </w:pPr>
      <w:r>
        <w:rPr/>
        <w:drawing>
          <wp:anchor distT="0" distB="0" distL="0" distR="0" allowOverlap="1" layoutInCell="1" locked="0" behindDoc="0" simplePos="0" relativeHeight="2320">
            <wp:simplePos x="0" y="0"/>
            <wp:positionH relativeFrom="page">
              <wp:posOffset>2469007</wp:posOffset>
            </wp:positionH>
            <wp:positionV relativeFrom="paragraph">
              <wp:posOffset>103744</wp:posOffset>
            </wp:positionV>
            <wp:extent cx="2826504" cy="2850642"/>
            <wp:effectExtent l="0" t="0" r="0" b="0"/>
            <wp:wrapTopAndBottom/>
            <wp:docPr id="61" name="image39.jpeg" descr=""/>
            <wp:cNvGraphicFramePr>
              <a:graphicFrameLocks noChangeAspect="1"/>
            </wp:cNvGraphicFramePr>
            <a:graphic>
              <a:graphicData uri="http://schemas.openxmlformats.org/drawingml/2006/picture">
                <pic:pic>
                  <pic:nvPicPr>
                    <pic:cNvPr id="62" name="image39.jpeg"/>
                    <pic:cNvPicPr/>
                  </pic:nvPicPr>
                  <pic:blipFill>
                    <a:blip r:embed="rId69" cstate="print"/>
                    <a:stretch>
                      <a:fillRect/>
                    </a:stretch>
                  </pic:blipFill>
                  <pic:spPr>
                    <a:xfrm>
                      <a:off x="0" y="0"/>
                      <a:ext cx="2826504" cy="2850642"/>
                    </a:xfrm>
                    <a:prstGeom prst="rect">
                      <a:avLst/>
                    </a:prstGeom>
                  </pic:spPr>
                </pic:pic>
              </a:graphicData>
            </a:graphic>
          </wp:anchor>
        </w:drawing>
      </w:r>
    </w:p>
    <w:p>
      <w:pPr>
        <w:spacing w:after="0"/>
        <w:rPr>
          <w:sz w:val="10"/>
        </w:rPr>
        <w:sectPr>
          <w:pgSz w:w="12240" w:h="15840"/>
          <w:pgMar w:header="730" w:footer="1060" w:top="1160" w:bottom="1260" w:left="1580" w:right="1560"/>
        </w:sectPr>
      </w:pPr>
    </w:p>
    <w:p>
      <w:pPr>
        <w:pStyle w:val="BodyText"/>
        <w:spacing w:before="6"/>
        <w:rPr>
          <w:sz w:val="21"/>
        </w:rPr>
      </w:pPr>
    </w:p>
    <w:p>
      <w:pPr>
        <w:pStyle w:val="BodyText"/>
        <w:spacing w:before="73"/>
        <w:ind w:left="1902" w:right="41"/>
      </w:pPr>
      <w:r>
        <w:rPr>
          <w:b/>
        </w:rPr>
        <w:t>Table 4. </w:t>
      </w:r>
      <w:r>
        <w:rPr/>
        <w:t>Crystallisation properties of the electrospun fibres.</w:t>
      </w:r>
    </w:p>
    <w:p>
      <w:pPr>
        <w:pStyle w:val="BodyText"/>
        <w:spacing w:before="1"/>
        <w:rPr>
          <w:sz w:val="11"/>
        </w:rPr>
      </w:pPr>
    </w:p>
    <w:tbl>
      <w:tblPr>
        <w:tblW w:w="0" w:type="auto"/>
        <w:jc w:val="left"/>
        <w:tblInd w:w="5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118"/>
        <w:gridCol w:w="1382"/>
        <w:gridCol w:w="1134"/>
        <w:gridCol w:w="1630"/>
        <w:gridCol w:w="1696"/>
      </w:tblGrid>
      <w:tr>
        <w:trPr>
          <w:trHeight w:val="314" w:hRule="exact"/>
        </w:trPr>
        <w:tc>
          <w:tcPr>
            <w:tcW w:w="2118" w:type="dxa"/>
            <w:tcBorders>
              <w:left w:val="nil"/>
              <w:bottom w:val="single" w:sz="4" w:space="0" w:color="000000"/>
              <w:right w:val="nil"/>
            </w:tcBorders>
          </w:tcPr>
          <w:p>
            <w:pPr>
              <w:pStyle w:val="TableParagraph"/>
              <w:spacing w:before="34"/>
              <w:ind w:left="361" w:right="246"/>
              <w:rPr>
                <w:b/>
                <w:sz w:val="22"/>
              </w:rPr>
            </w:pPr>
            <w:r>
              <w:rPr>
                <w:b/>
                <w:sz w:val="22"/>
              </w:rPr>
              <w:t>Sample</w:t>
            </w:r>
          </w:p>
        </w:tc>
        <w:tc>
          <w:tcPr>
            <w:tcW w:w="1382" w:type="dxa"/>
            <w:tcBorders>
              <w:left w:val="nil"/>
              <w:bottom w:val="single" w:sz="4" w:space="0" w:color="000000"/>
              <w:right w:val="nil"/>
            </w:tcBorders>
          </w:tcPr>
          <w:p>
            <w:pPr>
              <w:pStyle w:val="TableParagraph"/>
              <w:spacing w:before="9"/>
              <w:ind w:left="256" w:right="357"/>
              <w:rPr>
                <w:b/>
                <w:sz w:val="22"/>
              </w:rPr>
            </w:pPr>
            <w:r>
              <w:rPr>
                <w:b/>
                <w:sz w:val="22"/>
              </w:rPr>
              <w:t>X</w:t>
            </w:r>
            <w:r>
              <w:rPr>
                <w:b/>
                <w:position w:val="-2"/>
                <w:sz w:val="14"/>
              </w:rPr>
              <w:t>c </w:t>
            </w:r>
            <w:r>
              <w:rPr>
                <w:b/>
                <w:position w:val="10"/>
                <w:sz w:val="14"/>
              </w:rPr>
              <w:t>a </w:t>
            </w:r>
            <w:r>
              <w:rPr>
                <w:b/>
                <w:sz w:val="22"/>
              </w:rPr>
              <w:t>[%]</w:t>
            </w:r>
          </w:p>
        </w:tc>
        <w:tc>
          <w:tcPr>
            <w:tcW w:w="1134" w:type="dxa"/>
            <w:tcBorders>
              <w:left w:val="nil"/>
              <w:bottom w:val="single" w:sz="4" w:space="0" w:color="000000"/>
              <w:right w:val="nil"/>
            </w:tcBorders>
          </w:tcPr>
          <w:p>
            <w:pPr>
              <w:pStyle w:val="TableParagraph"/>
              <w:spacing w:before="9"/>
              <w:ind w:left="371"/>
              <w:jc w:val="left"/>
              <w:rPr>
                <w:b/>
                <w:sz w:val="14"/>
              </w:rPr>
            </w:pPr>
            <w:r>
              <w:rPr>
                <w:b/>
                <w:sz w:val="22"/>
              </w:rPr>
              <w:t>CI </w:t>
            </w:r>
            <w:r>
              <w:rPr>
                <w:b/>
                <w:position w:val="10"/>
                <w:sz w:val="14"/>
              </w:rPr>
              <w:t>b</w:t>
            </w:r>
          </w:p>
        </w:tc>
        <w:tc>
          <w:tcPr>
            <w:tcW w:w="1630" w:type="dxa"/>
            <w:tcBorders>
              <w:left w:val="nil"/>
              <w:bottom w:val="single" w:sz="4" w:space="0" w:color="000000"/>
              <w:right w:val="nil"/>
            </w:tcBorders>
          </w:tcPr>
          <w:p>
            <w:pPr>
              <w:pStyle w:val="TableParagraph"/>
              <w:spacing w:before="9"/>
              <w:ind w:left="361" w:right="159"/>
              <w:rPr>
                <w:b/>
                <w:sz w:val="22"/>
              </w:rPr>
            </w:pPr>
            <w:r>
              <w:rPr>
                <w:b/>
                <w:sz w:val="22"/>
              </w:rPr>
              <w:t>L</w:t>
            </w:r>
            <w:r>
              <w:rPr>
                <w:b/>
                <w:position w:val="-2"/>
                <w:sz w:val="14"/>
              </w:rPr>
              <w:t>(100)  </w:t>
            </w:r>
            <w:r>
              <w:rPr>
                <w:b/>
                <w:position w:val="10"/>
                <w:sz w:val="14"/>
              </w:rPr>
              <w:t>c </w:t>
            </w:r>
            <w:r>
              <w:rPr>
                <w:b/>
                <w:sz w:val="22"/>
              </w:rPr>
              <w:t>[nm]</w:t>
            </w:r>
          </w:p>
        </w:tc>
        <w:tc>
          <w:tcPr>
            <w:tcW w:w="1696" w:type="dxa"/>
            <w:tcBorders>
              <w:left w:val="nil"/>
              <w:bottom w:val="single" w:sz="4" w:space="0" w:color="000000"/>
              <w:right w:val="nil"/>
            </w:tcBorders>
          </w:tcPr>
          <w:p>
            <w:pPr>
              <w:pStyle w:val="TableParagraph"/>
              <w:spacing w:before="10"/>
              <w:ind w:left="160" w:right="161"/>
              <w:rPr>
                <w:b/>
                <w:sz w:val="22"/>
              </w:rPr>
            </w:pPr>
            <w:r>
              <w:rPr>
                <w:b/>
                <w:position w:val="3"/>
                <w:sz w:val="22"/>
              </w:rPr>
              <w:t>L</w:t>
            </w:r>
            <w:r>
              <w:rPr>
                <w:b/>
                <w:sz w:val="14"/>
              </w:rPr>
              <w:t>(010/110)  </w:t>
            </w:r>
            <w:r>
              <w:rPr>
                <w:b/>
                <w:position w:val="13"/>
                <w:sz w:val="14"/>
              </w:rPr>
              <w:t>d </w:t>
            </w:r>
            <w:r>
              <w:rPr>
                <w:b/>
                <w:position w:val="3"/>
                <w:sz w:val="22"/>
              </w:rPr>
              <w:t>[nm]</w:t>
            </w:r>
          </w:p>
        </w:tc>
      </w:tr>
      <w:tr>
        <w:trPr>
          <w:trHeight w:val="330" w:hRule="exact"/>
        </w:trPr>
        <w:tc>
          <w:tcPr>
            <w:tcW w:w="2118" w:type="dxa"/>
            <w:tcBorders>
              <w:top w:val="single" w:sz="4" w:space="0" w:color="000000"/>
              <w:left w:val="nil"/>
              <w:bottom w:val="nil"/>
              <w:right w:val="nil"/>
            </w:tcBorders>
          </w:tcPr>
          <w:p>
            <w:pPr>
              <w:pStyle w:val="TableParagraph"/>
              <w:spacing w:before="37"/>
              <w:ind w:left="362" w:right="246"/>
              <w:rPr>
                <w:sz w:val="22"/>
              </w:rPr>
            </w:pPr>
            <w:r>
              <w:rPr>
                <w:sz w:val="22"/>
              </w:rPr>
              <w:t>Pure PA66</w:t>
            </w:r>
          </w:p>
        </w:tc>
        <w:tc>
          <w:tcPr>
            <w:tcW w:w="1382" w:type="dxa"/>
            <w:tcBorders>
              <w:top w:val="single" w:sz="4" w:space="0" w:color="000000"/>
              <w:left w:val="nil"/>
              <w:bottom w:val="nil"/>
              <w:right w:val="nil"/>
            </w:tcBorders>
          </w:tcPr>
          <w:p>
            <w:pPr>
              <w:pStyle w:val="TableParagraph"/>
              <w:spacing w:before="37"/>
              <w:ind w:left="256" w:right="353"/>
              <w:rPr>
                <w:sz w:val="22"/>
              </w:rPr>
            </w:pPr>
            <w:r>
              <w:rPr>
                <w:sz w:val="22"/>
              </w:rPr>
              <w:t>39.4</w:t>
            </w:r>
          </w:p>
        </w:tc>
        <w:tc>
          <w:tcPr>
            <w:tcW w:w="1134" w:type="dxa"/>
            <w:tcBorders>
              <w:top w:val="single" w:sz="4" w:space="0" w:color="000000"/>
              <w:left w:val="nil"/>
              <w:bottom w:val="nil"/>
              <w:right w:val="nil"/>
            </w:tcBorders>
          </w:tcPr>
          <w:p>
            <w:pPr>
              <w:pStyle w:val="TableParagraph"/>
              <w:spacing w:before="37"/>
              <w:ind w:left="368"/>
              <w:jc w:val="left"/>
              <w:rPr>
                <w:sz w:val="22"/>
              </w:rPr>
            </w:pPr>
            <w:r>
              <w:rPr>
                <w:sz w:val="22"/>
              </w:rPr>
              <w:t>0.38</w:t>
            </w:r>
          </w:p>
        </w:tc>
        <w:tc>
          <w:tcPr>
            <w:tcW w:w="1630" w:type="dxa"/>
            <w:tcBorders>
              <w:top w:val="single" w:sz="4" w:space="0" w:color="000000"/>
              <w:left w:val="nil"/>
              <w:bottom w:val="nil"/>
              <w:right w:val="nil"/>
            </w:tcBorders>
          </w:tcPr>
          <w:p>
            <w:pPr>
              <w:pStyle w:val="TableParagraph"/>
              <w:spacing w:before="37"/>
              <w:ind w:left="361" w:right="158"/>
              <w:rPr>
                <w:sz w:val="22"/>
              </w:rPr>
            </w:pPr>
            <w:r>
              <w:rPr>
                <w:sz w:val="22"/>
              </w:rPr>
              <w:t>6.45</w:t>
            </w:r>
          </w:p>
        </w:tc>
        <w:tc>
          <w:tcPr>
            <w:tcW w:w="1696" w:type="dxa"/>
            <w:tcBorders>
              <w:top w:val="single" w:sz="4" w:space="0" w:color="000000"/>
              <w:left w:val="nil"/>
              <w:bottom w:val="nil"/>
              <w:right w:val="nil"/>
            </w:tcBorders>
          </w:tcPr>
          <w:p>
            <w:pPr>
              <w:pStyle w:val="TableParagraph"/>
              <w:spacing w:before="37"/>
              <w:ind w:left="160" w:right="160"/>
              <w:rPr>
                <w:sz w:val="22"/>
              </w:rPr>
            </w:pPr>
            <w:r>
              <w:rPr>
                <w:sz w:val="22"/>
              </w:rPr>
              <w:t>3.41</w:t>
            </w:r>
          </w:p>
        </w:tc>
      </w:tr>
      <w:tr>
        <w:trPr>
          <w:trHeight w:val="300" w:hRule="exact"/>
        </w:trPr>
        <w:tc>
          <w:tcPr>
            <w:tcW w:w="2118" w:type="dxa"/>
            <w:tcBorders>
              <w:top w:val="nil"/>
              <w:left w:val="nil"/>
              <w:bottom w:val="nil"/>
              <w:right w:val="nil"/>
            </w:tcBorders>
          </w:tcPr>
          <w:p>
            <w:pPr>
              <w:pStyle w:val="TableParagraph"/>
              <w:spacing w:before="12"/>
              <w:ind w:left="364" w:right="246"/>
              <w:rPr>
                <w:sz w:val="22"/>
              </w:rPr>
            </w:pPr>
            <w:r>
              <w:rPr>
                <w:sz w:val="22"/>
              </w:rPr>
              <w:t>PA66/01CNTs</w:t>
            </w:r>
          </w:p>
        </w:tc>
        <w:tc>
          <w:tcPr>
            <w:tcW w:w="1382" w:type="dxa"/>
            <w:tcBorders>
              <w:top w:val="nil"/>
              <w:left w:val="nil"/>
              <w:bottom w:val="nil"/>
              <w:right w:val="nil"/>
            </w:tcBorders>
          </w:tcPr>
          <w:p>
            <w:pPr>
              <w:pStyle w:val="TableParagraph"/>
              <w:spacing w:before="12"/>
              <w:ind w:left="256" w:right="353"/>
              <w:rPr>
                <w:sz w:val="22"/>
              </w:rPr>
            </w:pPr>
            <w:r>
              <w:rPr>
                <w:sz w:val="22"/>
              </w:rPr>
              <w:t>39.0</w:t>
            </w:r>
          </w:p>
        </w:tc>
        <w:tc>
          <w:tcPr>
            <w:tcW w:w="1134" w:type="dxa"/>
            <w:tcBorders>
              <w:top w:val="nil"/>
              <w:left w:val="nil"/>
              <w:bottom w:val="nil"/>
              <w:right w:val="nil"/>
            </w:tcBorders>
          </w:tcPr>
          <w:p>
            <w:pPr>
              <w:pStyle w:val="TableParagraph"/>
              <w:spacing w:before="12"/>
              <w:ind w:left="368"/>
              <w:jc w:val="left"/>
              <w:rPr>
                <w:sz w:val="22"/>
              </w:rPr>
            </w:pPr>
            <w:r>
              <w:rPr>
                <w:sz w:val="22"/>
              </w:rPr>
              <w:t>0.39</w:t>
            </w:r>
          </w:p>
        </w:tc>
        <w:tc>
          <w:tcPr>
            <w:tcW w:w="1630" w:type="dxa"/>
            <w:tcBorders>
              <w:top w:val="nil"/>
              <w:left w:val="nil"/>
              <w:bottom w:val="nil"/>
              <w:right w:val="nil"/>
            </w:tcBorders>
          </w:tcPr>
          <w:p>
            <w:pPr>
              <w:pStyle w:val="TableParagraph"/>
              <w:spacing w:before="12"/>
              <w:ind w:left="361" w:right="158"/>
              <w:rPr>
                <w:sz w:val="22"/>
              </w:rPr>
            </w:pPr>
            <w:r>
              <w:rPr>
                <w:sz w:val="22"/>
              </w:rPr>
              <w:t>6.32</w:t>
            </w:r>
          </w:p>
        </w:tc>
        <w:tc>
          <w:tcPr>
            <w:tcW w:w="1696" w:type="dxa"/>
            <w:tcBorders>
              <w:top w:val="nil"/>
              <w:left w:val="nil"/>
              <w:bottom w:val="nil"/>
              <w:right w:val="nil"/>
            </w:tcBorders>
          </w:tcPr>
          <w:p>
            <w:pPr>
              <w:pStyle w:val="TableParagraph"/>
              <w:spacing w:before="12"/>
              <w:ind w:left="160" w:right="160"/>
              <w:rPr>
                <w:sz w:val="22"/>
              </w:rPr>
            </w:pPr>
            <w:r>
              <w:rPr>
                <w:sz w:val="22"/>
              </w:rPr>
              <w:t>3.18</w:t>
            </w:r>
          </w:p>
        </w:tc>
      </w:tr>
      <w:tr>
        <w:trPr>
          <w:trHeight w:val="300" w:hRule="exact"/>
        </w:trPr>
        <w:tc>
          <w:tcPr>
            <w:tcW w:w="2118" w:type="dxa"/>
            <w:tcBorders>
              <w:top w:val="nil"/>
              <w:left w:val="nil"/>
              <w:bottom w:val="nil"/>
              <w:right w:val="nil"/>
            </w:tcBorders>
          </w:tcPr>
          <w:p>
            <w:pPr>
              <w:pStyle w:val="TableParagraph"/>
              <w:spacing w:before="12"/>
              <w:ind w:left="364" w:right="246"/>
              <w:rPr>
                <w:sz w:val="22"/>
              </w:rPr>
            </w:pPr>
            <w:r>
              <w:rPr>
                <w:sz w:val="22"/>
              </w:rPr>
              <w:t>PA66/05CNTs</w:t>
            </w:r>
          </w:p>
        </w:tc>
        <w:tc>
          <w:tcPr>
            <w:tcW w:w="1382" w:type="dxa"/>
            <w:tcBorders>
              <w:top w:val="nil"/>
              <w:left w:val="nil"/>
              <w:bottom w:val="nil"/>
              <w:right w:val="nil"/>
            </w:tcBorders>
          </w:tcPr>
          <w:p>
            <w:pPr>
              <w:pStyle w:val="TableParagraph"/>
              <w:spacing w:before="12"/>
              <w:ind w:left="256" w:right="353"/>
              <w:rPr>
                <w:sz w:val="22"/>
              </w:rPr>
            </w:pPr>
            <w:r>
              <w:rPr>
                <w:sz w:val="22"/>
              </w:rPr>
              <w:t>41.4</w:t>
            </w:r>
          </w:p>
        </w:tc>
        <w:tc>
          <w:tcPr>
            <w:tcW w:w="1134" w:type="dxa"/>
            <w:tcBorders>
              <w:top w:val="nil"/>
              <w:left w:val="nil"/>
              <w:bottom w:val="nil"/>
              <w:right w:val="nil"/>
            </w:tcBorders>
          </w:tcPr>
          <w:p>
            <w:pPr>
              <w:pStyle w:val="TableParagraph"/>
              <w:spacing w:before="12"/>
              <w:ind w:left="368"/>
              <w:jc w:val="left"/>
              <w:rPr>
                <w:sz w:val="22"/>
              </w:rPr>
            </w:pPr>
            <w:r>
              <w:rPr>
                <w:sz w:val="22"/>
              </w:rPr>
              <w:t>0.40</w:t>
            </w:r>
          </w:p>
        </w:tc>
        <w:tc>
          <w:tcPr>
            <w:tcW w:w="1630" w:type="dxa"/>
            <w:tcBorders>
              <w:top w:val="nil"/>
              <w:left w:val="nil"/>
              <w:bottom w:val="nil"/>
              <w:right w:val="nil"/>
            </w:tcBorders>
          </w:tcPr>
          <w:p>
            <w:pPr>
              <w:pStyle w:val="TableParagraph"/>
              <w:spacing w:before="12"/>
              <w:ind w:left="361" w:right="158"/>
              <w:rPr>
                <w:sz w:val="22"/>
              </w:rPr>
            </w:pPr>
            <w:r>
              <w:rPr>
                <w:sz w:val="22"/>
              </w:rPr>
              <w:t>6.06</w:t>
            </w:r>
          </w:p>
        </w:tc>
        <w:tc>
          <w:tcPr>
            <w:tcW w:w="1696" w:type="dxa"/>
            <w:tcBorders>
              <w:top w:val="nil"/>
              <w:left w:val="nil"/>
              <w:bottom w:val="nil"/>
              <w:right w:val="nil"/>
            </w:tcBorders>
          </w:tcPr>
          <w:p>
            <w:pPr>
              <w:pStyle w:val="TableParagraph"/>
              <w:spacing w:before="12"/>
              <w:ind w:left="160" w:right="160"/>
              <w:rPr>
                <w:sz w:val="22"/>
              </w:rPr>
            </w:pPr>
            <w:r>
              <w:rPr>
                <w:sz w:val="22"/>
              </w:rPr>
              <w:t>3.35</w:t>
            </w:r>
          </w:p>
        </w:tc>
      </w:tr>
      <w:tr>
        <w:trPr>
          <w:trHeight w:val="300" w:hRule="exact"/>
        </w:trPr>
        <w:tc>
          <w:tcPr>
            <w:tcW w:w="2118" w:type="dxa"/>
            <w:tcBorders>
              <w:top w:val="nil"/>
              <w:left w:val="nil"/>
              <w:bottom w:val="nil"/>
              <w:right w:val="nil"/>
            </w:tcBorders>
          </w:tcPr>
          <w:p>
            <w:pPr>
              <w:pStyle w:val="TableParagraph"/>
              <w:spacing w:before="12"/>
              <w:ind w:left="364" w:right="246"/>
              <w:rPr>
                <w:sz w:val="22"/>
              </w:rPr>
            </w:pPr>
            <w:r>
              <w:rPr>
                <w:sz w:val="22"/>
              </w:rPr>
              <w:t>PA66/10CNTs</w:t>
            </w:r>
          </w:p>
        </w:tc>
        <w:tc>
          <w:tcPr>
            <w:tcW w:w="1382" w:type="dxa"/>
            <w:tcBorders>
              <w:top w:val="nil"/>
              <w:left w:val="nil"/>
              <w:bottom w:val="nil"/>
              <w:right w:val="nil"/>
            </w:tcBorders>
          </w:tcPr>
          <w:p>
            <w:pPr>
              <w:pStyle w:val="TableParagraph"/>
              <w:spacing w:before="12"/>
              <w:ind w:left="256" w:right="353"/>
              <w:rPr>
                <w:sz w:val="22"/>
              </w:rPr>
            </w:pPr>
            <w:r>
              <w:rPr>
                <w:sz w:val="22"/>
              </w:rPr>
              <w:t>41.8</w:t>
            </w:r>
          </w:p>
        </w:tc>
        <w:tc>
          <w:tcPr>
            <w:tcW w:w="1134" w:type="dxa"/>
            <w:tcBorders>
              <w:top w:val="nil"/>
              <w:left w:val="nil"/>
              <w:bottom w:val="nil"/>
              <w:right w:val="nil"/>
            </w:tcBorders>
          </w:tcPr>
          <w:p>
            <w:pPr>
              <w:pStyle w:val="TableParagraph"/>
              <w:spacing w:before="12"/>
              <w:ind w:left="368"/>
              <w:jc w:val="left"/>
              <w:rPr>
                <w:sz w:val="22"/>
              </w:rPr>
            </w:pPr>
            <w:r>
              <w:rPr>
                <w:sz w:val="22"/>
              </w:rPr>
              <w:t>0.42</w:t>
            </w:r>
          </w:p>
        </w:tc>
        <w:tc>
          <w:tcPr>
            <w:tcW w:w="1630" w:type="dxa"/>
            <w:tcBorders>
              <w:top w:val="nil"/>
              <w:left w:val="nil"/>
              <w:bottom w:val="nil"/>
              <w:right w:val="nil"/>
            </w:tcBorders>
          </w:tcPr>
          <w:p>
            <w:pPr>
              <w:pStyle w:val="TableParagraph"/>
              <w:spacing w:before="12"/>
              <w:ind w:left="361" w:right="158"/>
              <w:rPr>
                <w:sz w:val="22"/>
              </w:rPr>
            </w:pPr>
            <w:r>
              <w:rPr>
                <w:sz w:val="22"/>
              </w:rPr>
              <w:t>6.00</w:t>
            </w:r>
          </w:p>
        </w:tc>
        <w:tc>
          <w:tcPr>
            <w:tcW w:w="1696" w:type="dxa"/>
            <w:tcBorders>
              <w:top w:val="nil"/>
              <w:left w:val="nil"/>
              <w:bottom w:val="nil"/>
              <w:right w:val="nil"/>
            </w:tcBorders>
          </w:tcPr>
          <w:p>
            <w:pPr>
              <w:pStyle w:val="TableParagraph"/>
              <w:spacing w:before="12"/>
              <w:ind w:left="160" w:right="160"/>
              <w:rPr>
                <w:sz w:val="22"/>
              </w:rPr>
            </w:pPr>
            <w:r>
              <w:rPr>
                <w:sz w:val="22"/>
              </w:rPr>
              <w:t>3.14</w:t>
            </w:r>
          </w:p>
        </w:tc>
      </w:tr>
      <w:tr>
        <w:trPr>
          <w:trHeight w:val="300" w:hRule="exact"/>
        </w:trPr>
        <w:tc>
          <w:tcPr>
            <w:tcW w:w="2118" w:type="dxa"/>
            <w:tcBorders>
              <w:top w:val="nil"/>
              <w:left w:val="nil"/>
              <w:bottom w:val="nil"/>
              <w:right w:val="nil"/>
            </w:tcBorders>
          </w:tcPr>
          <w:p>
            <w:pPr>
              <w:pStyle w:val="TableParagraph"/>
              <w:spacing w:before="12"/>
              <w:ind w:left="364" w:right="246"/>
              <w:rPr>
                <w:sz w:val="22"/>
              </w:rPr>
            </w:pPr>
            <w:r>
              <w:rPr>
                <w:sz w:val="22"/>
              </w:rPr>
              <w:t>PA66/01OCNTs</w:t>
            </w:r>
          </w:p>
        </w:tc>
        <w:tc>
          <w:tcPr>
            <w:tcW w:w="1382" w:type="dxa"/>
            <w:tcBorders>
              <w:top w:val="nil"/>
              <w:left w:val="nil"/>
              <w:bottom w:val="nil"/>
              <w:right w:val="nil"/>
            </w:tcBorders>
          </w:tcPr>
          <w:p>
            <w:pPr>
              <w:pStyle w:val="TableParagraph"/>
              <w:spacing w:before="12"/>
              <w:ind w:left="256" w:right="353"/>
              <w:rPr>
                <w:sz w:val="22"/>
              </w:rPr>
            </w:pPr>
            <w:r>
              <w:rPr>
                <w:sz w:val="22"/>
              </w:rPr>
              <w:t>40.8</w:t>
            </w:r>
          </w:p>
        </w:tc>
        <w:tc>
          <w:tcPr>
            <w:tcW w:w="1134" w:type="dxa"/>
            <w:tcBorders>
              <w:top w:val="nil"/>
              <w:left w:val="nil"/>
              <w:bottom w:val="nil"/>
              <w:right w:val="nil"/>
            </w:tcBorders>
          </w:tcPr>
          <w:p>
            <w:pPr>
              <w:pStyle w:val="TableParagraph"/>
              <w:spacing w:before="12"/>
              <w:ind w:left="368"/>
              <w:jc w:val="left"/>
              <w:rPr>
                <w:sz w:val="22"/>
              </w:rPr>
            </w:pPr>
            <w:r>
              <w:rPr>
                <w:sz w:val="22"/>
              </w:rPr>
              <w:t>0.39</w:t>
            </w:r>
          </w:p>
        </w:tc>
        <w:tc>
          <w:tcPr>
            <w:tcW w:w="1630" w:type="dxa"/>
            <w:tcBorders>
              <w:top w:val="nil"/>
              <w:left w:val="nil"/>
              <w:bottom w:val="nil"/>
              <w:right w:val="nil"/>
            </w:tcBorders>
          </w:tcPr>
          <w:p>
            <w:pPr>
              <w:pStyle w:val="TableParagraph"/>
              <w:spacing w:before="12"/>
              <w:ind w:left="361" w:right="158"/>
              <w:rPr>
                <w:sz w:val="22"/>
              </w:rPr>
            </w:pPr>
            <w:r>
              <w:rPr>
                <w:sz w:val="22"/>
              </w:rPr>
              <w:t>6.12</w:t>
            </w:r>
          </w:p>
        </w:tc>
        <w:tc>
          <w:tcPr>
            <w:tcW w:w="1696" w:type="dxa"/>
            <w:tcBorders>
              <w:top w:val="nil"/>
              <w:left w:val="nil"/>
              <w:bottom w:val="nil"/>
              <w:right w:val="nil"/>
            </w:tcBorders>
          </w:tcPr>
          <w:p>
            <w:pPr>
              <w:pStyle w:val="TableParagraph"/>
              <w:spacing w:before="12"/>
              <w:ind w:left="160" w:right="160"/>
              <w:rPr>
                <w:sz w:val="22"/>
              </w:rPr>
            </w:pPr>
            <w:r>
              <w:rPr>
                <w:sz w:val="22"/>
              </w:rPr>
              <w:t>3.09</w:t>
            </w:r>
          </w:p>
        </w:tc>
      </w:tr>
      <w:tr>
        <w:trPr>
          <w:trHeight w:val="300" w:hRule="exact"/>
        </w:trPr>
        <w:tc>
          <w:tcPr>
            <w:tcW w:w="2118" w:type="dxa"/>
            <w:tcBorders>
              <w:top w:val="nil"/>
              <w:left w:val="nil"/>
              <w:bottom w:val="nil"/>
              <w:right w:val="nil"/>
            </w:tcBorders>
          </w:tcPr>
          <w:p>
            <w:pPr>
              <w:pStyle w:val="TableParagraph"/>
              <w:spacing w:before="12"/>
              <w:ind w:left="364" w:right="246"/>
              <w:rPr>
                <w:sz w:val="22"/>
              </w:rPr>
            </w:pPr>
            <w:r>
              <w:rPr>
                <w:sz w:val="22"/>
              </w:rPr>
              <w:t>PA66/05OCNTs</w:t>
            </w:r>
          </w:p>
        </w:tc>
        <w:tc>
          <w:tcPr>
            <w:tcW w:w="1382" w:type="dxa"/>
            <w:tcBorders>
              <w:top w:val="nil"/>
              <w:left w:val="nil"/>
              <w:bottom w:val="nil"/>
              <w:right w:val="nil"/>
            </w:tcBorders>
          </w:tcPr>
          <w:p>
            <w:pPr>
              <w:pStyle w:val="TableParagraph"/>
              <w:spacing w:before="12"/>
              <w:ind w:left="256" w:right="353"/>
              <w:rPr>
                <w:sz w:val="22"/>
              </w:rPr>
            </w:pPr>
            <w:r>
              <w:rPr>
                <w:sz w:val="22"/>
              </w:rPr>
              <w:t>41.3</w:t>
            </w:r>
          </w:p>
        </w:tc>
        <w:tc>
          <w:tcPr>
            <w:tcW w:w="1134" w:type="dxa"/>
            <w:tcBorders>
              <w:top w:val="nil"/>
              <w:left w:val="nil"/>
              <w:bottom w:val="nil"/>
              <w:right w:val="nil"/>
            </w:tcBorders>
          </w:tcPr>
          <w:p>
            <w:pPr>
              <w:pStyle w:val="TableParagraph"/>
              <w:spacing w:before="12"/>
              <w:ind w:left="368"/>
              <w:jc w:val="left"/>
              <w:rPr>
                <w:sz w:val="22"/>
              </w:rPr>
            </w:pPr>
            <w:r>
              <w:rPr>
                <w:sz w:val="22"/>
              </w:rPr>
              <w:t>0.40</w:t>
            </w:r>
          </w:p>
        </w:tc>
        <w:tc>
          <w:tcPr>
            <w:tcW w:w="1630" w:type="dxa"/>
            <w:tcBorders>
              <w:top w:val="nil"/>
              <w:left w:val="nil"/>
              <w:bottom w:val="nil"/>
              <w:right w:val="nil"/>
            </w:tcBorders>
          </w:tcPr>
          <w:p>
            <w:pPr>
              <w:pStyle w:val="TableParagraph"/>
              <w:spacing w:before="12"/>
              <w:ind w:left="361" w:right="158"/>
              <w:rPr>
                <w:sz w:val="22"/>
              </w:rPr>
            </w:pPr>
            <w:r>
              <w:rPr>
                <w:sz w:val="22"/>
              </w:rPr>
              <w:t>5.63</w:t>
            </w:r>
          </w:p>
        </w:tc>
        <w:tc>
          <w:tcPr>
            <w:tcW w:w="1696" w:type="dxa"/>
            <w:tcBorders>
              <w:top w:val="nil"/>
              <w:left w:val="nil"/>
              <w:bottom w:val="nil"/>
              <w:right w:val="nil"/>
            </w:tcBorders>
          </w:tcPr>
          <w:p>
            <w:pPr>
              <w:pStyle w:val="TableParagraph"/>
              <w:spacing w:before="12"/>
              <w:ind w:left="160" w:right="160"/>
              <w:rPr>
                <w:sz w:val="22"/>
              </w:rPr>
            </w:pPr>
            <w:r>
              <w:rPr>
                <w:sz w:val="22"/>
              </w:rPr>
              <w:t>3.15</w:t>
            </w:r>
          </w:p>
        </w:tc>
      </w:tr>
      <w:tr>
        <w:trPr>
          <w:trHeight w:val="300" w:hRule="exact"/>
        </w:trPr>
        <w:tc>
          <w:tcPr>
            <w:tcW w:w="2118" w:type="dxa"/>
            <w:tcBorders>
              <w:top w:val="nil"/>
              <w:left w:val="nil"/>
              <w:bottom w:val="nil"/>
              <w:right w:val="nil"/>
            </w:tcBorders>
          </w:tcPr>
          <w:p>
            <w:pPr>
              <w:pStyle w:val="TableParagraph"/>
              <w:spacing w:before="12"/>
              <w:ind w:left="364" w:right="246"/>
              <w:rPr>
                <w:sz w:val="22"/>
              </w:rPr>
            </w:pPr>
            <w:r>
              <w:rPr>
                <w:sz w:val="22"/>
              </w:rPr>
              <w:t>PA66/10OCNTs</w:t>
            </w:r>
          </w:p>
        </w:tc>
        <w:tc>
          <w:tcPr>
            <w:tcW w:w="1382" w:type="dxa"/>
            <w:tcBorders>
              <w:top w:val="nil"/>
              <w:left w:val="nil"/>
              <w:bottom w:val="nil"/>
              <w:right w:val="nil"/>
            </w:tcBorders>
          </w:tcPr>
          <w:p>
            <w:pPr>
              <w:pStyle w:val="TableParagraph"/>
              <w:spacing w:before="12"/>
              <w:ind w:left="256" w:right="353"/>
              <w:rPr>
                <w:sz w:val="22"/>
              </w:rPr>
            </w:pPr>
            <w:r>
              <w:rPr>
                <w:sz w:val="22"/>
              </w:rPr>
              <w:t>42.1</w:t>
            </w:r>
          </w:p>
        </w:tc>
        <w:tc>
          <w:tcPr>
            <w:tcW w:w="1134" w:type="dxa"/>
            <w:tcBorders>
              <w:top w:val="nil"/>
              <w:left w:val="nil"/>
              <w:bottom w:val="nil"/>
              <w:right w:val="nil"/>
            </w:tcBorders>
          </w:tcPr>
          <w:p>
            <w:pPr>
              <w:pStyle w:val="TableParagraph"/>
              <w:spacing w:before="12"/>
              <w:ind w:left="368"/>
              <w:jc w:val="left"/>
              <w:rPr>
                <w:sz w:val="22"/>
              </w:rPr>
            </w:pPr>
            <w:r>
              <w:rPr>
                <w:sz w:val="22"/>
              </w:rPr>
              <w:t>0.44</w:t>
            </w:r>
          </w:p>
        </w:tc>
        <w:tc>
          <w:tcPr>
            <w:tcW w:w="1630" w:type="dxa"/>
            <w:tcBorders>
              <w:top w:val="nil"/>
              <w:left w:val="nil"/>
              <w:bottom w:val="nil"/>
              <w:right w:val="nil"/>
            </w:tcBorders>
          </w:tcPr>
          <w:p>
            <w:pPr>
              <w:pStyle w:val="TableParagraph"/>
              <w:spacing w:before="12"/>
              <w:ind w:left="361" w:right="158"/>
              <w:rPr>
                <w:sz w:val="22"/>
              </w:rPr>
            </w:pPr>
            <w:r>
              <w:rPr>
                <w:sz w:val="22"/>
              </w:rPr>
              <w:t>5.61</w:t>
            </w:r>
          </w:p>
        </w:tc>
        <w:tc>
          <w:tcPr>
            <w:tcW w:w="1696" w:type="dxa"/>
            <w:tcBorders>
              <w:top w:val="nil"/>
              <w:left w:val="nil"/>
              <w:bottom w:val="nil"/>
              <w:right w:val="nil"/>
            </w:tcBorders>
          </w:tcPr>
          <w:p>
            <w:pPr>
              <w:pStyle w:val="TableParagraph"/>
              <w:spacing w:before="12"/>
              <w:ind w:left="160" w:right="160"/>
              <w:rPr>
                <w:sz w:val="22"/>
              </w:rPr>
            </w:pPr>
            <w:r>
              <w:rPr>
                <w:sz w:val="22"/>
              </w:rPr>
              <w:t>3.11</w:t>
            </w:r>
          </w:p>
        </w:tc>
      </w:tr>
      <w:tr>
        <w:trPr>
          <w:trHeight w:val="300" w:hRule="exact"/>
        </w:trPr>
        <w:tc>
          <w:tcPr>
            <w:tcW w:w="2118" w:type="dxa"/>
            <w:tcBorders>
              <w:top w:val="nil"/>
              <w:left w:val="nil"/>
              <w:bottom w:val="nil"/>
              <w:right w:val="nil"/>
            </w:tcBorders>
          </w:tcPr>
          <w:p>
            <w:pPr>
              <w:pStyle w:val="TableParagraph"/>
              <w:spacing w:before="12"/>
              <w:ind w:left="360" w:right="246"/>
              <w:rPr>
                <w:sz w:val="22"/>
              </w:rPr>
            </w:pPr>
            <w:r>
              <w:rPr>
                <w:sz w:val="22"/>
              </w:rPr>
              <w:t>PA66/01RGO</w:t>
            </w:r>
          </w:p>
        </w:tc>
        <w:tc>
          <w:tcPr>
            <w:tcW w:w="1382" w:type="dxa"/>
            <w:tcBorders>
              <w:top w:val="nil"/>
              <w:left w:val="nil"/>
              <w:bottom w:val="nil"/>
              <w:right w:val="nil"/>
            </w:tcBorders>
          </w:tcPr>
          <w:p>
            <w:pPr>
              <w:pStyle w:val="TableParagraph"/>
              <w:spacing w:before="12"/>
              <w:ind w:left="256" w:right="353"/>
              <w:rPr>
                <w:sz w:val="22"/>
              </w:rPr>
            </w:pPr>
            <w:r>
              <w:rPr>
                <w:sz w:val="22"/>
              </w:rPr>
              <w:t>41.5</w:t>
            </w:r>
          </w:p>
        </w:tc>
        <w:tc>
          <w:tcPr>
            <w:tcW w:w="1134" w:type="dxa"/>
            <w:tcBorders>
              <w:top w:val="nil"/>
              <w:left w:val="nil"/>
              <w:bottom w:val="nil"/>
              <w:right w:val="nil"/>
            </w:tcBorders>
          </w:tcPr>
          <w:p>
            <w:pPr>
              <w:pStyle w:val="TableParagraph"/>
              <w:spacing w:before="12"/>
              <w:ind w:left="368"/>
              <w:jc w:val="left"/>
              <w:rPr>
                <w:sz w:val="22"/>
              </w:rPr>
            </w:pPr>
            <w:r>
              <w:rPr>
                <w:sz w:val="22"/>
              </w:rPr>
              <w:t>0.42</w:t>
            </w:r>
          </w:p>
        </w:tc>
        <w:tc>
          <w:tcPr>
            <w:tcW w:w="1630" w:type="dxa"/>
            <w:tcBorders>
              <w:top w:val="nil"/>
              <w:left w:val="nil"/>
              <w:bottom w:val="nil"/>
              <w:right w:val="nil"/>
            </w:tcBorders>
          </w:tcPr>
          <w:p>
            <w:pPr>
              <w:pStyle w:val="TableParagraph"/>
              <w:spacing w:before="12"/>
              <w:ind w:left="361" w:right="158"/>
              <w:rPr>
                <w:sz w:val="22"/>
              </w:rPr>
            </w:pPr>
            <w:r>
              <w:rPr>
                <w:sz w:val="22"/>
              </w:rPr>
              <w:t>5.44</w:t>
            </w:r>
          </w:p>
        </w:tc>
        <w:tc>
          <w:tcPr>
            <w:tcW w:w="1696" w:type="dxa"/>
            <w:tcBorders>
              <w:top w:val="nil"/>
              <w:left w:val="nil"/>
              <w:bottom w:val="nil"/>
              <w:right w:val="nil"/>
            </w:tcBorders>
          </w:tcPr>
          <w:p>
            <w:pPr>
              <w:pStyle w:val="TableParagraph"/>
              <w:spacing w:before="12"/>
              <w:ind w:left="160" w:right="160"/>
              <w:rPr>
                <w:sz w:val="22"/>
              </w:rPr>
            </w:pPr>
            <w:r>
              <w:rPr>
                <w:sz w:val="22"/>
              </w:rPr>
              <w:t>2.89</w:t>
            </w:r>
          </w:p>
        </w:tc>
      </w:tr>
      <w:tr>
        <w:trPr>
          <w:trHeight w:val="300" w:hRule="exact"/>
        </w:trPr>
        <w:tc>
          <w:tcPr>
            <w:tcW w:w="2118" w:type="dxa"/>
            <w:tcBorders>
              <w:top w:val="nil"/>
              <w:left w:val="nil"/>
              <w:bottom w:val="nil"/>
              <w:right w:val="nil"/>
            </w:tcBorders>
          </w:tcPr>
          <w:p>
            <w:pPr>
              <w:pStyle w:val="TableParagraph"/>
              <w:spacing w:before="12"/>
              <w:ind w:left="360" w:right="246"/>
              <w:rPr>
                <w:sz w:val="22"/>
              </w:rPr>
            </w:pPr>
            <w:r>
              <w:rPr>
                <w:sz w:val="22"/>
              </w:rPr>
              <w:t>PA66/05RGO</w:t>
            </w:r>
          </w:p>
        </w:tc>
        <w:tc>
          <w:tcPr>
            <w:tcW w:w="1382" w:type="dxa"/>
            <w:tcBorders>
              <w:top w:val="nil"/>
              <w:left w:val="nil"/>
              <w:bottom w:val="nil"/>
              <w:right w:val="nil"/>
            </w:tcBorders>
          </w:tcPr>
          <w:p>
            <w:pPr>
              <w:pStyle w:val="TableParagraph"/>
              <w:spacing w:before="12"/>
              <w:ind w:left="256" w:right="353"/>
              <w:rPr>
                <w:sz w:val="22"/>
              </w:rPr>
            </w:pPr>
            <w:r>
              <w:rPr>
                <w:sz w:val="22"/>
              </w:rPr>
              <w:t>42.5</w:t>
            </w:r>
          </w:p>
        </w:tc>
        <w:tc>
          <w:tcPr>
            <w:tcW w:w="1134" w:type="dxa"/>
            <w:tcBorders>
              <w:top w:val="nil"/>
              <w:left w:val="nil"/>
              <w:bottom w:val="nil"/>
              <w:right w:val="nil"/>
            </w:tcBorders>
          </w:tcPr>
          <w:p>
            <w:pPr>
              <w:pStyle w:val="TableParagraph"/>
              <w:spacing w:before="12"/>
              <w:ind w:left="368"/>
              <w:jc w:val="left"/>
              <w:rPr>
                <w:sz w:val="22"/>
              </w:rPr>
            </w:pPr>
            <w:r>
              <w:rPr>
                <w:sz w:val="22"/>
              </w:rPr>
              <w:t>0.43</w:t>
            </w:r>
          </w:p>
        </w:tc>
        <w:tc>
          <w:tcPr>
            <w:tcW w:w="1630" w:type="dxa"/>
            <w:tcBorders>
              <w:top w:val="nil"/>
              <w:left w:val="nil"/>
              <w:bottom w:val="nil"/>
              <w:right w:val="nil"/>
            </w:tcBorders>
          </w:tcPr>
          <w:p>
            <w:pPr>
              <w:pStyle w:val="TableParagraph"/>
              <w:spacing w:before="12"/>
              <w:ind w:left="361" w:right="158"/>
              <w:rPr>
                <w:sz w:val="22"/>
              </w:rPr>
            </w:pPr>
            <w:r>
              <w:rPr>
                <w:sz w:val="22"/>
              </w:rPr>
              <w:t>5.43</w:t>
            </w:r>
          </w:p>
        </w:tc>
        <w:tc>
          <w:tcPr>
            <w:tcW w:w="1696" w:type="dxa"/>
            <w:tcBorders>
              <w:top w:val="nil"/>
              <w:left w:val="nil"/>
              <w:bottom w:val="nil"/>
              <w:right w:val="nil"/>
            </w:tcBorders>
          </w:tcPr>
          <w:p>
            <w:pPr>
              <w:pStyle w:val="TableParagraph"/>
              <w:spacing w:before="12"/>
              <w:ind w:left="160" w:right="160"/>
              <w:rPr>
                <w:sz w:val="22"/>
              </w:rPr>
            </w:pPr>
            <w:r>
              <w:rPr>
                <w:sz w:val="22"/>
              </w:rPr>
              <w:t>2.98</w:t>
            </w:r>
          </w:p>
        </w:tc>
      </w:tr>
      <w:tr>
        <w:trPr>
          <w:trHeight w:val="300" w:hRule="exact"/>
        </w:trPr>
        <w:tc>
          <w:tcPr>
            <w:tcW w:w="2118" w:type="dxa"/>
            <w:tcBorders>
              <w:top w:val="nil"/>
              <w:left w:val="nil"/>
              <w:bottom w:val="nil"/>
              <w:right w:val="nil"/>
            </w:tcBorders>
          </w:tcPr>
          <w:p>
            <w:pPr>
              <w:pStyle w:val="TableParagraph"/>
              <w:spacing w:before="12"/>
              <w:ind w:left="360" w:right="246"/>
              <w:rPr>
                <w:sz w:val="22"/>
              </w:rPr>
            </w:pPr>
            <w:r>
              <w:rPr>
                <w:sz w:val="22"/>
              </w:rPr>
              <w:t>PA66/10RGO</w:t>
            </w:r>
          </w:p>
        </w:tc>
        <w:tc>
          <w:tcPr>
            <w:tcW w:w="1382" w:type="dxa"/>
            <w:tcBorders>
              <w:top w:val="nil"/>
              <w:left w:val="nil"/>
              <w:bottom w:val="nil"/>
              <w:right w:val="nil"/>
            </w:tcBorders>
          </w:tcPr>
          <w:p>
            <w:pPr>
              <w:pStyle w:val="TableParagraph"/>
              <w:spacing w:before="12"/>
              <w:ind w:left="256" w:right="353"/>
              <w:rPr>
                <w:sz w:val="22"/>
              </w:rPr>
            </w:pPr>
            <w:r>
              <w:rPr>
                <w:sz w:val="22"/>
              </w:rPr>
              <w:t>43.5</w:t>
            </w:r>
          </w:p>
        </w:tc>
        <w:tc>
          <w:tcPr>
            <w:tcW w:w="1134" w:type="dxa"/>
            <w:tcBorders>
              <w:top w:val="nil"/>
              <w:left w:val="nil"/>
              <w:bottom w:val="nil"/>
              <w:right w:val="nil"/>
            </w:tcBorders>
          </w:tcPr>
          <w:p>
            <w:pPr>
              <w:pStyle w:val="TableParagraph"/>
              <w:spacing w:before="12"/>
              <w:ind w:left="368"/>
              <w:jc w:val="left"/>
              <w:rPr>
                <w:sz w:val="22"/>
              </w:rPr>
            </w:pPr>
            <w:r>
              <w:rPr>
                <w:sz w:val="22"/>
              </w:rPr>
              <w:t>0.44</w:t>
            </w:r>
          </w:p>
        </w:tc>
        <w:tc>
          <w:tcPr>
            <w:tcW w:w="1630" w:type="dxa"/>
            <w:tcBorders>
              <w:top w:val="nil"/>
              <w:left w:val="nil"/>
              <w:bottom w:val="nil"/>
              <w:right w:val="nil"/>
            </w:tcBorders>
          </w:tcPr>
          <w:p>
            <w:pPr>
              <w:pStyle w:val="TableParagraph"/>
              <w:spacing w:before="12"/>
              <w:ind w:left="361" w:right="158"/>
              <w:rPr>
                <w:sz w:val="22"/>
              </w:rPr>
            </w:pPr>
            <w:r>
              <w:rPr>
                <w:sz w:val="22"/>
              </w:rPr>
              <w:t>5.18</w:t>
            </w:r>
          </w:p>
        </w:tc>
        <w:tc>
          <w:tcPr>
            <w:tcW w:w="1696" w:type="dxa"/>
            <w:tcBorders>
              <w:top w:val="nil"/>
              <w:left w:val="nil"/>
              <w:bottom w:val="nil"/>
              <w:right w:val="nil"/>
            </w:tcBorders>
          </w:tcPr>
          <w:p>
            <w:pPr>
              <w:pStyle w:val="TableParagraph"/>
              <w:spacing w:before="12"/>
              <w:ind w:left="160" w:right="160"/>
              <w:rPr>
                <w:sz w:val="22"/>
              </w:rPr>
            </w:pPr>
            <w:r>
              <w:rPr>
                <w:sz w:val="22"/>
              </w:rPr>
              <w:t>2.92</w:t>
            </w:r>
          </w:p>
        </w:tc>
      </w:tr>
      <w:tr>
        <w:trPr>
          <w:trHeight w:val="300" w:hRule="exact"/>
        </w:trPr>
        <w:tc>
          <w:tcPr>
            <w:tcW w:w="2118" w:type="dxa"/>
            <w:tcBorders>
              <w:top w:val="nil"/>
              <w:left w:val="nil"/>
              <w:bottom w:val="nil"/>
              <w:right w:val="nil"/>
            </w:tcBorders>
          </w:tcPr>
          <w:p>
            <w:pPr>
              <w:pStyle w:val="TableParagraph"/>
              <w:spacing w:before="12"/>
              <w:ind w:left="363" w:right="246"/>
              <w:rPr>
                <w:sz w:val="22"/>
              </w:rPr>
            </w:pPr>
            <w:r>
              <w:rPr>
                <w:sz w:val="22"/>
              </w:rPr>
              <w:t>PA66/01GO</w:t>
            </w:r>
          </w:p>
        </w:tc>
        <w:tc>
          <w:tcPr>
            <w:tcW w:w="1382" w:type="dxa"/>
            <w:tcBorders>
              <w:top w:val="nil"/>
              <w:left w:val="nil"/>
              <w:bottom w:val="nil"/>
              <w:right w:val="nil"/>
            </w:tcBorders>
          </w:tcPr>
          <w:p>
            <w:pPr>
              <w:pStyle w:val="TableParagraph"/>
              <w:spacing w:before="12"/>
              <w:ind w:left="256" w:right="353"/>
              <w:rPr>
                <w:sz w:val="22"/>
              </w:rPr>
            </w:pPr>
            <w:r>
              <w:rPr>
                <w:sz w:val="22"/>
              </w:rPr>
              <w:t>41.8</w:t>
            </w:r>
          </w:p>
        </w:tc>
        <w:tc>
          <w:tcPr>
            <w:tcW w:w="1134" w:type="dxa"/>
            <w:tcBorders>
              <w:top w:val="nil"/>
              <w:left w:val="nil"/>
              <w:bottom w:val="nil"/>
              <w:right w:val="nil"/>
            </w:tcBorders>
          </w:tcPr>
          <w:p>
            <w:pPr>
              <w:pStyle w:val="TableParagraph"/>
              <w:spacing w:before="12"/>
              <w:ind w:left="368"/>
              <w:jc w:val="left"/>
              <w:rPr>
                <w:sz w:val="22"/>
              </w:rPr>
            </w:pPr>
            <w:r>
              <w:rPr>
                <w:sz w:val="22"/>
              </w:rPr>
              <w:t>0.40</w:t>
            </w:r>
          </w:p>
        </w:tc>
        <w:tc>
          <w:tcPr>
            <w:tcW w:w="1630" w:type="dxa"/>
            <w:tcBorders>
              <w:top w:val="nil"/>
              <w:left w:val="nil"/>
              <w:bottom w:val="nil"/>
              <w:right w:val="nil"/>
            </w:tcBorders>
          </w:tcPr>
          <w:p>
            <w:pPr>
              <w:pStyle w:val="TableParagraph"/>
              <w:spacing w:before="12"/>
              <w:ind w:left="361" w:right="158"/>
              <w:rPr>
                <w:sz w:val="22"/>
              </w:rPr>
            </w:pPr>
            <w:r>
              <w:rPr>
                <w:sz w:val="22"/>
              </w:rPr>
              <w:t>5.60</w:t>
            </w:r>
          </w:p>
        </w:tc>
        <w:tc>
          <w:tcPr>
            <w:tcW w:w="1696" w:type="dxa"/>
            <w:tcBorders>
              <w:top w:val="nil"/>
              <w:left w:val="nil"/>
              <w:bottom w:val="nil"/>
              <w:right w:val="nil"/>
            </w:tcBorders>
          </w:tcPr>
          <w:p>
            <w:pPr>
              <w:pStyle w:val="TableParagraph"/>
              <w:spacing w:before="12"/>
              <w:ind w:left="160" w:right="160"/>
              <w:rPr>
                <w:sz w:val="22"/>
              </w:rPr>
            </w:pPr>
            <w:r>
              <w:rPr>
                <w:sz w:val="22"/>
              </w:rPr>
              <w:t>3.17</w:t>
            </w:r>
          </w:p>
        </w:tc>
      </w:tr>
      <w:tr>
        <w:trPr>
          <w:trHeight w:val="300" w:hRule="exact"/>
        </w:trPr>
        <w:tc>
          <w:tcPr>
            <w:tcW w:w="2118" w:type="dxa"/>
            <w:tcBorders>
              <w:top w:val="nil"/>
              <w:left w:val="nil"/>
              <w:bottom w:val="nil"/>
              <w:right w:val="nil"/>
            </w:tcBorders>
          </w:tcPr>
          <w:p>
            <w:pPr>
              <w:pStyle w:val="TableParagraph"/>
              <w:spacing w:before="12"/>
              <w:ind w:left="363" w:right="246"/>
              <w:rPr>
                <w:sz w:val="22"/>
              </w:rPr>
            </w:pPr>
            <w:r>
              <w:rPr>
                <w:sz w:val="22"/>
              </w:rPr>
              <w:t>PA66/05GO</w:t>
            </w:r>
          </w:p>
        </w:tc>
        <w:tc>
          <w:tcPr>
            <w:tcW w:w="1382" w:type="dxa"/>
            <w:tcBorders>
              <w:top w:val="nil"/>
              <w:left w:val="nil"/>
              <w:bottom w:val="nil"/>
              <w:right w:val="nil"/>
            </w:tcBorders>
          </w:tcPr>
          <w:p>
            <w:pPr>
              <w:pStyle w:val="TableParagraph"/>
              <w:spacing w:before="12"/>
              <w:ind w:left="256" w:right="353"/>
              <w:rPr>
                <w:sz w:val="22"/>
              </w:rPr>
            </w:pPr>
            <w:r>
              <w:rPr>
                <w:sz w:val="22"/>
              </w:rPr>
              <w:t>42.6</w:t>
            </w:r>
          </w:p>
        </w:tc>
        <w:tc>
          <w:tcPr>
            <w:tcW w:w="1134" w:type="dxa"/>
            <w:tcBorders>
              <w:top w:val="nil"/>
              <w:left w:val="nil"/>
              <w:bottom w:val="nil"/>
              <w:right w:val="nil"/>
            </w:tcBorders>
          </w:tcPr>
          <w:p>
            <w:pPr>
              <w:pStyle w:val="TableParagraph"/>
              <w:spacing w:before="12"/>
              <w:ind w:left="368"/>
              <w:jc w:val="left"/>
              <w:rPr>
                <w:sz w:val="22"/>
              </w:rPr>
            </w:pPr>
            <w:r>
              <w:rPr>
                <w:sz w:val="22"/>
              </w:rPr>
              <w:t>0.42</w:t>
            </w:r>
          </w:p>
        </w:tc>
        <w:tc>
          <w:tcPr>
            <w:tcW w:w="1630" w:type="dxa"/>
            <w:tcBorders>
              <w:top w:val="nil"/>
              <w:left w:val="nil"/>
              <w:bottom w:val="nil"/>
              <w:right w:val="nil"/>
            </w:tcBorders>
          </w:tcPr>
          <w:p>
            <w:pPr>
              <w:pStyle w:val="TableParagraph"/>
              <w:spacing w:before="12"/>
              <w:ind w:left="361" w:right="158"/>
              <w:rPr>
                <w:sz w:val="22"/>
              </w:rPr>
            </w:pPr>
            <w:r>
              <w:rPr>
                <w:sz w:val="22"/>
              </w:rPr>
              <w:t>5.10</w:t>
            </w:r>
          </w:p>
        </w:tc>
        <w:tc>
          <w:tcPr>
            <w:tcW w:w="1696" w:type="dxa"/>
            <w:tcBorders>
              <w:top w:val="nil"/>
              <w:left w:val="nil"/>
              <w:bottom w:val="nil"/>
              <w:right w:val="nil"/>
            </w:tcBorders>
          </w:tcPr>
          <w:p>
            <w:pPr>
              <w:pStyle w:val="TableParagraph"/>
              <w:spacing w:before="12"/>
              <w:ind w:left="160" w:right="160"/>
              <w:rPr>
                <w:sz w:val="22"/>
              </w:rPr>
            </w:pPr>
            <w:r>
              <w:rPr>
                <w:sz w:val="22"/>
              </w:rPr>
              <w:t>3.08</w:t>
            </w:r>
          </w:p>
        </w:tc>
      </w:tr>
      <w:tr>
        <w:trPr>
          <w:trHeight w:val="287" w:hRule="exact"/>
        </w:trPr>
        <w:tc>
          <w:tcPr>
            <w:tcW w:w="2118" w:type="dxa"/>
            <w:tcBorders>
              <w:top w:val="nil"/>
              <w:left w:val="nil"/>
              <w:right w:val="nil"/>
            </w:tcBorders>
          </w:tcPr>
          <w:p>
            <w:pPr>
              <w:pStyle w:val="TableParagraph"/>
              <w:spacing w:before="12"/>
              <w:ind w:left="363" w:right="246"/>
              <w:rPr>
                <w:sz w:val="22"/>
              </w:rPr>
            </w:pPr>
            <w:r>
              <w:rPr>
                <w:sz w:val="22"/>
              </w:rPr>
              <w:t>PA66/10GO</w:t>
            </w:r>
          </w:p>
        </w:tc>
        <w:tc>
          <w:tcPr>
            <w:tcW w:w="1382" w:type="dxa"/>
            <w:tcBorders>
              <w:top w:val="nil"/>
              <w:left w:val="nil"/>
              <w:right w:val="nil"/>
            </w:tcBorders>
          </w:tcPr>
          <w:p>
            <w:pPr>
              <w:pStyle w:val="TableParagraph"/>
              <w:spacing w:before="12"/>
              <w:ind w:left="256" w:right="353"/>
              <w:rPr>
                <w:sz w:val="22"/>
              </w:rPr>
            </w:pPr>
            <w:r>
              <w:rPr>
                <w:sz w:val="22"/>
              </w:rPr>
              <w:t>43.8</w:t>
            </w:r>
          </w:p>
        </w:tc>
        <w:tc>
          <w:tcPr>
            <w:tcW w:w="1134" w:type="dxa"/>
            <w:tcBorders>
              <w:top w:val="nil"/>
              <w:left w:val="nil"/>
              <w:right w:val="nil"/>
            </w:tcBorders>
          </w:tcPr>
          <w:p>
            <w:pPr>
              <w:pStyle w:val="TableParagraph"/>
              <w:spacing w:before="12"/>
              <w:ind w:left="368"/>
              <w:jc w:val="left"/>
              <w:rPr>
                <w:sz w:val="22"/>
              </w:rPr>
            </w:pPr>
            <w:r>
              <w:rPr>
                <w:sz w:val="22"/>
              </w:rPr>
              <w:t>0.44</w:t>
            </w:r>
          </w:p>
        </w:tc>
        <w:tc>
          <w:tcPr>
            <w:tcW w:w="1630" w:type="dxa"/>
            <w:tcBorders>
              <w:top w:val="nil"/>
              <w:left w:val="nil"/>
              <w:right w:val="nil"/>
            </w:tcBorders>
          </w:tcPr>
          <w:p>
            <w:pPr>
              <w:pStyle w:val="TableParagraph"/>
              <w:spacing w:before="12"/>
              <w:ind w:left="361" w:right="158"/>
              <w:rPr>
                <w:sz w:val="22"/>
              </w:rPr>
            </w:pPr>
            <w:r>
              <w:rPr>
                <w:sz w:val="22"/>
              </w:rPr>
              <w:t>5.01</w:t>
            </w:r>
          </w:p>
        </w:tc>
        <w:tc>
          <w:tcPr>
            <w:tcW w:w="1696" w:type="dxa"/>
            <w:tcBorders>
              <w:top w:val="nil"/>
              <w:left w:val="nil"/>
              <w:right w:val="nil"/>
            </w:tcBorders>
          </w:tcPr>
          <w:p>
            <w:pPr>
              <w:pStyle w:val="TableParagraph"/>
              <w:spacing w:before="12"/>
              <w:ind w:left="160" w:right="160"/>
              <w:rPr>
                <w:sz w:val="22"/>
              </w:rPr>
            </w:pPr>
            <w:r>
              <w:rPr>
                <w:sz w:val="22"/>
              </w:rPr>
              <w:t>2.93</w:t>
            </w:r>
          </w:p>
        </w:tc>
      </w:tr>
    </w:tbl>
    <w:p>
      <w:pPr>
        <w:pStyle w:val="BodyText"/>
        <w:spacing w:before="9"/>
        <w:ind w:left="683" w:right="41"/>
        <w:rPr>
          <w:sz w:val="14"/>
        </w:rPr>
      </w:pPr>
      <w:r>
        <w:rPr>
          <w:position w:val="10"/>
          <w:sz w:val="14"/>
        </w:rPr>
        <w:t>a  </w:t>
      </w:r>
      <w:r>
        <w:rPr/>
        <w:t>Crystallinity;  </w:t>
      </w:r>
      <w:r>
        <w:rPr>
          <w:position w:val="10"/>
          <w:sz w:val="14"/>
        </w:rPr>
        <w:t>b  </w:t>
      </w:r>
      <w:r>
        <w:rPr/>
        <w:t>crystallinity index;  </w:t>
      </w:r>
      <w:r>
        <w:rPr>
          <w:position w:val="10"/>
          <w:sz w:val="14"/>
        </w:rPr>
        <w:t>c  </w:t>
      </w:r>
      <w:r>
        <w:rPr/>
        <w:t>crystal  size  perpendicular to the  (100)  plane; </w:t>
      </w:r>
      <w:r>
        <w:rPr>
          <w:position w:val="10"/>
          <w:sz w:val="14"/>
        </w:rPr>
        <w:t>d</w:t>
      </w:r>
    </w:p>
    <w:p>
      <w:pPr>
        <w:pStyle w:val="BodyText"/>
        <w:spacing w:before="47"/>
        <w:ind w:left="683" w:right="41"/>
      </w:pPr>
      <w:r>
        <w:rPr/>
        <w:t>crystal size perpendicular to the (010/110) plane.</w:t>
      </w:r>
    </w:p>
    <w:p>
      <w:pPr>
        <w:pStyle w:val="BodyText"/>
        <w:spacing w:before="10"/>
        <w:rPr>
          <w:sz w:val="28"/>
        </w:rPr>
      </w:pPr>
    </w:p>
    <w:p>
      <w:pPr>
        <w:pStyle w:val="BodyText"/>
        <w:spacing w:line="319" w:lineRule="auto"/>
        <w:ind w:left="122" w:right="131" w:firstLine="288"/>
        <w:jc w:val="both"/>
      </w:pPr>
      <w:r>
        <w:rPr/>
        <w:t>The crystallisation thermograms of the nanocomposites showed higher crystallisation temperatures (T</w:t>
      </w:r>
      <w:r>
        <w:rPr>
          <w:i/>
          <w:position w:val="-2"/>
          <w:sz w:val="14"/>
        </w:rPr>
        <w:t>c</w:t>
      </w:r>
      <w:r>
        <w:rPr/>
        <w:t>) for the CNT based nanocomposites than nylon 6,6. This is explained by the increased amount of nuclei crystallising in the matrix due to addition of CNTs. The one- dimensional carbon material also blocked the nylon 6,6 chains mobility which resulted in an accelerated nucleation process [13].</w:t>
      </w:r>
    </w:p>
    <w:p>
      <w:pPr>
        <w:pStyle w:val="BodyText"/>
        <w:spacing w:line="319" w:lineRule="auto" w:before="5"/>
        <w:ind w:left="122" w:right="136" w:firstLine="288"/>
        <w:jc w:val="both"/>
      </w:pPr>
      <w:r>
        <w:rPr/>
        <w:t>CNT thermograms displayed an average increase in </w:t>
      </w:r>
      <w:r>
        <w:rPr>
          <w:spacing w:val="2"/>
        </w:rPr>
        <w:t>T</w:t>
      </w:r>
      <w:r>
        <w:rPr>
          <w:i/>
          <w:spacing w:val="2"/>
          <w:position w:val="-2"/>
          <w:sz w:val="14"/>
        </w:rPr>
        <w:t>c </w:t>
      </w:r>
      <w:r>
        <w:rPr/>
        <w:t>of 6 °C compared to pure polymer. The average T</w:t>
      </w:r>
      <w:r>
        <w:rPr>
          <w:i/>
          <w:position w:val="-2"/>
          <w:sz w:val="14"/>
        </w:rPr>
        <w:t>c </w:t>
      </w:r>
      <w:r>
        <w:rPr/>
        <w:t>in OCNT nanocomposites resulted in an increase of 4.6 °C. This behaviour indicates that functionalisation of carbon nanomaterials slightly weakens the heterogeneous nucleation effect of the nanotubes as is in agreement with earlier studies [13,14]. On the other hand, graphene based nanocomposites showed comparable or slightly higher </w:t>
      </w:r>
      <w:r>
        <w:rPr>
          <w:spacing w:val="3"/>
        </w:rPr>
        <w:t>T</w:t>
      </w:r>
      <w:r>
        <w:rPr>
          <w:i/>
          <w:spacing w:val="3"/>
          <w:position w:val="-2"/>
          <w:sz w:val="14"/>
        </w:rPr>
        <w:t>c </w:t>
      </w:r>
      <w:r>
        <w:rPr/>
        <w:t>to that of nylon 6,6. A similar nucleating effect of the graphene compared to CNTs has been found in polypropylene and poly(L-lactide) nanocomposites [18,19]. This behaviour has been explained by the considerable large surface area of the graphene sheets where the polymer chains need more time to adjust their conformations making the induction of crystallisation slower</w:t>
      </w:r>
      <w:r>
        <w:rPr>
          <w:spacing w:val="-19"/>
        </w:rPr>
        <w:t> </w:t>
      </w:r>
      <w:r>
        <w:rPr/>
        <w:t>[19].</w:t>
      </w:r>
    </w:p>
    <w:p>
      <w:pPr>
        <w:pStyle w:val="BodyText"/>
        <w:spacing w:line="319" w:lineRule="auto" w:before="5"/>
        <w:ind w:left="122" w:right="135" w:firstLine="288"/>
        <w:jc w:val="both"/>
      </w:pPr>
      <w:r>
        <w:rPr/>
        <w:t>The crystalline structure of the nanocomposites was also characterised using wide angle X-ray diffraction (WAXD). WAXD patterns are displayed in Figure 12. Two peaks observed at approximately 20.5° and 23.5° are consistent with the diffraction of (100) and (010/110) crystalline planes of α-crystals [22]. The diffraction pattern was decomposed using peak-fitting of Gaussian functions in Origin</w:t>
      </w:r>
      <w:r>
        <w:rPr>
          <w:position w:val="10"/>
          <w:sz w:val="14"/>
        </w:rPr>
        <w:t>® </w:t>
      </w:r>
      <w:r>
        <w:rPr/>
        <w:t>8.5 in order to obtain a broad amorphous halo and sharp peaks from reflections of the crystalline peaks and to evaluate the crystallinity index (CI) as shown in Equation (2).</w:t>
      </w:r>
    </w:p>
    <w:p>
      <w:pPr>
        <w:spacing w:after="0" w:line="319" w:lineRule="auto"/>
        <w:jc w:val="both"/>
        <w:sectPr>
          <w:pgSz w:w="12240" w:h="15840"/>
          <w:pgMar w:header="730" w:footer="1060" w:top="1160" w:bottom="1260" w:left="1580" w:right="1560"/>
        </w:sectPr>
      </w:pPr>
    </w:p>
    <w:tbl>
      <w:tblPr>
        <w:tblW w:w="0" w:type="auto"/>
        <w:jc w:val="left"/>
        <w:tblInd w:w="34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41"/>
        <w:gridCol w:w="2212"/>
      </w:tblGrid>
      <w:tr>
        <w:trPr>
          <w:trHeight w:val="1036" w:hRule="exact"/>
        </w:trPr>
        <w:tc>
          <w:tcPr>
            <w:tcW w:w="3341" w:type="dxa"/>
          </w:tcPr>
          <w:p>
            <w:pPr>
              <w:pStyle w:val="TableParagraph"/>
              <w:spacing w:before="7"/>
              <w:jc w:val="left"/>
              <w:rPr>
                <w:sz w:val="33"/>
              </w:rPr>
            </w:pPr>
          </w:p>
          <w:p>
            <w:pPr>
              <w:pStyle w:val="TableParagraph"/>
              <w:tabs>
                <w:tab w:pos="973" w:val="left" w:leader="none"/>
              </w:tabs>
              <w:spacing w:line="373" w:lineRule="exact"/>
              <w:ind w:left="200"/>
              <w:jc w:val="left"/>
              <w:rPr>
                <w:i/>
                <w:sz w:val="14"/>
              </w:rPr>
            </w:pPr>
            <w:r>
              <w:rPr>
                <w:i/>
                <w:sz w:val="24"/>
              </w:rPr>
              <w:t>CI</w:t>
            </w:r>
            <w:r>
              <w:rPr>
                <w:i/>
                <w:spacing w:val="19"/>
                <w:sz w:val="24"/>
              </w:rPr>
              <w:t> </w:t>
            </w:r>
            <w:r>
              <w:rPr>
                <w:rFonts w:ascii="Symbol" w:hAnsi="Symbol"/>
                <w:sz w:val="24"/>
              </w:rPr>
              <w:t></w:t>
            </w:r>
            <w:r>
              <w:rPr>
                <w:sz w:val="24"/>
              </w:rPr>
              <w:tab/>
            </w:r>
            <w:r>
              <w:rPr>
                <w:i/>
                <w:spacing w:val="-12"/>
                <w:position w:val="15"/>
                <w:sz w:val="24"/>
              </w:rPr>
              <w:t>A</w:t>
            </w:r>
            <w:r>
              <w:rPr>
                <w:i/>
                <w:spacing w:val="-12"/>
                <w:position w:val="9"/>
                <w:sz w:val="14"/>
              </w:rPr>
              <w:t>c</w:t>
            </w:r>
          </w:p>
          <w:p>
            <w:pPr>
              <w:pStyle w:val="TableParagraph"/>
              <w:spacing w:line="278" w:lineRule="exact"/>
              <w:ind w:left="744"/>
              <w:jc w:val="left"/>
              <w:rPr>
                <w:i/>
                <w:sz w:val="14"/>
              </w:rPr>
            </w:pPr>
            <w:r>
              <w:rPr>
                <w:i/>
                <w:sz w:val="24"/>
              </w:rPr>
              <w:t>A</w:t>
            </w:r>
            <w:r>
              <w:rPr>
                <w:i/>
                <w:position w:val="-5"/>
                <w:sz w:val="14"/>
              </w:rPr>
              <w:t>c   </w:t>
            </w:r>
            <w:r>
              <w:rPr>
                <w:rFonts w:ascii="Symbol" w:hAnsi="Symbol"/>
                <w:sz w:val="24"/>
              </w:rPr>
              <w:t></w:t>
            </w:r>
            <w:r>
              <w:rPr>
                <w:sz w:val="24"/>
              </w:rPr>
              <w:t> </w:t>
            </w:r>
            <w:r>
              <w:rPr>
                <w:i/>
                <w:sz w:val="24"/>
              </w:rPr>
              <w:t>A</w:t>
            </w:r>
            <w:r>
              <w:rPr>
                <w:i/>
                <w:position w:val="-5"/>
                <w:sz w:val="14"/>
              </w:rPr>
              <w:t>a</w:t>
            </w:r>
          </w:p>
        </w:tc>
        <w:tc>
          <w:tcPr>
            <w:tcW w:w="2212" w:type="dxa"/>
          </w:tcPr>
          <w:p>
            <w:pPr>
              <w:pStyle w:val="TableParagraph"/>
              <w:jc w:val="left"/>
              <w:rPr>
                <w:sz w:val="22"/>
              </w:rPr>
            </w:pPr>
          </w:p>
          <w:p>
            <w:pPr>
              <w:pStyle w:val="TableParagraph"/>
              <w:spacing w:before="10"/>
              <w:jc w:val="left"/>
              <w:rPr>
                <w:sz w:val="32"/>
              </w:rPr>
            </w:pPr>
          </w:p>
          <w:p>
            <w:pPr>
              <w:pStyle w:val="TableParagraph"/>
              <w:ind w:right="1"/>
              <w:jc w:val="right"/>
              <w:rPr>
                <w:sz w:val="22"/>
              </w:rPr>
            </w:pPr>
            <w:r>
              <w:rPr>
                <w:sz w:val="22"/>
              </w:rPr>
              <w:t>(2)</w:t>
            </w:r>
          </w:p>
        </w:tc>
      </w:tr>
    </w:tbl>
    <w:p>
      <w:pPr>
        <w:pStyle w:val="BodyText"/>
        <w:spacing w:before="2"/>
        <w:rPr>
          <w:sz w:val="13"/>
        </w:rPr>
      </w:pPr>
    </w:p>
    <w:p>
      <w:pPr>
        <w:pStyle w:val="BodyText"/>
        <w:spacing w:line="316" w:lineRule="auto" w:before="72"/>
        <w:ind w:left="122" w:right="295"/>
        <w:jc w:val="both"/>
      </w:pPr>
      <w:r>
        <w:rPr/>
        <w:pict>
          <v:line style="position:absolute;mso-position-horizontal-relative:page;mso-position-vertical-relative:paragraph;z-index:-174784" from="284.945251pt,-24.384369pt" to="320.719026pt,-24.384369pt" stroked="true" strokeweight=".589697pt" strokecolor="#000000">
            <w10:wrap type="none"/>
          </v:line>
        </w:pict>
      </w:r>
      <w:r>
        <w:rPr/>
        <w:t>where </w:t>
      </w:r>
      <w:r>
        <w:rPr>
          <w:i/>
        </w:rPr>
        <w:t>A</w:t>
      </w:r>
      <w:r>
        <w:rPr>
          <w:i/>
          <w:position w:val="-2"/>
          <w:sz w:val="14"/>
        </w:rPr>
        <w:t>c </w:t>
      </w:r>
      <w:r>
        <w:rPr/>
        <w:t>is the integrated area underneath the crystalline peaks and </w:t>
      </w:r>
      <w:r>
        <w:rPr>
          <w:i/>
        </w:rPr>
        <w:t>A</w:t>
      </w:r>
      <w:r>
        <w:rPr>
          <w:i/>
          <w:position w:val="-2"/>
          <w:sz w:val="14"/>
        </w:rPr>
        <w:t>a </w:t>
      </w:r>
      <w:r>
        <w:rPr/>
        <w:t>is the integrated area of the amorphous halo. The values of CI are also shown in Table 4. These values are in accordance with the DSC crystallinity results.</w:t>
      </w:r>
    </w:p>
    <w:p>
      <w:pPr>
        <w:pStyle w:val="BodyText"/>
        <w:spacing w:before="8"/>
        <w:rPr>
          <w:sz w:val="21"/>
        </w:rPr>
      </w:pPr>
    </w:p>
    <w:p>
      <w:pPr>
        <w:pStyle w:val="BodyText"/>
        <w:spacing w:line="324" w:lineRule="auto"/>
        <w:ind w:left="316" w:right="539" w:hanging="2"/>
        <w:jc w:val="center"/>
      </w:pPr>
      <w:r>
        <w:rPr>
          <w:b/>
        </w:rPr>
        <w:t>Figure 12. </w:t>
      </w:r>
      <w:r>
        <w:rPr/>
        <w:t>(</w:t>
      </w:r>
      <w:r>
        <w:rPr>
          <w:b/>
        </w:rPr>
        <w:t>A</w:t>
      </w:r>
      <w:r>
        <w:rPr/>
        <w:t>) WAXD patterns of: (</w:t>
      </w:r>
      <w:r>
        <w:rPr>
          <w:b/>
        </w:rPr>
        <w:t>a</w:t>
      </w:r>
      <w:r>
        <w:rPr/>
        <w:t>) pure PA66; (</w:t>
      </w:r>
      <w:r>
        <w:rPr>
          <w:b/>
        </w:rPr>
        <w:t>b</w:t>
      </w:r>
      <w:r>
        <w:rPr/>
        <w:t>) PA66/01CNTs; (</w:t>
      </w:r>
      <w:r>
        <w:rPr>
          <w:b/>
        </w:rPr>
        <w:t>c</w:t>
      </w:r>
      <w:r>
        <w:rPr/>
        <w:t>) PA66/05CNTs; (</w:t>
      </w:r>
      <w:r>
        <w:rPr>
          <w:b/>
        </w:rPr>
        <w:t>d</w:t>
      </w:r>
      <w:r>
        <w:rPr/>
        <w:t>) PA66/10CNTs; (</w:t>
      </w:r>
      <w:r>
        <w:rPr>
          <w:b/>
        </w:rPr>
        <w:t>e</w:t>
      </w:r>
      <w:r>
        <w:rPr/>
        <w:t>) PA66/01OCNTs; (</w:t>
      </w:r>
      <w:r>
        <w:rPr>
          <w:b/>
        </w:rPr>
        <w:t>f</w:t>
      </w:r>
      <w:r>
        <w:rPr/>
        <w:t>) PA66/05OCNTs and (</w:t>
      </w:r>
      <w:r>
        <w:rPr>
          <w:b/>
        </w:rPr>
        <w:t>g</w:t>
      </w:r>
      <w:r>
        <w:rPr/>
        <w:t>) PA66/10OCNTs. (</w:t>
      </w:r>
      <w:r>
        <w:rPr>
          <w:b/>
        </w:rPr>
        <w:t>B</w:t>
      </w:r>
      <w:r>
        <w:rPr/>
        <w:t>) WAXD</w:t>
      </w:r>
    </w:p>
    <w:p>
      <w:pPr>
        <w:pStyle w:val="BodyText"/>
        <w:spacing w:line="324" w:lineRule="auto"/>
        <w:ind w:left="662" w:right="886"/>
        <w:jc w:val="center"/>
      </w:pPr>
      <w:r>
        <w:rPr/>
        <w:t>patterns of: (</w:t>
      </w:r>
      <w:r>
        <w:rPr>
          <w:b/>
        </w:rPr>
        <w:t>a</w:t>
      </w:r>
      <w:r>
        <w:rPr/>
        <w:t>) pure PA66; (</w:t>
      </w:r>
      <w:r>
        <w:rPr>
          <w:b/>
        </w:rPr>
        <w:t>b</w:t>
      </w:r>
      <w:r>
        <w:rPr/>
        <w:t>) PA66/01RGO; (</w:t>
      </w:r>
      <w:r>
        <w:rPr>
          <w:b/>
        </w:rPr>
        <w:t>c</w:t>
      </w:r>
      <w:r>
        <w:rPr/>
        <w:t>) PA66/05RGO; (</w:t>
      </w:r>
      <w:r>
        <w:rPr>
          <w:b/>
        </w:rPr>
        <w:t>d</w:t>
      </w:r>
      <w:r>
        <w:rPr/>
        <w:t>) PA66/10RGO; (</w:t>
      </w:r>
      <w:r>
        <w:rPr>
          <w:b/>
        </w:rPr>
        <w:t>e</w:t>
      </w:r>
      <w:r>
        <w:rPr/>
        <w:t>) PA66/01GO; (</w:t>
      </w:r>
      <w:r>
        <w:rPr>
          <w:b/>
        </w:rPr>
        <w:t>f</w:t>
      </w:r>
      <w:r>
        <w:rPr/>
        <w:t>) PA66/05GO and (</w:t>
      </w:r>
      <w:r>
        <w:rPr>
          <w:b/>
        </w:rPr>
        <w:t>g</w:t>
      </w:r>
      <w:r>
        <w:rPr/>
        <w:t>) PA66/10GO.</w:t>
      </w:r>
    </w:p>
    <w:p>
      <w:pPr>
        <w:pStyle w:val="BodyText"/>
        <w:spacing w:before="7"/>
        <w:rPr>
          <w:sz w:val="10"/>
        </w:rPr>
      </w:pPr>
      <w:r>
        <w:rPr/>
        <w:drawing>
          <wp:anchor distT="0" distB="0" distL="0" distR="0" allowOverlap="1" layoutInCell="1" locked="0" behindDoc="0" simplePos="0" relativeHeight="2344">
            <wp:simplePos x="0" y="0"/>
            <wp:positionH relativeFrom="page">
              <wp:posOffset>2497454</wp:posOffset>
            </wp:positionH>
            <wp:positionV relativeFrom="paragraph">
              <wp:posOffset>102450</wp:posOffset>
            </wp:positionV>
            <wp:extent cx="2786777" cy="2718054"/>
            <wp:effectExtent l="0" t="0" r="0" b="0"/>
            <wp:wrapTopAndBottom/>
            <wp:docPr id="63" name="image40.jpeg" descr=""/>
            <wp:cNvGraphicFramePr>
              <a:graphicFrameLocks noChangeAspect="1"/>
            </wp:cNvGraphicFramePr>
            <a:graphic>
              <a:graphicData uri="http://schemas.openxmlformats.org/drawingml/2006/picture">
                <pic:pic>
                  <pic:nvPicPr>
                    <pic:cNvPr id="64" name="image40.jpeg"/>
                    <pic:cNvPicPr/>
                  </pic:nvPicPr>
                  <pic:blipFill>
                    <a:blip r:embed="rId70" cstate="print"/>
                    <a:stretch>
                      <a:fillRect/>
                    </a:stretch>
                  </pic:blipFill>
                  <pic:spPr>
                    <a:xfrm>
                      <a:off x="0" y="0"/>
                      <a:ext cx="2786777" cy="2718054"/>
                    </a:xfrm>
                    <a:prstGeom prst="rect">
                      <a:avLst/>
                    </a:prstGeom>
                  </pic:spPr>
                </pic:pic>
              </a:graphicData>
            </a:graphic>
          </wp:anchor>
        </w:drawing>
      </w:r>
    </w:p>
    <w:p>
      <w:pPr>
        <w:pStyle w:val="BodyText"/>
        <w:spacing w:before="6"/>
        <w:rPr>
          <w:sz w:val="26"/>
        </w:rPr>
      </w:pPr>
    </w:p>
    <w:p>
      <w:pPr>
        <w:pStyle w:val="BodyText"/>
        <w:spacing w:line="319" w:lineRule="auto" w:before="1"/>
        <w:ind w:left="122" w:right="296" w:firstLine="288"/>
        <w:jc w:val="both"/>
      </w:pPr>
      <w:r>
        <w:rPr/>
        <w:t>The unit cell of α-crystals in nylon 6,6 is triclinic [22–24]. The two strong diffraction signals are a project value of interchain distance within the hydrogen-bonded sheet (100) and the (010/110) signal represents the intersheet distance [24]. The crystallite size perpendicular to the diffraction (hkl) plane, L</w:t>
      </w:r>
      <w:r>
        <w:rPr>
          <w:position w:val="-2"/>
          <w:sz w:val="14"/>
        </w:rPr>
        <w:t>hkl </w:t>
      </w:r>
      <w:r>
        <w:rPr/>
        <w:t>in nanometres, can be obtained by applying Scherrer’s equation, displayed in Equation 3.</w:t>
      </w:r>
    </w:p>
    <w:p>
      <w:pPr>
        <w:pStyle w:val="BodyText"/>
        <w:spacing w:before="9"/>
        <w:rPr>
          <w:sz w:val="5"/>
        </w:rPr>
      </w:pPr>
    </w:p>
    <w:tbl>
      <w:tblPr>
        <w:tblW w:w="0" w:type="auto"/>
        <w:jc w:val="left"/>
        <w:tblInd w:w="339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66"/>
        <w:gridCol w:w="2398"/>
      </w:tblGrid>
      <w:tr>
        <w:trPr>
          <w:trHeight w:val="589" w:hRule="exact"/>
        </w:trPr>
        <w:tc>
          <w:tcPr>
            <w:tcW w:w="3366" w:type="dxa"/>
          </w:tcPr>
          <w:p>
            <w:pPr>
              <w:pStyle w:val="TableParagraph"/>
              <w:tabs>
                <w:tab w:pos="376" w:val="left" w:leader="none"/>
                <w:tab w:pos="1264" w:val="left" w:leader="none"/>
              </w:tabs>
              <w:spacing w:line="350" w:lineRule="exact"/>
              <w:ind w:right="1701"/>
              <w:rPr>
                <w:sz w:val="25"/>
              </w:rPr>
            </w:pPr>
            <w:r>
              <w:rPr>
                <w:i/>
                <w:position w:val="-14"/>
                <w:sz w:val="24"/>
              </w:rPr>
              <w:t>L</w:t>
              <w:tab/>
            </w:r>
            <w:r>
              <w:rPr>
                <w:rFonts w:ascii="Symbol" w:hAnsi="Symbol"/>
                <w:position w:val="-14"/>
                <w:sz w:val="24"/>
              </w:rPr>
              <w:t></w:t>
            </w:r>
            <w:r>
              <w:rPr>
                <w:position w:val="-14"/>
                <w:sz w:val="24"/>
              </w:rPr>
              <w:t>   </w:t>
            </w:r>
            <w:r>
              <w:rPr>
                <w:spacing w:val="31"/>
                <w:position w:val="-14"/>
                <w:sz w:val="24"/>
              </w:rPr>
              <w:t> </w:t>
            </w:r>
            <w:r>
              <w:rPr>
                <w:i/>
                <w:spacing w:val="5"/>
                <w:sz w:val="24"/>
                <w:u w:val="single"/>
              </w:rPr>
              <w:t>k</w:t>
            </w:r>
            <w:r>
              <w:rPr>
                <w:rFonts w:ascii="Symbol" w:hAnsi="Symbol"/>
                <w:i/>
                <w:spacing w:val="5"/>
                <w:sz w:val="25"/>
                <w:u w:val="single"/>
              </w:rPr>
              <w:t></w:t>
            </w:r>
            <w:r>
              <w:rPr>
                <w:spacing w:val="5"/>
                <w:sz w:val="25"/>
                <w:u w:val="single"/>
              </w:rPr>
              <w:tab/>
            </w:r>
          </w:p>
          <w:p>
            <w:pPr>
              <w:pStyle w:val="TableParagraph"/>
              <w:tabs>
                <w:tab w:pos="462" w:val="left" w:leader="none"/>
              </w:tabs>
              <w:spacing w:line="247" w:lineRule="exact"/>
              <w:ind w:right="1615"/>
              <w:rPr>
                <w:rFonts w:ascii="Symbol" w:hAnsi="Symbol"/>
                <w:i/>
                <w:sz w:val="25"/>
              </w:rPr>
            </w:pPr>
            <w:r>
              <w:rPr>
                <w:i/>
                <w:position w:val="12"/>
                <w:sz w:val="13"/>
              </w:rPr>
              <w:t>hkl</w:t>
              <w:tab/>
            </w:r>
            <w:r>
              <w:rPr>
                <w:rFonts w:ascii="Symbol" w:hAnsi="Symbol"/>
                <w:i/>
                <w:sz w:val="25"/>
              </w:rPr>
              <w:t></w:t>
            </w:r>
            <w:r>
              <w:rPr>
                <w:i/>
                <w:spacing w:val="-11"/>
                <w:sz w:val="25"/>
              </w:rPr>
              <w:t> </w:t>
            </w:r>
            <w:r>
              <w:rPr>
                <w:sz w:val="24"/>
              </w:rPr>
              <w:t>cos</w:t>
            </w:r>
            <w:r>
              <w:rPr>
                <w:rFonts w:ascii="Symbol" w:hAnsi="Symbol"/>
                <w:i/>
                <w:sz w:val="25"/>
              </w:rPr>
              <w:t></w:t>
            </w:r>
          </w:p>
        </w:tc>
        <w:tc>
          <w:tcPr>
            <w:tcW w:w="2398" w:type="dxa"/>
          </w:tcPr>
          <w:p>
            <w:pPr>
              <w:pStyle w:val="TableParagraph"/>
              <w:jc w:val="left"/>
              <w:rPr>
                <w:sz w:val="19"/>
              </w:rPr>
            </w:pPr>
          </w:p>
          <w:p>
            <w:pPr>
              <w:pStyle w:val="TableParagraph"/>
              <w:ind w:right="198"/>
              <w:jc w:val="right"/>
              <w:rPr>
                <w:sz w:val="22"/>
              </w:rPr>
            </w:pPr>
            <w:r>
              <w:rPr>
                <w:sz w:val="22"/>
              </w:rPr>
              <w:t>(3)</w:t>
            </w:r>
          </w:p>
        </w:tc>
      </w:tr>
    </w:tbl>
    <w:p>
      <w:pPr>
        <w:pStyle w:val="BodyText"/>
        <w:rPr>
          <w:sz w:val="15"/>
        </w:rPr>
      </w:pPr>
    </w:p>
    <w:p>
      <w:pPr>
        <w:pStyle w:val="BodyText"/>
        <w:spacing w:before="74"/>
        <w:ind w:left="122"/>
      </w:pPr>
      <w:r>
        <w:rPr/>
        <w:t>where        is   the   Scherrer   factor   (0.9  for   Gaussian  function),       is   the   X-ray  wavelength,</w:t>
      </w:r>
    </w:p>
    <w:p>
      <w:pPr>
        <w:spacing w:line="55" w:lineRule="exact" w:before="59"/>
        <w:ind w:left="1281" w:right="0" w:firstLine="0"/>
        <w:jc w:val="left"/>
        <w:rPr>
          <w:rFonts w:ascii="Cambria Math"/>
          <w:sz w:val="16"/>
        </w:rPr>
      </w:pPr>
      <w:r>
        <w:rPr>
          <w:rFonts w:ascii="Cambria Math"/>
          <w:w w:val="264"/>
          <w:sz w:val="16"/>
        </w:rPr>
        <w:t> </w:t>
      </w:r>
      <w:r>
        <w:rPr>
          <w:rFonts w:ascii="Cambria Math"/>
          <w:sz w:val="16"/>
        </w:rPr>
        <w:t>  </w:t>
      </w:r>
      <w:r>
        <w:rPr>
          <w:rFonts w:ascii="Cambria Math"/>
          <w:spacing w:val="-10"/>
          <w:sz w:val="16"/>
        </w:rPr>
        <w:t> </w:t>
      </w:r>
      <w:r>
        <w:rPr>
          <w:rFonts w:ascii="Cambria Math"/>
          <w:spacing w:val="-2"/>
          <w:w w:val="264"/>
          <w:sz w:val="16"/>
        </w:rPr>
        <w:t> </w:t>
      </w:r>
      <w:r>
        <w:rPr>
          <w:rFonts w:ascii="Cambria Math"/>
          <w:w w:val="223"/>
          <w:sz w:val="16"/>
        </w:rPr>
        <w:t> </w:t>
      </w:r>
      <w:r>
        <w:rPr>
          <w:rFonts w:ascii="Cambria Math"/>
          <w:w w:val="264"/>
          <w:sz w:val="16"/>
        </w:rPr>
        <w:t> </w:t>
      </w:r>
    </w:p>
    <w:p>
      <w:pPr>
        <w:pStyle w:val="BodyText"/>
        <w:spacing w:line="227" w:lineRule="exact"/>
        <w:ind w:left="1821"/>
      </w:pPr>
      <w:r>
        <w:rPr/>
        <w:t>is the pure line breadth,         </w:t>
      </w:r>
      <w:r>
        <w:rPr>
          <w:spacing w:val="52"/>
        </w:rPr>
        <w:t> </w:t>
      </w:r>
      <w:r>
        <w:rPr/>
        <w:t>is a measured half width of the experimental peak,</w:t>
      </w:r>
    </w:p>
    <w:p>
      <w:pPr>
        <w:pStyle w:val="BodyText"/>
        <w:spacing w:line="316" w:lineRule="auto" w:before="88"/>
        <w:ind w:left="122" w:right="295"/>
        <w:jc w:val="both"/>
      </w:pPr>
      <w:r>
        <w:rPr>
          <w:rFonts w:ascii="Cambria Math"/>
          <w:w w:val="245"/>
        </w:rPr>
        <w:t> </w:t>
      </w:r>
      <w:r>
        <w:rPr>
          <w:rFonts w:ascii="Cambria Math"/>
          <w:w w:val="264"/>
          <w:position w:val="-4"/>
          <w:sz w:val="16"/>
        </w:rPr>
        <w:t> </w:t>
      </w:r>
      <w:r>
        <w:rPr>
          <w:rFonts w:ascii="Cambria Math"/>
          <w:position w:val="-4"/>
          <w:sz w:val="16"/>
        </w:rPr>
        <w:t>  </w:t>
      </w:r>
      <w:r>
        <w:rPr/>
        <w:t>is the instrumental broadening factor which is 0.17 for the diffractometer employed , and is the Bragg angle. The crystallite sizes L</w:t>
      </w:r>
      <w:r>
        <w:rPr>
          <w:position w:val="-2"/>
          <w:sz w:val="14"/>
        </w:rPr>
        <w:t>(100) </w:t>
      </w:r>
      <w:r>
        <w:rPr/>
        <w:t>and L</w:t>
      </w:r>
      <w:r>
        <w:rPr>
          <w:position w:val="-2"/>
          <w:sz w:val="14"/>
        </w:rPr>
        <w:t>(010/110) </w:t>
      </w:r>
      <w:r>
        <w:rPr/>
        <w:t>of nanocomposites are smaller compared to nylon 6,6. Table 4 reveals the crystallite size decreases with content due to the suppressed crystal</w:t>
      </w:r>
    </w:p>
    <w:p>
      <w:pPr>
        <w:spacing w:after="0" w:line="316" w:lineRule="auto"/>
        <w:jc w:val="both"/>
        <w:sectPr>
          <w:pgSz w:w="12240" w:h="15840"/>
          <w:pgMar w:header="730" w:footer="1060" w:top="1140" w:bottom="1260" w:left="1580" w:right="1400"/>
        </w:sectPr>
      </w:pPr>
    </w:p>
    <w:p>
      <w:pPr>
        <w:pStyle w:val="BodyText"/>
        <w:spacing w:before="6"/>
        <w:rPr>
          <w:sz w:val="21"/>
        </w:rPr>
      </w:pPr>
    </w:p>
    <w:p>
      <w:pPr>
        <w:pStyle w:val="BodyText"/>
        <w:spacing w:line="321" w:lineRule="auto" w:before="73"/>
        <w:ind w:left="122" w:right="135"/>
        <w:jc w:val="both"/>
      </w:pPr>
      <w:r>
        <w:rPr/>
        <w:t>growth caused by the interaction between nylon 6,6 and nanometric carbon. This means that the degree of crystal perfection decreased as the content increased [24,34]. Crystal size values of graphene based nanofibres are lower than crystal size of CNT based nanocomposites. Functionalisation also has an impact on this property; the effect is more noticeable in the OCNT nanofibres. RGO and GO nanocomposites showed similar results. The nanofibre crystal sizes are as expected based on studies of nylon 6,6 fibres and nylon 6,6 nanocomposites [24,34]. Crystallisation in nylon 6,6/graphene nanocomposites has been explained as a two factor controlled process. One factor is the nucleating effect of graphene and the other factor is the retarded migration  and diffusion of polymer molecular chains to the surface of the nucleus which constrain crystal growth [17,19]. It has also been proposed that the growing crystals on graphene surface could show  multiple orientations, which might contact the adjacent single crystals and suppress this process [19]. These explanations serve as evidence of the different crystal size between 1D and 2D carbon based nanocomposites studied in this paper. RGO nanocomposites showed the most reduced crystal size values, confirming the presence of the smaller crystallites melting at lower temperatures in the heating thermograms. In spite of these results, the values of GO nanocomposites show a trend of decreasing crystal size with content in both directions. This is another indication of the superior dispersion of GO in the nanofibres. A decrease in crystallite size is likely to favour mechanical properties</w:t>
      </w:r>
      <w:r>
        <w:rPr>
          <w:spacing w:val="-5"/>
        </w:rPr>
        <w:t> </w:t>
      </w:r>
      <w:r>
        <w:rPr/>
        <w:t>[34].</w:t>
      </w:r>
    </w:p>
    <w:p>
      <w:pPr>
        <w:pStyle w:val="BodyText"/>
        <w:spacing w:line="321" w:lineRule="auto" w:before="2"/>
        <w:ind w:left="122" w:right="138" w:firstLine="288"/>
        <w:jc w:val="both"/>
      </w:pPr>
      <w:r>
        <w:rPr/>
        <w:t>The reinforcement effect of the nanofillers in nylon 6,6 is seen in dynamic mechanical analyser (DMA) results, displayed in Figures 13 and 14. The addition of nanomaterials affected the stiffness of the polymer. As expected, the storage modulus was enhanced compared to pure polymer. This trend is consistent with an increase in content and the decrease of crystal size, as seen in Table 4.</w:t>
      </w:r>
    </w:p>
    <w:p>
      <w:pPr>
        <w:pStyle w:val="BodyText"/>
        <w:spacing w:line="321" w:lineRule="auto" w:before="5"/>
        <w:ind w:left="122" w:right="136" w:firstLine="288"/>
        <w:jc w:val="both"/>
      </w:pPr>
      <w:r>
        <w:rPr/>
        <w:t>The storage modulus of the OCNT nanocomposites was almost the double than that of pristine CNT nanocomposites. The nanofibres containing 1 wt % OCNTs resulted in a 97% increase in the mechanical response. A more significant improvement in the mechanical properties resulted from the graphene based nanocomposites. Higher modulus values were obtained for GO nanocomposites, where storage modulus was improved by 139% compared to nylon 6,6. The enhanced mechanical properties can be explained on the basis of crystal features imposed by the structure of nanometric carbon and the reinforcing effect of nanomaterials. This is attributed due to the superior dispersion of the nanomaterials in the matrix provided by their functionalisation. It was evident that the improved dispersion provided by functionalisation resulted in a more homogeneous confinement of the crystals of nylon 6,6. This was demonstrated by the reduction in crystal size after incorporation of OCNTs and GO. The graphene based nanocomposites show the smallest crystal size values than the rest of the nanocomposites; this explains the enhanced mechanical response. Furthermore, it is supposed that the large surface area of graphene provided by its 2D structure play an important role to generate better interaction with the polymer favouring the stress transfer from the nanofiller to the matrix. Therefore, the graphene nanocomposites resulted in superior mechanical</w:t>
      </w:r>
      <w:r>
        <w:rPr>
          <w:spacing w:val="-19"/>
        </w:rPr>
        <w:t> </w:t>
      </w:r>
      <w:r>
        <w:rPr/>
        <w:t>properties.</w:t>
      </w:r>
    </w:p>
    <w:p>
      <w:pPr>
        <w:spacing w:after="0" w:line="321" w:lineRule="auto"/>
        <w:jc w:val="both"/>
        <w:sectPr>
          <w:pgSz w:w="12240" w:h="15840"/>
          <w:pgMar w:header="730" w:footer="1060" w:top="1160" w:bottom="1260" w:left="1580" w:right="1560"/>
        </w:sectPr>
      </w:pPr>
    </w:p>
    <w:p>
      <w:pPr>
        <w:pStyle w:val="BodyText"/>
        <w:spacing w:before="6"/>
        <w:rPr>
          <w:sz w:val="21"/>
        </w:rPr>
      </w:pPr>
    </w:p>
    <w:p>
      <w:pPr>
        <w:pStyle w:val="BodyText"/>
        <w:spacing w:before="73"/>
        <w:ind w:left="263" w:right="41"/>
      </w:pPr>
      <w:r>
        <w:rPr>
          <w:b/>
        </w:rPr>
        <w:t>Figure 13. </w:t>
      </w:r>
      <w:r>
        <w:rPr/>
        <w:t>Dynamic mechanical analyser (DMA) results; (</w:t>
      </w:r>
      <w:r>
        <w:rPr>
          <w:b/>
        </w:rPr>
        <w:t>A</w:t>
      </w:r>
      <w:r>
        <w:rPr/>
        <w:t>) storage modulus and (</w:t>
      </w:r>
      <w:r>
        <w:rPr>
          <w:b/>
        </w:rPr>
        <w:t>B</w:t>
      </w:r>
      <w:r>
        <w:rPr/>
        <w:t>) Tan δ of:</w:t>
      </w:r>
    </w:p>
    <w:p>
      <w:pPr>
        <w:pStyle w:val="BodyText"/>
        <w:spacing w:line="324" w:lineRule="auto" w:before="88"/>
        <w:ind w:left="2652" w:right="217" w:hanging="2485"/>
      </w:pPr>
      <w:r>
        <w:rPr/>
        <w:t>(</w:t>
      </w:r>
      <w:r>
        <w:rPr>
          <w:b/>
        </w:rPr>
        <w:t>a</w:t>
      </w:r>
      <w:r>
        <w:rPr/>
        <w:t>) pure PA66; (</w:t>
      </w:r>
      <w:r>
        <w:rPr>
          <w:b/>
        </w:rPr>
        <w:t>b</w:t>
      </w:r>
      <w:r>
        <w:rPr/>
        <w:t>) PA66/01CNTs; (</w:t>
      </w:r>
      <w:r>
        <w:rPr>
          <w:b/>
        </w:rPr>
        <w:t>c</w:t>
      </w:r>
      <w:r>
        <w:rPr/>
        <w:t>) PA66/05CNTs; (</w:t>
      </w:r>
      <w:r>
        <w:rPr>
          <w:b/>
        </w:rPr>
        <w:t>d</w:t>
      </w:r>
      <w:r>
        <w:rPr/>
        <w:t>) PA66/10CNTs; (</w:t>
      </w:r>
      <w:r>
        <w:rPr>
          <w:b/>
        </w:rPr>
        <w:t>e</w:t>
      </w:r>
      <w:r>
        <w:rPr/>
        <w:t>) PA66/01OCNTs; (</w:t>
      </w:r>
      <w:r>
        <w:rPr>
          <w:b/>
        </w:rPr>
        <w:t>f</w:t>
      </w:r>
      <w:r>
        <w:rPr/>
        <w:t>) PA66/05OCNTs and (</w:t>
      </w:r>
      <w:r>
        <w:rPr>
          <w:b/>
        </w:rPr>
        <w:t>g</w:t>
      </w:r>
      <w:r>
        <w:rPr/>
        <w:t>) PA66/10OCNTs.</w:t>
      </w:r>
    </w:p>
    <w:p>
      <w:pPr>
        <w:pStyle w:val="BodyText"/>
        <w:spacing w:before="6"/>
        <w:rPr>
          <w:sz w:val="10"/>
        </w:rPr>
      </w:pPr>
      <w:r>
        <w:rPr/>
        <w:drawing>
          <wp:anchor distT="0" distB="0" distL="0" distR="0" allowOverlap="1" layoutInCell="1" locked="0" behindDoc="0" simplePos="0" relativeHeight="2392">
            <wp:simplePos x="0" y="0"/>
            <wp:positionH relativeFrom="page">
              <wp:posOffset>2085975</wp:posOffset>
            </wp:positionH>
            <wp:positionV relativeFrom="paragraph">
              <wp:posOffset>101943</wp:posOffset>
            </wp:positionV>
            <wp:extent cx="3590054" cy="2511171"/>
            <wp:effectExtent l="0" t="0" r="0" b="0"/>
            <wp:wrapTopAndBottom/>
            <wp:docPr id="65" name="image41.jpeg" descr=""/>
            <wp:cNvGraphicFramePr>
              <a:graphicFrameLocks noChangeAspect="1"/>
            </wp:cNvGraphicFramePr>
            <a:graphic>
              <a:graphicData uri="http://schemas.openxmlformats.org/drawingml/2006/picture">
                <pic:pic>
                  <pic:nvPicPr>
                    <pic:cNvPr id="66" name="image41.jpeg"/>
                    <pic:cNvPicPr/>
                  </pic:nvPicPr>
                  <pic:blipFill>
                    <a:blip r:embed="rId71" cstate="print"/>
                    <a:stretch>
                      <a:fillRect/>
                    </a:stretch>
                  </pic:blipFill>
                  <pic:spPr>
                    <a:xfrm>
                      <a:off x="0" y="0"/>
                      <a:ext cx="3590054" cy="2511171"/>
                    </a:xfrm>
                    <a:prstGeom prst="rect">
                      <a:avLst/>
                    </a:prstGeom>
                  </pic:spPr>
                </pic:pic>
              </a:graphicData>
            </a:graphic>
          </wp:anchor>
        </w:drawing>
      </w:r>
    </w:p>
    <w:p>
      <w:pPr>
        <w:pStyle w:val="BodyText"/>
        <w:spacing w:before="7"/>
        <w:rPr>
          <w:sz w:val="27"/>
        </w:rPr>
      </w:pPr>
    </w:p>
    <w:p>
      <w:pPr>
        <w:pStyle w:val="BodyText"/>
        <w:spacing w:line="321" w:lineRule="auto"/>
        <w:ind w:left="128" w:right="195"/>
        <w:jc w:val="center"/>
      </w:pPr>
      <w:r>
        <w:rPr>
          <w:b/>
        </w:rPr>
        <w:t>Figure 14. </w:t>
      </w:r>
      <w:r>
        <w:rPr/>
        <w:t>DMA results; (</w:t>
      </w:r>
      <w:r>
        <w:rPr>
          <w:b/>
        </w:rPr>
        <w:t>A</w:t>
      </w:r>
      <w:r>
        <w:rPr/>
        <w:t>) storage modulus and (</w:t>
      </w:r>
      <w:r>
        <w:rPr>
          <w:b/>
        </w:rPr>
        <w:t>B</w:t>
      </w:r>
      <w:r>
        <w:rPr/>
        <w:t>) Tan δ of: (</w:t>
      </w:r>
      <w:r>
        <w:rPr>
          <w:b/>
        </w:rPr>
        <w:t>a</w:t>
      </w:r>
      <w:r>
        <w:rPr/>
        <w:t>) pure PA66; (</w:t>
      </w:r>
      <w:r>
        <w:rPr>
          <w:b/>
        </w:rPr>
        <w:t>b</w:t>
      </w:r>
      <w:r>
        <w:rPr/>
        <w:t>) PA66/01RGO; (</w:t>
      </w:r>
      <w:r>
        <w:rPr>
          <w:b/>
        </w:rPr>
        <w:t>c</w:t>
      </w:r>
      <w:r>
        <w:rPr/>
        <w:t>) PA66/05RGO; (</w:t>
      </w:r>
      <w:r>
        <w:rPr>
          <w:b/>
        </w:rPr>
        <w:t>d</w:t>
      </w:r>
      <w:r>
        <w:rPr/>
        <w:t>) PA66/10RGO; (</w:t>
      </w:r>
      <w:r>
        <w:rPr>
          <w:b/>
        </w:rPr>
        <w:t>e</w:t>
      </w:r>
      <w:r>
        <w:rPr/>
        <w:t>) PA66/01GO; (</w:t>
      </w:r>
      <w:r>
        <w:rPr>
          <w:b/>
        </w:rPr>
        <w:t>f</w:t>
      </w:r>
      <w:r>
        <w:rPr/>
        <w:t>) PA66/05GO and (</w:t>
      </w:r>
      <w:r>
        <w:rPr>
          <w:b/>
        </w:rPr>
        <w:t>g</w:t>
      </w:r>
      <w:r>
        <w:rPr/>
        <w:t>) PA66/10GO.</w:t>
      </w:r>
    </w:p>
    <w:p>
      <w:pPr>
        <w:pStyle w:val="BodyText"/>
        <w:spacing w:before="9"/>
        <w:rPr>
          <w:sz w:val="10"/>
        </w:rPr>
      </w:pPr>
      <w:r>
        <w:rPr/>
        <w:drawing>
          <wp:anchor distT="0" distB="0" distL="0" distR="0" allowOverlap="1" layoutInCell="1" locked="0" behindDoc="0" simplePos="0" relativeHeight="2416">
            <wp:simplePos x="0" y="0"/>
            <wp:positionH relativeFrom="page">
              <wp:posOffset>2113407</wp:posOffset>
            </wp:positionH>
            <wp:positionV relativeFrom="paragraph">
              <wp:posOffset>103998</wp:posOffset>
            </wp:positionV>
            <wp:extent cx="3573222" cy="2563177"/>
            <wp:effectExtent l="0" t="0" r="0" b="0"/>
            <wp:wrapTopAndBottom/>
            <wp:docPr id="67" name="image42.jpeg" descr=""/>
            <wp:cNvGraphicFramePr>
              <a:graphicFrameLocks noChangeAspect="1"/>
            </wp:cNvGraphicFramePr>
            <a:graphic>
              <a:graphicData uri="http://schemas.openxmlformats.org/drawingml/2006/picture">
                <pic:pic>
                  <pic:nvPicPr>
                    <pic:cNvPr id="68" name="image42.jpeg"/>
                    <pic:cNvPicPr/>
                  </pic:nvPicPr>
                  <pic:blipFill>
                    <a:blip r:embed="rId72" cstate="print"/>
                    <a:stretch>
                      <a:fillRect/>
                    </a:stretch>
                  </pic:blipFill>
                  <pic:spPr>
                    <a:xfrm>
                      <a:off x="0" y="0"/>
                      <a:ext cx="3573222" cy="2563177"/>
                    </a:xfrm>
                    <a:prstGeom prst="rect">
                      <a:avLst/>
                    </a:prstGeom>
                  </pic:spPr>
                </pic:pic>
              </a:graphicData>
            </a:graphic>
          </wp:anchor>
        </w:drawing>
      </w:r>
    </w:p>
    <w:p>
      <w:pPr>
        <w:pStyle w:val="BodyText"/>
        <w:spacing w:line="309" w:lineRule="auto" w:before="44"/>
        <w:ind w:left="122" w:right="134" w:firstLine="288"/>
        <w:jc w:val="both"/>
      </w:pPr>
      <w:r>
        <w:rPr/>
        <w:t>Figures 13B and 14B show the glass transition temperatures (T</w:t>
      </w:r>
      <w:r>
        <w:rPr>
          <w:i/>
          <w:position w:val="-2"/>
          <w:sz w:val="14"/>
        </w:rPr>
        <w:t>g</w:t>
      </w:r>
      <w:r>
        <w:rPr/>
        <w:t>) obtained from the tan δ maximum. The values of T</w:t>
      </w:r>
      <w:r>
        <w:rPr>
          <w:i/>
          <w:position w:val="-2"/>
          <w:sz w:val="14"/>
        </w:rPr>
        <w:t>g </w:t>
      </w:r>
      <w:r>
        <w:rPr/>
        <w:t>were higher in the nanocomposites than nylon 6,6 nanofibres. This property was increased up to 7 °C for PA66/10OCNTs. T</w:t>
      </w:r>
      <w:r>
        <w:rPr>
          <w:i/>
          <w:position w:val="-2"/>
          <w:sz w:val="14"/>
        </w:rPr>
        <w:t>g </w:t>
      </w:r>
      <w:r>
        <w:rPr/>
        <w:t>in GO nanocomposites showed a 6 °C increase for the maximum filler content. This increase in T</w:t>
      </w:r>
      <w:r>
        <w:rPr>
          <w:i/>
          <w:position w:val="-2"/>
          <w:sz w:val="14"/>
        </w:rPr>
        <w:t>g </w:t>
      </w:r>
      <w:r>
        <w:rPr/>
        <w:t>results from the presence of nanomaterials which restricted the molecular mobility on the matrix. The free volume of the   nylon</w:t>
      </w:r>
    </w:p>
    <w:p>
      <w:pPr>
        <w:spacing w:after="0" w:line="309" w:lineRule="auto"/>
        <w:jc w:val="both"/>
        <w:sectPr>
          <w:pgSz w:w="12240" w:h="15840"/>
          <w:pgMar w:header="730" w:footer="1060" w:top="1160" w:bottom="1260" w:left="1580" w:right="1560"/>
        </w:sectPr>
      </w:pPr>
    </w:p>
    <w:p>
      <w:pPr>
        <w:pStyle w:val="BodyText"/>
        <w:spacing w:before="6"/>
        <w:rPr>
          <w:sz w:val="21"/>
        </w:rPr>
      </w:pPr>
    </w:p>
    <w:p>
      <w:pPr>
        <w:pStyle w:val="BodyText"/>
        <w:spacing w:line="324" w:lineRule="auto" w:before="73"/>
        <w:ind w:left="122" w:right="41"/>
      </w:pPr>
      <w:r>
        <w:rPr/>
        <w:t>6,6 chains is influenced by the interaction between nanofiller and the matrix [16]. The improvement in T</w:t>
      </w:r>
      <w:r>
        <w:rPr>
          <w:i/>
          <w:position w:val="-2"/>
          <w:sz w:val="14"/>
        </w:rPr>
        <w:t>g </w:t>
      </w:r>
      <w:r>
        <w:rPr/>
        <w:t>is a feature of the confinement imposed by the nanomaterials in nylon 6,6 molecular segments.</w:t>
      </w:r>
    </w:p>
    <w:p>
      <w:pPr>
        <w:pStyle w:val="BodyText"/>
        <w:rPr>
          <w:sz w:val="20"/>
        </w:rPr>
      </w:pPr>
    </w:p>
    <w:p>
      <w:pPr>
        <w:pStyle w:val="Heading4"/>
        <w:numPr>
          <w:ilvl w:val="0"/>
          <w:numId w:val="16"/>
        </w:numPr>
        <w:tabs>
          <w:tab w:pos="343" w:val="left" w:leader="none"/>
        </w:tabs>
        <w:spacing w:line="240" w:lineRule="auto" w:before="0" w:after="0"/>
        <w:ind w:left="342" w:right="0" w:hanging="220"/>
        <w:jc w:val="both"/>
      </w:pPr>
      <w:r>
        <w:rPr/>
        <w:t>Experimental</w:t>
      </w:r>
      <w:r>
        <w:rPr>
          <w:spacing w:val="-5"/>
        </w:rPr>
        <w:t> </w:t>
      </w:r>
      <w:r>
        <w:rPr/>
        <w:t>Section</w:t>
      </w:r>
    </w:p>
    <w:p>
      <w:pPr>
        <w:pStyle w:val="BodyText"/>
        <w:spacing w:before="10"/>
        <w:rPr>
          <w:b/>
          <w:sz w:val="27"/>
        </w:rPr>
      </w:pPr>
    </w:p>
    <w:p>
      <w:pPr>
        <w:pStyle w:val="ListParagraph"/>
        <w:numPr>
          <w:ilvl w:val="1"/>
          <w:numId w:val="17"/>
        </w:numPr>
        <w:tabs>
          <w:tab w:pos="509" w:val="left" w:leader="none"/>
        </w:tabs>
        <w:spacing w:line="240" w:lineRule="auto" w:before="0" w:after="0"/>
        <w:ind w:left="508" w:right="0" w:hanging="386"/>
        <w:jc w:val="both"/>
        <w:rPr>
          <w:i/>
          <w:sz w:val="22"/>
        </w:rPr>
      </w:pPr>
      <w:r>
        <w:rPr>
          <w:i/>
          <w:sz w:val="22"/>
        </w:rPr>
        <w:t>Nanomaterials</w:t>
      </w:r>
      <w:r>
        <w:rPr>
          <w:i/>
          <w:spacing w:val="-9"/>
          <w:sz w:val="22"/>
        </w:rPr>
        <w:t> </w:t>
      </w:r>
      <w:r>
        <w:rPr>
          <w:i/>
          <w:sz w:val="22"/>
        </w:rPr>
        <w:t>Functionalisation</w:t>
      </w:r>
    </w:p>
    <w:p>
      <w:pPr>
        <w:pStyle w:val="BodyText"/>
        <w:spacing w:line="319" w:lineRule="auto" w:before="88"/>
        <w:ind w:left="122" w:right="135" w:firstLine="288"/>
        <w:jc w:val="both"/>
      </w:pPr>
      <w:r>
        <w:rPr/>
        <w:t>Chemical vapour deposition multiwalled carbon nanotubes (Sunnano Company, China), with 10–30 nm in outer diameter, 1–10 μm length and purity above 80%, were refluxed for three hours at 80 °C in a 3:1 molar solution of nitric acid (HNO</w:t>
      </w:r>
      <w:r>
        <w:rPr>
          <w:position w:val="-2"/>
          <w:sz w:val="14"/>
        </w:rPr>
        <w:t>3</w:t>
      </w:r>
      <w:r>
        <w:rPr/>
        <w:t>,70%, Sigma-Aldrich) and sulphuric acid (H</w:t>
      </w:r>
      <w:r>
        <w:rPr>
          <w:position w:val="-2"/>
          <w:sz w:val="14"/>
        </w:rPr>
        <w:t>2</w:t>
      </w:r>
      <w:r>
        <w:rPr/>
        <w:t>SO</w:t>
      </w:r>
      <w:r>
        <w:rPr>
          <w:position w:val="-2"/>
          <w:sz w:val="14"/>
        </w:rPr>
        <w:t>4, </w:t>
      </w:r>
      <w:r>
        <w:rPr/>
        <w:t>98%, J.T. Baker). The solution was filtered and washed with distilled water until neutral pH. Finally, the oxidised carbon nanotubes were dried overnight at 80</w:t>
      </w:r>
      <w:r>
        <w:rPr>
          <w:spacing w:val="-15"/>
        </w:rPr>
        <w:t> </w:t>
      </w:r>
      <w:r>
        <w:rPr/>
        <w:t>°C.</w:t>
      </w:r>
    </w:p>
    <w:p>
      <w:pPr>
        <w:pStyle w:val="BodyText"/>
        <w:spacing w:line="324" w:lineRule="auto" w:before="5"/>
        <w:ind w:left="122" w:right="135" w:firstLine="288"/>
        <w:jc w:val="both"/>
      </w:pPr>
      <w:r>
        <w:rPr/>
        <w:t>GO was prepared by oxidation of graphite using the modified Hummers method [4]. 23 mL of H</w:t>
      </w:r>
      <w:r>
        <w:rPr>
          <w:position w:val="-2"/>
          <w:sz w:val="14"/>
        </w:rPr>
        <w:t>2</w:t>
      </w:r>
      <w:r>
        <w:rPr/>
        <w:t>SO</w:t>
      </w:r>
      <w:r>
        <w:rPr>
          <w:position w:val="-2"/>
          <w:sz w:val="14"/>
        </w:rPr>
        <w:t>4  </w:t>
      </w:r>
      <w:r>
        <w:rPr/>
        <w:t>were added into a reaction flask submerged in an ice bath and kept there until it reached 0</w:t>
      </w:r>
    </w:p>
    <w:p>
      <w:pPr>
        <w:pStyle w:val="BodyText"/>
        <w:spacing w:line="238" w:lineRule="exact"/>
        <w:ind w:left="122"/>
        <w:jc w:val="both"/>
      </w:pPr>
      <w:r>
        <w:rPr/>
        <w:t>°C.1  g  graphite  (No.  70230,  Electron  Microscopy  Science)  and  3  g  potassium  permanganate</w:t>
      </w:r>
    </w:p>
    <w:p>
      <w:pPr>
        <w:pStyle w:val="BodyText"/>
        <w:spacing w:line="319" w:lineRule="auto" w:before="85"/>
        <w:ind w:left="122" w:right="136"/>
        <w:jc w:val="both"/>
      </w:pPr>
      <w:r>
        <w:rPr/>
        <w:t>(KMnO</w:t>
      </w:r>
      <w:r>
        <w:rPr>
          <w:position w:val="-2"/>
          <w:sz w:val="14"/>
        </w:rPr>
        <w:t>4, </w:t>
      </w:r>
      <w:r>
        <w:rPr/>
        <w:t>Merck) were added slowly followed by stirring at 35 °C for two hours and then diluted with 46 mL of distilled water for 15 min under stirring. After that a solution of 5 mL of hydrogen peroxide (H</w:t>
      </w:r>
      <w:r>
        <w:rPr>
          <w:position w:val="-2"/>
          <w:sz w:val="14"/>
        </w:rPr>
        <w:t>2</w:t>
      </w:r>
      <w:r>
        <w:rPr/>
        <w:t>O</w:t>
      </w:r>
      <w:r>
        <w:rPr>
          <w:position w:val="-2"/>
          <w:sz w:val="14"/>
        </w:rPr>
        <w:t>2</w:t>
      </w:r>
      <w:r>
        <w:rPr/>
        <w:t>, 30%, J.T. Baker) in 135 mL of distilled water was added to reduce residual  KMnO</w:t>
      </w:r>
      <w:r>
        <w:rPr>
          <w:position w:val="-2"/>
          <w:sz w:val="14"/>
        </w:rPr>
        <w:t>4</w:t>
      </w:r>
      <w:r>
        <w:rPr/>
        <w:t>. A solution of 2.5 mL hydrochloric acid (HCl, 37%, Sigma-Aldrich) in 100 mL of distilled water was added to remove metal ions followed by filtration with excess water to remove the acid. Finally the graphite oxide was dried overnight at 60 °C. The resulting powder was re-dispersed into water and sonicated for three hours in an ultrasound bath (Autoscience 10200B, with a frequency of 50–60 Hz) in order to obtain GO. RGO was obtained by adding 1 g  hexamethylentetramine (HMTA, Sigma Aldrich) to the homogeneous graphene oxide dispersion and kept under stirring at 100 °C for ten hours [5]. The RGO was filtered and washed with distilled water until neutral pH and dried overnight at 60 °C. The GO powder was obtained from the sonicated dispersion after filtering and drying at 60</w:t>
      </w:r>
      <w:r>
        <w:rPr>
          <w:spacing w:val="-5"/>
        </w:rPr>
        <w:t> </w:t>
      </w:r>
      <w:r>
        <w:rPr/>
        <w:t>°C.</w:t>
      </w:r>
    </w:p>
    <w:p>
      <w:pPr>
        <w:pStyle w:val="BodyText"/>
        <w:spacing w:before="3"/>
        <w:rPr>
          <w:sz w:val="21"/>
        </w:rPr>
      </w:pPr>
    </w:p>
    <w:p>
      <w:pPr>
        <w:pStyle w:val="ListParagraph"/>
        <w:numPr>
          <w:ilvl w:val="1"/>
          <w:numId w:val="17"/>
        </w:numPr>
        <w:tabs>
          <w:tab w:pos="509" w:val="left" w:leader="none"/>
        </w:tabs>
        <w:spacing w:line="240" w:lineRule="auto" w:before="0" w:after="0"/>
        <w:ind w:left="508" w:right="0" w:hanging="386"/>
        <w:jc w:val="both"/>
        <w:rPr>
          <w:i/>
          <w:sz w:val="22"/>
        </w:rPr>
      </w:pPr>
      <w:r>
        <w:rPr>
          <w:i/>
          <w:sz w:val="22"/>
        </w:rPr>
        <w:t>Polymer Solution</w:t>
      </w:r>
      <w:r>
        <w:rPr>
          <w:i/>
          <w:spacing w:val="-5"/>
          <w:sz w:val="22"/>
        </w:rPr>
        <w:t> </w:t>
      </w:r>
      <w:r>
        <w:rPr>
          <w:i/>
          <w:sz w:val="22"/>
        </w:rPr>
        <w:t>Preparation</w:t>
      </w:r>
    </w:p>
    <w:p>
      <w:pPr>
        <w:pStyle w:val="BodyText"/>
        <w:spacing w:line="324" w:lineRule="auto" w:before="62"/>
        <w:ind w:left="122" w:right="136" w:firstLine="288"/>
        <w:jc w:val="both"/>
      </w:pPr>
      <w:r>
        <w:rPr/>
        <w:t>The polymer solution was prepared by dissolving 5.5 g of nylon 6,6 (Ultramid</w:t>
      </w:r>
      <w:r>
        <w:rPr>
          <w:position w:val="10"/>
          <w:sz w:val="14"/>
        </w:rPr>
        <w:t>® </w:t>
      </w:r>
      <w:r>
        <w:rPr/>
        <w:t>A3K, BASF) in 20 g formic acid (88%, Sigma-Aldrich) for two hours at 70 °C. Afterwards the nanomaterial was added and the solution was stirred for two hours more. Three nanomaterial contents were chosen: 0.1, 0.5 and 1 wt %. The solution concentration was sufficient for the successful electrospinning of nanofibre films.</w:t>
      </w:r>
    </w:p>
    <w:p>
      <w:pPr>
        <w:pStyle w:val="BodyText"/>
        <w:spacing w:before="10"/>
        <w:rPr>
          <w:sz w:val="20"/>
        </w:rPr>
      </w:pPr>
    </w:p>
    <w:p>
      <w:pPr>
        <w:pStyle w:val="ListParagraph"/>
        <w:numPr>
          <w:ilvl w:val="1"/>
          <w:numId w:val="17"/>
        </w:numPr>
        <w:tabs>
          <w:tab w:pos="509" w:val="left" w:leader="none"/>
        </w:tabs>
        <w:spacing w:line="240" w:lineRule="auto" w:before="0" w:after="0"/>
        <w:ind w:left="508" w:right="0" w:hanging="386"/>
        <w:jc w:val="both"/>
        <w:rPr>
          <w:i/>
          <w:sz w:val="22"/>
        </w:rPr>
      </w:pPr>
      <w:r>
        <w:rPr>
          <w:i/>
          <w:sz w:val="22"/>
        </w:rPr>
        <w:t>Electrospinning</w:t>
      </w:r>
    </w:p>
    <w:p>
      <w:pPr>
        <w:pStyle w:val="BodyText"/>
        <w:spacing w:line="321" w:lineRule="auto" w:before="88"/>
        <w:ind w:left="122" w:right="138" w:firstLine="288"/>
        <w:jc w:val="both"/>
      </w:pPr>
      <w:r>
        <w:rPr/>
        <w:t>Nylon 6,6  electrospun  nanocomposites  were  prepared  by  electrospinning  process.  The  nylon 6,6/nanomaterial solution was fed into a 5 mL syringe (21 gauge, </w:t>
      </w:r>
      <w:r>
        <w:rPr>
          <w:spacing w:val="2"/>
        </w:rPr>
        <w:t>1ʺ </w:t>
      </w:r>
      <w:r>
        <w:rPr/>
        <w:t>needle). The flow rate of the</w:t>
      </w:r>
      <w:r>
        <w:rPr>
          <w:spacing w:val="10"/>
        </w:rPr>
        <w:t> </w:t>
      </w:r>
      <w:r>
        <w:rPr/>
        <w:t>solution</w:t>
      </w:r>
      <w:r>
        <w:rPr>
          <w:spacing w:val="12"/>
        </w:rPr>
        <w:t> </w:t>
      </w:r>
      <w:r>
        <w:rPr/>
        <w:t>was</w:t>
      </w:r>
      <w:r>
        <w:rPr>
          <w:spacing w:val="10"/>
        </w:rPr>
        <w:t> </w:t>
      </w:r>
      <w:r>
        <w:rPr/>
        <w:t>controlled</w:t>
      </w:r>
      <w:r>
        <w:rPr>
          <w:spacing w:val="10"/>
        </w:rPr>
        <w:t> </w:t>
      </w:r>
      <w:r>
        <w:rPr/>
        <w:t>using</w:t>
      </w:r>
      <w:r>
        <w:rPr>
          <w:spacing w:val="9"/>
        </w:rPr>
        <w:t> </w:t>
      </w:r>
      <w:r>
        <w:rPr/>
        <w:t>a</w:t>
      </w:r>
      <w:r>
        <w:rPr>
          <w:spacing w:val="10"/>
        </w:rPr>
        <w:t> </w:t>
      </w:r>
      <w:r>
        <w:rPr/>
        <w:t>syringe</w:t>
      </w:r>
      <w:r>
        <w:rPr>
          <w:spacing w:val="12"/>
        </w:rPr>
        <w:t> </w:t>
      </w:r>
      <w:r>
        <w:rPr/>
        <w:t>pump</w:t>
      </w:r>
      <w:r>
        <w:rPr>
          <w:spacing w:val="12"/>
        </w:rPr>
        <w:t> </w:t>
      </w:r>
      <w:r>
        <w:rPr/>
        <w:t>(KDScientific</w:t>
      </w:r>
      <w:r>
        <w:rPr>
          <w:spacing w:val="10"/>
        </w:rPr>
        <w:t> </w:t>
      </w:r>
      <w:r>
        <w:rPr/>
        <w:t>101)</w:t>
      </w:r>
      <w:r>
        <w:rPr>
          <w:spacing w:val="13"/>
        </w:rPr>
        <w:t> </w:t>
      </w:r>
      <w:r>
        <w:rPr/>
        <w:t>and</w:t>
      </w:r>
      <w:r>
        <w:rPr>
          <w:spacing w:val="12"/>
        </w:rPr>
        <w:t> </w:t>
      </w:r>
      <w:r>
        <w:rPr/>
        <w:t>kept</w:t>
      </w:r>
      <w:r>
        <w:rPr>
          <w:spacing w:val="11"/>
        </w:rPr>
        <w:t> </w:t>
      </w:r>
      <w:r>
        <w:rPr/>
        <w:t>constant</w:t>
      </w:r>
      <w:r>
        <w:rPr>
          <w:spacing w:val="11"/>
        </w:rPr>
        <w:t> </w:t>
      </w:r>
      <w:r>
        <w:rPr/>
        <w:t>at</w:t>
      </w:r>
      <w:r>
        <w:rPr>
          <w:spacing w:val="13"/>
        </w:rPr>
        <w:t> </w:t>
      </w:r>
      <w:r>
        <w:rPr/>
        <w:t>5</w:t>
      </w:r>
      <w:r>
        <w:rPr>
          <w:spacing w:val="12"/>
        </w:rPr>
        <w:t> </w:t>
      </w:r>
      <w:r>
        <w:rPr/>
        <w:t>mL/h.</w:t>
      </w:r>
    </w:p>
    <w:p>
      <w:pPr>
        <w:spacing w:after="0" w:line="321" w:lineRule="auto"/>
        <w:jc w:val="both"/>
        <w:sectPr>
          <w:pgSz w:w="12240" w:h="15840"/>
          <w:pgMar w:header="730" w:footer="1060" w:top="1160" w:bottom="1260" w:left="1580" w:right="1560"/>
        </w:sectPr>
      </w:pPr>
    </w:p>
    <w:p>
      <w:pPr>
        <w:pStyle w:val="BodyText"/>
        <w:spacing w:before="6"/>
        <w:rPr>
          <w:sz w:val="21"/>
        </w:rPr>
      </w:pPr>
    </w:p>
    <w:p>
      <w:pPr>
        <w:pStyle w:val="BodyText"/>
        <w:spacing w:line="324" w:lineRule="auto" w:before="73"/>
        <w:ind w:left="122" w:right="547"/>
      </w:pPr>
      <w:r>
        <w:rPr/>
        <w:t>A voltage of 20 kV was applied directly to the needle; the tip-collector distance was 15 cm. A copper plate was used.</w:t>
      </w:r>
    </w:p>
    <w:p>
      <w:pPr>
        <w:pStyle w:val="BodyText"/>
        <w:spacing w:before="1"/>
        <w:rPr>
          <w:sz w:val="21"/>
        </w:rPr>
      </w:pPr>
    </w:p>
    <w:p>
      <w:pPr>
        <w:pStyle w:val="ListParagraph"/>
        <w:numPr>
          <w:ilvl w:val="1"/>
          <w:numId w:val="17"/>
        </w:numPr>
        <w:tabs>
          <w:tab w:pos="509" w:val="left" w:leader="none"/>
        </w:tabs>
        <w:spacing w:line="240" w:lineRule="auto" w:before="0" w:after="0"/>
        <w:ind w:left="508" w:right="0" w:hanging="386"/>
        <w:jc w:val="left"/>
        <w:rPr>
          <w:i/>
          <w:sz w:val="22"/>
        </w:rPr>
      </w:pPr>
      <w:r>
        <w:rPr>
          <w:i/>
          <w:sz w:val="22"/>
        </w:rPr>
        <w:t>Carbon Materials</w:t>
      </w:r>
      <w:r>
        <w:rPr>
          <w:i/>
          <w:spacing w:val="-10"/>
          <w:sz w:val="22"/>
        </w:rPr>
        <w:t> </w:t>
      </w:r>
      <w:r>
        <w:rPr>
          <w:i/>
          <w:sz w:val="22"/>
        </w:rPr>
        <w:t>Characterisation</w:t>
      </w:r>
    </w:p>
    <w:p>
      <w:pPr>
        <w:pStyle w:val="BodyText"/>
        <w:spacing w:line="300" w:lineRule="auto" w:before="85"/>
        <w:ind w:left="122" w:right="143" w:firstLine="288"/>
        <w:jc w:val="both"/>
      </w:pPr>
      <w:r>
        <w:rPr/>
        <w:t>FTIR spectroscopy was carried out on a Bruker Optics Vector 33 spectrometer (resolution 1 cm</w:t>
      </w:r>
      <w:r>
        <w:rPr>
          <w:position w:val="10"/>
          <w:sz w:val="14"/>
        </w:rPr>
        <w:t>−1</w:t>
      </w:r>
      <w:r>
        <w:rPr/>
        <w:t>). Raman spectra were obtained using a Dylor LabRam II equipment with an excitation line  of</w:t>
      </w:r>
    </w:p>
    <w:p>
      <w:pPr>
        <w:pStyle w:val="BodyText"/>
        <w:spacing w:line="321" w:lineRule="auto"/>
        <w:ind w:left="122" w:right="41"/>
      </w:pPr>
      <w:r>
        <w:rPr/>
        <w:t>632.8 nm (resolution 1 cm</w:t>
      </w:r>
      <w:r>
        <w:rPr>
          <w:position w:val="10"/>
          <w:sz w:val="14"/>
        </w:rPr>
        <w:t>−1</w:t>
      </w:r>
      <w:r>
        <w:rPr/>
        <w:t>). TEM micrographs were taken on a JEOL TEM 1010 microscope operating at 80 kV.</w:t>
      </w:r>
    </w:p>
    <w:p>
      <w:pPr>
        <w:pStyle w:val="BodyText"/>
        <w:spacing w:before="3"/>
        <w:rPr>
          <w:sz w:val="21"/>
        </w:rPr>
      </w:pPr>
    </w:p>
    <w:p>
      <w:pPr>
        <w:pStyle w:val="ListParagraph"/>
        <w:numPr>
          <w:ilvl w:val="1"/>
          <w:numId w:val="17"/>
        </w:numPr>
        <w:tabs>
          <w:tab w:pos="509" w:val="left" w:leader="none"/>
        </w:tabs>
        <w:spacing w:line="240" w:lineRule="auto" w:before="0" w:after="0"/>
        <w:ind w:left="508" w:right="0" w:hanging="386"/>
        <w:jc w:val="left"/>
        <w:rPr>
          <w:i/>
          <w:sz w:val="22"/>
        </w:rPr>
      </w:pPr>
      <w:r>
        <w:rPr>
          <w:i/>
          <w:sz w:val="22"/>
        </w:rPr>
        <w:t>Electrospun Nanocomposites</w:t>
      </w:r>
      <w:r>
        <w:rPr>
          <w:i/>
          <w:spacing w:val="-10"/>
          <w:sz w:val="22"/>
        </w:rPr>
        <w:t> </w:t>
      </w:r>
      <w:r>
        <w:rPr>
          <w:i/>
          <w:sz w:val="22"/>
        </w:rPr>
        <w:t>Characterisation</w:t>
      </w:r>
    </w:p>
    <w:p>
      <w:pPr>
        <w:pStyle w:val="BodyText"/>
        <w:spacing w:line="307" w:lineRule="auto" w:before="88"/>
        <w:ind w:left="122" w:right="138" w:firstLine="288"/>
        <w:jc w:val="both"/>
      </w:pPr>
      <w:r>
        <w:rPr/>
        <w:t>FTIR spectroscopy was carried out in a Perkin Elmer Spectrum 100 spectrometer (resolution 4 cm</w:t>
      </w:r>
      <w:r>
        <w:rPr>
          <w:position w:val="10"/>
          <w:sz w:val="14"/>
        </w:rPr>
        <w:t>−1</w:t>
      </w:r>
      <w:r>
        <w:rPr/>
        <w:t>). Raman measurements were performed on a Bruker Optics Senterra dispersive spectrometer with excitation laser beam of 785 nm (resolution 4 cm</w:t>
      </w:r>
      <w:r>
        <w:rPr>
          <w:position w:val="10"/>
          <w:sz w:val="14"/>
        </w:rPr>
        <w:t>−1</w:t>
      </w:r>
      <w:r>
        <w:rPr/>
        <w:t>). The morphology of the nanofibres was characterised by SEM using a JEOL JSM 6060 microscope at 28 kV accelerating voltage.</w:t>
      </w:r>
    </w:p>
    <w:p>
      <w:pPr>
        <w:pStyle w:val="BodyText"/>
        <w:spacing w:line="321" w:lineRule="auto" w:before="17"/>
        <w:ind w:left="122" w:right="136" w:firstLine="288"/>
        <w:jc w:val="both"/>
      </w:pPr>
      <w:r>
        <w:rPr/>
        <w:t>A Perkin Elmer DSC-7 equipment, was used to determine the crystallinity and the nucleating behaviour of electrospun nanocomposites. This was calibrated with an Indium standard using a constant nitrogen flow both in the sample and in the reference chambers. All samples weighed approximately 6 mg and were sealed within aluminium pans. The samples were heated up to 280 °C for five min and then they were cooled at 10 °C/min.</w:t>
      </w:r>
    </w:p>
    <w:p>
      <w:pPr>
        <w:pStyle w:val="BodyText"/>
        <w:spacing w:line="321" w:lineRule="auto" w:before="5"/>
        <w:ind w:left="122" w:right="138" w:firstLine="288"/>
        <w:jc w:val="both"/>
      </w:pPr>
      <w:r>
        <w:rPr/>
        <w:t>WAXD diffractograms were obtained in PANalytical X’Pert Pro X-ray diffraction equipment with Cu Kα radiation (</w:t>
      </w:r>
      <w:r>
        <w:rPr>
          <w:i/>
        </w:rPr>
        <w:t>k </w:t>
      </w:r>
      <w:r>
        <w:rPr/>
        <w:t>= 0.154 nm). The scanning rate was 0.05°/s.</w:t>
      </w:r>
    </w:p>
    <w:p>
      <w:pPr>
        <w:pStyle w:val="BodyText"/>
        <w:spacing w:line="314" w:lineRule="auto" w:before="5"/>
        <w:ind w:left="122" w:right="136" w:firstLine="288"/>
        <w:jc w:val="both"/>
      </w:pPr>
      <w:r>
        <w:rPr/>
        <w:t>Thermo-mechanical properties of the nanocomposites were measured using a DMA, TA Instruments DMA 2980. The analyses were performed on samples of 30 × 5 × 0.05 mm</w:t>
      </w:r>
      <w:r>
        <w:rPr>
          <w:position w:val="10"/>
          <w:sz w:val="14"/>
        </w:rPr>
        <w:t>3 </w:t>
      </w:r>
      <w:r>
        <w:rPr/>
        <w:t>under tension film mode in a temperature range of room temperature to 200 °C at a frequency of 1 Hz and a heating rate of 5°/min.</w:t>
      </w:r>
    </w:p>
    <w:p>
      <w:pPr>
        <w:pStyle w:val="BodyText"/>
        <w:spacing w:before="4"/>
      </w:pPr>
    </w:p>
    <w:p>
      <w:pPr>
        <w:pStyle w:val="Heading4"/>
        <w:numPr>
          <w:ilvl w:val="0"/>
          <w:numId w:val="16"/>
        </w:numPr>
        <w:tabs>
          <w:tab w:pos="343" w:val="left" w:leader="none"/>
        </w:tabs>
        <w:spacing w:line="240" w:lineRule="auto" w:before="0" w:after="0"/>
        <w:ind w:left="342" w:right="0" w:hanging="220"/>
        <w:jc w:val="left"/>
      </w:pPr>
      <w:r>
        <w:rPr/>
        <w:t>Conclusions</w:t>
      </w:r>
    </w:p>
    <w:p>
      <w:pPr>
        <w:pStyle w:val="BodyText"/>
        <w:spacing w:before="10"/>
        <w:rPr>
          <w:b/>
          <w:sz w:val="27"/>
        </w:rPr>
      </w:pPr>
    </w:p>
    <w:p>
      <w:pPr>
        <w:pStyle w:val="BodyText"/>
        <w:spacing w:line="321" w:lineRule="auto"/>
        <w:ind w:left="122" w:right="135" w:firstLine="288"/>
        <w:jc w:val="both"/>
      </w:pPr>
      <w:r>
        <w:rPr/>
        <w:t>Carbon based nylon 6,6 electrospun nanofibres were obtained in order to study for the first time the effects of the addition of 1D and 2D nanometric carbon when processed at the same conditions. The experiments were based on the same polymer, processing approach and concentrations of both carbon nanomaterials. The structure of nanomaterials and the functionalisation were found to play an important role in the properties of the nanocomposites. Both 1D CNT and 2D graphene based electrospun nanofibres obtained in this study showed enhanced crystallinity and improved reinforcing effect compared to pure polymer. The features found by FTIR spectroscopy demonstrated that functionalisation increases the interfacial adhesion between polymer and nanofillers and that it also increased the crystalline hydrogen-bonded chains. Crystallisation thermograms</w:t>
      </w:r>
      <w:r>
        <w:rPr>
          <w:spacing w:val="17"/>
        </w:rPr>
        <w:t> </w:t>
      </w:r>
      <w:r>
        <w:rPr/>
        <w:t>displayed</w:t>
      </w:r>
      <w:r>
        <w:rPr>
          <w:spacing w:val="17"/>
        </w:rPr>
        <w:t> </w:t>
      </w:r>
      <w:r>
        <w:rPr/>
        <w:t>the</w:t>
      </w:r>
      <w:r>
        <w:rPr>
          <w:spacing w:val="15"/>
        </w:rPr>
        <w:t> </w:t>
      </w:r>
      <w:r>
        <w:rPr/>
        <w:t>superior</w:t>
      </w:r>
      <w:r>
        <w:rPr>
          <w:spacing w:val="17"/>
        </w:rPr>
        <w:t> </w:t>
      </w:r>
      <w:r>
        <w:rPr/>
        <w:t>ability</w:t>
      </w:r>
      <w:r>
        <w:rPr>
          <w:spacing w:val="14"/>
        </w:rPr>
        <w:t> </w:t>
      </w:r>
      <w:r>
        <w:rPr/>
        <w:t>of</w:t>
      </w:r>
      <w:r>
        <w:rPr>
          <w:spacing w:val="17"/>
        </w:rPr>
        <w:t> </w:t>
      </w:r>
      <w:r>
        <w:rPr/>
        <w:t>CNTs</w:t>
      </w:r>
      <w:r>
        <w:rPr>
          <w:spacing w:val="17"/>
        </w:rPr>
        <w:t> </w:t>
      </w:r>
      <w:r>
        <w:rPr/>
        <w:t>to</w:t>
      </w:r>
      <w:r>
        <w:rPr>
          <w:spacing w:val="17"/>
        </w:rPr>
        <w:t> </w:t>
      </w:r>
      <w:r>
        <w:rPr/>
        <w:t>induce</w:t>
      </w:r>
      <w:r>
        <w:rPr>
          <w:spacing w:val="17"/>
        </w:rPr>
        <w:t> </w:t>
      </w:r>
      <w:r>
        <w:rPr/>
        <w:t>crystallisation</w:t>
      </w:r>
      <w:r>
        <w:rPr>
          <w:spacing w:val="17"/>
        </w:rPr>
        <w:t> </w:t>
      </w:r>
      <w:r>
        <w:rPr/>
        <w:t>in</w:t>
      </w:r>
      <w:r>
        <w:rPr>
          <w:spacing w:val="14"/>
        </w:rPr>
        <w:t> </w:t>
      </w:r>
      <w:r>
        <w:rPr/>
        <w:t>nylon</w:t>
      </w:r>
      <w:r>
        <w:rPr>
          <w:spacing w:val="17"/>
        </w:rPr>
        <w:t> </w:t>
      </w:r>
      <w:r>
        <w:rPr/>
        <w:t>6,6.</w:t>
      </w:r>
      <w:r>
        <w:rPr>
          <w:spacing w:val="17"/>
        </w:rPr>
        <w:t> </w:t>
      </w:r>
      <w:r>
        <w:rPr/>
        <w:t>On</w:t>
      </w:r>
      <w:r>
        <w:rPr>
          <w:spacing w:val="17"/>
        </w:rPr>
        <w:t> </w:t>
      </w:r>
      <w:r>
        <w:rPr/>
        <w:t>the</w:t>
      </w:r>
    </w:p>
    <w:p>
      <w:pPr>
        <w:spacing w:after="0" w:line="321" w:lineRule="auto"/>
        <w:jc w:val="both"/>
        <w:sectPr>
          <w:pgSz w:w="12240" w:h="15840"/>
          <w:pgMar w:header="730" w:footer="1060" w:top="1160" w:bottom="1260" w:left="1580" w:right="1560"/>
        </w:sectPr>
      </w:pPr>
    </w:p>
    <w:p>
      <w:pPr>
        <w:pStyle w:val="BodyText"/>
        <w:spacing w:before="6"/>
        <w:rPr>
          <w:sz w:val="21"/>
        </w:rPr>
      </w:pPr>
    </w:p>
    <w:p>
      <w:pPr>
        <w:pStyle w:val="BodyText"/>
        <w:spacing w:line="321" w:lineRule="auto" w:before="73"/>
        <w:ind w:left="122" w:right="139"/>
        <w:jc w:val="both"/>
      </w:pPr>
      <w:r>
        <w:rPr/>
        <w:t>other hand the heating thermograms of the graphene based nanofibres showed higher crystallinity. The two-dimensional nature of graphene provided a larger surface area that favoured higher crystallinity compared to CNTs in the electrospun fibres. Lower crystal size values were obtained due to the structure of graphene and the different crystallisation process of this material. In addition interface links in the nanocomposites were enhanced by functionalisation of carbon nanomaterials and the functional groups of nylon 6,6. These factors had a significant influence in the increase of the thermo-mechanical properties of the nanofibres.</w:t>
      </w:r>
    </w:p>
    <w:p>
      <w:pPr>
        <w:pStyle w:val="BodyText"/>
        <w:spacing w:before="8"/>
        <w:rPr>
          <w:sz w:val="21"/>
        </w:rPr>
      </w:pPr>
    </w:p>
    <w:p>
      <w:pPr>
        <w:pStyle w:val="Heading4"/>
        <w:spacing w:before="0"/>
        <w:ind w:right="41"/>
      </w:pPr>
      <w:r>
        <w:rPr/>
        <w:t>Acknowledgments</w:t>
      </w:r>
    </w:p>
    <w:p>
      <w:pPr>
        <w:pStyle w:val="BodyText"/>
        <w:spacing w:before="1"/>
        <w:rPr>
          <w:b/>
          <w:sz w:val="28"/>
        </w:rPr>
      </w:pPr>
    </w:p>
    <w:p>
      <w:pPr>
        <w:pStyle w:val="BodyText"/>
        <w:spacing w:line="321" w:lineRule="auto"/>
        <w:ind w:left="122" w:right="136" w:firstLine="288"/>
        <w:jc w:val="both"/>
      </w:pPr>
      <w:r>
        <w:rPr/>
        <w:t>The authors are grateful to G. Hernández Padrón for her assistance in IR and Raman spectroscopies, to S.J. Jiménez Sandoval for Raman facilities at CINVESTAV and F. Rodríguez Melgarejo for his technical assistance. We also appreciate the support of M.L. Palma Tirado for obtaining TEM images, A. del Real López for her assistance in SEM, O. Davalos Montoya for her help in DSC analyses and A. Torres Martínez for her assistance in WAXD measurements. We are also grateful to F. Fernandez Escobar for his technical assistance in the electrospinning high voltage power supply. F. Navarro-Pardo is thankful to CONACYT for grant No. 213733 and to Universidad Autónoma del Estado de México for the use of facilities.</w:t>
      </w:r>
    </w:p>
    <w:p>
      <w:pPr>
        <w:pStyle w:val="BodyText"/>
        <w:spacing w:before="8"/>
        <w:rPr>
          <w:sz w:val="21"/>
        </w:rPr>
      </w:pPr>
    </w:p>
    <w:p>
      <w:pPr>
        <w:pStyle w:val="Heading4"/>
        <w:spacing w:before="0"/>
        <w:ind w:right="41"/>
      </w:pPr>
      <w:r>
        <w:rPr/>
        <w:t>Conflict of Interest</w:t>
      </w:r>
    </w:p>
    <w:p>
      <w:pPr>
        <w:pStyle w:val="BodyText"/>
        <w:spacing w:before="1"/>
        <w:rPr>
          <w:b/>
          <w:sz w:val="28"/>
        </w:rPr>
      </w:pPr>
    </w:p>
    <w:p>
      <w:pPr>
        <w:pStyle w:val="BodyText"/>
        <w:ind w:left="410" w:right="41"/>
      </w:pPr>
      <w:r>
        <w:rPr/>
        <w:t>The authors declare no conflict of interest</w:t>
      </w:r>
    </w:p>
    <w:p>
      <w:pPr>
        <w:pStyle w:val="BodyText"/>
        <w:spacing w:before="8"/>
        <w:rPr>
          <w:sz w:val="28"/>
        </w:rPr>
      </w:pPr>
    </w:p>
    <w:p>
      <w:pPr>
        <w:pStyle w:val="Heading4"/>
        <w:spacing w:before="0"/>
        <w:ind w:right="41"/>
      </w:pPr>
      <w:r>
        <w:rPr/>
        <w:t>References</w:t>
      </w:r>
    </w:p>
    <w:p>
      <w:pPr>
        <w:pStyle w:val="BodyText"/>
        <w:spacing w:before="1"/>
        <w:rPr>
          <w:b/>
          <w:sz w:val="28"/>
        </w:rPr>
      </w:pPr>
    </w:p>
    <w:p>
      <w:pPr>
        <w:pStyle w:val="ListParagraph"/>
        <w:numPr>
          <w:ilvl w:val="0"/>
          <w:numId w:val="18"/>
        </w:numPr>
        <w:tabs>
          <w:tab w:pos="583" w:val="left" w:leader="none"/>
        </w:tabs>
        <w:spacing w:line="324" w:lineRule="auto" w:before="0" w:after="0"/>
        <w:ind w:left="582" w:right="137" w:hanging="460"/>
        <w:jc w:val="both"/>
        <w:rPr>
          <w:sz w:val="22"/>
        </w:rPr>
      </w:pPr>
      <w:r>
        <w:rPr>
          <w:sz w:val="22"/>
        </w:rPr>
        <w:t>Martínez-Hernández, A.L.; Velasco-Santos, C.; Castaño, V.M. Carbon nanotubes composites: Processing, grafting and mechanical and thermal properties. </w:t>
      </w:r>
      <w:r>
        <w:rPr>
          <w:i/>
          <w:sz w:val="22"/>
        </w:rPr>
        <w:t>Curr. Nanosci. </w:t>
      </w:r>
      <w:r>
        <w:rPr>
          <w:b/>
          <w:sz w:val="22"/>
        </w:rPr>
        <w:t>2010</w:t>
      </w:r>
      <w:r>
        <w:rPr>
          <w:sz w:val="22"/>
        </w:rPr>
        <w:t>, </w:t>
      </w:r>
      <w:r>
        <w:rPr>
          <w:i/>
          <w:sz w:val="22"/>
        </w:rPr>
        <w:t>6</w:t>
      </w:r>
      <w:r>
        <w:rPr>
          <w:sz w:val="22"/>
        </w:rPr>
        <w:t>,</w:t>
      </w:r>
      <w:r>
        <w:rPr>
          <w:spacing w:val="-18"/>
          <w:sz w:val="22"/>
        </w:rPr>
        <w:t> </w:t>
      </w:r>
      <w:r>
        <w:rPr>
          <w:sz w:val="22"/>
        </w:rPr>
        <w:t>12–39.</w:t>
      </w:r>
    </w:p>
    <w:p>
      <w:pPr>
        <w:pStyle w:val="ListParagraph"/>
        <w:numPr>
          <w:ilvl w:val="0"/>
          <w:numId w:val="18"/>
        </w:numPr>
        <w:tabs>
          <w:tab w:pos="582" w:val="left" w:leader="none"/>
          <w:tab w:pos="583" w:val="left" w:leader="none"/>
        </w:tabs>
        <w:spacing w:line="240" w:lineRule="auto" w:before="0" w:after="0"/>
        <w:ind w:left="582" w:right="0" w:hanging="460"/>
        <w:jc w:val="left"/>
        <w:rPr>
          <w:sz w:val="22"/>
        </w:rPr>
      </w:pPr>
      <w:r>
        <w:rPr>
          <w:sz w:val="22"/>
        </w:rPr>
        <w:t>Soldano, C.; Mahmood, A.;  Dujardin, E. Production, properties and  potential    </w:t>
      </w:r>
      <w:r>
        <w:rPr>
          <w:spacing w:val="32"/>
          <w:sz w:val="22"/>
        </w:rPr>
        <w:t> </w:t>
      </w:r>
      <w:r>
        <w:rPr>
          <w:sz w:val="22"/>
        </w:rPr>
        <w:t>of  graphene.</w:t>
      </w:r>
    </w:p>
    <w:p>
      <w:pPr>
        <w:spacing w:before="88"/>
        <w:ind w:left="582" w:right="41" w:firstLine="0"/>
        <w:jc w:val="left"/>
        <w:rPr>
          <w:sz w:val="22"/>
        </w:rPr>
      </w:pPr>
      <w:r>
        <w:rPr>
          <w:i/>
          <w:sz w:val="22"/>
        </w:rPr>
        <w:t>Carbon </w:t>
      </w:r>
      <w:r>
        <w:rPr>
          <w:b/>
          <w:sz w:val="22"/>
        </w:rPr>
        <w:t>2010</w:t>
      </w:r>
      <w:r>
        <w:rPr>
          <w:sz w:val="22"/>
        </w:rPr>
        <w:t>, </w:t>
      </w:r>
      <w:r>
        <w:rPr>
          <w:i/>
          <w:sz w:val="22"/>
        </w:rPr>
        <w:t>48</w:t>
      </w:r>
      <w:r>
        <w:rPr>
          <w:sz w:val="22"/>
        </w:rPr>
        <w:t>, 2127–2150.</w:t>
      </w:r>
    </w:p>
    <w:p>
      <w:pPr>
        <w:pStyle w:val="ListParagraph"/>
        <w:numPr>
          <w:ilvl w:val="0"/>
          <w:numId w:val="18"/>
        </w:numPr>
        <w:tabs>
          <w:tab w:pos="583" w:val="left" w:leader="none"/>
        </w:tabs>
        <w:spacing w:line="321" w:lineRule="auto" w:before="88" w:after="0"/>
        <w:ind w:left="582" w:right="142" w:hanging="460"/>
        <w:jc w:val="both"/>
        <w:rPr>
          <w:sz w:val="22"/>
        </w:rPr>
      </w:pPr>
      <w:r>
        <w:rPr>
          <w:sz w:val="22"/>
        </w:rPr>
        <w:t>Ferrari, A.C.; Robertson, J. Interpretation of Raman spectra of disordered and amorphous carbon. </w:t>
      </w:r>
      <w:r>
        <w:rPr>
          <w:i/>
          <w:sz w:val="22"/>
        </w:rPr>
        <w:t>Phys. Rev. B </w:t>
      </w:r>
      <w:r>
        <w:rPr>
          <w:b/>
          <w:sz w:val="22"/>
        </w:rPr>
        <w:t>2000</w:t>
      </w:r>
      <w:r>
        <w:rPr>
          <w:sz w:val="22"/>
        </w:rPr>
        <w:t>, </w:t>
      </w:r>
      <w:r>
        <w:rPr>
          <w:i/>
          <w:sz w:val="22"/>
        </w:rPr>
        <w:t>61</w:t>
      </w:r>
      <w:r>
        <w:rPr>
          <w:sz w:val="22"/>
        </w:rPr>
        <w:t>,</w:t>
      </w:r>
      <w:r>
        <w:rPr>
          <w:spacing w:val="-2"/>
          <w:sz w:val="22"/>
        </w:rPr>
        <w:t> </w:t>
      </w:r>
      <w:r>
        <w:rPr>
          <w:sz w:val="22"/>
        </w:rPr>
        <w:t>14095–14107.</w:t>
      </w:r>
    </w:p>
    <w:p>
      <w:pPr>
        <w:pStyle w:val="ListParagraph"/>
        <w:numPr>
          <w:ilvl w:val="0"/>
          <w:numId w:val="18"/>
        </w:numPr>
        <w:tabs>
          <w:tab w:pos="583" w:val="left" w:leader="none"/>
        </w:tabs>
        <w:spacing w:line="321" w:lineRule="auto" w:before="5" w:after="0"/>
        <w:ind w:left="582" w:right="135" w:hanging="460"/>
        <w:jc w:val="both"/>
        <w:rPr>
          <w:sz w:val="22"/>
        </w:rPr>
      </w:pPr>
      <w:r>
        <w:rPr>
          <w:sz w:val="22"/>
        </w:rPr>
        <w:t>Park, S.; An, J.; Piner, R.D.; Jung, I.; Yang, D.; Velamakanni, A.; Nguyen, S.T.; Ruoff, R.S. Aqueous suspension and characterization of chemically modified graphene sheets. </w:t>
      </w:r>
      <w:r>
        <w:rPr>
          <w:i/>
          <w:sz w:val="22"/>
        </w:rPr>
        <w:t>Chem. </w:t>
      </w:r>
      <w:r>
        <w:rPr>
          <w:i/>
          <w:sz w:val="22"/>
        </w:rPr>
        <w:t>Mater. </w:t>
      </w:r>
      <w:r>
        <w:rPr>
          <w:b/>
          <w:sz w:val="22"/>
        </w:rPr>
        <w:t>2008</w:t>
      </w:r>
      <w:r>
        <w:rPr>
          <w:sz w:val="22"/>
        </w:rPr>
        <w:t>, </w:t>
      </w:r>
      <w:r>
        <w:rPr>
          <w:i/>
          <w:sz w:val="22"/>
        </w:rPr>
        <w:t>20</w:t>
      </w:r>
      <w:r>
        <w:rPr>
          <w:sz w:val="22"/>
        </w:rPr>
        <w:t>,</w:t>
      </w:r>
      <w:r>
        <w:rPr>
          <w:spacing w:val="-5"/>
          <w:sz w:val="22"/>
        </w:rPr>
        <w:t> </w:t>
      </w:r>
      <w:r>
        <w:rPr>
          <w:sz w:val="22"/>
        </w:rPr>
        <w:t>6592–6594.</w:t>
      </w:r>
    </w:p>
    <w:p>
      <w:pPr>
        <w:pStyle w:val="ListParagraph"/>
        <w:numPr>
          <w:ilvl w:val="0"/>
          <w:numId w:val="18"/>
        </w:numPr>
        <w:tabs>
          <w:tab w:pos="583" w:val="left" w:leader="none"/>
        </w:tabs>
        <w:spacing w:line="321" w:lineRule="auto" w:before="5" w:after="0"/>
        <w:ind w:left="582" w:right="135" w:hanging="460"/>
        <w:jc w:val="both"/>
        <w:rPr>
          <w:sz w:val="22"/>
        </w:rPr>
      </w:pPr>
      <w:r>
        <w:rPr>
          <w:sz w:val="22"/>
        </w:rPr>
        <w:t>Shen, X.; Jiang, L.; Ji, Z.; Wu, J.; Zhou, H.; Zhu, G. Stable aqueous dispersions of graphene prepared with hexamethylenetetramine as a reductant</w:t>
      </w:r>
      <w:r>
        <w:rPr>
          <w:i/>
          <w:sz w:val="22"/>
        </w:rPr>
        <w:t>. J. Colloid Interface Sci. </w:t>
      </w:r>
      <w:r>
        <w:rPr>
          <w:b/>
          <w:sz w:val="22"/>
        </w:rPr>
        <w:t>2011</w:t>
      </w:r>
      <w:r>
        <w:rPr>
          <w:sz w:val="22"/>
        </w:rPr>
        <w:t>, </w:t>
      </w:r>
      <w:r>
        <w:rPr>
          <w:i/>
          <w:sz w:val="22"/>
        </w:rPr>
        <w:t>354</w:t>
      </w:r>
      <w:r>
        <w:rPr>
          <w:sz w:val="22"/>
        </w:rPr>
        <w:t>, 493–497.</w:t>
      </w:r>
    </w:p>
    <w:p>
      <w:pPr>
        <w:pStyle w:val="ListParagraph"/>
        <w:numPr>
          <w:ilvl w:val="0"/>
          <w:numId w:val="18"/>
        </w:numPr>
        <w:tabs>
          <w:tab w:pos="583" w:val="left" w:leader="none"/>
        </w:tabs>
        <w:spacing w:line="324" w:lineRule="auto" w:before="5" w:after="0"/>
        <w:ind w:left="582" w:right="143" w:hanging="460"/>
        <w:jc w:val="both"/>
        <w:rPr>
          <w:sz w:val="22"/>
        </w:rPr>
      </w:pPr>
      <w:r>
        <w:rPr>
          <w:sz w:val="22"/>
        </w:rPr>
        <w:t>Guo, H.L.; Wang, X.F.; Qian, Q.Y.; Wang, F.B.; Xia, X.H. A green approach to the synthesis of graphene nanosheets. </w:t>
      </w:r>
      <w:r>
        <w:rPr>
          <w:i/>
          <w:sz w:val="22"/>
        </w:rPr>
        <w:t>ACS Nano </w:t>
      </w:r>
      <w:r>
        <w:rPr>
          <w:b/>
          <w:sz w:val="22"/>
        </w:rPr>
        <w:t>2009</w:t>
      </w:r>
      <w:r>
        <w:rPr>
          <w:sz w:val="22"/>
        </w:rPr>
        <w:t>, </w:t>
      </w:r>
      <w:r>
        <w:rPr>
          <w:i/>
          <w:sz w:val="22"/>
        </w:rPr>
        <w:t>3</w:t>
      </w:r>
      <w:r>
        <w:rPr>
          <w:sz w:val="22"/>
        </w:rPr>
        <w:t>,</w:t>
      </w:r>
      <w:r>
        <w:rPr>
          <w:spacing w:val="-9"/>
          <w:sz w:val="22"/>
        </w:rPr>
        <w:t> </w:t>
      </w:r>
      <w:r>
        <w:rPr>
          <w:sz w:val="22"/>
        </w:rPr>
        <w:t>2653–2659.</w:t>
      </w:r>
    </w:p>
    <w:p>
      <w:pPr>
        <w:spacing w:after="0" w:line="324" w:lineRule="auto"/>
        <w:jc w:val="both"/>
        <w:rPr>
          <w:sz w:val="22"/>
        </w:rPr>
        <w:sectPr>
          <w:pgSz w:w="12240" w:h="15840"/>
          <w:pgMar w:header="730" w:footer="1060" w:top="1160" w:bottom="1260" w:left="1580" w:right="1560"/>
        </w:sectPr>
      </w:pPr>
    </w:p>
    <w:p>
      <w:pPr>
        <w:pStyle w:val="BodyText"/>
        <w:spacing w:before="6"/>
        <w:rPr>
          <w:sz w:val="21"/>
        </w:rPr>
      </w:pPr>
    </w:p>
    <w:p>
      <w:pPr>
        <w:pStyle w:val="ListParagraph"/>
        <w:numPr>
          <w:ilvl w:val="0"/>
          <w:numId w:val="18"/>
        </w:numPr>
        <w:tabs>
          <w:tab w:pos="583" w:val="left" w:leader="none"/>
        </w:tabs>
        <w:spacing w:line="324" w:lineRule="auto" w:before="73" w:after="0"/>
        <w:ind w:left="582" w:right="141" w:hanging="460"/>
        <w:jc w:val="both"/>
        <w:rPr>
          <w:sz w:val="22"/>
        </w:rPr>
      </w:pPr>
      <w:r>
        <w:rPr>
          <w:sz w:val="22"/>
        </w:rPr>
        <w:t>Chen, W.; Yan, L.; Bangal, P.R. Preparation of graphene by the rapid and mild thermal reduction of graphene oxide induced by microwaves. </w:t>
      </w:r>
      <w:r>
        <w:rPr>
          <w:i/>
          <w:sz w:val="22"/>
        </w:rPr>
        <w:t>Carbon </w:t>
      </w:r>
      <w:r>
        <w:rPr>
          <w:b/>
          <w:sz w:val="22"/>
        </w:rPr>
        <w:t>2010</w:t>
      </w:r>
      <w:r>
        <w:rPr>
          <w:sz w:val="22"/>
        </w:rPr>
        <w:t>, </w:t>
      </w:r>
      <w:r>
        <w:rPr>
          <w:i/>
          <w:sz w:val="22"/>
        </w:rPr>
        <w:t>48</w:t>
      </w:r>
      <w:r>
        <w:rPr>
          <w:sz w:val="22"/>
        </w:rPr>
        <w:t>,</w:t>
      </w:r>
      <w:r>
        <w:rPr>
          <w:spacing w:val="-15"/>
          <w:sz w:val="22"/>
        </w:rPr>
        <w:t> </w:t>
      </w:r>
      <w:r>
        <w:rPr>
          <w:sz w:val="22"/>
        </w:rPr>
        <w:t>1146–1152.</w:t>
      </w:r>
    </w:p>
    <w:p>
      <w:pPr>
        <w:pStyle w:val="ListParagraph"/>
        <w:numPr>
          <w:ilvl w:val="0"/>
          <w:numId w:val="18"/>
        </w:numPr>
        <w:tabs>
          <w:tab w:pos="583" w:val="left" w:leader="none"/>
        </w:tabs>
        <w:spacing w:line="321" w:lineRule="auto" w:before="2" w:after="0"/>
        <w:ind w:left="582" w:right="144" w:hanging="460"/>
        <w:jc w:val="both"/>
        <w:rPr>
          <w:sz w:val="22"/>
        </w:rPr>
      </w:pPr>
      <w:r>
        <w:rPr>
          <w:sz w:val="22"/>
        </w:rPr>
        <w:t>Yeh, T.F.; Syu, J.M.; Cheng, C.; Chang, T.H.; Teng, H. Graphite oxide as a photocatalyst for hydrogen production from water. </w:t>
      </w:r>
      <w:r>
        <w:rPr>
          <w:i/>
          <w:sz w:val="22"/>
        </w:rPr>
        <w:t>Adv. Funct. Mater. </w:t>
      </w:r>
      <w:r>
        <w:rPr>
          <w:b/>
          <w:sz w:val="22"/>
        </w:rPr>
        <w:t>2010</w:t>
      </w:r>
      <w:r>
        <w:rPr>
          <w:sz w:val="22"/>
        </w:rPr>
        <w:t>, </w:t>
      </w:r>
      <w:r>
        <w:rPr>
          <w:i/>
          <w:sz w:val="22"/>
        </w:rPr>
        <w:t>20</w:t>
      </w:r>
      <w:r>
        <w:rPr>
          <w:sz w:val="22"/>
        </w:rPr>
        <w:t>,</w:t>
      </w:r>
      <w:r>
        <w:rPr>
          <w:spacing w:val="-13"/>
          <w:sz w:val="22"/>
        </w:rPr>
        <w:t> </w:t>
      </w:r>
      <w:r>
        <w:rPr>
          <w:sz w:val="22"/>
        </w:rPr>
        <w:t>2255–2262.</w:t>
      </w:r>
    </w:p>
    <w:p>
      <w:pPr>
        <w:pStyle w:val="ListParagraph"/>
        <w:numPr>
          <w:ilvl w:val="0"/>
          <w:numId w:val="18"/>
        </w:numPr>
        <w:tabs>
          <w:tab w:pos="583" w:val="left" w:leader="none"/>
        </w:tabs>
        <w:spacing w:line="321" w:lineRule="auto" w:before="5" w:after="0"/>
        <w:ind w:left="582" w:right="132" w:hanging="460"/>
        <w:jc w:val="both"/>
        <w:rPr>
          <w:sz w:val="22"/>
        </w:rPr>
      </w:pPr>
      <w:r>
        <w:rPr>
          <w:sz w:val="22"/>
        </w:rPr>
        <w:t>Shen, J.; Shi, M.; Yan, B.; Ma, H.; Li, N.; Hu, Y.; Ye, M. Covalent attaching protein to graphene oxide via diimide-activated amidation. </w:t>
      </w:r>
      <w:r>
        <w:rPr>
          <w:i/>
          <w:sz w:val="22"/>
        </w:rPr>
        <w:t>Colloids Surf. Biointerfaces </w:t>
      </w:r>
      <w:r>
        <w:rPr>
          <w:b/>
          <w:sz w:val="22"/>
        </w:rPr>
        <w:t>2010</w:t>
      </w:r>
      <w:r>
        <w:rPr>
          <w:sz w:val="22"/>
        </w:rPr>
        <w:t>, </w:t>
      </w:r>
      <w:r>
        <w:rPr>
          <w:i/>
          <w:sz w:val="22"/>
        </w:rPr>
        <w:t>81</w:t>
      </w:r>
      <w:r>
        <w:rPr>
          <w:sz w:val="22"/>
        </w:rPr>
        <w:t>, 434– 438.</w:t>
      </w:r>
    </w:p>
    <w:p>
      <w:pPr>
        <w:pStyle w:val="ListParagraph"/>
        <w:numPr>
          <w:ilvl w:val="0"/>
          <w:numId w:val="18"/>
        </w:numPr>
        <w:tabs>
          <w:tab w:pos="583" w:val="left" w:leader="none"/>
        </w:tabs>
        <w:spacing w:line="321" w:lineRule="auto" w:before="5" w:after="0"/>
        <w:ind w:left="582" w:right="135" w:hanging="460"/>
        <w:jc w:val="both"/>
        <w:rPr>
          <w:sz w:val="22"/>
        </w:rPr>
      </w:pPr>
      <w:r>
        <w:rPr>
          <w:sz w:val="22"/>
        </w:rPr>
        <w:t>Seredych, M.; Rossin, J.A.; Bandosz, T.J. Changes in graphite oxide texture and chemistry upon oxidation and reduction and their effect on adsorption of ammonia. </w:t>
      </w:r>
      <w:r>
        <w:rPr>
          <w:i/>
          <w:sz w:val="22"/>
        </w:rPr>
        <w:t>Carbon </w:t>
      </w:r>
      <w:r>
        <w:rPr>
          <w:b/>
          <w:sz w:val="22"/>
        </w:rPr>
        <w:t>2011</w:t>
      </w:r>
      <w:r>
        <w:rPr>
          <w:sz w:val="22"/>
        </w:rPr>
        <w:t>, </w:t>
      </w:r>
      <w:r>
        <w:rPr>
          <w:i/>
          <w:sz w:val="22"/>
        </w:rPr>
        <w:t>49</w:t>
      </w:r>
      <w:r>
        <w:rPr>
          <w:sz w:val="22"/>
        </w:rPr>
        <w:t>, 4392–4402.</w:t>
      </w:r>
    </w:p>
    <w:p>
      <w:pPr>
        <w:pStyle w:val="ListParagraph"/>
        <w:numPr>
          <w:ilvl w:val="0"/>
          <w:numId w:val="18"/>
        </w:numPr>
        <w:tabs>
          <w:tab w:pos="583" w:val="left" w:leader="none"/>
        </w:tabs>
        <w:spacing w:line="324" w:lineRule="auto" w:before="5" w:after="0"/>
        <w:ind w:left="582" w:right="143" w:hanging="460"/>
        <w:jc w:val="both"/>
        <w:rPr>
          <w:sz w:val="22"/>
        </w:rPr>
      </w:pPr>
      <w:r>
        <w:rPr>
          <w:sz w:val="22"/>
        </w:rPr>
        <w:t>Yang, K.; Gu, M.; Guo, Y.; Pan, X.; Mu, G. Effects of carbon nanotube functionalization on the mechanical and thermal properties of epoxy composites. </w:t>
      </w:r>
      <w:r>
        <w:rPr>
          <w:i/>
          <w:sz w:val="22"/>
        </w:rPr>
        <w:t>Carbon </w:t>
      </w:r>
      <w:r>
        <w:rPr>
          <w:b/>
          <w:sz w:val="22"/>
        </w:rPr>
        <w:t>2009</w:t>
      </w:r>
      <w:r>
        <w:rPr>
          <w:sz w:val="22"/>
        </w:rPr>
        <w:t>, </w:t>
      </w:r>
      <w:r>
        <w:rPr>
          <w:i/>
          <w:sz w:val="22"/>
        </w:rPr>
        <w:t>47</w:t>
      </w:r>
      <w:r>
        <w:rPr>
          <w:sz w:val="22"/>
        </w:rPr>
        <w:t>,</w:t>
      </w:r>
      <w:r>
        <w:rPr>
          <w:spacing w:val="-15"/>
          <w:sz w:val="22"/>
        </w:rPr>
        <w:t> </w:t>
      </w:r>
      <w:r>
        <w:rPr>
          <w:sz w:val="22"/>
        </w:rPr>
        <w:t>1723–1737.</w:t>
      </w:r>
    </w:p>
    <w:p>
      <w:pPr>
        <w:pStyle w:val="ListParagraph"/>
        <w:numPr>
          <w:ilvl w:val="0"/>
          <w:numId w:val="18"/>
        </w:numPr>
        <w:tabs>
          <w:tab w:pos="583" w:val="left" w:leader="none"/>
        </w:tabs>
        <w:spacing w:line="324" w:lineRule="auto" w:before="0" w:after="0"/>
        <w:ind w:left="582" w:right="135" w:hanging="460"/>
        <w:jc w:val="both"/>
        <w:rPr>
          <w:sz w:val="22"/>
        </w:rPr>
      </w:pPr>
      <w:r>
        <w:rPr>
          <w:sz w:val="22"/>
        </w:rPr>
        <w:t>Sahoo, N.G.; Cheng, H.K.F.; Li, L.; Chan, S.H.; Judeh, Z.; Zhao J. Specific functionalization of carbon nanotubes for advanced polymer composites. </w:t>
      </w:r>
      <w:r>
        <w:rPr>
          <w:i/>
          <w:sz w:val="22"/>
        </w:rPr>
        <w:t>Adv. Funct. Mater. </w:t>
      </w:r>
      <w:r>
        <w:rPr>
          <w:b/>
          <w:sz w:val="22"/>
        </w:rPr>
        <w:t>2009</w:t>
      </w:r>
      <w:r>
        <w:rPr>
          <w:sz w:val="22"/>
        </w:rPr>
        <w:t>, </w:t>
      </w:r>
      <w:r>
        <w:rPr>
          <w:i/>
          <w:sz w:val="22"/>
        </w:rPr>
        <w:t>19</w:t>
      </w:r>
      <w:r>
        <w:rPr>
          <w:sz w:val="22"/>
        </w:rPr>
        <w:t>, 3962– 3971.</w:t>
      </w:r>
    </w:p>
    <w:p>
      <w:pPr>
        <w:pStyle w:val="ListParagraph"/>
        <w:numPr>
          <w:ilvl w:val="0"/>
          <w:numId w:val="18"/>
        </w:numPr>
        <w:tabs>
          <w:tab w:pos="583" w:val="left" w:leader="none"/>
        </w:tabs>
        <w:spacing w:line="324" w:lineRule="auto" w:before="0" w:after="0"/>
        <w:ind w:left="582" w:right="137" w:hanging="460"/>
        <w:jc w:val="both"/>
        <w:rPr>
          <w:sz w:val="22"/>
        </w:rPr>
      </w:pPr>
      <w:r>
        <w:rPr>
          <w:sz w:val="22"/>
        </w:rPr>
        <w:t>Rong, C.; Ma, G.; Zhang, S.; Song, L.; Chen, Z.; Wang, G.; Ajayan, P.M. Effect of carbon nanotubes on the mechanical properties and crystallization behavior of poly(ether ether ketone). </w:t>
      </w:r>
      <w:r>
        <w:rPr>
          <w:i/>
          <w:sz w:val="22"/>
        </w:rPr>
        <w:t>Compos. Sci. Technol. </w:t>
      </w:r>
      <w:r>
        <w:rPr>
          <w:b/>
          <w:sz w:val="22"/>
        </w:rPr>
        <w:t>2010</w:t>
      </w:r>
      <w:r>
        <w:rPr>
          <w:sz w:val="22"/>
        </w:rPr>
        <w:t>, </w:t>
      </w:r>
      <w:r>
        <w:rPr>
          <w:i/>
          <w:sz w:val="22"/>
        </w:rPr>
        <w:t>70</w:t>
      </w:r>
      <w:r>
        <w:rPr>
          <w:sz w:val="22"/>
        </w:rPr>
        <w:t>,</w:t>
      </w:r>
      <w:r>
        <w:rPr>
          <w:spacing w:val="-6"/>
          <w:sz w:val="22"/>
        </w:rPr>
        <w:t> </w:t>
      </w:r>
      <w:r>
        <w:rPr>
          <w:sz w:val="22"/>
        </w:rPr>
        <w:t>380–386.</w:t>
      </w:r>
    </w:p>
    <w:p>
      <w:pPr>
        <w:pStyle w:val="ListParagraph"/>
        <w:numPr>
          <w:ilvl w:val="0"/>
          <w:numId w:val="18"/>
        </w:numPr>
        <w:tabs>
          <w:tab w:pos="583" w:val="left" w:leader="none"/>
        </w:tabs>
        <w:spacing w:line="324" w:lineRule="auto" w:before="0" w:after="0"/>
        <w:ind w:left="582" w:right="135" w:hanging="460"/>
        <w:jc w:val="both"/>
        <w:rPr>
          <w:sz w:val="22"/>
        </w:rPr>
      </w:pPr>
      <w:r>
        <w:rPr>
          <w:sz w:val="22"/>
        </w:rPr>
        <w:t>Mago, G.; Velasco-Santos, C.; Martinez-Hernandez, A.L.; Kalyon, D.M.; Tisher, F.T. Effect  of functionalization on the crystallization behavior of MWNT-PBT composites. </w:t>
      </w:r>
      <w:r>
        <w:rPr>
          <w:i/>
          <w:sz w:val="22"/>
        </w:rPr>
        <w:t>Mater. Res. </w:t>
      </w:r>
      <w:r>
        <w:rPr>
          <w:i/>
          <w:sz w:val="22"/>
        </w:rPr>
        <w:t>Soc. Symp. Proc. </w:t>
      </w:r>
      <w:r>
        <w:rPr>
          <w:b/>
          <w:sz w:val="22"/>
        </w:rPr>
        <w:t>2008</w:t>
      </w:r>
      <w:r>
        <w:rPr>
          <w:sz w:val="22"/>
        </w:rPr>
        <w:t>, </w:t>
      </w:r>
      <w:r>
        <w:rPr>
          <w:i/>
          <w:sz w:val="22"/>
        </w:rPr>
        <w:t>1056</w:t>
      </w:r>
      <w:r>
        <w:rPr>
          <w:sz w:val="22"/>
        </w:rPr>
        <w:t>,</w:t>
      </w:r>
      <w:r>
        <w:rPr>
          <w:spacing w:val="-5"/>
          <w:sz w:val="22"/>
        </w:rPr>
        <w:t> </w:t>
      </w:r>
      <w:r>
        <w:rPr>
          <w:sz w:val="22"/>
        </w:rPr>
        <w:t>295–300.</w:t>
      </w:r>
    </w:p>
    <w:p>
      <w:pPr>
        <w:pStyle w:val="ListParagraph"/>
        <w:numPr>
          <w:ilvl w:val="0"/>
          <w:numId w:val="18"/>
        </w:numPr>
        <w:tabs>
          <w:tab w:pos="583" w:val="left" w:leader="none"/>
        </w:tabs>
        <w:spacing w:line="324" w:lineRule="auto" w:before="0" w:after="0"/>
        <w:ind w:left="582" w:right="135" w:hanging="460"/>
        <w:jc w:val="both"/>
        <w:rPr>
          <w:sz w:val="22"/>
        </w:rPr>
      </w:pPr>
      <w:r>
        <w:rPr>
          <w:sz w:val="22"/>
        </w:rPr>
        <w:t>Chen, X.; Chen, X.; Lin, M.; Zhong, W.; Chen, X.; Chen, Z. Functionalized multi-walled carbon nanotubes prepared by </w:t>
      </w:r>
      <w:r>
        <w:rPr>
          <w:i/>
          <w:sz w:val="22"/>
        </w:rPr>
        <w:t>in situ </w:t>
      </w:r>
      <w:r>
        <w:rPr>
          <w:sz w:val="22"/>
        </w:rPr>
        <w:t>polycondensation of polyurethane. </w:t>
      </w:r>
      <w:r>
        <w:rPr>
          <w:i/>
          <w:sz w:val="22"/>
        </w:rPr>
        <w:t>Macromol. Chem. </w:t>
      </w:r>
      <w:r>
        <w:rPr>
          <w:i/>
          <w:sz w:val="22"/>
        </w:rPr>
        <w:t>Phys. </w:t>
      </w:r>
      <w:r>
        <w:rPr>
          <w:b/>
          <w:sz w:val="22"/>
        </w:rPr>
        <w:t>2007</w:t>
      </w:r>
      <w:r>
        <w:rPr>
          <w:sz w:val="22"/>
        </w:rPr>
        <w:t>, </w:t>
      </w:r>
      <w:r>
        <w:rPr>
          <w:i/>
          <w:sz w:val="22"/>
        </w:rPr>
        <w:t>208</w:t>
      </w:r>
      <w:r>
        <w:rPr>
          <w:sz w:val="22"/>
        </w:rPr>
        <w:t>,</w:t>
      </w:r>
      <w:r>
        <w:rPr>
          <w:spacing w:val="-1"/>
          <w:sz w:val="22"/>
        </w:rPr>
        <w:t> </w:t>
      </w:r>
      <w:r>
        <w:rPr>
          <w:sz w:val="22"/>
        </w:rPr>
        <w:t>964–972.</w:t>
      </w:r>
    </w:p>
    <w:p>
      <w:pPr>
        <w:pStyle w:val="ListParagraph"/>
        <w:numPr>
          <w:ilvl w:val="0"/>
          <w:numId w:val="18"/>
        </w:numPr>
        <w:tabs>
          <w:tab w:pos="583" w:val="left" w:leader="none"/>
        </w:tabs>
        <w:spacing w:line="324" w:lineRule="auto" w:before="0" w:after="0"/>
        <w:ind w:left="582" w:right="135" w:hanging="460"/>
        <w:jc w:val="both"/>
        <w:rPr>
          <w:sz w:val="22"/>
        </w:rPr>
      </w:pPr>
      <w:r>
        <w:rPr>
          <w:sz w:val="22"/>
        </w:rPr>
        <w:t>Baji, A.; Mai, Y.W.; Wong, S.C.; Abtahi, M.; Du, X. Mechanical behavior of self-assembled carbon nanotube reinforced nylon 6,6 fibers. </w:t>
      </w:r>
      <w:r>
        <w:rPr>
          <w:i/>
          <w:sz w:val="22"/>
        </w:rPr>
        <w:t>Compos. Sci. Technol. </w:t>
      </w:r>
      <w:r>
        <w:rPr>
          <w:b/>
          <w:sz w:val="22"/>
        </w:rPr>
        <w:t>2010</w:t>
      </w:r>
      <w:r>
        <w:rPr>
          <w:sz w:val="22"/>
        </w:rPr>
        <w:t>, </w:t>
      </w:r>
      <w:r>
        <w:rPr>
          <w:i/>
          <w:sz w:val="22"/>
        </w:rPr>
        <w:t>70</w:t>
      </w:r>
      <w:r>
        <w:rPr>
          <w:sz w:val="22"/>
        </w:rPr>
        <w:t>,</w:t>
      </w:r>
      <w:r>
        <w:rPr>
          <w:spacing w:val="-16"/>
          <w:sz w:val="22"/>
        </w:rPr>
        <w:t> </w:t>
      </w:r>
      <w:r>
        <w:rPr>
          <w:sz w:val="22"/>
        </w:rPr>
        <w:t>1401–1409.</w:t>
      </w:r>
    </w:p>
    <w:p>
      <w:pPr>
        <w:pStyle w:val="ListParagraph"/>
        <w:numPr>
          <w:ilvl w:val="0"/>
          <w:numId w:val="18"/>
        </w:numPr>
        <w:tabs>
          <w:tab w:pos="583" w:val="left" w:leader="none"/>
        </w:tabs>
        <w:spacing w:line="321" w:lineRule="auto" w:before="2" w:after="0"/>
        <w:ind w:left="582" w:right="135" w:hanging="460"/>
        <w:jc w:val="both"/>
        <w:rPr>
          <w:sz w:val="22"/>
        </w:rPr>
      </w:pPr>
      <w:r>
        <w:rPr>
          <w:sz w:val="22"/>
        </w:rPr>
        <w:t>Zhang, F.; Peng, X.; Yan, W.; Peng, Z.; Shen, Y. Nonisothermal crystallization kinetics of </w:t>
      </w:r>
      <w:r>
        <w:rPr>
          <w:i/>
          <w:sz w:val="22"/>
        </w:rPr>
        <w:t>in </w:t>
      </w:r>
      <w:r>
        <w:rPr>
          <w:i/>
          <w:sz w:val="22"/>
        </w:rPr>
        <w:t>situ </w:t>
      </w:r>
      <w:r>
        <w:rPr>
          <w:sz w:val="22"/>
        </w:rPr>
        <w:t>nylon 6/graphene composites by differential scanning calorimetry. </w:t>
      </w:r>
      <w:r>
        <w:rPr>
          <w:i/>
          <w:sz w:val="22"/>
        </w:rPr>
        <w:t>J. Polym. Sci. Part B </w:t>
      </w:r>
      <w:r>
        <w:rPr>
          <w:i/>
          <w:sz w:val="22"/>
        </w:rPr>
        <w:t>Polym. Phys. </w:t>
      </w:r>
      <w:r>
        <w:rPr>
          <w:b/>
          <w:sz w:val="22"/>
        </w:rPr>
        <w:t>2011</w:t>
      </w:r>
      <w:r>
        <w:rPr>
          <w:sz w:val="22"/>
        </w:rPr>
        <w:t>, </w:t>
      </w:r>
      <w:r>
        <w:rPr>
          <w:i/>
          <w:sz w:val="22"/>
        </w:rPr>
        <w:t>49</w:t>
      </w:r>
      <w:r>
        <w:rPr>
          <w:sz w:val="22"/>
        </w:rPr>
        <w:t>,</w:t>
      </w:r>
      <w:r>
        <w:rPr>
          <w:spacing w:val="-3"/>
          <w:sz w:val="22"/>
        </w:rPr>
        <w:t> </w:t>
      </w:r>
      <w:r>
        <w:rPr>
          <w:sz w:val="22"/>
        </w:rPr>
        <w:t>1381–1388.</w:t>
      </w:r>
    </w:p>
    <w:p>
      <w:pPr>
        <w:pStyle w:val="ListParagraph"/>
        <w:numPr>
          <w:ilvl w:val="0"/>
          <w:numId w:val="18"/>
        </w:numPr>
        <w:tabs>
          <w:tab w:pos="583" w:val="left" w:leader="none"/>
        </w:tabs>
        <w:spacing w:line="321" w:lineRule="auto" w:before="5" w:after="0"/>
        <w:ind w:left="582" w:right="144" w:hanging="460"/>
        <w:jc w:val="both"/>
        <w:rPr>
          <w:sz w:val="22"/>
        </w:rPr>
      </w:pPr>
      <w:r>
        <w:rPr>
          <w:sz w:val="22"/>
        </w:rPr>
        <w:t>Yun, Y.S.; Bae, Y.H.; Kim, D.H.; Lee, J.Y.; Chin, I.J.; Jin, HJ. Reinforcing effects of adding alkylated graphene oxide to polypropylene. </w:t>
      </w:r>
      <w:r>
        <w:rPr>
          <w:i/>
          <w:sz w:val="22"/>
        </w:rPr>
        <w:t>Carbon </w:t>
      </w:r>
      <w:r>
        <w:rPr>
          <w:b/>
          <w:sz w:val="22"/>
        </w:rPr>
        <w:t>2011</w:t>
      </w:r>
      <w:r>
        <w:rPr>
          <w:sz w:val="22"/>
        </w:rPr>
        <w:t>, </w:t>
      </w:r>
      <w:r>
        <w:rPr>
          <w:i/>
          <w:sz w:val="22"/>
        </w:rPr>
        <w:t>49</w:t>
      </w:r>
      <w:r>
        <w:rPr>
          <w:sz w:val="22"/>
        </w:rPr>
        <w:t>,</w:t>
      </w:r>
      <w:r>
        <w:rPr>
          <w:spacing w:val="-11"/>
          <w:sz w:val="22"/>
        </w:rPr>
        <w:t> </w:t>
      </w:r>
      <w:r>
        <w:rPr>
          <w:sz w:val="22"/>
        </w:rPr>
        <w:t>3553–3559.</w:t>
      </w:r>
    </w:p>
    <w:p>
      <w:pPr>
        <w:pStyle w:val="ListParagraph"/>
        <w:numPr>
          <w:ilvl w:val="0"/>
          <w:numId w:val="18"/>
        </w:numPr>
        <w:tabs>
          <w:tab w:pos="583" w:val="left" w:leader="none"/>
        </w:tabs>
        <w:spacing w:line="321" w:lineRule="auto" w:before="5" w:after="0"/>
        <w:ind w:left="582" w:right="138" w:hanging="460"/>
        <w:jc w:val="both"/>
        <w:rPr>
          <w:sz w:val="22"/>
        </w:rPr>
      </w:pPr>
      <w:r>
        <w:rPr>
          <w:sz w:val="22"/>
        </w:rPr>
        <w:t>Xu, J.Z.; Chen, T.; Yang, C.L.; Li, Z.M.; Mao, Y.M.; Zeng, B.Q.; Hsiao, B.S. Isothermal crystallization of poly(l-lactide) induced by graphene nanosheets and carbon nanotubes: A comparative study. </w:t>
      </w:r>
      <w:r>
        <w:rPr>
          <w:i/>
          <w:sz w:val="22"/>
        </w:rPr>
        <w:t>Macromolecules </w:t>
      </w:r>
      <w:r>
        <w:rPr>
          <w:b/>
          <w:sz w:val="22"/>
        </w:rPr>
        <w:t>2010</w:t>
      </w:r>
      <w:r>
        <w:rPr>
          <w:sz w:val="22"/>
        </w:rPr>
        <w:t>, </w:t>
      </w:r>
      <w:r>
        <w:rPr>
          <w:i/>
          <w:sz w:val="22"/>
        </w:rPr>
        <w:t>43</w:t>
      </w:r>
      <w:r>
        <w:rPr>
          <w:sz w:val="22"/>
        </w:rPr>
        <w:t>,</w:t>
      </w:r>
      <w:r>
        <w:rPr>
          <w:spacing w:val="-12"/>
          <w:sz w:val="22"/>
        </w:rPr>
        <w:t> </w:t>
      </w:r>
      <w:r>
        <w:rPr>
          <w:sz w:val="22"/>
        </w:rPr>
        <w:t>5000–5008.</w:t>
      </w:r>
    </w:p>
    <w:p>
      <w:pPr>
        <w:pStyle w:val="ListParagraph"/>
        <w:numPr>
          <w:ilvl w:val="0"/>
          <w:numId w:val="18"/>
        </w:numPr>
        <w:tabs>
          <w:tab w:pos="583" w:val="left" w:leader="none"/>
        </w:tabs>
        <w:spacing w:line="324" w:lineRule="auto" w:before="5" w:after="0"/>
        <w:ind w:left="582" w:right="136" w:hanging="460"/>
        <w:jc w:val="both"/>
        <w:rPr>
          <w:sz w:val="22"/>
        </w:rPr>
      </w:pPr>
      <w:r>
        <w:rPr>
          <w:sz w:val="22"/>
        </w:rPr>
        <w:t>Navarro-Pardo, F.; Martínez-Barrera, G.; Martínez-Hernández, A.L.; Castaño, V.M.; Rivera-Armenta,  J.L.;  Medellín-Rodríguez,  F.;  Velasco-Santos,  C.  Nylon  6,6   electrospun</w:t>
      </w:r>
    </w:p>
    <w:p>
      <w:pPr>
        <w:spacing w:after="0" w:line="324" w:lineRule="auto"/>
        <w:jc w:val="both"/>
        <w:rPr>
          <w:sz w:val="22"/>
        </w:rPr>
        <w:sectPr>
          <w:pgSz w:w="12240" w:h="15840"/>
          <w:pgMar w:header="730" w:footer="1060" w:top="1160" w:bottom="1260" w:left="1580" w:right="1560"/>
        </w:sectPr>
      </w:pPr>
    </w:p>
    <w:p>
      <w:pPr>
        <w:pStyle w:val="BodyText"/>
        <w:spacing w:before="6"/>
        <w:rPr>
          <w:sz w:val="21"/>
        </w:rPr>
      </w:pPr>
    </w:p>
    <w:p>
      <w:pPr>
        <w:spacing w:before="73"/>
        <w:ind w:left="582" w:right="41" w:firstLine="0"/>
        <w:jc w:val="left"/>
        <w:rPr>
          <w:i/>
          <w:sz w:val="22"/>
        </w:rPr>
      </w:pPr>
      <w:r>
        <w:rPr>
          <w:sz w:val="22"/>
        </w:rPr>
        <w:t>fibres reinforced by amino functionalised 1D and 2D carbon. </w:t>
      </w:r>
      <w:r>
        <w:rPr>
          <w:i/>
          <w:sz w:val="22"/>
        </w:rPr>
        <w:t>IOP Conf. Ser. Mater. Sci.   Eng.</w:t>
      </w:r>
    </w:p>
    <w:p>
      <w:pPr>
        <w:spacing w:before="88"/>
        <w:ind w:left="582" w:right="41" w:firstLine="0"/>
        <w:jc w:val="left"/>
        <w:rPr>
          <w:sz w:val="22"/>
        </w:rPr>
      </w:pPr>
      <w:r>
        <w:rPr>
          <w:b/>
          <w:sz w:val="22"/>
        </w:rPr>
        <w:t>2012</w:t>
      </w:r>
      <w:r>
        <w:rPr>
          <w:sz w:val="22"/>
        </w:rPr>
        <w:t>, </w:t>
      </w:r>
      <w:r>
        <w:rPr>
          <w:i/>
          <w:sz w:val="22"/>
        </w:rPr>
        <w:t>40</w:t>
      </w:r>
      <w:r>
        <w:rPr>
          <w:sz w:val="22"/>
        </w:rPr>
        <w:t>, 012023:1–012023:6.</w:t>
      </w:r>
    </w:p>
    <w:p>
      <w:pPr>
        <w:pStyle w:val="ListParagraph"/>
        <w:numPr>
          <w:ilvl w:val="0"/>
          <w:numId w:val="18"/>
        </w:numPr>
        <w:tabs>
          <w:tab w:pos="583" w:val="left" w:leader="none"/>
        </w:tabs>
        <w:spacing w:line="321" w:lineRule="auto" w:before="88" w:after="0"/>
        <w:ind w:left="582" w:right="139" w:hanging="460"/>
        <w:jc w:val="both"/>
        <w:rPr>
          <w:sz w:val="22"/>
        </w:rPr>
      </w:pPr>
      <w:r>
        <w:rPr>
          <w:sz w:val="22"/>
        </w:rPr>
        <w:t>Cheng, S.; Chen, X.; Hsuan, Y.G.; Li, C.Y. Reduced graphene oxide induced polyethylene crystallization in solution and composites. </w:t>
      </w:r>
      <w:r>
        <w:rPr>
          <w:i/>
          <w:sz w:val="22"/>
        </w:rPr>
        <w:t>Macromolecules </w:t>
      </w:r>
      <w:r>
        <w:rPr>
          <w:b/>
          <w:sz w:val="22"/>
        </w:rPr>
        <w:t>2012</w:t>
      </w:r>
      <w:r>
        <w:rPr>
          <w:sz w:val="22"/>
        </w:rPr>
        <w:t>, </w:t>
      </w:r>
      <w:r>
        <w:rPr>
          <w:i/>
          <w:sz w:val="22"/>
        </w:rPr>
        <w:t>45</w:t>
      </w:r>
      <w:r>
        <w:rPr>
          <w:sz w:val="22"/>
        </w:rPr>
        <w:t>,</w:t>
      </w:r>
      <w:r>
        <w:rPr>
          <w:spacing w:val="-12"/>
          <w:sz w:val="22"/>
        </w:rPr>
        <w:t> </w:t>
      </w:r>
      <w:r>
        <w:rPr>
          <w:sz w:val="22"/>
        </w:rPr>
        <w:t>993–1000.</w:t>
      </w:r>
    </w:p>
    <w:p>
      <w:pPr>
        <w:pStyle w:val="ListParagraph"/>
        <w:numPr>
          <w:ilvl w:val="0"/>
          <w:numId w:val="18"/>
        </w:numPr>
        <w:tabs>
          <w:tab w:pos="583" w:val="left" w:leader="none"/>
        </w:tabs>
        <w:spacing w:line="321" w:lineRule="auto" w:before="5" w:after="0"/>
        <w:ind w:left="582" w:right="135" w:hanging="460"/>
        <w:jc w:val="both"/>
        <w:rPr>
          <w:sz w:val="22"/>
        </w:rPr>
      </w:pPr>
      <w:r>
        <w:rPr>
          <w:sz w:val="22"/>
        </w:rPr>
        <w:t>Song, L.; Hu, Y.; He, Q.; You, F. Study on crystallization, thermal and flame retardant properties of nylon 66/organoclay composites by </w:t>
      </w:r>
      <w:r>
        <w:rPr>
          <w:i/>
          <w:sz w:val="22"/>
        </w:rPr>
        <w:t>in situ </w:t>
      </w:r>
      <w:r>
        <w:rPr>
          <w:sz w:val="22"/>
        </w:rPr>
        <w:t>polymerization. </w:t>
      </w:r>
      <w:r>
        <w:rPr>
          <w:i/>
          <w:sz w:val="22"/>
        </w:rPr>
        <w:t>J. Fire Sci. </w:t>
      </w:r>
      <w:r>
        <w:rPr>
          <w:b/>
          <w:sz w:val="22"/>
        </w:rPr>
        <w:t>2008</w:t>
      </w:r>
      <w:r>
        <w:rPr>
          <w:sz w:val="22"/>
        </w:rPr>
        <w:t>, </w:t>
      </w:r>
      <w:r>
        <w:rPr>
          <w:i/>
          <w:sz w:val="22"/>
        </w:rPr>
        <w:t>26</w:t>
      </w:r>
      <w:r>
        <w:rPr>
          <w:sz w:val="22"/>
        </w:rPr>
        <w:t>, 475–492.</w:t>
      </w:r>
    </w:p>
    <w:p>
      <w:pPr>
        <w:pStyle w:val="ListParagraph"/>
        <w:numPr>
          <w:ilvl w:val="0"/>
          <w:numId w:val="18"/>
        </w:numPr>
        <w:tabs>
          <w:tab w:pos="583" w:val="left" w:leader="none"/>
        </w:tabs>
        <w:spacing w:line="321" w:lineRule="auto" w:before="5" w:after="0"/>
        <w:ind w:left="582" w:right="137" w:hanging="460"/>
        <w:jc w:val="both"/>
        <w:rPr>
          <w:sz w:val="22"/>
        </w:rPr>
      </w:pPr>
      <w:r>
        <w:rPr>
          <w:sz w:val="22"/>
        </w:rPr>
        <w:t>Lin, D.J.; Chang, C.L.; Lee, C.K.; Cheng, L.P. Fine structure and crystallinity of porous nylon 66 membranes prepared by phase inversion in the water/formic acid/Nylon 66 system. </w:t>
      </w:r>
      <w:r>
        <w:rPr>
          <w:i/>
          <w:sz w:val="22"/>
        </w:rPr>
        <w:t>Eur. </w:t>
      </w:r>
      <w:r>
        <w:rPr>
          <w:i/>
          <w:sz w:val="22"/>
        </w:rPr>
        <w:t>Polym. J. </w:t>
      </w:r>
      <w:r>
        <w:rPr>
          <w:b/>
          <w:sz w:val="22"/>
        </w:rPr>
        <w:t>2006</w:t>
      </w:r>
      <w:r>
        <w:rPr>
          <w:sz w:val="22"/>
        </w:rPr>
        <w:t>, </w:t>
      </w:r>
      <w:r>
        <w:rPr>
          <w:i/>
          <w:sz w:val="22"/>
        </w:rPr>
        <w:t>42</w:t>
      </w:r>
      <w:r>
        <w:rPr>
          <w:sz w:val="22"/>
        </w:rPr>
        <w:t>,</w:t>
      </w:r>
      <w:r>
        <w:rPr>
          <w:spacing w:val="-5"/>
          <w:sz w:val="22"/>
        </w:rPr>
        <w:t> </w:t>
      </w:r>
      <w:r>
        <w:rPr>
          <w:sz w:val="22"/>
        </w:rPr>
        <w:t>356–367.</w:t>
      </w:r>
    </w:p>
    <w:p>
      <w:pPr>
        <w:pStyle w:val="ListParagraph"/>
        <w:numPr>
          <w:ilvl w:val="0"/>
          <w:numId w:val="18"/>
        </w:numPr>
        <w:tabs>
          <w:tab w:pos="583" w:val="left" w:leader="none"/>
        </w:tabs>
        <w:spacing w:line="324" w:lineRule="auto" w:before="5" w:after="0"/>
        <w:ind w:left="582" w:right="137" w:hanging="460"/>
        <w:jc w:val="both"/>
        <w:rPr>
          <w:sz w:val="22"/>
        </w:rPr>
      </w:pPr>
      <w:r>
        <w:rPr>
          <w:sz w:val="22"/>
        </w:rPr>
        <w:t>Suzuki, A.; Chen, Y.; Kunugi, T. Application of a continuous zone-drawing method to nylon 66 fibres. </w:t>
      </w:r>
      <w:r>
        <w:rPr>
          <w:i/>
          <w:sz w:val="22"/>
        </w:rPr>
        <w:t>Polymer </w:t>
      </w:r>
      <w:r>
        <w:rPr>
          <w:b/>
          <w:sz w:val="22"/>
        </w:rPr>
        <w:t>1998</w:t>
      </w:r>
      <w:r>
        <w:rPr>
          <w:sz w:val="22"/>
        </w:rPr>
        <w:t>, </w:t>
      </w:r>
      <w:r>
        <w:rPr>
          <w:i/>
          <w:sz w:val="22"/>
        </w:rPr>
        <w:t>39</w:t>
      </w:r>
      <w:r>
        <w:rPr>
          <w:sz w:val="22"/>
        </w:rPr>
        <w:t>,</w:t>
      </w:r>
      <w:r>
        <w:rPr>
          <w:spacing w:val="-5"/>
          <w:sz w:val="22"/>
        </w:rPr>
        <w:t> </w:t>
      </w:r>
      <w:r>
        <w:rPr>
          <w:sz w:val="22"/>
        </w:rPr>
        <w:t>5335–5341.</w:t>
      </w:r>
    </w:p>
    <w:p>
      <w:pPr>
        <w:pStyle w:val="ListParagraph"/>
        <w:numPr>
          <w:ilvl w:val="0"/>
          <w:numId w:val="18"/>
        </w:numPr>
        <w:tabs>
          <w:tab w:pos="583" w:val="left" w:leader="none"/>
        </w:tabs>
        <w:spacing w:line="324" w:lineRule="auto" w:before="0" w:after="0"/>
        <w:ind w:left="582" w:right="137" w:hanging="460"/>
        <w:jc w:val="both"/>
        <w:rPr>
          <w:sz w:val="22"/>
        </w:rPr>
      </w:pPr>
      <w:r>
        <w:rPr>
          <w:sz w:val="22"/>
        </w:rPr>
        <w:t>Nirmala, R.; Navamathavan, R.; Kang, H.S.; El-Newehy, M.H.; Kim, H.Y. Preparation of polyamide-6/chitosan composite nanofibres by a single solvent system via electrospinning for biomedical applications. </w:t>
      </w:r>
      <w:r>
        <w:rPr>
          <w:i/>
          <w:sz w:val="22"/>
        </w:rPr>
        <w:t>Colloids Surf. B Biointerfaces </w:t>
      </w:r>
      <w:r>
        <w:rPr>
          <w:b/>
          <w:sz w:val="22"/>
        </w:rPr>
        <w:t>2011</w:t>
      </w:r>
      <w:r>
        <w:rPr>
          <w:sz w:val="22"/>
        </w:rPr>
        <w:t>, </w:t>
      </w:r>
      <w:r>
        <w:rPr>
          <w:i/>
          <w:sz w:val="22"/>
        </w:rPr>
        <w:t>83</w:t>
      </w:r>
      <w:r>
        <w:rPr>
          <w:sz w:val="22"/>
        </w:rPr>
        <w:t>,</w:t>
      </w:r>
      <w:r>
        <w:rPr>
          <w:spacing w:val="-17"/>
          <w:sz w:val="22"/>
        </w:rPr>
        <w:t> </w:t>
      </w:r>
      <w:r>
        <w:rPr>
          <w:sz w:val="22"/>
        </w:rPr>
        <w:t>173–178.</w:t>
      </w:r>
    </w:p>
    <w:p>
      <w:pPr>
        <w:pStyle w:val="ListParagraph"/>
        <w:numPr>
          <w:ilvl w:val="0"/>
          <w:numId w:val="18"/>
        </w:numPr>
        <w:tabs>
          <w:tab w:pos="583" w:val="left" w:leader="none"/>
        </w:tabs>
        <w:spacing w:line="324" w:lineRule="auto" w:before="0" w:after="0"/>
        <w:ind w:left="582" w:right="135" w:hanging="460"/>
        <w:jc w:val="both"/>
        <w:rPr>
          <w:sz w:val="22"/>
        </w:rPr>
      </w:pPr>
      <w:r>
        <w:rPr>
          <w:sz w:val="22"/>
        </w:rPr>
        <w:t>Huang, Z.M.; Zhang, Y.Z.; Kotaki, M.; Ramakrishna, S. A review on polymer nanofibres by electrospinning and their applications in composites. </w:t>
      </w:r>
      <w:r>
        <w:rPr>
          <w:i/>
          <w:sz w:val="22"/>
        </w:rPr>
        <w:t>Compos. Sci. Technol. </w:t>
      </w:r>
      <w:r>
        <w:rPr>
          <w:b/>
          <w:sz w:val="22"/>
        </w:rPr>
        <w:t>2003</w:t>
      </w:r>
      <w:r>
        <w:rPr>
          <w:sz w:val="22"/>
        </w:rPr>
        <w:t>, </w:t>
      </w:r>
      <w:r>
        <w:rPr>
          <w:i/>
          <w:sz w:val="22"/>
        </w:rPr>
        <w:t>63</w:t>
      </w:r>
      <w:r>
        <w:rPr>
          <w:sz w:val="22"/>
        </w:rPr>
        <w:t>, 2223– 2253.</w:t>
      </w:r>
    </w:p>
    <w:p>
      <w:pPr>
        <w:pStyle w:val="ListParagraph"/>
        <w:numPr>
          <w:ilvl w:val="0"/>
          <w:numId w:val="18"/>
        </w:numPr>
        <w:tabs>
          <w:tab w:pos="583" w:val="left" w:leader="none"/>
        </w:tabs>
        <w:spacing w:line="324" w:lineRule="auto" w:before="0" w:after="0"/>
        <w:ind w:left="582" w:right="140" w:hanging="460"/>
        <w:jc w:val="both"/>
        <w:rPr>
          <w:sz w:val="22"/>
        </w:rPr>
      </w:pPr>
      <w:r>
        <w:rPr>
          <w:sz w:val="22"/>
        </w:rPr>
        <w:t>Stankovich, S.; Dikin, D.A.; Piner, R.D.; Kohlhaas, K.A.; Kleinhammes, A.; Jia, Y.; Wu, </w:t>
      </w:r>
      <w:r>
        <w:rPr>
          <w:spacing w:val="-3"/>
          <w:sz w:val="22"/>
        </w:rPr>
        <w:t>Y.; </w:t>
      </w:r>
      <w:r>
        <w:rPr>
          <w:sz w:val="22"/>
        </w:rPr>
        <w:t>Nguyen, S.T.; Ruoff, R.S. Synthesis of graphene-based nanosheets via chemical reduction of exfoliated graphite oxide. </w:t>
      </w:r>
      <w:r>
        <w:rPr>
          <w:i/>
          <w:sz w:val="22"/>
        </w:rPr>
        <w:t>Carbon </w:t>
      </w:r>
      <w:r>
        <w:rPr>
          <w:b/>
          <w:sz w:val="22"/>
        </w:rPr>
        <w:t>2007</w:t>
      </w:r>
      <w:r>
        <w:rPr>
          <w:sz w:val="22"/>
        </w:rPr>
        <w:t>, 45,</w:t>
      </w:r>
      <w:r>
        <w:rPr>
          <w:spacing w:val="-14"/>
          <w:sz w:val="22"/>
        </w:rPr>
        <w:t> </w:t>
      </w:r>
      <w:r>
        <w:rPr>
          <w:sz w:val="22"/>
        </w:rPr>
        <w:t>1558–1565.</w:t>
      </w:r>
    </w:p>
    <w:p>
      <w:pPr>
        <w:pStyle w:val="ListParagraph"/>
        <w:numPr>
          <w:ilvl w:val="0"/>
          <w:numId w:val="18"/>
        </w:numPr>
        <w:tabs>
          <w:tab w:pos="583" w:val="left" w:leader="none"/>
        </w:tabs>
        <w:spacing w:line="324" w:lineRule="auto" w:before="0" w:after="0"/>
        <w:ind w:left="582" w:right="137" w:hanging="460"/>
        <w:jc w:val="both"/>
        <w:rPr>
          <w:sz w:val="22"/>
        </w:rPr>
      </w:pPr>
      <w:r>
        <w:rPr>
          <w:sz w:val="22"/>
        </w:rPr>
        <w:t>Ferrari, A.C. Raman spectroscopy of graphene and graphite: Disorder, electron-phonon coupling, doping and nonadiabatic effects. </w:t>
      </w:r>
      <w:r>
        <w:rPr>
          <w:i/>
          <w:sz w:val="22"/>
        </w:rPr>
        <w:t>Solid State Commun. </w:t>
      </w:r>
      <w:r>
        <w:rPr>
          <w:b/>
          <w:sz w:val="22"/>
        </w:rPr>
        <w:t>2007</w:t>
      </w:r>
      <w:r>
        <w:rPr>
          <w:sz w:val="22"/>
        </w:rPr>
        <w:t>, </w:t>
      </w:r>
      <w:r>
        <w:rPr>
          <w:i/>
          <w:sz w:val="22"/>
        </w:rPr>
        <w:t>143</w:t>
      </w:r>
      <w:r>
        <w:rPr>
          <w:sz w:val="22"/>
        </w:rPr>
        <w:t>,</w:t>
      </w:r>
      <w:r>
        <w:rPr>
          <w:spacing w:val="-17"/>
          <w:sz w:val="22"/>
        </w:rPr>
        <w:t> </w:t>
      </w:r>
      <w:r>
        <w:rPr>
          <w:sz w:val="22"/>
        </w:rPr>
        <w:t>47–57.</w:t>
      </w:r>
    </w:p>
    <w:p>
      <w:pPr>
        <w:pStyle w:val="ListParagraph"/>
        <w:numPr>
          <w:ilvl w:val="0"/>
          <w:numId w:val="18"/>
        </w:numPr>
        <w:tabs>
          <w:tab w:pos="583" w:val="left" w:leader="none"/>
        </w:tabs>
        <w:spacing w:line="321" w:lineRule="auto" w:before="2" w:after="0"/>
        <w:ind w:left="582" w:right="135" w:hanging="460"/>
        <w:jc w:val="both"/>
        <w:rPr>
          <w:sz w:val="22"/>
        </w:rPr>
      </w:pPr>
      <w:r>
        <w:rPr>
          <w:sz w:val="22"/>
        </w:rPr>
        <w:t>Guerrini, L.M.; Branciforti, M.C.; Canova, T.; Bretas, R.E.S. Electrospinning and characterization of polyamide 66 nanofibres with different molecular weights. </w:t>
      </w:r>
      <w:r>
        <w:rPr>
          <w:i/>
          <w:sz w:val="22"/>
        </w:rPr>
        <w:t>Mater. Res. </w:t>
      </w:r>
      <w:r>
        <w:rPr>
          <w:b/>
          <w:sz w:val="22"/>
        </w:rPr>
        <w:t>2009</w:t>
      </w:r>
      <w:r>
        <w:rPr>
          <w:sz w:val="22"/>
        </w:rPr>
        <w:t>, </w:t>
      </w:r>
      <w:r>
        <w:rPr>
          <w:i/>
          <w:sz w:val="22"/>
        </w:rPr>
        <w:t>12</w:t>
      </w:r>
      <w:r>
        <w:rPr>
          <w:sz w:val="22"/>
        </w:rPr>
        <w:t>,</w:t>
      </w:r>
      <w:r>
        <w:rPr>
          <w:spacing w:val="-1"/>
          <w:sz w:val="22"/>
        </w:rPr>
        <w:t> </w:t>
      </w:r>
      <w:r>
        <w:rPr>
          <w:sz w:val="22"/>
        </w:rPr>
        <w:t>181–190.</w:t>
      </w:r>
    </w:p>
    <w:p>
      <w:pPr>
        <w:pStyle w:val="ListParagraph"/>
        <w:numPr>
          <w:ilvl w:val="0"/>
          <w:numId w:val="18"/>
        </w:numPr>
        <w:tabs>
          <w:tab w:pos="583" w:val="left" w:leader="none"/>
        </w:tabs>
        <w:spacing w:line="321" w:lineRule="auto" w:before="5" w:after="0"/>
        <w:ind w:left="582" w:right="137" w:hanging="460"/>
        <w:jc w:val="both"/>
        <w:rPr>
          <w:sz w:val="22"/>
        </w:rPr>
      </w:pPr>
      <w:r>
        <w:rPr>
          <w:sz w:val="22"/>
        </w:rPr>
        <w:t>Sengupta, R.; Tikku, V.K.; Somani, A.K.; Chaki, T.K.; Bhowmick, A.K. Electron beam irradiated polyamide-6,6 films-I: Characterization by wide angle X-ray scattering and infrared spectroscopy. </w:t>
      </w:r>
      <w:r>
        <w:rPr>
          <w:i/>
          <w:sz w:val="22"/>
        </w:rPr>
        <w:t>Radiat. Phys. Chem. </w:t>
      </w:r>
      <w:r>
        <w:rPr>
          <w:b/>
          <w:sz w:val="22"/>
        </w:rPr>
        <w:t>2005</w:t>
      </w:r>
      <w:r>
        <w:rPr>
          <w:sz w:val="22"/>
        </w:rPr>
        <w:t>, </w:t>
      </w:r>
      <w:r>
        <w:rPr>
          <w:i/>
          <w:sz w:val="22"/>
        </w:rPr>
        <w:t>72</w:t>
      </w:r>
      <w:r>
        <w:rPr>
          <w:sz w:val="22"/>
        </w:rPr>
        <w:t>,</w:t>
      </w:r>
      <w:r>
        <w:rPr>
          <w:spacing w:val="-7"/>
          <w:sz w:val="22"/>
        </w:rPr>
        <w:t> </w:t>
      </w:r>
      <w:r>
        <w:rPr>
          <w:sz w:val="22"/>
        </w:rPr>
        <w:t>625–633.</w:t>
      </w:r>
    </w:p>
    <w:p>
      <w:pPr>
        <w:pStyle w:val="ListParagraph"/>
        <w:numPr>
          <w:ilvl w:val="0"/>
          <w:numId w:val="18"/>
        </w:numPr>
        <w:tabs>
          <w:tab w:pos="583" w:val="left" w:leader="none"/>
        </w:tabs>
        <w:spacing w:line="321" w:lineRule="auto" w:before="5" w:after="0"/>
        <w:ind w:left="582" w:right="135" w:hanging="460"/>
        <w:jc w:val="both"/>
        <w:rPr>
          <w:sz w:val="22"/>
        </w:rPr>
      </w:pPr>
      <w:r>
        <w:rPr>
          <w:sz w:val="22"/>
        </w:rPr>
        <w:t>Pant, H.R.; Bajgai, M.P.; Yi C.; Nirmala, R.; Nam, K.T.; Baek, W. Effect of successive electrospinning and the strength of hydrogen bond on the morphology of electrospun nylon-6 nanofibres. </w:t>
      </w:r>
      <w:r>
        <w:rPr>
          <w:i/>
          <w:sz w:val="22"/>
        </w:rPr>
        <w:t>Colloids Surf. A Physicochem. Eng. Asp. </w:t>
      </w:r>
      <w:r>
        <w:rPr>
          <w:b/>
          <w:sz w:val="22"/>
        </w:rPr>
        <w:t>2010</w:t>
      </w:r>
      <w:r>
        <w:rPr>
          <w:sz w:val="22"/>
        </w:rPr>
        <w:t>, </w:t>
      </w:r>
      <w:r>
        <w:rPr>
          <w:i/>
          <w:sz w:val="22"/>
        </w:rPr>
        <w:t>370</w:t>
      </w:r>
      <w:r>
        <w:rPr>
          <w:sz w:val="22"/>
        </w:rPr>
        <w:t>,</w:t>
      </w:r>
      <w:r>
        <w:rPr>
          <w:spacing w:val="-12"/>
          <w:sz w:val="22"/>
        </w:rPr>
        <w:t> </w:t>
      </w:r>
      <w:r>
        <w:rPr>
          <w:sz w:val="22"/>
        </w:rPr>
        <w:t>87–94.</w:t>
      </w:r>
    </w:p>
    <w:p>
      <w:pPr>
        <w:pStyle w:val="ListParagraph"/>
        <w:numPr>
          <w:ilvl w:val="0"/>
          <w:numId w:val="18"/>
        </w:numPr>
        <w:tabs>
          <w:tab w:pos="583" w:val="left" w:leader="none"/>
        </w:tabs>
        <w:spacing w:line="321" w:lineRule="auto" w:before="5" w:after="0"/>
        <w:ind w:left="582" w:right="136" w:hanging="460"/>
        <w:jc w:val="both"/>
        <w:rPr>
          <w:sz w:val="22"/>
        </w:rPr>
      </w:pPr>
      <w:r>
        <w:rPr>
          <w:spacing w:val="-3"/>
          <w:sz w:val="22"/>
        </w:rPr>
        <w:t>Linggawati, A.; Mohammad, A.W.; Ghazali, Z. </w:t>
      </w:r>
      <w:r>
        <w:rPr>
          <w:sz w:val="22"/>
        </w:rPr>
        <w:t>Effect of </w:t>
      </w:r>
      <w:r>
        <w:rPr>
          <w:spacing w:val="-3"/>
          <w:sz w:val="22"/>
        </w:rPr>
        <w:t>electron </w:t>
      </w:r>
      <w:r>
        <w:rPr>
          <w:sz w:val="22"/>
        </w:rPr>
        <w:t>beam </w:t>
      </w:r>
      <w:r>
        <w:rPr>
          <w:spacing w:val="-3"/>
          <w:sz w:val="22"/>
        </w:rPr>
        <w:t>irradiation </w:t>
      </w:r>
      <w:r>
        <w:rPr>
          <w:sz w:val="22"/>
        </w:rPr>
        <w:t>on </w:t>
      </w:r>
      <w:r>
        <w:rPr>
          <w:spacing w:val="-3"/>
          <w:sz w:val="22"/>
        </w:rPr>
        <w:t>morphology </w:t>
      </w:r>
      <w:r>
        <w:rPr>
          <w:sz w:val="22"/>
        </w:rPr>
        <w:t>and sieving </w:t>
      </w:r>
      <w:r>
        <w:rPr>
          <w:spacing w:val="-3"/>
          <w:sz w:val="22"/>
        </w:rPr>
        <w:t>characteristics </w:t>
      </w:r>
      <w:r>
        <w:rPr>
          <w:sz w:val="22"/>
        </w:rPr>
        <w:t>of </w:t>
      </w:r>
      <w:r>
        <w:rPr>
          <w:spacing w:val="-3"/>
          <w:sz w:val="22"/>
        </w:rPr>
        <w:t>nylon-66 membranes. </w:t>
      </w:r>
      <w:r>
        <w:rPr>
          <w:i/>
          <w:sz w:val="22"/>
        </w:rPr>
        <w:t>Eur. </w:t>
      </w:r>
      <w:r>
        <w:rPr>
          <w:i/>
          <w:spacing w:val="-3"/>
          <w:sz w:val="22"/>
        </w:rPr>
        <w:t>Polym. </w:t>
      </w:r>
      <w:r>
        <w:rPr>
          <w:i/>
          <w:sz w:val="22"/>
        </w:rPr>
        <w:t>J. </w:t>
      </w:r>
      <w:r>
        <w:rPr>
          <w:b/>
          <w:sz w:val="22"/>
        </w:rPr>
        <w:t>2009</w:t>
      </w:r>
      <w:r>
        <w:rPr>
          <w:sz w:val="22"/>
        </w:rPr>
        <w:t>, </w:t>
      </w:r>
      <w:r>
        <w:rPr>
          <w:i/>
          <w:sz w:val="22"/>
        </w:rPr>
        <w:t>45</w:t>
      </w:r>
      <w:r>
        <w:rPr>
          <w:sz w:val="22"/>
        </w:rPr>
        <w:t>, </w:t>
      </w:r>
      <w:r>
        <w:rPr>
          <w:spacing w:val="-3"/>
          <w:sz w:val="22"/>
        </w:rPr>
        <w:t>2797– 2804.</w:t>
      </w:r>
    </w:p>
    <w:p>
      <w:pPr>
        <w:pStyle w:val="ListParagraph"/>
        <w:numPr>
          <w:ilvl w:val="0"/>
          <w:numId w:val="18"/>
        </w:numPr>
        <w:tabs>
          <w:tab w:pos="583" w:val="left" w:leader="none"/>
        </w:tabs>
        <w:spacing w:line="321" w:lineRule="auto" w:before="5" w:after="0"/>
        <w:ind w:left="582" w:right="135" w:hanging="460"/>
        <w:jc w:val="both"/>
        <w:rPr>
          <w:sz w:val="22"/>
        </w:rPr>
      </w:pPr>
      <w:r>
        <w:rPr>
          <w:sz w:val="22"/>
        </w:rPr>
        <w:t>Cho, L.L. Identification of textile fiber by Raman microspectroscopy. </w:t>
      </w:r>
      <w:r>
        <w:rPr>
          <w:i/>
          <w:sz w:val="22"/>
        </w:rPr>
        <w:t>J. Forensic Sci. </w:t>
      </w:r>
      <w:r>
        <w:rPr>
          <w:b/>
          <w:sz w:val="22"/>
        </w:rPr>
        <w:t>2007</w:t>
      </w:r>
      <w:r>
        <w:rPr>
          <w:sz w:val="22"/>
        </w:rPr>
        <w:t>, </w:t>
      </w:r>
      <w:r>
        <w:rPr>
          <w:i/>
          <w:sz w:val="22"/>
        </w:rPr>
        <w:t>6</w:t>
      </w:r>
      <w:r>
        <w:rPr>
          <w:sz w:val="22"/>
        </w:rPr>
        <w:t>, 55–62.</w:t>
      </w:r>
    </w:p>
    <w:p>
      <w:pPr>
        <w:spacing w:after="0" w:line="321" w:lineRule="auto"/>
        <w:jc w:val="both"/>
        <w:rPr>
          <w:sz w:val="22"/>
        </w:rPr>
        <w:sectPr>
          <w:pgSz w:w="12240" w:h="15840"/>
          <w:pgMar w:header="730" w:footer="1060" w:top="1160" w:bottom="1260" w:left="1580" w:right="1560"/>
        </w:sectPr>
      </w:pPr>
    </w:p>
    <w:p>
      <w:pPr>
        <w:pStyle w:val="BodyText"/>
        <w:spacing w:before="6"/>
        <w:rPr>
          <w:sz w:val="21"/>
        </w:rPr>
      </w:pPr>
    </w:p>
    <w:p>
      <w:pPr>
        <w:pStyle w:val="ListParagraph"/>
        <w:numPr>
          <w:ilvl w:val="0"/>
          <w:numId w:val="18"/>
        </w:numPr>
        <w:tabs>
          <w:tab w:pos="583" w:val="left" w:leader="none"/>
        </w:tabs>
        <w:spacing w:line="324" w:lineRule="auto" w:before="73" w:after="0"/>
        <w:ind w:left="582" w:right="135" w:hanging="460"/>
        <w:jc w:val="both"/>
        <w:rPr>
          <w:sz w:val="22"/>
        </w:rPr>
      </w:pPr>
      <w:r>
        <w:rPr>
          <w:sz w:val="22"/>
        </w:rPr>
        <w:t>Lu, Y.; Zhang, Y.; Zhang, G.; Yang, M.; Yan, S.; Shen, D. Influence of thermal processing on the perfection of crystals in polyamide 66 and polyamide 66/clay composites. </w:t>
      </w:r>
      <w:r>
        <w:rPr>
          <w:i/>
          <w:sz w:val="22"/>
        </w:rPr>
        <w:t>Polymer </w:t>
      </w:r>
      <w:r>
        <w:rPr>
          <w:b/>
          <w:sz w:val="22"/>
        </w:rPr>
        <w:t>2004</w:t>
      </w:r>
      <w:r>
        <w:rPr>
          <w:sz w:val="22"/>
        </w:rPr>
        <w:t>, </w:t>
      </w:r>
      <w:r>
        <w:rPr>
          <w:i/>
          <w:sz w:val="22"/>
        </w:rPr>
        <w:t>45</w:t>
      </w:r>
      <w:r>
        <w:rPr>
          <w:sz w:val="22"/>
        </w:rPr>
        <w:t>,</w:t>
      </w:r>
      <w:r>
        <w:rPr>
          <w:spacing w:val="1"/>
          <w:sz w:val="22"/>
        </w:rPr>
        <w:t> </w:t>
      </w:r>
      <w:r>
        <w:rPr>
          <w:sz w:val="22"/>
        </w:rPr>
        <w:t>8999–8909.</w:t>
      </w:r>
    </w:p>
    <w:p>
      <w:pPr>
        <w:pStyle w:val="ListParagraph"/>
        <w:numPr>
          <w:ilvl w:val="0"/>
          <w:numId w:val="18"/>
        </w:numPr>
        <w:tabs>
          <w:tab w:pos="583" w:val="left" w:leader="none"/>
        </w:tabs>
        <w:spacing w:line="324" w:lineRule="auto" w:before="0" w:after="0"/>
        <w:ind w:left="582" w:right="133" w:hanging="460"/>
        <w:jc w:val="both"/>
        <w:rPr>
          <w:sz w:val="22"/>
        </w:rPr>
      </w:pPr>
      <w:r>
        <w:rPr>
          <w:sz w:val="22"/>
        </w:rPr>
        <w:t>Ishisue, T.; Okamoto, M.; Tashino, K. Real-time investigation of crystallization in nylon </w:t>
      </w:r>
      <w:r>
        <w:rPr>
          <w:spacing w:val="2"/>
          <w:sz w:val="22"/>
        </w:rPr>
        <w:t>6- </w:t>
      </w:r>
      <w:r>
        <w:rPr>
          <w:sz w:val="22"/>
        </w:rPr>
        <w:t>clay nano-composite probed by infrared spectroscopy. </w:t>
      </w:r>
      <w:r>
        <w:rPr>
          <w:i/>
          <w:sz w:val="22"/>
        </w:rPr>
        <w:t>Polymer </w:t>
      </w:r>
      <w:r>
        <w:rPr>
          <w:b/>
          <w:sz w:val="22"/>
        </w:rPr>
        <w:t>2010</w:t>
      </w:r>
      <w:r>
        <w:rPr>
          <w:sz w:val="22"/>
        </w:rPr>
        <w:t>, </w:t>
      </w:r>
      <w:r>
        <w:rPr>
          <w:i/>
          <w:sz w:val="22"/>
        </w:rPr>
        <w:t>51</w:t>
      </w:r>
      <w:r>
        <w:rPr>
          <w:sz w:val="22"/>
        </w:rPr>
        <w:t>,</w:t>
      </w:r>
      <w:r>
        <w:rPr>
          <w:spacing w:val="-11"/>
          <w:sz w:val="22"/>
        </w:rPr>
        <w:t> </w:t>
      </w:r>
      <w:r>
        <w:rPr>
          <w:sz w:val="22"/>
        </w:rPr>
        <w:t>5585–5591.</w:t>
      </w:r>
    </w:p>
    <w:p>
      <w:pPr>
        <w:pStyle w:val="BodyText"/>
        <w:spacing w:before="1"/>
        <w:rPr>
          <w:sz w:val="21"/>
        </w:rPr>
      </w:pPr>
    </w:p>
    <w:p>
      <w:pPr>
        <w:pStyle w:val="BodyText"/>
        <w:spacing w:line="321" w:lineRule="auto"/>
        <w:ind w:left="122" w:right="142"/>
        <w:jc w:val="both"/>
      </w:pPr>
      <w:r>
        <w:rPr/>
        <w:t>© 2013 by the authors; licensee MDPI, Basel, Switzerland. This article is an open access article distributed under the terms and conditions of the Creative Commons Attribution license </w:t>
      </w:r>
      <w:hyperlink r:id="rId73">
        <w:r>
          <w:rPr/>
          <w:t>(http://creativecommons.org/licenses/by/3.0/).</w:t>
        </w:r>
      </w:hyperlink>
    </w:p>
    <w:p>
      <w:pPr>
        <w:spacing w:after="0" w:line="321" w:lineRule="auto"/>
        <w:jc w:val="both"/>
        <w:sectPr>
          <w:pgSz w:w="12240" w:h="15840"/>
          <w:pgMar w:header="730" w:footer="1060" w:top="1160" w:bottom="1260" w:left="1580" w:right="1560"/>
        </w:sectPr>
      </w:pPr>
    </w:p>
    <w:p>
      <w:pPr>
        <w:pStyle w:val="BodyText"/>
        <w:spacing w:before="11"/>
        <w:rPr>
          <w:sz w:val="16"/>
        </w:rPr>
      </w:pPr>
    </w:p>
    <w:p>
      <w:pPr>
        <w:spacing w:line="360" w:lineRule="auto" w:before="42"/>
        <w:ind w:left="122" w:right="281" w:firstLine="0"/>
        <w:jc w:val="left"/>
        <w:rPr>
          <w:sz w:val="44"/>
        </w:rPr>
      </w:pPr>
      <w:r>
        <w:rPr>
          <w:sz w:val="44"/>
        </w:rPr>
        <w:t>Influence of 1D and 2D Carbon Fillers and Their Functionalisation on Crystallisation and Thermo- Mechanical Properties of Injection Moulded Nylon 6,6 Nanocomposites</w:t>
      </w:r>
    </w:p>
    <w:p>
      <w:pPr>
        <w:pStyle w:val="BodyText"/>
        <w:spacing w:before="1"/>
        <w:rPr>
          <w:sz w:val="60"/>
        </w:rPr>
      </w:pPr>
    </w:p>
    <w:p>
      <w:pPr>
        <w:spacing w:line="343" w:lineRule="auto" w:before="0"/>
        <w:ind w:left="158" w:right="177" w:firstLine="0"/>
        <w:jc w:val="center"/>
        <w:rPr>
          <w:i/>
          <w:sz w:val="22"/>
        </w:rPr>
      </w:pPr>
      <w:r>
        <w:rPr>
          <w:i/>
          <w:sz w:val="22"/>
        </w:rPr>
        <w:t>Fabiola Navarro-Pardo</w:t>
      </w:r>
      <w:r>
        <w:rPr>
          <w:i/>
          <w:position w:val="10"/>
          <w:sz w:val="14"/>
        </w:rPr>
        <w:t>†,‡,§</w:t>
      </w:r>
      <w:r>
        <w:rPr>
          <w:i/>
          <w:sz w:val="22"/>
        </w:rPr>
        <w:t>, Gonzalo Martínez-Barrera</w:t>
      </w:r>
      <w:r>
        <w:rPr>
          <w:i/>
          <w:position w:val="10"/>
          <w:sz w:val="14"/>
        </w:rPr>
        <w:t>‡</w:t>
      </w:r>
      <w:r>
        <w:rPr>
          <w:i/>
          <w:sz w:val="22"/>
        </w:rPr>
        <w:t>, Ana L. Martínez-Hernández</w:t>
      </w:r>
      <w:r>
        <w:rPr>
          <w:i/>
          <w:position w:val="10"/>
          <w:sz w:val="14"/>
        </w:rPr>
        <w:t>§,</w:t>
      </w:r>
      <w:r>
        <w:rPr>
          <w:rFonts w:ascii="Cambria Math" w:hAnsi="Cambria Math"/>
          <w:i/>
          <w:position w:val="5"/>
          <w:sz w:val="14"/>
        </w:rPr>
        <w:t>⊥</w:t>
      </w:r>
      <w:r>
        <w:rPr>
          <w:i/>
          <w:sz w:val="22"/>
        </w:rPr>
        <w:t>, Victor M. </w:t>
      </w:r>
      <w:r>
        <w:rPr>
          <w:i/>
          <w:sz w:val="22"/>
        </w:rPr>
        <w:t>Castaño</w:t>
      </w:r>
      <w:r>
        <w:rPr>
          <w:i/>
          <w:position w:val="10"/>
          <w:sz w:val="14"/>
        </w:rPr>
        <w:t>§,  </w:t>
      </w:r>
      <w:r>
        <w:rPr>
          <w:i/>
          <w:sz w:val="22"/>
        </w:rPr>
        <w:t>José L. Rivera-Armenta</w:t>
      </w:r>
      <w:r>
        <w:rPr>
          <w:rFonts w:ascii="Cambria Math" w:hAnsi="Cambria Math"/>
          <w:i/>
          <w:position w:val="5"/>
          <w:sz w:val="14"/>
        </w:rPr>
        <w:t>∇</w:t>
      </w:r>
      <w:r>
        <w:rPr>
          <w:i/>
          <w:sz w:val="22"/>
        </w:rPr>
        <w:t>, Francisco Medellín-Rodríguez</w:t>
      </w:r>
      <w:r>
        <w:rPr>
          <w:i/>
          <w:position w:val="10"/>
          <w:sz w:val="14"/>
        </w:rPr>
        <w:t>ǂ</w:t>
      </w:r>
      <w:r>
        <w:rPr>
          <w:i/>
          <w:sz w:val="22"/>
        </w:rPr>
        <w:t>, Carlos Velasco-Santos</w:t>
      </w:r>
      <w:r>
        <w:rPr>
          <w:i/>
          <w:position w:val="10"/>
          <w:sz w:val="14"/>
        </w:rPr>
        <w:t>§,</w:t>
      </w:r>
      <w:r>
        <w:rPr>
          <w:rFonts w:ascii="Cambria Math" w:hAnsi="Cambria Math"/>
          <w:i/>
          <w:position w:val="5"/>
          <w:sz w:val="14"/>
        </w:rPr>
        <w:t>⊥</w:t>
      </w:r>
      <w:r>
        <w:rPr>
          <w:i/>
          <w:sz w:val="22"/>
        </w:rPr>
        <w:t>*</w:t>
      </w:r>
    </w:p>
    <w:p>
      <w:pPr>
        <w:pStyle w:val="BodyText"/>
        <w:spacing w:line="360" w:lineRule="auto" w:before="226"/>
        <w:ind w:left="174" w:right="194" w:hanging="3"/>
        <w:jc w:val="center"/>
      </w:pPr>
      <w:r>
        <w:rPr>
          <w:position w:val="10"/>
          <w:sz w:val="14"/>
        </w:rPr>
        <w:t>†</w:t>
      </w:r>
      <w:r>
        <w:rPr/>
        <w:t>Universidad Autónoma del Estado de México, Facultad de Química, Posgrado en Ciencia de Materiales, Km. 12 de la carretera Toluca-Atlacomulco, C.P. 50200, San Cayetano, Toluca, Estado de México, México.</w:t>
      </w:r>
    </w:p>
    <w:p>
      <w:pPr>
        <w:pStyle w:val="BodyText"/>
        <w:spacing w:line="257" w:lineRule="exact"/>
        <w:ind w:left="158" w:right="180"/>
        <w:jc w:val="center"/>
      </w:pPr>
      <w:r>
        <w:rPr>
          <w:position w:val="10"/>
          <w:sz w:val="14"/>
        </w:rPr>
        <w:t>‡</w:t>
      </w:r>
      <w:r>
        <w:rPr/>
        <w:t>Universidad Autónoma del Estado de México, Facultad de Química, Laboratorio de Investigación</w:t>
      </w:r>
    </w:p>
    <w:p>
      <w:pPr>
        <w:pStyle w:val="BodyText"/>
        <w:spacing w:line="360" w:lineRule="auto" w:before="126"/>
        <w:ind w:left="179" w:right="195"/>
        <w:jc w:val="center"/>
      </w:pPr>
      <w:r>
        <w:rPr/>
        <w:t>y Desarrollo de Materiales Avanzados, Km. 12 de la carretera Toluca-Atlacomulco, C.P. 50200, San Cayetano, Toluca, Estado de México, México.</w:t>
      </w:r>
    </w:p>
    <w:p>
      <w:pPr>
        <w:pStyle w:val="BodyText"/>
        <w:rPr>
          <w:sz w:val="19"/>
        </w:rPr>
      </w:pPr>
    </w:p>
    <w:p>
      <w:pPr>
        <w:pStyle w:val="BodyText"/>
        <w:spacing w:line="360" w:lineRule="auto"/>
        <w:ind w:left="158" w:right="179"/>
        <w:jc w:val="center"/>
      </w:pPr>
      <w:r>
        <w:rPr>
          <w:position w:val="10"/>
          <w:sz w:val="14"/>
        </w:rPr>
        <w:t>§</w:t>
      </w:r>
      <w:r>
        <w:rPr/>
        <w:t>Centro de Física Aplicada y Tecnología Avanzada, Universidad Nacional Autónoma de México, Boulevard Juriquilla No. 3001, C.P. 76230, Juriquilla, Santiago de Querétaro, México.</w:t>
      </w:r>
    </w:p>
    <w:p>
      <w:pPr>
        <w:pStyle w:val="BodyText"/>
        <w:spacing w:line="362" w:lineRule="auto" w:before="9"/>
        <w:ind w:left="374" w:right="393" w:hanging="2"/>
        <w:jc w:val="center"/>
      </w:pPr>
      <w:r>
        <w:rPr>
          <w:rFonts w:ascii="Cambria Math" w:hAnsi="Cambria Math"/>
          <w:position w:val="5"/>
          <w:sz w:val="14"/>
        </w:rPr>
        <w:t>⊥</w:t>
      </w:r>
      <w:r>
        <w:rPr/>
        <w:t>Instituto Tecnológico de Querétaro, División de Estudios de Posgrado e Investigación, Av. Tecnológico s/n, esq. Gral. Mariano Escobedo, Col. Centro Histórico, C.P. 76000, Santiago de Querétaro, Querétaro, México.</w:t>
      </w:r>
    </w:p>
    <w:p>
      <w:pPr>
        <w:pStyle w:val="BodyText"/>
        <w:spacing w:line="360" w:lineRule="auto" w:before="6"/>
        <w:ind w:left="175" w:right="195"/>
        <w:jc w:val="center"/>
      </w:pPr>
      <w:r>
        <w:rPr>
          <w:rFonts w:ascii="Cambria Math" w:hAnsi="Cambria Math"/>
          <w:position w:val="5"/>
          <w:sz w:val="14"/>
        </w:rPr>
        <w:t>∇</w:t>
      </w:r>
      <w:r>
        <w:rPr/>
        <w:t>Instituto Tecnológico de Ciudad Madero, División de Estudios de Posgrado e Investigación, Juventino Rosas y Jesús Ureta, Col. Los Mangos, C.P. 89440, Ciudad Madero, Tamaulipas, México.</w:t>
      </w:r>
    </w:p>
    <w:p>
      <w:pPr>
        <w:pStyle w:val="BodyText"/>
        <w:spacing w:line="257" w:lineRule="exact"/>
        <w:ind w:left="158" w:right="177"/>
        <w:jc w:val="center"/>
      </w:pPr>
      <w:r>
        <w:rPr>
          <w:position w:val="10"/>
          <w:sz w:val="14"/>
        </w:rPr>
        <w:t>ǂ</w:t>
      </w:r>
      <w:r>
        <w:rPr/>
        <w:t>Universidad Autónoma del San Luis Potosí, Facultad de Ciencias Químicas, Av. Manuel Nava 6,</w:t>
      </w:r>
    </w:p>
    <w:p>
      <w:pPr>
        <w:pStyle w:val="BodyText"/>
        <w:spacing w:before="126"/>
        <w:ind w:left="158" w:right="176"/>
        <w:jc w:val="center"/>
      </w:pPr>
      <w:r>
        <w:rPr/>
        <w:t>Zona Universitaria, C.P. 78210, San Luis Potosí, San Luis Potosí, México.</w:t>
      </w:r>
    </w:p>
    <w:p>
      <w:pPr>
        <w:pStyle w:val="BodyText"/>
        <w:spacing w:before="9"/>
        <w:rPr>
          <w:sz w:val="31"/>
        </w:rPr>
      </w:pPr>
    </w:p>
    <w:p>
      <w:pPr>
        <w:pStyle w:val="BodyText"/>
        <w:spacing w:line="362" w:lineRule="auto"/>
        <w:ind w:left="158" w:right="122"/>
        <w:jc w:val="center"/>
      </w:pPr>
      <w:r>
        <w:rPr/>
        <w:t>K</w:t>
      </w:r>
      <w:r>
        <w:rPr>
          <w:b/>
        </w:rPr>
        <w:t>EYWORDS. </w:t>
      </w:r>
      <w:r>
        <w:rPr/>
        <w:t>Carbon nanotube nanocomposites, graphene nanocomposites, injection moulded nylon 6,6, crystallisation, thermo-mechanical.</w:t>
      </w:r>
    </w:p>
    <w:p>
      <w:pPr>
        <w:spacing w:after="0" w:line="362" w:lineRule="auto"/>
        <w:jc w:val="center"/>
        <w:sectPr>
          <w:pgSz w:w="12240" w:h="15840"/>
          <w:pgMar w:header="730" w:footer="1060" w:top="1160" w:bottom="1260" w:left="1580" w:right="1560"/>
        </w:sectPr>
      </w:pPr>
    </w:p>
    <w:p>
      <w:pPr>
        <w:pStyle w:val="BodyText"/>
        <w:rPr>
          <w:sz w:val="14"/>
        </w:rPr>
      </w:pPr>
    </w:p>
    <w:p>
      <w:pPr>
        <w:pStyle w:val="BodyText"/>
        <w:spacing w:line="360" w:lineRule="auto" w:before="73"/>
        <w:ind w:left="122" w:right="135"/>
        <w:jc w:val="both"/>
      </w:pPr>
      <w:r>
        <w:rPr>
          <w:b/>
        </w:rPr>
        <w:t>ABSTRACT. </w:t>
      </w:r>
      <w:r>
        <w:rPr/>
        <w:t>Carbon nanotubes (CNTs) and graphene were used as nanofillers in nylon 6,6 in order to obtain injection moulded nanocomposites. The two differently structured nanofillers were used in their pristine or reduced state, after oxidation and after amino functionalisation. Three low nanofiller contents were employed. Differential scanning calorimetry and wide angle x-ray diffraction was used to determine the crystallisation behaviour and perfection of nylon 6,6 crystals upon addition of the nanofillers. Crystallinity was marginally enhanced as the content of the nanofillers increased in most samples. The dimensionality of the materials was found to provide different features in the growth of nylon 6,6 crystals. The perfection of all the nanocomposite crystals was improved. Dynamical mechanical analysis showed the maximum increases provided  by the two nanostructures correspond to the addition of 0.1 wt.% amino functionalised CNTs, resulting in 30% enhancement in the modulus and the incorporation of 0.5 wt% of graphene oxide causing an increase of 44% in this property. The latter also provided better thermal stability when compared to pure nylon 6,6 under inert conditions. The superior properties of graphene nanocomposites are owned to the larger surface area compared to</w:t>
      </w:r>
      <w:r>
        <w:rPr>
          <w:spacing w:val="-14"/>
        </w:rPr>
        <w:t> </w:t>
      </w:r>
      <w:r>
        <w:rPr/>
        <w:t>CNTs.</w:t>
      </w:r>
    </w:p>
    <w:p>
      <w:pPr>
        <w:pStyle w:val="BodyText"/>
        <w:spacing w:before="1"/>
        <w:rPr>
          <w:sz w:val="32"/>
        </w:rPr>
      </w:pPr>
    </w:p>
    <w:p>
      <w:pPr>
        <w:pStyle w:val="Heading4"/>
        <w:spacing w:before="0"/>
        <w:jc w:val="both"/>
      </w:pPr>
      <w:r>
        <w:rPr/>
        <w:t>INTRODUCTION</w:t>
      </w:r>
    </w:p>
    <w:p>
      <w:pPr>
        <w:pStyle w:val="BodyText"/>
        <w:spacing w:line="345" w:lineRule="auto" w:before="121"/>
        <w:ind w:left="122" w:right="136"/>
        <w:jc w:val="both"/>
        <w:rPr>
          <w:sz w:val="14"/>
        </w:rPr>
      </w:pPr>
      <w:r>
        <w:rPr/>
        <w:t>Carbon nanotubes (CNTs) and graphene have raised intensive interest because of their unique physical, chemical, and mechanical properties.</w:t>
      </w:r>
      <w:r>
        <w:rPr>
          <w:position w:val="10"/>
          <w:sz w:val="14"/>
        </w:rPr>
        <w:t>1-5 </w:t>
      </w:r>
      <w:r>
        <w:rPr/>
        <w:t>One of the promising applications of these nanomaterials is in the field of polymer nanocomposites.</w:t>
      </w:r>
      <w:r>
        <w:rPr>
          <w:position w:val="10"/>
          <w:sz w:val="14"/>
        </w:rPr>
        <w:t>6-11 </w:t>
      </w:r>
      <w:r>
        <w:rPr/>
        <w:t>Despite the great potential of both materials as nanofillers, dispersion and strong interfacial adhesion between the  nanofiller  and matrix remains the key challenge for effective reinforcement of polymers.</w:t>
      </w:r>
      <w:r>
        <w:rPr>
          <w:position w:val="10"/>
          <w:sz w:val="14"/>
        </w:rPr>
        <w:t>8,11-13 </w:t>
      </w:r>
      <w:r>
        <w:rPr/>
        <w:t>Extensive research has been made on the chemistry study of these carbon nanomaterials.</w:t>
      </w:r>
      <w:r>
        <w:rPr>
          <w:position w:val="10"/>
          <w:sz w:val="14"/>
        </w:rPr>
        <w:t>7-13 </w:t>
      </w:r>
      <w:r>
        <w:rPr/>
        <w:t>The modifications imparted to these materials dictate their properties and therefore have an impact on the nanocomposites obtained from them.</w:t>
      </w:r>
      <w:r>
        <w:rPr>
          <w:position w:val="10"/>
          <w:sz w:val="14"/>
        </w:rPr>
        <w:t>14-16 </w:t>
      </w:r>
      <w:r>
        <w:rPr/>
        <w:t>Functionalisation provides efficient stress transfer between the nanomaterials and the polymer matrix by preventing aggregation of them and providing a better dispersion of the nanomaterials in the matrix.</w:t>
      </w:r>
      <w:r>
        <w:rPr>
          <w:position w:val="10"/>
          <w:sz w:val="14"/>
        </w:rPr>
        <w:t>8,12 </w:t>
      </w:r>
      <w:r>
        <w:rPr/>
        <w:t>The functional groups at the surface of CNTs or graphene make the strongest interfacial interactions with the polymer matrix.</w:t>
      </w:r>
      <w:r>
        <w:rPr>
          <w:position w:val="10"/>
          <w:sz w:val="14"/>
        </w:rPr>
        <w:t>7,11 </w:t>
      </w:r>
      <w:r>
        <w:rPr/>
        <w:t>The use of matrices with functional groups in their monomer units also favours these aspects; nylon 6,6 contains amide groups separated by methylen groups in its structure. The ordered array of polymer chains packed due to hydrogen bonding and the subsequent folding of these in sheets due to Van der Waals forces provide a degree of crystallinity to this polyamide.</w:t>
      </w:r>
      <w:r>
        <w:rPr>
          <w:position w:val="10"/>
          <w:sz w:val="14"/>
        </w:rPr>
        <w:t>17 </w:t>
      </w:r>
      <w:r>
        <w:rPr/>
        <w:t>Furthermore, several studies have shown that the addition of a second phase in polymer matrices modify the crystallisation behaviour of polymers.</w:t>
      </w:r>
      <w:r>
        <w:rPr>
          <w:position w:val="10"/>
          <w:sz w:val="14"/>
        </w:rPr>
        <w:t>8,10,16-19 </w:t>
      </w:r>
      <w:r>
        <w:rPr/>
        <w:t>It is well known that the properties of semi-crystalline polymers are strongly dependent on their crystalline structure.</w:t>
      </w:r>
      <w:r>
        <w:rPr>
          <w:position w:val="10"/>
          <w:sz w:val="14"/>
        </w:rPr>
        <w:t>7, 8</w:t>
      </w:r>
    </w:p>
    <w:p>
      <w:pPr>
        <w:spacing w:after="0" w:line="345" w:lineRule="auto"/>
        <w:jc w:val="both"/>
        <w:rPr>
          <w:sz w:val="14"/>
        </w:rPr>
        <w:sectPr>
          <w:pgSz w:w="12240" w:h="15840"/>
          <w:pgMar w:header="730" w:footer="1060" w:top="1160" w:bottom="1260" w:left="1580" w:right="1560"/>
        </w:sectPr>
      </w:pPr>
    </w:p>
    <w:p>
      <w:pPr>
        <w:pStyle w:val="BodyText"/>
        <w:rPr>
          <w:sz w:val="14"/>
        </w:rPr>
      </w:pPr>
    </w:p>
    <w:p>
      <w:pPr>
        <w:pStyle w:val="BodyText"/>
        <w:spacing w:line="355" w:lineRule="auto" w:before="73"/>
        <w:ind w:left="122" w:right="135" w:firstLine="201"/>
        <w:jc w:val="both"/>
        <w:rPr>
          <w:sz w:val="14"/>
        </w:rPr>
      </w:pPr>
      <w:r>
        <w:rPr/>
        <w:t>Currently, CNTs dominate the research among carbon-based materials used as reinforcing agents in polymers. Graphene based nanocomposites have been gaining more importance because of the superior properties of this material. Only a few works have shown the influence between both differently dimensional structures on the crystallisation behaviour or the mechanical properties of polymers.</w:t>
      </w:r>
      <w:r>
        <w:rPr>
          <w:position w:val="10"/>
          <w:sz w:val="14"/>
        </w:rPr>
        <w:t>16,19,20,21 </w:t>
      </w:r>
      <w:r>
        <w:rPr/>
        <w:t>Lamastra et al.</w:t>
      </w:r>
      <w:r>
        <w:rPr>
          <w:position w:val="10"/>
          <w:sz w:val="14"/>
        </w:rPr>
        <w:t>20 </w:t>
      </w:r>
      <w:r>
        <w:rPr/>
        <w:t>reinforced poly(ɛ-caprolactone) with electrospun poly(methyl methacrylate) fibres containing CNTs and graphene nanoplatelets. The nanocomposites reinforced with well exfoliated graphene showed the best results in the mechanical properties providing an increase of 180% in yield strength when compared to the pure matrix. Chatterjee et al.</w:t>
      </w:r>
      <w:r>
        <w:rPr>
          <w:position w:val="10"/>
          <w:sz w:val="14"/>
        </w:rPr>
        <w:t>21 </w:t>
      </w:r>
      <w:r>
        <w:rPr/>
        <w:t>reinforced nylon 12 spun fibres with both carbon nanofillers; CNTs and graphene favoured the increase in the equatorial percentage crystallinity of nylon 12 and graphene showed to be the best reinforcing filler with an improvement of 400% in elastic modulus. Recent works concerning the influence provided by both carbon structures in crystallisation and thermo-mechanical properties have been based on pristine materials. Our research group has investigated these effects on electrospun nanocomposites containing functionalised 1D and 2D carbon fillers, showing the differences between both carbon nanomaterials.</w:t>
      </w:r>
      <w:r>
        <w:rPr>
          <w:position w:val="10"/>
          <w:sz w:val="14"/>
        </w:rPr>
        <w:t>7</w:t>
      </w:r>
    </w:p>
    <w:p>
      <w:pPr>
        <w:pStyle w:val="BodyText"/>
        <w:spacing w:before="6"/>
        <w:rPr>
          <w:sz w:val="32"/>
        </w:rPr>
      </w:pPr>
    </w:p>
    <w:p>
      <w:pPr>
        <w:pStyle w:val="BodyText"/>
        <w:spacing w:line="360" w:lineRule="auto"/>
        <w:ind w:left="122" w:right="135" w:firstLine="201"/>
        <w:jc w:val="both"/>
      </w:pPr>
      <w:r>
        <w:rPr/>
        <w:t>Injection moulding is a very important technique for industrial purposes, because it is a fast and an automated process for large scale manufacture of complex products at minimum cost. Comprehenssive understanding of both carbon nanostructures is needed in order to optimise the processing conditions in industrial processes and achieve desirable properties. The aim of this work is to investigate the influence of one-dimensional and two-dimensional structures of carbon on the crystallisation and the thermo-mechanical properties of nylon 6,6 nanocomposites obtained by the injection moulding process using different nanofiller contents. The effect that functionalisation provides to the properties above mentioned is also</w:t>
      </w:r>
      <w:r>
        <w:rPr>
          <w:spacing w:val="-19"/>
        </w:rPr>
        <w:t> </w:t>
      </w:r>
      <w:r>
        <w:rPr/>
        <w:t>presented.</w:t>
      </w:r>
    </w:p>
    <w:p>
      <w:pPr>
        <w:pStyle w:val="BodyText"/>
      </w:pPr>
    </w:p>
    <w:p>
      <w:pPr>
        <w:pStyle w:val="Heading4"/>
        <w:spacing w:before="136"/>
        <w:ind w:right="41"/>
      </w:pPr>
      <w:r>
        <w:rPr/>
        <w:t>EXPERIMENTAL METHODS</w:t>
      </w:r>
    </w:p>
    <w:p>
      <w:pPr>
        <w:pStyle w:val="BodyText"/>
        <w:spacing w:line="355" w:lineRule="auto" w:before="121"/>
        <w:ind w:left="122" w:right="135" w:firstLine="201"/>
        <w:jc w:val="both"/>
      </w:pPr>
      <w:r>
        <w:rPr>
          <w:b/>
        </w:rPr>
        <w:t>Functionalisation of CNTs and graphene. </w:t>
      </w:r>
      <w:r>
        <w:rPr/>
        <w:t>Chemical vapour deposition multiwalled carbon nanotubes (Sunnano Company), with 10-30 nm in outer diameter, 1-10 μm length and purity above 80%, were refluxed for three hours at 80ºC in a 3:1 molar solution of nitric acid (HNO</w:t>
      </w:r>
      <w:r>
        <w:rPr>
          <w:position w:val="-2"/>
          <w:sz w:val="14"/>
        </w:rPr>
        <w:t>3</w:t>
      </w:r>
      <w:r>
        <w:rPr/>
        <w:t>,70%, Sigma-Aldrich) and sulphuric acid (H</w:t>
      </w:r>
      <w:r>
        <w:rPr>
          <w:position w:val="-2"/>
          <w:sz w:val="14"/>
        </w:rPr>
        <w:t>2</w:t>
      </w:r>
      <w:r>
        <w:rPr/>
        <w:t>SO</w:t>
      </w:r>
      <w:r>
        <w:rPr>
          <w:position w:val="-2"/>
          <w:sz w:val="14"/>
        </w:rPr>
        <w:t>4, </w:t>
      </w:r>
      <w:r>
        <w:rPr/>
        <w:t>98%, J.T. Baker). The solution was filtered and washed with distilled water until neutral pH. Finally, the oxidised carbon nanotubes (OCNT) were dried overnight at 80°C.</w:t>
      </w:r>
    </w:p>
    <w:p>
      <w:pPr>
        <w:spacing w:after="0" w:line="355" w:lineRule="auto"/>
        <w:jc w:val="both"/>
        <w:sectPr>
          <w:pgSz w:w="12240" w:h="15840"/>
          <w:pgMar w:header="730" w:footer="1060" w:top="1160" w:bottom="1260" w:left="1580" w:right="1560"/>
        </w:sectPr>
      </w:pPr>
    </w:p>
    <w:p>
      <w:pPr>
        <w:pStyle w:val="BodyText"/>
        <w:spacing w:before="11"/>
        <w:rPr>
          <w:sz w:val="10"/>
        </w:rPr>
      </w:pPr>
    </w:p>
    <w:p>
      <w:pPr>
        <w:pStyle w:val="BodyText"/>
        <w:spacing w:line="355" w:lineRule="auto" w:before="83"/>
        <w:ind w:left="122" w:right="131" w:firstLine="201"/>
        <w:jc w:val="both"/>
      </w:pPr>
      <w:r>
        <w:rPr/>
        <w:t>Graphene oxide (GO) was prepared by graphite oxidation using the modified Hummers method.</w:t>
      </w:r>
      <w:r>
        <w:rPr>
          <w:position w:val="10"/>
          <w:sz w:val="14"/>
        </w:rPr>
        <w:t>1 </w:t>
      </w:r>
      <w:r>
        <w:rPr/>
        <w:t>23 ml of H</w:t>
      </w:r>
      <w:r>
        <w:rPr>
          <w:position w:val="-2"/>
          <w:sz w:val="14"/>
        </w:rPr>
        <w:t>2</w:t>
      </w:r>
      <w:r>
        <w:rPr/>
        <w:t>SO</w:t>
      </w:r>
      <w:r>
        <w:rPr>
          <w:position w:val="-2"/>
          <w:sz w:val="14"/>
        </w:rPr>
        <w:t>4 </w:t>
      </w:r>
      <w:r>
        <w:rPr/>
        <w:t>were added into a reaction flask submerged in an ice bath and kept there until it reached 0°C. 1g graphite (No. 70230, Electron Microscopy Science) and 3g  potassium permanganate (KMnO</w:t>
      </w:r>
      <w:r>
        <w:rPr>
          <w:position w:val="-2"/>
          <w:sz w:val="14"/>
        </w:rPr>
        <w:t>4, </w:t>
      </w:r>
      <w:r>
        <w:rPr/>
        <w:t>Merck) were added slowly followed by stirring at 35°C for two hours and then diluted with 46 ml of distilled water for 15 minutes under stirring. After that a solution of 5 ml of hydrogen peroxide (H</w:t>
      </w:r>
      <w:r>
        <w:rPr>
          <w:position w:val="-2"/>
          <w:sz w:val="14"/>
        </w:rPr>
        <w:t>2</w:t>
      </w:r>
      <w:r>
        <w:rPr/>
        <w:t>O</w:t>
      </w:r>
      <w:r>
        <w:rPr>
          <w:position w:val="-2"/>
          <w:sz w:val="14"/>
        </w:rPr>
        <w:t>2</w:t>
      </w:r>
      <w:r>
        <w:rPr/>
        <w:t>, 30%, J.T. Baker) in 135 ml of distilled water was added to reduce residual KMnO</w:t>
      </w:r>
      <w:r>
        <w:rPr>
          <w:position w:val="-2"/>
          <w:sz w:val="14"/>
        </w:rPr>
        <w:t>4</w:t>
      </w:r>
      <w:r>
        <w:rPr/>
        <w:t>. A solution of 2.5 ml hydrochloric acid (HCl, 37%, Sigma-Aldrich) in 100 ml of distilled water was added to remove metal ions followed by filtration with excess water to remove the acid. Finally the graphite oxide was dried overnight at 60°C. The resulting powder was re- dispersed into water and sonicated for three hours in an ultrasound bath (Autoscience 10200B, with a frequency of 50-60 Hz) in order to obtain GO. Reduced graphene oxide (RGO) was obtained by adding 1g hexamethylentetramine (HMTA, Sigma Aldrich) to the homogeneous graphene oxide dispersion and kept under stirring at 100°C for 10 hours.</w:t>
      </w:r>
      <w:r>
        <w:rPr>
          <w:position w:val="10"/>
          <w:sz w:val="14"/>
        </w:rPr>
        <w:t>2 </w:t>
      </w:r>
      <w:r>
        <w:rPr/>
        <w:t>The RGO was filtered and washed with distilled water until neutral pH and dried overnight at 60°C. GO powder was obtained from the sonicated dispersion after filtering and drying at 60°C.</w:t>
      </w:r>
    </w:p>
    <w:p>
      <w:pPr>
        <w:pStyle w:val="BodyText"/>
      </w:pPr>
    </w:p>
    <w:p>
      <w:pPr>
        <w:pStyle w:val="BodyText"/>
        <w:spacing w:line="345" w:lineRule="auto" w:before="135"/>
        <w:ind w:left="122" w:right="136" w:firstLine="201"/>
        <w:jc w:val="both"/>
      </w:pPr>
      <w:r>
        <w:rPr/>
        <w:t>An acid–base titration was used to determine the concentration of acidic surface groups, as described elsewhere. </w:t>
      </w:r>
      <w:r>
        <w:rPr>
          <w:position w:val="10"/>
          <w:sz w:val="14"/>
        </w:rPr>
        <w:t>3,7 </w:t>
      </w:r>
      <w:r>
        <w:rPr/>
        <w:t>The amino functionalisation of the carbon nanomaterials followed the method described in our previous research.</w:t>
      </w:r>
      <w:r>
        <w:rPr>
          <w:position w:val="10"/>
          <w:sz w:val="14"/>
        </w:rPr>
        <w:t>7 </w:t>
      </w:r>
      <w:r>
        <w:rPr/>
        <w:t>The functionalised carbon nanotubes and  graphene were labelled as f-CNT and f-Ge respectively.</w:t>
      </w:r>
    </w:p>
    <w:p>
      <w:pPr>
        <w:pStyle w:val="BodyText"/>
      </w:pPr>
    </w:p>
    <w:p>
      <w:pPr>
        <w:pStyle w:val="BodyText"/>
        <w:spacing w:line="357" w:lineRule="auto" w:before="145"/>
        <w:ind w:left="122" w:right="136" w:firstLine="201"/>
        <w:jc w:val="both"/>
      </w:pPr>
      <w:r>
        <w:rPr>
          <w:b/>
        </w:rPr>
        <w:t>Nanocomposite preparation. </w:t>
      </w:r>
      <w:r>
        <w:rPr/>
        <w:t>Nylon 6,6 (Ultramid® A3K, BASF) was dried at 60°C for 12 hours. Prior to injection moulding the pellets were mixed with the carbon nanofillers and agitated so that the charged particles are deposited on the surface of nylon pellets due to electrostatic forces. Three nanofiller contents were chosen: 0.1, 0.3 and 0.5 wt. %.  The mixed blends were moulded  into a 50x44x2 </w:t>
      </w:r>
      <w:r>
        <w:rPr>
          <w:spacing w:val="-2"/>
        </w:rPr>
        <w:t>mm</w:t>
      </w:r>
      <w:r>
        <w:rPr>
          <w:spacing w:val="-2"/>
          <w:position w:val="10"/>
          <w:sz w:val="14"/>
        </w:rPr>
        <w:t>3</w:t>
      </w:r>
      <w:r>
        <w:rPr>
          <w:spacing w:val="31"/>
          <w:position w:val="10"/>
          <w:sz w:val="14"/>
        </w:rPr>
        <w:t> </w:t>
      </w:r>
      <w:r>
        <w:rPr/>
        <w:t>aluminium mould by an injection machine (AB-200, </w:t>
      </w:r>
      <w:hyperlink r:id="rId74">
        <w:r>
          <w:rPr/>
          <w:t>AB Machinery</w:t>
        </w:r>
      </w:hyperlink>
      <w:r>
        <w:rPr/>
        <w:t>) at a moulding temperature of 270°C and pressure of 110 psi. After injection the mould was set to cool down for three minutes before opening and removing the sample. The first ten samples were discarded and the rest of the samples were chosen for their</w:t>
      </w:r>
      <w:r>
        <w:rPr>
          <w:spacing w:val="-24"/>
        </w:rPr>
        <w:t> </w:t>
      </w:r>
      <w:r>
        <w:rPr/>
        <w:t>characterisation.</w:t>
      </w:r>
    </w:p>
    <w:p>
      <w:pPr>
        <w:pStyle w:val="BodyText"/>
      </w:pPr>
    </w:p>
    <w:p>
      <w:pPr>
        <w:pStyle w:val="BodyText"/>
        <w:spacing w:line="343" w:lineRule="auto" w:before="133"/>
        <w:ind w:left="122" w:right="135" w:firstLine="201"/>
        <w:jc w:val="both"/>
      </w:pPr>
      <w:r>
        <w:rPr>
          <w:b/>
        </w:rPr>
        <w:t>Characterisation. </w:t>
      </w:r>
      <w:r>
        <w:rPr/>
        <w:t>Raman spectra were obtained using a Dylor LabRam II spectrometer with an excitation line of 632.8 nm (resolution 1 cm</w:t>
      </w:r>
      <w:r>
        <w:rPr>
          <w:position w:val="10"/>
          <w:sz w:val="14"/>
        </w:rPr>
        <w:t>-1</w:t>
      </w:r>
      <w:r>
        <w:rPr/>
        <w:t>). Fourier transform infrared spectroscopy (FTIR) was carried out on a Bruker Optics Vector 33 spectrometer (resolution 1 cm</w:t>
      </w:r>
      <w:r>
        <w:rPr>
          <w:position w:val="10"/>
          <w:sz w:val="14"/>
        </w:rPr>
        <w:t>-1</w:t>
      </w:r>
      <w:r>
        <w:rPr/>
        <w:t>). A differential scanning calorimeter (DSC), Perkin Elmer DSC-7, was used to determine the crystallinity and the  nucleating</w:t>
      </w:r>
    </w:p>
    <w:p>
      <w:pPr>
        <w:spacing w:after="0" w:line="343" w:lineRule="auto"/>
        <w:jc w:val="both"/>
        <w:sectPr>
          <w:pgSz w:w="12240" w:h="15840"/>
          <w:pgMar w:header="730" w:footer="1060" w:top="1160" w:bottom="1260" w:left="1580" w:right="1560"/>
        </w:sectPr>
      </w:pPr>
    </w:p>
    <w:p>
      <w:pPr>
        <w:pStyle w:val="BodyText"/>
        <w:rPr>
          <w:sz w:val="14"/>
        </w:rPr>
      </w:pPr>
    </w:p>
    <w:p>
      <w:pPr>
        <w:pStyle w:val="BodyText"/>
        <w:spacing w:line="357" w:lineRule="auto" w:before="73"/>
        <w:ind w:left="122" w:right="134"/>
        <w:jc w:val="both"/>
      </w:pPr>
      <w:r>
        <w:rPr/>
        <w:t>behaviour of nanocomposites. This was calibrated with an Indium standard using a constant  nitrogen flow both in the sample and in the reference chambers. All samples weighed  approximately 6 mg and were sealed within aluminium pans. The samples were heated up to 280°C for five minutes and then they were cooled down at 10°C/min. Wide angle X-ray diffraction (WAXD) measurements were obtained in PANalytical X’Pert Pro X-ray diffraction equipment with Cu Kα radiation (k =0.154 nm). The scanning rate was 0.05°/s. Thermo-mechanical properties of the nanocomposites were determined using a dynamic mechanical analyser (DMA), TA Instruments DMA 2980. Samples of 30x10x2 </w:t>
      </w:r>
      <w:r>
        <w:rPr>
          <w:spacing w:val="-2"/>
        </w:rPr>
        <w:t>mm</w:t>
      </w:r>
      <w:r>
        <w:rPr>
          <w:spacing w:val="-2"/>
          <w:position w:val="10"/>
          <w:sz w:val="14"/>
        </w:rPr>
        <w:t>3 </w:t>
      </w:r>
      <w:r>
        <w:rPr/>
        <w:t>were analysed in dual cantilever mode from room temperature to 200 °C at a frequency of 1 Hz and a heating rate of 5°C/min. Thermogravimetric analysis (TGA) was carried out using a SDT Q600 V20.5 Build 15 equipment. 10 mg of the  samples were placed into aluminium pans and heated up from 25 to 600 °C under a nitrogen flow of 100</w:t>
      </w:r>
      <w:r>
        <w:rPr>
          <w:spacing w:val="-5"/>
        </w:rPr>
        <w:t> </w:t>
      </w:r>
      <w:r>
        <w:rPr/>
        <w:t>ml/min.</w:t>
      </w:r>
    </w:p>
    <w:p>
      <w:pPr>
        <w:pStyle w:val="BodyText"/>
      </w:pPr>
    </w:p>
    <w:p>
      <w:pPr>
        <w:pStyle w:val="Heading4"/>
        <w:spacing w:before="138"/>
        <w:jc w:val="both"/>
      </w:pPr>
      <w:r>
        <w:rPr/>
        <w:t>RESULTS AND DISCUSSION</w:t>
      </w:r>
    </w:p>
    <w:p>
      <w:pPr>
        <w:pStyle w:val="BodyText"/>
        <w:spacing w:line="338" w:lineRule="auto" w:before="96"/>
        <w:ind w:left="122" w:right="131" w:firstLine="201"/>
        <w:jc w:val="both"/>
      </w:pPr>
      <w:r>
        <w:rPr/>
        <w:t>Raman spectra are displayed in Figure 1. The G band due to the relative motion of sp</w:t>
      </w:r>
      <w:r>
        <w:rPr>
          <w:position w:val="10"/>
          <w:sz w:val="14"/>
        </w:rPr>
        <w:t>2 </w:t>
      </w:r>
      <w:r>
        <w:rPr/>
        <w:t>carbon atoms is located </w:t>
      </w:r>
      <w:r>
        <w:rPr>
          <w:rFonts w:ascii="Cambria Math" w:hAnsi="Cambria Math"/>
        </w:rPr>
        <w:t>∼</w:t>
      </w:r>
      <w:r>
        <w:rPr/>
        <w:t>1580 cm</w:t>
      </w:r>
      <w:r>
        <w:rPr>
          <w:position w:val="10"/>
          <w:sz w:val="14"/>
        </w:rPr>
        <w:t>-1 </w:t>
      </w:r>
      <w:r>
        <w:rPr/>
        <w:t>and the D band linked to breathing modes of rings is seen at </w:t>
      </w:r>
      <w:r>
        <w:rPr>
          <w:rFonts w:ascii="Cambria Math" w:hAnsi="Cambria Math"/>
        </w:rPr>
        <w:t>∼</w:t>
      </w:r>
      <w:r>
        <w:rPr/>
        <w:t>1320 cm</w:t>
      </w:r>
      <w:r>
        <w:rPr>
          <w:position w:val="10"/>
          <w:sz w:val="14"/>
        </w:rPr>
        <w:t>-1</w:t>
      </w:r>
      <w:r>
        <w:rPr/>
        <w:t>.</w:t>
      </w:r>
      <w:r>
        <w:rPr>
          <w:position w:val="10"/>
          <w:sz w:val="14"/>
        </w:rPr>
        <w:t>23 </w:t>
      </w:r>
      <w:r>
        <w:rPr/>
        <w:t>The intensity ratio of D and G bands (I</w:t>
      </w:r>
      <w:r>
        <w:rPr>
          <w:position w:val="-2"/>
          <w:sz w:val="14"/>
        </w:rPr>
        <w:t>D</w:t>
      </w:r>
      <w:r>
        <w:rPr/>
        <w:t>/I</w:t>
      </w:r>
      <w:r>
        <w:rPr>
          <w:position w:val="-2"/>
          <w:sz w:val="14"/>
        </w:rPr>
        <w:t>G</w:t>
      </w:r>
      <w:r>
        <w:rPr/>
        <w:t>) are also shown in the Figure 1. Both OCNT and f-CNT exhibited a decrease in I</w:t>
      </w:r>
      <w:r>
        <w:rPr>
          <w:position w:val="-2"/>
          <w:sz w:val="14"/>
        </w:rPr>
        <w:t>D</w:t>
      </w:r>
      <w:r>
        <w:rPr/>
        <w:t>/I</w:t>
      </w:r>
      <w:r>
        <w:rPr>
          <w:position w:val="-2"/>
          <w:sz w:val="14"/>
        </w:rPr>
        <w:t>G </w:t>
      </w:r>
      <w:r>
        <w:rPr/>
        <w:t>ratio when compared to pristine CNTs (CNT), suggesting the formation of more sp</w:t>
      </w:r>
      <w:r>
        <w:rPr>
          <w:position w:val="10"/>
          <w:sz w:val="14"/>
        </w:rPr>
        <w:t>2 </w:t>
      </w:r>
      <w:r>
        <w:rPr/>
        <w:t>domains which is in accordance with other studies of functionalised carbon nanomaterials.</w:t>
      </w:r>
      <w:r>
        <w:rPr>
          <w:position w:val="10"/>
          <w:sz w:val="14"/>
        </w:rPr>
        <w:t>12,13 </w:t>
      </w:r>
      <w:r>
        <w:rPr/>
        <w:t>RGO shows a restoration of the G band to lower frequencies (redshift of 5 cm</w:t>
      </w:r>
      <w:r>
        <w:rPr>
          <w:position w:val="10"/>
          <w:sz w:val="14"/>
        </w:rPr>
        <w:t>-1</w:t>
      </w:r>
      <w:r>
        <w:rPr/>
        <w:t>) and an intensity increase of the D band when compared to GO. These characteristics reveal the reduction of GO and agree well with other studies of chemically reduced GO.</w:t>
      </w:r>
      <w:r>
        <w:rPr>
          <w:position w:val="10"/>
          <w:sz w:val="14"/>
        </w:rPr>
        <w:t>2,4 </w:t>
      </w:r>
      <w:r>
        <w:rPr/>
        <w:t>Furthermore the f- Ge also showed an increase in I</w:t>
      </w:r>
      <w:r>
        <w:rPr>
          <w:position w:val="-2"/>
          <w:sz w:val="14"/>
        </w:rPr>
        <w:t>D</w:t>
      </w:r>
      <w:r>
        <w:rPr/>
        <w:t>/I</w:t>
      </w:r>
      <w:r>
        <w:rPr>
          <w:position w:val="-2"/>
          <w:sz w:val="14"/>
        </w:rPr>
        <w:t>G </w:t>
      </w:r>
      <w:r>
        <w:rPr/>
        <w:t>ratio which has been attributable to more sp</w:t>
      </w:r>
      <w:r>
        <w:rPr>
          <w:position w:val="10"/>
          <w:sz w:val="14"/>
        </w:rPr>
        <w:t>3 </w:t>
      </w:r>
      <w:r>
        <w:rPr/>
        <w:t>carbon formed during functionalisation and the decrease of the size of the in-plane sp</w:t>
      </w:r>
      <w:r>
        <w:rPr>
          <w:position w:val="10"/>
          <w:sz w:val="14"/>
        </w:rPr>
        <w:t>2 </w:t>
      </w:r>
      <w:r>
        <w:rPr/>
        <w:t>domains.</w:t>
      </w:r>
      <w:r>
        <w:rPr>
          <w:position w:val="10"/>
          <w:sz w:val="14"/>
        </w:rPr>
        <w:t>13 </w:t>
      </w:r>
      <w:r>
        <w:rPr/>
        <w:t>The 2D band located at about 2650 cm</w:t>
      </w:r>
      <w:r>
        <w:rPr>
          <w:position w:val="10"/>
          <w:sz w:val="14"/>
        </w:rPr>
        <w:t>-1  </w:t>
      </w:r>
      <w:r>
        <w:rPr/>
        <w:t>is clearly seen in CNT, OCNT and f-CNT. The weak and broad band</w:t>
      </w:r>
    </w:p>
    <w:p>
      <w:pPr>
        <w:pStyle w:val="BodyText"/>
        <w:spacing w:line="268" w:lineRule="exact"/>
        <w:ind w:left="122"/>
        <w:jc w:val="both"/>
        <w:rPr>
          <w:sz w:val="14"/>
        </w:rPr>
      </w:pPr>
      <w:r>
        <w:rPr/>
        <w:t>~2700 is characteristic of chemically reduced graphene, as found in other studies.</w:t>
      </w:r>
      <w:r>
        <w:rPr>
          <w:position w:val="10"/>
          <w:sz w:val="14"/>
        </w:rPr>
        <w:t>4</w:t>
      </w:r>
    </w:p>
    <w:p>
      <w:pPr>
        <w:pStyle w:val="BodyText"/>
        <w:rPr>
          <w:sz w:val="26"/>
        </w:rPr>
      </w:pPr>
    </w:p>
    <w:p>
      <w:pPr>
        <w:pStyle w:val="BodyText"/>
        <w:spacing w:line="340" w:lineRule="auto" w:before="209"/>
        <w:ind w:left="122" w:right="134" w:firstLine="201"/>
        <w:jc w:val="both"/>
      </w:pPr>
      <w:r>
        <w:rPr/>
        <w:t>FTIR spectra of all nanofillers are shown in Figure 2. Comparing CNT and both OCNT and </w:t>
      </w:r>
      <w:r>
        <w:rPr>
          <w:spacing w:val="4"/>
        </w:rPr>
        <w:t>f- </w:t>
      </w:r>
      <w:r>
        <w:rPr/>
        <w:t>CNT there are intensity increases in the functional group peaks due to the two different treatments. OCNT display peaks at 1208 cm</w:t>
      </w:r>
      <w:r>
        <w:rPr>
          <w:position w:val="10"/>
          <w:sz w:val="14"/>
        </w:rPr>
        <w:t>-1</w:t>
      </w:r>
      <w:r>
        <w:rPr/>
        <w:t>, 1350 cm</w:t>
      </w:r>
      <w:r>
        <w:rPr>
          <w:position w:val="10"/>
          <w:sz w:val="14"/>
        </w:rPr>
        <w:t>-1 </w:t>
      </w:r>
      <w:r>
        <w:rPr/>
        <w:t>and 1713 cm</w:t>
      </w:r>
      <w:r>
        <w:rPr>
          <w:position w:val="10"/>
          <w:sz w:val="14"/>
        </w:rPr>
        <w:t>-1 </w:t>
      </w:r>
      <w:r>
        <w:rPr/>
        <w:t>corresponding to the C-O, OH and  C=O stretching vibrations of carboxylic groups.</w:t>
      </w:r>
      <w:r>
        <w:rPr>
          <w:position w:val="10"/>
          <w:sz w:val="14"/>
        </w:rPr>
        <w:t>8,9 </w:t>
      </w:r>
      <w:r>
        <w:rPr/>
        <w:t>The peak at 1560 cm</w:t>
      </w:r>
      <w:r>
        <w:rPr>
          <w:position w:val="10"/>
          <w:sz w:val="14"/>
        </w:rPr>
        <w:t>-1 </w:t>
      </w:r>
      <w:r>
        <w:rPr/>
        <w:t>is attributed to  the influence of the C=O vibration of carboxilate groups produced in the oxidation process.</w:t>
      </w:r>
      <w:r>
        <w:rPr>
          <w:position w:val="10"/>
          <w:sz w:val="14"/>
        </w:rPr>
        <w:t>10 </w:t>
      </w:r>
      <w:r>
        <w:rPr/>
        <w:t>Figure 2 also shows characteristic peaks of GO for C-O stretching of epoxy and alcoxi at 1058 cm</w:t>
      </w:r>
      <w:r>
        <w:rPr>
          <w:position w:val="10"/>
          <w:sz w:val="14"/>
        </w:rPr>
        <w:t>-1 </w:t>
      </w:r>
      <w:r>
        <w:rPr/>
        <w:t>and 1240 cm</w:t>
      </w:r>
      <w:r>
        <w:rPr>
          <w:position w:val="10"/>
          <w:sz w:val="14"/>
        </w:rPr>
        <w:t>-1</w:t>
      </w:r>
      <w:r>
        <w:rPr/>
        <w:t>. </w:t>
      </w:r>
      <w:r>
        <w:rPr>
          <w:position w:val="10"/>
          <w:sz w:val="14"/>
        </w:rPr>
        <w:t>4,5   </w:t>
      </w:r>
      <w:r>
        <w:rPr/>
        <w:t>The peaks at 1395 cm</w:t>
      </w:r>
      <w:r>
        <w:rPr>
          <w:position w:val="10"/>
          <w:sz w:val="14"/>
        </w:rPr>
        <w:t>-1  </w:t>
      </w:r>
      <w:r>
        <w:rPr/>
        <w:t>and 1728 cm</w:t>
      </w:r>
      <w:r>
        <w:rPr>
          <w:position w:val="10"/>
          <w:sz w:val="14"/>
        </w:rPr>
        <w:t>-1  </w:t>
      </w:r>
      <w:r>
        <w:rPr/>
        <w:t>reflect the carboxylic acid groups    </w:t>
      </w:r>
      <w:r>
        <w:rPr>
          <w:spacing w:val="31"/>
        </w:rPr>
        <w:t> </w:t>
      </w:r>
      <w:r>
        <w:rPr/>
        <w:t>due to the O–H</w:t>
      </w:r>
    </w:p>
    <w:p>
      <w:pPr>
        <w:spacing w:after="0" w:line="340" w:lineRule="auto"/>
        <w:jc w:val="both"/>
        <w:sectPr>
          <w:pgSz w:w="12240" w:h="15840"/>
          <w:pgMar w:header="730" w:footer="1060" w:top="1160" w:bottom="1260" w:left="1580" w:right="1560"/>
        </w:sectPr>
      </w:pPr>
    </w:p>
    <w:p>
      <w:pPr>
        <w:pStyle w:val="BodyText"/>
        <w:spacing w:before="11"/>
        <w:rPr>
          <w:sz w:val="10"/>
        </w:rPr>
      </w:pPr>
    </w:p>
    <w:p>
      <w:pPr>
        <w:pStyle w:val="BodyText"/>
        <w:spacing w:line="336" w:lineRule="auto" w:before="83"/>
        <w:ind w:left="122" w:right="136"/>
        <w:jc w:val="both"/>
        <w:rPr>
          <w:sz w:val="14"/>
        </w:rPr>
      </w:pPr>
      <w:r>
        <w:rPr/>
        <w:drawing>
          <wp:anchor distT="0" distB="0" distL="0" distR="0" allowOverlap="1" layoutInCell="1" locked="0" behindDoc="0" simplePos="0" relativeHeight="2440">
            <wp:simplePos x="0" y="0"/>
            <wp:positionH relativeFrom="page">
              <wp:posOffset>2451354</wp:posOffset>
            </wp:positionH>
            <wp:positionV relativeFrom="paragraph">
              <wp:posOffset>1037147</wp:posOffset>
            </wp:positionV>
            <wp:extent cx="3043050" cy="3042666"/>
            <wp:effectExtent l="0" t="0" r="0" b="0"/>
            <wp:wrapTopAndBottom/>
            <wp:docPr id="69" name="image43.png" descr=""/>
            <wp:cNvGraphicFramePr>
              <a:graphicFrameLocks noChangeAspect="1"/>
            </wp:cNvGraphicFramePr>
            <a:graphic>
              <a:graphicData uri="http://schemas.openxmlformats.org/drawingml/2006/picture">
                <pic:pic>
                  <pic:nvPicPr>
                    <pic:cNvPr id="70" name="image43.png"/>
                    <pic:cNvPicPr/>
                  </pic:nvPicPr>
                  <pic:blipFill>
                    <a:blip r:embed="rId75" cstate="print"/>
                    <a:stretch>
                      <a:fillRect/>
                    </a:stretch>
                  </pic:blipFill>
                  <pic:spPr>
                    <a:xfrm>
                      <a:off x="0" y="0"/>
                      <a:ext cx="3043050" cy="3042666"/>
                    </a:xfrm>
                    <a:prstGeom prst="rect">
                      <a:avLst/>
                    </a:prstGeom>
                  </pic:spPr>
                </pic:pic>
              </a:graphicData>
            </a:graphic>
          </wp:anchor>
        </w:drawing>
      </w:r>
      <w:r>
        <w:rPr/>
        <w:t>in-plane deformation for the former and C=O stretching vibration for the latter.</w:t>
      </w:r>
      <w:r>
        <w:rPr>
          <w:position w:val="10"/>
          <w:sz w:val="14"/>
        </w:rPr>
        <w:t>12 </w:t>
      </w:r>
      <w:r>
        <w:rPr/>
        <w:t>The peak at 1616 cm</w:t>
      </w:r>
      <w:r>
        <w:rPr>
          <w:position w:val="10"/>
          <w:sz w:val="14"/>
        </w:rPr>
        <w:t>-1 </w:t>
      </w:r>
      <w:r>
        <w:rPr/>
        <w:t>is attributable to the stretching vibration of intercalated water and also to the skeletal vibrations of unoxidised graphitic domains. This is also observed in the broad peak around 3300 cm</w:t>
      </w:r>
      <w:r>
        <w:rPr>
          <w:position w:val="10"/>
          <w:sz w:val="14"/>
        </w:rPr>
        <w:t>-1 </w:t>
      </w:r>
      <w:r>
        <w:rPr/>
        <w:t>and is a feature of the O-H stretching vibration. </w:t>
      </w:r>
      <w:r>
        <w:rPr>
          <w:position w:val="10"/>
          <w:sz w:val="14"/>
        </w:rPr>
        <w:t>9,12</w:t>
      </w:r>
    </w:p>
    <w:p>
      <w:pPr>
        <w:pStyle w:val="BodyText"/>
        <w:spacing w:before="3"/>
        <w:rPr>
          <w:sz w:val="25"/>
        </w:rPr>
      </w:pPr>
    </w:p>
    <w:p>
      <w:pPr>
        <w:spacing w:before="1"/>
        <w:ind w:left="2733" w:right="41" w:firstLine="0"/>
        <w:jc w:val="left"/>
        <w:rPr>
          <w:sz w:val="22"/>
        </w:rPr>
      </w:pPr>
      <w:r>
        <w:rPr>
          <w:b/>
          <w:sz w:val="22"/>
        </w:rPr>
        <w:t>Figure 1. </w:t>
      </w:r>
      <w:r>
        <w:rPr>
          <w:sz w:val="22"/>
        </w:rPr>
        <w:t>Raman spectra of the nanofillers.</w:t>
      </w:r>
    </w:p>
    <w:p>
      <w:pPr>
        <w:pStyle w:val="BodyText"/>
      </w:pPr>
    </w:p>
    <w:p>
      <w:pPr>
        <w:pStyle w:val="BodyText"/>
        <w:spacing w:before="10"/>
        <w:rPr>
          <w:sz w:val="21"/>
        </w:rPr>
      </w:pPr>
    </w:p>
    <w:p>
      <w:pPr>
        <w:pStyle w:val="BodyText"/>
        <w:spacing w:line="336" w:lineRule="auto" w:before="1"/>
        <w:ind w:left="122" w:right="133" w:firstLine="201"/>
        <w:jc w:val="both"/>
        <w:rPr>
          <w:sz w:val="14"/>
        </w:rPr>
      </w:pPr>
      <w:r>
        <w:rPr/>
        <w:t>RGO spectrum shows the oxygen functional groups peaks vanished after reduction. Both CNT and RGO spectra are very similar. However RGO shows a few weak peaks 1186 cm</w:t>
      </w:r>
      <w:r>
        <w:rPr>
          <w:position w:val="10"/>
          <w:sz w:val="14"/>
        </w:rPr>
        <w:t>-1  </w:t>
      </w:r>
      <w:r>
        <w:rPr/>
        <w:t>and 1385  cm</w:t>
      </w:r>
      <w:r>
        <w:rPr>
          <w:position w:val="10"/>
          <w:sz w:val="14"/>
        </w:rPr>
        <w:t>-1 </w:t>
      </w:r>
      <w:r>
        <w:rPr/>
        <w:t>that are features of the C-N stretching. </w:t>
      </w:r>
      <w:r>
        <w:rPr>
          <w:position w:val="10"/>
          <w:sz w:val="14"/>
        </w:rPr>
        <w:t>13 </w:t>
      </w:r>
      <w:r>
        <w:rPr/>
        <w:t>This indicates a few amine groups adhered to the graphene surface due to the reducing agent used. The peak at 1570 cm</w:t>
      </w:r>
      <w:r>
        <w:rPr>
          <w:position w:val="10"/>
          <w:sz w:val="14"/>
        </w:rPr>
        <w:t>−1 </w:t>
      </w:r>
      <w:r>
        <w:rPr/>
        <w:t>is in accordance with C=C vibrations contributed from aromatic ring mode.</w:t>
      </w:r>
      <w:r>
        <w:rPr>
          <w:position w:val="10"/>
          <w:sz w:val="14"/>
        </w:rPr>
        <w:t>14 </w:t>
      </w:r>
      <w:r>
        <w:rPr/>
        <w:t>After amino functionalisation CNTs and  graphene show peaks between 750 cm</w:t>
      </w:r>
      <w:r>
        <w:rPr>
          <w:position w:val="10"/>
          <w:sz w:val="14"/>
        </w:rPr>
        <w:t>−1 </w:t>
      </w:r>
      <w:r>
        <w:rPr/>
        <w:t>and 980 cm</w:t>
      </w:r>
      <w:r>
        <w:rPr>
          <w:position w:val="10"/>
          <w:sz w:val="14"/>
        </w:rPr>
        <w:t>−1 </w:t>
      </w:r>
      <w:r>
        <w:rPr/>
        <w:t>due to the wagging of the N-H bond. The C- N stretching is seen 1220 cm</w:t>
      </w:r>
      <w:r>
        <w:rPr>
          <w:position w:val="10"/>
          <w:sz w:val="14"/>
        </w:rPr>
        <w:t>−1</w:t>
      </w:r>
      <w:r>
        <w:rPr/>
        <w:t>.</w:t>
      </w:r>
      <w:r>
        <w:rPr>
          <w:position w:val="10"/>
          <w:sz w:val="14"/>
        </w:rPr>
        <w:t>13 </w:t>
      </w:r>
      <w:r>
        <w:rPr/>
        <w:t>The amide group (C=O) N-H features ~1700 cm</w:t>
      </w:r>
      <w:r>
        <w:rPr>
          <w:position w:val="10"/>
          <w:sz w:val="14"/>
        </w:rPr>
        <w:t>-1</w:t>
      </w:r>
      <w:r>
        <w:rPr/>
        <w:t>.</w:t>
      </w:r>
      <w:r>
        <w:rPr>
          <w:position w:val="10"/>
          <w:sz w:val="14"/>
        </w:rPr>
        <w:t>12 </w:t>
      </w:r>
      <w:r>
        <w:rPr/>
        <w:t>This is also related to the in-plane amide N-H deformation mode at ~1570 cm</w:t>
      </w:r>
      <w:r>
        <w:rPr>
          <w:position w:val="10"/>
          <w:sz w:val="14"/>
        </w:rPr>
        <w:t>-1</w:t>
      </w:r>
      <w:r>
        <w:rPr/>
        <w:t>.</w:t>
      </w:r>
      <w:r>
        <w:rPr>
          <w:position w:val="10"/>
          <w:sz w:val="14"/>
        </w:rPr>
        <w:t>9 </w:t>
      </w:r>
      <w:r>
        <w:rPr/>
        <w:t>The N-H bend of Amide I is seen at ~1641 cm</w:t>
      </w:r>
      <w:r>
        <w:rPr>
          <w:position w:val="10"/>
          <w:sz w:val="14"/>
        </w:rPr>
        <w:t>-1 </w:t>
      </w:r>
      <w:r>
        <w:rPr/>
        <w:t>and the N-H stretching at ~1740 cm</w:t>
      </w:r>
      <w:r>
        <w:rPr>
          <w:position w:val="10"/>
          <w:sz w:val="14"/>
        </w:rPr>
        <w:t>−1</w:t>
      </w:r>
      <w:r>
        <w:rPr/>
        <w:t>.</w:t>
      </w:r>
      <w:r>
        <w:rPr>
          <w:position w:val="10"/>
          <w:sz w:val="14"/>
        </w:rPr>
        <w:t>12 </w:t>
      </w:r>
      <w:r>
        <w:rPr/>
        <w:t>The peaks at ~1400 cm</w:t>
      </w:r>
      <w:r>
        <w:rPr>
          <w:position w:val="10"/>
          <w:sz w:val="14"/>
        </w:rPr>
        <w:t>-1  </w:t>
      </w:r>
      <w:r>
        <w:rPr/>
        <w:t>and ~1450  cm</w:t>
      </w:r>
      <w:r>
        <w:rPr>
          <w:position w:val="10"/>
          <w:sz w:val="14"/>
        </w:rPr>
        <w:t>-1 </w:t>
      </w:r>
      <w:r>
        <w:rPr/>
        <w:t>are due to the attachment of additional methyl groups and the peaks at ~2850 and ~2920 cm</w:t>
      </w:r>
      <w:r>
        <w:rPr>
          <w:position w:val="10"/>
          <w:sz w:val="14"/>
        </w:rPr>
        <w:t>-1 </w:t>
      </w:r>
      <w:r>
        <w:rPr/>
        <w:t>corresponding to the C-H stretching</w:t>
      </w:r>
      <w:r>
        <w:rPr>
          <w:spacing w:val="-15"/>
        </w:rPr>
        <w:t> </w:t>
      </w:r>
      <w:r>
        <w:rPr/>
        <w:t>vibration.</w:t>
      </w:r>
      <w:r>
        <w:rPr>
          <w:position w:val="10"/>
          <w:sz w:val="14"/>
        </w:rPr>
        <w:t>9</w:t>
      </w:r>
    </w:p>
    <w:p>
      <w:pPr>
        <w:pStyle w:val="BodyText"/>
        <w:spacing w:before="7"/>
        <w:rPr>
          <w:sz w:val="34"/>
        </w:rPr>
      </w:pPr>
    </w:p>
    <w:p>
      <w:pPr>
        <w:pStyle w:val="BodyText"/>
        <w:spacing w:line="360" w:lineRule="auto" w:before="1"/>
        <w:ind w:left="122" w:right="140" w:firstLine="201"/>
        <w:jc w:val="both"/>
      </w:pPr>
      <w:r>
        <w:rPr/>
        <w:t>FTIR spectroscopy has also been used for determining the structural units present in pure nylon 6,6 and nanofiller reinforced injection moulded samples. The FTIR spectra are presented in Figure 3</w:t>
      </w:r>
    </w:p>
    <w:p>
      <w:pPr>
        <w:spacing w:after="0" w:line="360" w:lineRule="auto"/>
        <w:jc w:val="both"/>
        <w:sectPr>
          <w:pgSz w:w="12240" w:h="15840"/>
          <w:pgMar w:header="730" w:footer="1060" w:top="1160" w:bottom="1260" w:left="1580" w:right="1560"/>
        </w:sectPr>
      </w:pPr>
    </w:p>
    <w:p>
      <w:pPr>
        <w:pStyle w:val="BodyText"/>
        <w:spacing w:before="11"/>
        <w:rPr>
          <w:sz w:val="10"/>
        </w:rPr>
      </w:pPr>
    </w:p>
    <w:p>
      <w:pPr>
        <w:pStyle w:val="BodyText"/>
        <w:spacing w:before="83"/>
        <w:ind w:left="122"/>
        <w:jc w:val="both"/>
      </w:pPr>
      <w:r>
        <w:rPr/>
        <w:t>showing the samples with the highest content of carbon nanofillers. The two peaks at ~842 cm</w:t>
      </w:r>
      <w:r>
        <w:rPr>
          <w:position w:val="10"/>
          <w:sz w:val="14"/>
        </w:rPr>
        <w:t>-1 </w:t>
      </w:r>
      <w:r>
        <w:rPr/>
        <w:t>and</w:t>
      </w:r>
    </w:p>
    <w:p>
      <w:pPr>
        <w:pStyle w:val="BodyText"/>
        <w:spacing w:line="336" w:lineRule="auto" w:before="103"/>
        <w:ind w:left="122" w:right="135"/>
        <w:jc w:val="both"/>
      </w:pPr>
      <w:r>
        <w:rPr/>
        <w:t>~1093 cm</w:t>
      </w:r>
      <w:r>
        <w:rPr>
          <w:position w:val="10"/>
          <w:sz w:val="14"/>
        </w:rPr>
        <w:t>-1 </w:t>
      </w:r>
      <w:r>
        <w:rPr/>
        <w:t>correspond to skeletal C-C vibrations.</w:t>
      </w:r>
      <w:r>
        <w:rPr>
          <w:position w:val="10"/>
          <w:sz w:val="14"/>
        </w:rPr>
        <w:t>24 </w:t>
      </w:r>
      <w:r>
        <w:rPr/>
        <w:t>Between them the peak ~956 cm</w:t>
      </w:r>
      <w:r>
        <w:rPr>
          <w:position w:val="10"/>
          <w:sz w:val="14"/>
        </w:rPr>
        <w:t>-1  </w:t>
      </w:r>
      <w:r>
        <w:rPr/>
        <w:t>is  attributable to the crystalline peak of the amide axial deformation C-C=O. </w:t>
      </w:r>
      <w:r>
        <w:rPr>
          <w:position w:val="10"/>
          <w:sz w:val="14"/>
        </w:rPr>
        <w:t>25 </w:t>
      </w:r>
      <w:r>
        <w:rPr/>
        <w:t>These are followed by the angular deformation out of plane of carbonyl groups ~1147 cm</w:t>
      </w:r>
      <w:r>
        <w:rPr>
          <w:position w:val="10"/>
          <w:sz w:val="14"/>
        </w:rPr>
        <w:t>-1</w:t>
      </w:r>
      <w:r>
        <w:rPr/>
        <w:t>.</w:t>
      </w:r>
      <w:r>
        <w:rPr>
          <w:position w:val="10"/>
          <w:sz w:val="14"/>
        </w:rPr>
        <w:t>26 </w:t>
      </w:r>
      <w:r>
        <w:rPr/>
        <w:t>The peak ~1242 cm</w:t>
      </w:r>
      <w:r>
        <w:rPr>
          <w:position w:val="10"/>
          <w:sz w:val="14"/>
        </w:rPr>
        <w:t>-1 </w:t>
      </w:r>
      <w:r>
        <w:rPr/>
        <w:t>is due to</w:t>
      </w:r>
      <w:r>
        <w:rPr>
          <w:spacing w:val="16"/>
        </w:rPr>
        <w:t> </w:t>
      </w:r>
      <w:r>
        <w:rPr/>
        <w:t>the</w:t>
      </w:r>
      <w:r>
        <w:rPr>
          <w:spacing w:val="17"/>
        </w:rPr>
        <w:t> </w:t>
      </w:r>
      <w:r>
        <w:rPr/>
        <w:t>angular</w:t>
      </w:r>
      <w:r>
        <w:rPr>
          <w:spacing w:val="17"/>
        </w:rPr>
        <w:t> </w:t>
      </w:r>
      <w:r>
        <w:rPr/>
        <w:t>deformation</w:t>
      </w:r>
      <w:r>
        <w:rPr>
          <w:spacing w:val="14"/>
        </w:rPr>
        <w:t> </w:t>
      </w:r>
      <w:r>
        <w:rPr/>
        <w:t>out</w:t>
      </w:r>
      <w:r>
        <w:rPr>
          <w:spacing w:val="17"/>
        </w:rPr>
        <w:t> </w:t>
      </w:r>
      <w:r>
        <w:rPr/>
        <w:t>of</w:t>
      </w:r>
      <w:r>
        <w:rPr>
          <w:spacing w:val="17"/>
        </w:rPr>
        <w:t> </w:t>
      </w:r>
      <w:r>
        <w:rPr/>
        <w:t>plane,</w:t>
      </w:r>
      <w:r>
        <w:rPr>
          <w:spacing w:val="17"/>
        </w:rPr>
        <w:t> </w:t>
      </w:r>
      <w:r>
        <w:rPr/>
        <w:t>(H-N-C</w:t>
      </w:r>
      <w:r>
        <w:rPr>
          <w:spacing w:val="15"/>
        </w:rPr>
        <w:t> </w:t>
      </w:r>
      <w:r>
        <w:rPr/>
        <w:t>=</w:t>
      </w:r>
      <w:r>
        <w:rPr>
          <w:spacing w:val="19"/>
        </w:rPr>
        <w:t> </w:t>
      </w:r>
      <w:r>
        <w:rPr/>
        <w:t>O).</w:t>
      </w:r>
      <w:r>
        <w:rPr>
          <w:position w:val="10"/>
          <w:sz w:val="14"/>
        </w:rPr>
        <w:t>25 </w:t>
      </w:r>
      <w:r>
        <w:rPr>
          <w:spacing w:val="2"/>
          <w:position w:val="10"/>
          <w:sz w:val="14"/>
        </w:rPr>
        <w:t> </w:t>
      </w:r>
      <w:r>
        <w:rPr/>
        <w:t>The</w:t>
      </w:r>
      <w:r>
        <w:rPr>
          <w:spacing w:val="17"/>
        </w:rPr>
        <w:t> </w:t>
      </w:r>
      <w:r>
        <w:rPr/>
        <w:t>C-N</w:t>
      </w:r>
      <w:r>
        <w:rPr>
          <w:spacing w:val="17"/>
        </w:rPr>
        <w:t> </w:t>
      </w:r>
      <w:r>
        <w:rPr/>
        <w:t>stretching</w:t>
      </w:r>
      <w:r>
        <w:rPr>
          <w:spacing w:val="14"/>
        </w:rPr>
        <w:t> </w:t>
      </w:r>
      <w:r>
        <w:rPr/>
        <w:t>vibration</w:t>
      </w:r>
      <w:r>
        <w:rPr>
          <w:spacing w:val="16"/>
        </w:rPr>
        <w:t> </w:t>
      </w:r>
      <w:r>
        <w:rPr/>
        <w:t>is</w:t>
      </w:r>
      <w:r>
        <w:rPr>
          <w:spacing w:val="17"/>
        </w:rPr>
        <w:t> </w:t>
      </w:r>
      <w:r>
        <w:rPr/>
        <w:t>shown</w:t>
      </w:r>
      <w:r>
        <w:rPr>
          <w:spacing w:val="13"/>
        </w:rPr>
        <w:t> </w:t>
      </w:r>
      <w:r>
        <w:rPr/>
        <w:t>at</w:t>
      </w:r>
    </w:p>
    <w:p>
      <w:pPr>
        <w:pStyle w:val="BodyText"/>
        <w:spacing w:line="324" w:lineRule="auto"/>
        <w:ind w:left="122" w:right="136"/>
        <w:jc w:val="both"/>
        <w:rPr>
          <w:sz w:val="14"/>
        </w:rPr>
      </w:pPr>
      <w:r>
        <w:rPr/>
        <w:drawing>
          <wp:anchor distT="0" distB="0" distL="0" distR="0" allowOverlap="1" layoutInCell="1" locked="0" behindDoc="0" simplePos="0" relativeHeight="2464">
            <wp:simplePos x="0" y="0"/>
            <wp:positionH relativeFrom="page">
              <wp:posOffset>2386964</wp:posOffset>
            </wp:positionH>
            <wp:positionV relativeFrom="paragraph">
              <wp:posOffset>742634</wp:posOffset>
            </wp:positionV>
            <wp:extent cx="3042665" cy="3042666"/>
            <wp:effectExtent l="0" t="0" r="0" b="0"/>
            <wp:wrapTopAndBottom/>
            <wp:docPr id="71" name="image44.png" descr=""/>
            <wp:cNvGraphicFramePr>
              <a:graphicFrameLocks noChangeAspect="1"/>
            </wp:cNvGraphicFramePr>
            <a:graphic>
              <a:graphicData uri="http://schemas.openxmlformats.org/drawingml/2006/picture">
                <pic:pic>
                  <pic:nvPicPr>
                    <pic:cNvPr id="72" name="image44.png"/>
                    <pic:cNvPicPr/>
                  </pic:nvPicPr>
                  <pic:blipFill>
                    <a:blip r:embed="rId76" cstate="print"/>
                    <a:stretch>
                      <a:fillRect/>
                    </a:stretch>
                  </pic:blipFill>
                  <pic:spPr>
                    <a:xfrm>
                      <a:off x="0" y="0"/>
                      <a:ext cx="3042665" cy="3042666"/>
                    </a:xfrm>
                    <a:prstGeom prst="rect">
                      <a:avLst/>
                    </a:prstGeom>
                  </pic:spPr>
                </pic:pic>
              </a:graphicData>
            </a:graphic>
          </wp:anchor>
        </w:drawing>
      </w:r>
      <w:r>
        <w:rPr/>
        <w:t>~1280 cm</w:t>
      </w:r>
      <w:r>
        <w:rPr>
          <w:position w:val="10"/>
          <w:sz w:val="14"/>
        </w:rPr>
        <w:t>-1</w:t>
      </w:r>
      <w:r>
        <w:rPr/>
        <w:t>.</w:t>
      </w:r>
      <w:r>
        <w:rPr>
          <w:position w:val="10"/>
          <w:sz w:val="14"/>
        </w:rPr>
        <w:t>24 </w:t>
      </w:r>
      <w:r>
        <w:rPr/>
        <w:t>The amide III band/CH</w:t>
      </w:r>
      <w:r>
        <w:rPr>
          <w:position w:val="-2"/>
          <w:sz w:val="14"/>
        </w:rPr>
        <w:t>2 </w:t>
      </w:r>
      <w:r>
        <w:rPr/>
        <w:t>wagging is located ~1345 cm</w:t>
      </w:r>
      <w:r>
        <w:rPr>
          <w:position w:val="10"/>
          <w:sz w:val="14"/>
        </w:rPr>
        <w:t>-1</w:t>
      </w:r>
      <w:r>
        <w:rPr/>
        <w:t>. The N-H deformation/CH</w:t>
      </w:r>
      <w:r>
        <w:rPr>
          <w:position w:val="-2"/>
          <w:sz w:val="14"/>
        </w:rPr>
        <w:t>2 </w:t>
      </w:r>
      <w:r>
        <w:rPr/>
        <w:t>scissoring is presented at ~1466 cm</w:t>
      </w:r>
      <w:r>
        <w:rPr>
          <w:position w:val="10"/>
          <w:sz w:val="14"/>
        </w:rPr>
        <w:t>-1</w:t>
      </w:r>
      <w:r>
        <w:rPr/>
        <w:t>.</w:t>
      </w:r>
      <w:r>
        <w:rPr>
          <w:position w:val="10"/>
          <w:sz w:val="14"/>
        </w:rPr>
        <w:t>26 </w:t>
      </w:r>
      <w:r>
        <w:rPr/>
        <w:t>And finally, the peak ~2880 cm</w:t>
      </w:r>
      <w:r>
        <w:rPr>
          <w:position w:val="10"/>
          <w:sz w:val="14"/>
        </w:rPr>
        <w:t>-1 </w:t>
      </w:r>
      <w:r>
        <w:rPr/>
        <w:t>corresponds to the CH</w:t>
      </w:r>
      <w:r>
        <w:rPr>
          <w:position w:val="-2"/>
          <w:sz w:val="14"/>
        </w:rPr>
        <w:t>2 </w:t>
      </w:r>
      <w:r>
        <w:rPr/>
        <w:t>α- NH axial deformation.</w:t>
      </w:r>
      <w:r>
        <w:rPr>
          <w:position w:val="10"/>
          <w:sz w:val="14"/>
        </w:rPr>
        <w:t>24</w:t>
      </w:r>
    </w:p>
    <w:p>
      <w:pPr>
        <w:pStyle w:val="BodyText"/>
        <w:spacing w:before="10"/>
        <w:rPr>
          <w:sz w:val="21"/>
        </w:rPr>
      </w:pPr>
    </w:p>
    <w:p>
      <w:pPr>
        <w:spacing w:before="0"/>
        <w:ind w:left="158" w:right="175" w:firstLine="0"/>
        <w:jc w:val="center"/>
        <w:rPr>
          <w:sz w:val="22"/>
        </w:rPr>
      </w:pPr>
      <w:r>
        <w:rPr>
          <w:b/>
          <w:sz w:val="22"/>
        </w:rPr>
        <w:t>Figure 2. </w:t>
      </w:r>
      <w:r>
        <w:rPr>
          <w:sz w:val="22"/>
        </w:rPr>
        <w:t>FTIR spectra of the nanofillers.</w:t>
      </w:r>
    </w:p>
    <w:p>
      <w:pPr>
        <w:pStyle w:val="BodyText"/>
      </w:pPr>
    </w:p>
    <w:p>
      <w:pPr>
        <w:pStyle w:val="BodyText"/>
        <w:spacing w:before="1"/>
      </w:pPr>
    </w:p>
    <w:p>
      <w:pPr>
        <w:pStyle w:val="BodyText"/>
        <w:spacing w:line="348" w:lineRule="auto" w:before="1"/>
        <w:ind w:left="122" w:right="133" w:firstLine="201"/>
        <w:jc w:val="both"/>
      </w:pPr>
      <w:r>
        <w:rPr/>
        <w:t>The melting and crystallisation temperatures of the injection moulded nanocomposites are shown in Table 1. All melting thermograms showed a broad peak at ~260°C attributed to the melting of α- crystals.</w:t>
      </w:r>
      <w:r>
        <w:rPr>
          <w:position w:val="10"/>
          <w:sz w:val="14"/>
        </w:rPr>
        <w:t>27 </w:t>
      </w:r>
      <w:r>
        <w:rPr/>
        <w:t>There is also a very slight broad shoulder on the low temperature side at ~250°C indicating morphological changes in the crystallite</w:t>
      </w:r>
      <w:r>
        <w:rPr>
          <w:position w:val="10"/>
          <w:sz w:val="14"/>
        </w:rPr>
        <w:t>18 </w:t>
      </w:r>
      <w:r>
        <w:rPr/>
        <w:t>or the melting of small and less stable crystalline units.</w:t>
      </w:r>
      <w:r>
        <w:rPr>
          <w:position w:val="10"/>
          <w:sz w:val="14"/>
        </w:rPr>
        <w:t>22 </w:t>
      </w:r>
      <w:r>
        <w:rPr/>
        <w:t>There was no significant variations in the melting temperature between nylon 6,6 and the nanofiller reinforced samples. The percentage of crystallinity (X</w:t>
      </w:r>
      <w:r>
        <w:rPr>
          <w:position w:val="-2"/>
          <w:sz w:val="14"/>
        </w:rPr>
        <w:t>c</w:t>
      </w:r>
      <w:r>
        <w:rPr/>
        <w:t>) was calculated by integrating the melting curves for obtaining the sample heat of fusion and dividing by the heat of fusion of 100% crystalline nylon 6,6, taken as 197 J/g.</w:t>
      </w:r>
      <w:r>
        <w:rPr>
          <w:position w:val="10"/>
          <w:sz w:val="14"/>
        </w:rPr>
        <w:t>22  </w:t>
      </w:r>
      <w:r>
        <w:rPr/>
        <w:t>As shown in Table 1, the crystallinity in  the nanocomposites in most cases increased marginally as a function of nanofiller content, except in f-CNT based nanocomposites. This can be explained from a kinetic point of view. The nucleation</w:t>
      </w:r>
      <w:r>
        <w:rPr>
          <w:spacing w:val="-8"/>
        </w:rPr>
        <w:t> </w:t>
      </w:r>
      <w:r>
        <w:rPr/>
        <w:t>in</w:t>
      </w:r>
    </w:p>
    <w:p>
      <w:pPr>
        <w:spacing w:after="0" w:line="348" w:lineRule="auto"/>
        <w:jc w:val="both"/>
        <w:sectPr>
          <w:pgSz w:w="12240" w:h="15840"/>
          <w:pgMar w:header="730" w:footer="1060" w:top="1160" w:bottom="1260" w:left="1580" w:right="1560"/>
        </w:sectPr>
      </w:pPr>
    </w:p>
    <w:p>
      <w:pPr>
        <w:pStyle w:val="BodyText"/>
        <w:rPr>
          <w:sz w:val="14"/>
        </w:rPr>
      </w:pPr>
    </w:p>
    <w:p>
      <w:pPr>
        <w:pStyle w:val="BodyText"/>
        <w:spacing w:line="336" w:lineRule="auto" w:before="73"/>
        <w:ind w:left="242" w:right="217"/>
        <w:jc w:val="both"/>
        <w:rPr>
          <w:sz w:val="14"/>
        </w:rPr>
      </w:pPr>
      <w:r>
        <w:rPr/>
        <w:drawing>
          <wp:anchor distT="0" distB="0" distL="0" distR="0" allowOverlap="1" layoutInCell="1" locked="0" behindDoc="0" simplePos="0" relativeHeight="2488">
            <wp:simplePos x="0" y="0"/>
            <wp:positionH relativeFrom="page">
              <wp:posOffset>2387219</wp:posOffset>
            </wp:positionH>
            <wp:positionV relativeFrom="paragraph">
              <wp:posOffset>773931</wp:posOffset>
            </wp:positionV>
            <wp:extent cx="3043306" cy="3042666"/>
            <wp:effectExtent l="0" t="0" r="0" b="0"/>
            <wp:wrapTopAndBottom/>
            <wp:docPr id="73" name="image45.png" descr=""/>
            <wp:cNvGraphicFramePr>
              <a:graphicFrameLocks noChangeAspect="1"/>
            </wp:cNvGraphicFramePr>
            <a:graphic>
              <a:graphicData uri="http://schemas.openxmlformats.org/drawingml/2006/picture">
                <pic:pic>
                  <pic:nvPicPr>
                    <pic:cNvPr id="74" name="image45.png"/>
                    <pic:cNvPicPr/>
                  </pic:nvPicPr>
                  <pic:blipFill>
                    <a:blip r:embed="rId77" cstate="print"/>
                    <a:stretch>
                      <a:fillRect/>
                    </a:stretch>
                  </pic:blipFill>
                  <pic:spPr>
                    <a:xfrm>
                      <a:off x="0" y="0"/>
                      <a:ext cx="3043306" cy="3042666"/>
                    </a:xfrm>
                    <a:prstGeom prst="rect">
                      <a:avLst/>
                    </a:prstGeom>
                  </pic:spPr>
                </pic:pic>
              </a:graphicData>
            </a:graphic>
          </wp:anchor>
        </w:drawing>
      </w:r>
      <w:r>
        <w:rPr/>
        <w:t>the polymer is a rate-limiting process and the addition of nanofillers increases the nucleation rate during cooling and hence the fractional crystallinity.</w:t>
      </w:r>
      <w:r>
        <w:rPr>
          <w:position w:val="10"/>
          <w:sz w:val="14"/>
        </w:rPr>
        <w:t>27 </w:t>
      </w:r>
      <w:r>
        <w:rPr/>
        <w:t>The opposite behaviour provided by f-CNT has been also found in our previous research of electrospun nanocomposites.</w:t>
      </w:r>
      <w:r>
        <w:rPr>
          <w:position w:val="10"/>
          <w:sz w:val="14"/>
        </w:rPr>
        <w:t>7</w:t>
      </w:r>
    </w:p>
    <w:p>
      <w:pPr>
        <w:pStyle w:val="BodyText"/>
        <w:spacing w:before="9"/>
        <w:rPr>
          <w:sz w:val="21"/>
        </w:rPr>
      </w:pPr>
    </w:p>
    <w:p>
      <w:pPr>
        <w:pStyle w:val="BodyText"/>
        <w:ind w:left="732" w:right="712"/>
        <w:jc w:val="center"/>
      </w:pPr>
      <w:r>
        <w:rPr>
          <w:b/>
        </w:rPr>
        <w:t>Figure 3. </w:t>
      </w:r>
      <w:r>
        <w:rPr/>
        <w:t>FTIR spectra of nylon 6,6 and nanocomposites containing 0.5 wt.% nanofiller.</w:t>
      </w:r>
    </w:p>
    <w:p>
      <w:pPr>
        <w:pStyle w:val="BodyText"/>
      </w:pPr>
    </w:p>
    <w:p>
      <w:pPr>
        <w:pStyle w:val="BodyText"/>
        <w:spacing w:before="1"/>
      </w:pPr>
    </w:p>
    <w:p>
      <w:pPr>
        <w:pStyle w:val="BodyText"/>
        <w:spacing w:before="1"/>
        <w:ind w:left="732" w:right="711"/>
        <w:jc w:val="center"/>
      </w:pPr>
      <w:r>
        <w:rPr>
          <w:b/>
        </w:rPr>
        <w:t>Table 1. </w:t>
      </w:r>
      <w:r>
        <w:rPr/>
        <w:t>Crystallisation properties obtained from DSC</w:t>
      </w:r>
    </w:p>
    <w:p>
      <w:pPr>
        <w:pStyle w:val="BodyText"/>
        <w:spacing w:before="9"/>
        <w:rPr>
          <w:sz w:val="28"/>
        </w:rPr>
      </w:pPr>
    </w:p>
    <w:tbl>
      <w:tblPr>
        <w:tblW w:w="0" w:type="auto"/>
        <w:jc w:val="left"/>
        <w:tblInd w:w="11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596"/>
        <w:gridCol w:w="1227"/>
        <w:gridCol w:w="1351"/>
        <w:gridCol w:w="1183"/>
        <w:gridCol w:w="1225"/>
        <w:gridCol w:w="1253"/>
        <w:gridCol w:w="1252"/>
      </w:tblGrid>
      <w:tr>
        <w:trPr>
          <w:trHeight w:val="312" w:hRule="exact"/>
        </w:trPr>
        <w:tc>
          <w:tcPr>
            <w:tcW w:w="5358" w:type="dxa"/>
            <w:gridSpan w:val="4"/>
            <w:tcBorders>
              <w:left w:val="nil"/>
              <w:bottom w:val="single" w:sz="8" w:space="0" w:color="000000"/>
              <w:right w:val="nil"/>
            </w:tcBorders>
          </w:tcPr>
          <w:p>
            <w:pPr>
              <w:pStyle w:val="TableParagraph"/>
              <w:spacing w:line="247" w:lineRule="exact"/>
              <w:ind w:left="2349"/>
              <w:jc w:val="left"/>
              <w:rPr>
                <w:sz w:val="22"/>
              </w:rPr>
            </w:pPr>
            <w:r>
              <w:rPr>
                <w:sz w:val="22"/>
              </w:rPr>
              <w:t>Melting temperature, °C</w:t>
            </w:r>
          </w:p>
        </w:tc>
        <w:tc>
          <w:tcPr>
            <w:tcW w:w="3730" w:type="dxa"/>
            <w:gridSpan w:val="3"/>
            <w:tcBorders>
              <w:left w:val="nil"/>
              <w:bottom w:val="single" w:sz="8" w:space="0" w:color="000000"/>
              <w:right w:val="nil"/>
            </w:tcBorders>
          </w:tcPr>
          <w:p>
            <w:pPr>
              <w:pStyle w:val="TableParagraph"/>
              <w:spacing w:line="247" w:lineRule="exact"/>
              <w:ind w:left="549"/>
              <w:jc w:val="left"/>
              <w:rPr>
                <w:sz w:val="22"/>
              </w:rPr>
            </w:pPr>
            <w:r>
              <w:rPr>
                <w:sz w:val="22"/>
              </w:rPr>
              <w:t>Percentage of crystallinity, %</w:t>
            </w:r>
          </w:p>
        </w:tc>
      </w:tr>
      <w:tr>
        <w:trPr>
          <w:trHeight w:val="319" w:hRule="exact"/>
        </w:trPr>
        <w:tc>
          <w:tcPr>
            <w:tcW w:w="1596" w:type="dxa"/>
            <w:tcBorders>
              <w:top w:val="single" w:sz="8" w:space="0" w:color="000000"/>
              <w:left w:val="nil"/>
              <w:bottom w:val="single" w:sz="8" w:space="0" w:color="000000"/>
              <w:right w:val="nil"/>
            </w:tcBorders>
          </w:tcPr>
          <w:p>
            <w:pPr>
              <w:pStyle w:val="TableParagraph"/>
              <w:spacing w:line="249" w:lineRule="exact"/>
              <w:ind w:left="318" w:right="331"/>
              <w:rPr>
                <w:sz w:val="22"/>
              </w:rPr>
            </w:pPr>
            <w:r>
              <w:rPr>
                <w:sz w:val="22"/>
              </w:rPr>
              <w:t>Nylon 6,6</w:t>
            </w:r>
          </w:p>
        </w:tc>
        <w:tc>
          <w:tcPr>
            <w:tcW w:w="1227" w:type="dxa"/>
            <w:tcBorders>
              <w:top w:val="single" w:sz="8" w:space="0" w:color="000000"/>
              <w:left w:val="nil"/>
              <w:bottom w:val="single" w:sz="8" w:space="0" w:color="000000"/>
              <w:right w:val="nil"/>
            </w:tcBorders>
          </w:tcPr>
          <w:p>
            <w:pPr/>
          </w:p>
        </w:tc>
        <w:tc>
          <w:tcPr>
            <w:tcW w:w="1351" w:type="dxa"/>
            <w:tcBorders>
              <w:top w:val="single" w:sz="8" w:space="0" w:color="000000"/>
              <w:left w:val="nil"/>
              <w:bottom w:val="single" w:sz="8" w:space="0" w:color="000000"/>
              <w:right w:val="nil"/>
            </w:tcBorders>
          </w:tcPr>
          <w:p>
            <w:pPr>
              <w:pStyle w:val="TableParagraph"/>
              <w:spacing w:line="249" w:lineRule="exact"/>
              <w:ind w:left="164" w:right="259"/>
              <w:rPr>
                <w:sz w:val="22"/>
              </w:rPr>
            </w:pPr>
            <w:r>
              <w:rPr>
                <w:sz w:val="22"/>
              </w:rPr>
              <w:t>263.77</w:t>
            </w:r>
          </w:p>
        </w:tc>
        <w:tc>
          <w:tcPr>
            <w:tcW w:w="1183" w:type="dxa"/>
            <w:tcBorders>
              <w:top w:val="single" w:sz="8" w:space="0" w:color="000000"/>
              <w:left w:val="nil"/>
              <w:bottom w:val="single" w:sz="8" w:space="0" w:color="000000"/>
              <w:right w:val="nil"/>
            </w:tcBorders>
          </w:tcPr>
          <w:p>
            <w:pPr/>
          </w:p>
        </w:tc>
        <w:tc>
          <w:tcPr>
            <w:tcW w:w="1225" w:type="dxa"/>
            <w:tcBorders>
              <w:top w:val="single" w:sz="8" w:space="0" w:color="000000"/>
              <w:left w:val="nil"/>
              <w:bottom w:val="single" w:sz="8" w:space="0" w:color="000000"/>
              <w:right w:val="nil"/>
            </w:tcBorders>
          </w:tcPr>
          <w:p>
            <w:pPr/>
          </w:p>
        </w:tc>
        <w:tc>
          <w:tcPr>
            <w:tcW w:w="1253" w:type="dxa"/>
            <w:tcBorders>
              <w:top w:val="single" w:sz="8" w:space="0" w:color="000000"/>
              <w:left w:val="nil"/>
              <w:bottom w:val="single" w:sz="8" w:space="0" w:color="000000"/>
              <w:right w:val="nil"/>
            </w:tcBorders>
          </w:tcPr>
          <w:p>
            <w:pPr>
              <w:pStyle w:val="TableParagraph"/>
              <w:spacing w:line="249" w:lineRule="exact"/>
              <w:ind w:left="162" w:right="162"/>
              <w:rPr>
                <w:sz w:val="22"/>
              </w:rPr>
            </w:pPr>
            <w:r>
              <w:rPr>
                <w:sz w:val="22"/>
              </w:rPr>
              <w:t>37.7</w:t>
            </w:r>
          </w:p>
        </w:tc>
        <w:tc>
          <w:tcPr>
            <w:tcW w:w="1252" w:type="dxa"/>
            <w:tcBorders>
              <w:top w:val="single" w:sz="8" w:space="0" w:color="000000"/>
              <w:left w:val="nil"/>
              <w:bottom w:val="single" w:sz="8" w:space="0" w:color="000000"/>
              <w:right w:val="nil"/>
            </w:tcBorders>
          </w:tcPr>
          <w:p>
            <w:pPr/>
          </w:p>
        </w:tc>
      </w:tr>
      <w:tr>
        <w:trPr>
          <w:trHeight w:val="311" w:hRule="exact"/>
        </w:trPr>
        <w:tc>
          <w:tcPr>
            <w:tcW w:w="1596" w:type="dxa"/>
            <w:tcBorders>
              <w:top w:val="single" w:sz="8" w:space="0" w:color="000000"/>
              <w:left w:val="nil"/>
              <w:bottom w:val="nil"/>
              <w:right w:val="nil"/>
            </w:tcBorders>
          </w:tcPr>
          <w:p>
            <w:pPr>
              <w:pStyle w:val="TableParagraph"/>
              <w:spacing w:before="13"/>
              <w:ind w:left="320" w:right="331"/>
              <w:rPr>
                <w:sz w:val="22"/>
              </w:rPr>
            </w:pPr>
            <w:r>
              <w:rPr>
                <w:sz w:val="22"/>
              </w:rPr>
              <w:t>Nanofiller</w:t>
            </w:r>
          </w:p>
        </w:tc>
        <w:tc>
          <w:tcPr>
            <w:tcW w:w="1227" w:type="dxa"/>
            <w:tcBorders>
              <w:top w:val="single" w:sz="8" w:space="0" w:color="000000"/>
              <w:left w:val="nil"/>
              <w:bottom w:val="nil"/>
              <w:right w:val="nil"/>
            </w:tcBorders>
          </w:tcPr>
          <w:p>
            <w:pPr/>
          </w:p>
        </w:tc>
        <w:tc>
          <w:tcPr>
            <w:tcW w:w="1351" w:type="dxa"/>
            <w:tcBorders>
              <w:top w:val="single" w:sz="8" w:space="0" w:color="000000"/>
              <w:left w:val="nil"/>
              <w:bottom w:val="nil"/>
              <w:right w:val="nil"/>
            </w:tcBorders>
          </w:tcPr>
          <w:p>
            <w:pPr>
              <w:pStyle w:val="TableParagraph"/>
              <w:spacing w:line="247" w:lineRule="exact"/>
              <w:ind w:left="165" w:right="259"/>
              <w:rPr>
                <w:sz w:val="22"/>
              </w:rPr>
            </w:pPr>
            <w:r>
              <w:rPr>
                <w:sz w:val="22"/>
              </w:rPr>
              <w:t>Weight %</w:t>
            </w:r>
          </w:p>
        </w:tc>
        <w:tc>
          <w:tcPr>
            <w:tcW w:w="1183" w:type="dxa"/>
            <w:tcBorders>
              <w:top w:val="single" w:sz="8" w:space="0" w:color="000000"/>
              <w:left w:val="nil"/>
              <w:bottom w:val="nil"/>
              <w:right w:val="nil"/>
            </w:tcBorders>
          </w:tcPr>
          <w:p>
            <w:pPr/>
          </w:p>
        </w:tc>
        <w:tc>
          <w:tcPr>
            <w:tcW w:w="1225" w:type="dxa"/>
            <w:tcBorders>
              <w:top w:val="single" w:sz="8" w:space="0" w:color="000000"/>
              <w:left w:val="nil"/>
              <w:bottom w:val="nil"/>
              <w:right w:val="nil"/>
            </w:tcBorders>
          </w:tcPr>
          <w:p>
            <w:pPr/>
          </w:p>
        </w:tc>
        <w:tc>
          <w:tcPr>
            <w:tcW w:w="1253" w:type="dxa"/>
            <w:tcBorders>
              <w:top w:val="single" w:sz="8" w:space="0" w:color="000000"/>
              <w:left w:val="nil"/>
              <w:bottom w:val="nil"/>
              <w:right w:val="nil"/>
            </w:tcBorders>
          </w:tcPr>
          <w:p>
            <w:pPr>
              <w:pStyle w:val="TableParagraph"/>
              <w:spacing w:line="247" w:lineRule="exact"/>
              <w:ind w:left="162" w:right="164"/>
              <w:rPr>
                <w:sz w:val="22"/>
              </w:rPr>
            </w:pPr>
            <w:r>
              <w:rPr>
                <w:sz w:val="22"/>
              </w:rPr>
              <w:t>Weight %</w:t>
            </w:r>
          </w:p>
        </w:tc>
        <w:tc>
          <w:tcPr>
            <w:tcW w:w="1252" w:type="dxa"/>
            <w:tcBorders>
              <w:top w:val="single" w:sz="8" w:space="0" w:color="000000"/>
              <w:left w:val="nil"/>
              <w:bottom w:val="nil"/>
              <w:right w:val="nil"/>
            </w:tcBorders>
          </w:tcPr>
          <w:p>
            <w:pPr/>
          </w:p>
        </w:tc>
      </w:tr>
      <w:tr>
        <w:trPr>
          <w:trHeight w:val="330" w:hRule="exact"/>
        </w:trPr>
        <w:tc>
          <w:tcPr>
            <w:tcW w:w="1596" w:type="dxa"/>
            <w:tcBorders>
              <w:top w:val="nil"/>
              <w:left w:val="nil"/>
              <w:right w:val="nil"/>
            </w:tcBorders>
          </w:tcPr>
          <w:p>
            <w:pPr/>
          </w:p>
        </w:tc>
        <w:tc>
          <w:tcPr>
            <w:tcW w:w="1227" w:type="dxa"/>
            <w:tcBorders>
              <w:top w:val="nil"/>
              <w:left w:val="nil"/>
              <w:right w:val="nil"/>
            </w:tcBorders>
          </w:tcPr>
          <w:p>
            <w:pPr>
              <w:pStyle w:val="TableParagraph"/>
              <w:spacing w:before="12"/>
              <w:ind w:left="334" w:right="358"/>
              <w:rPr>
                <w:sz w:val="22"/>
              </w:rPr>
            </w:pPr>
            <w:r>
              <w:rPr>
                <w:sz w:val="22"/>
              </w:rPr>
              <w:t>0.1</w:t>
            </w:r>
          </w:p>
        </w:tc>
        <w:tc>
          <w:tcPr>
            <w:tcW w:w="1351" w:type="dxa"/>
            <w:tcBorders>
              <w:top w:val="nil"/>
              <w:left w:val="nil"/>
              <w:right w:val="nil"/>
            </w:tcBorders>
          </w:tcPr>
          <w:p>
            <w:pPr>
              <w:pStyle w:val="TableParagraph"/>
              <w:spacing w:before="12"/>
              <w:ind w:left="159" w:right="259"/>
              <w:rPr>
                <w:sz w:val="22"/>
              </w:rPr>
            </w:pPr>
            <w:r>
              <w:rPr>
                <w:sz w:val="22"/>
              </w:rPr>
              <w:t>0.3</w:t>
            </w:r>
          </w:p>
        </w:tc>
        <w:tc>
          <w:tcPr>
            <w:tcW w:w="1183" w:type="dxa"/>
            <w:tcBorders>
              <w:top w:val="nil"/>
              <w:left w:val="nil"/>
              <w:right w:val="nil"/>
            </w:tcBorders>
          </w:tcPr>
          <w:p>
            <w:pPr>
              <w:pStyle w:val="TableParagraph"/>
              <w:spacing w:before="12"/>
              <w:ind w:left="257" w:right="385"/>
              <w:rPr>
                <w:sz w:val="22"/>
              </w:rPr>
            </w:pPr>
            <w:r>
              <w:rPr>
                <w:sz w:val="22"/>
              </w:rPr>
              <w:t>0.5</w:t>
            </w:r>
          </w:p>
        </w:tc>
        <w:tc>
          <w:tcPr>
            <w:tcW w:w="1225" w:type="dxa"/>
            <w:tcBorders>
              <w:top w:val="nil"/>
              <w:left w:val="nil"/>
              <w:right w:val="nil"/>
            </w:tcBorders>
          </w:tcPr>
          <w:p>
            <w:pPr>
              <w:pStyle w:val="TableParagraph"/>
              <w:spacing w:before="12"/>
              <w:ind w:left="458"/>
              <w:jc w:val="left"/>
              <w:rPr>
                <w:sz w:val="22"/>
              </w:rPr>
            </w:pPr>
            <w:r>
              <w:rPr>
                <w:sz w:val="22"/>
              </w:rPr>
              <w:t>0.1</w:t>
            </w:r>
          </w:p>
        </w:tc>
        <w:tc>
          <w:tcPr>
            <w:tcW w:w="1253" w:type="dxa"/>
            <w:tcBorders>
              <w:top w:val="nil"/>
              <w:left w:val="nil"/>
              <w:right w:val="nil"/>
            </w:tcBorders>
          </w:tcPr>
          <w:p>
            <w:pPr>
              <w:pStyle w:val="TableParagraph"/>
              <w:spacing w:before="12"/>
              <w:ind w:left="161" w:right="164"/>
              <w:rPr>
                <w:sz w:val="22"/>
              </w:rPr>
            </w:pPr>
            <w:r>
              <w:rPr>
                <w:sz w:val="22"/>
              </w:rPr>
              <w:t>0.3</w:t>
            </w:r>
          </w:p>
        </w:tc>
        <w:tc>
          <w:tcPr>
            <w:tcW w:w="1252" w:type="dxa"/>
            <w:tcBorders>
              <w:top w:val="nil"/>
              <w:left w:val="nil"/>
              <w:right w:val="nil"/>
            </w:tcBorders>
          </w:tcPr>
          <w:p>
            <w:pPr>
              <w:pStyle w:val="TableParagraph"/>
              <w:spacing w:before="12"/>
              <w:ind w:right="487"/>
              <w:jc w:val="right"/>
              <w:rPr>
                <w:sz w:val="22"/>
              </w:rPr>
            </w:pPr>
            <w:r>
              <w:rPr>
                <w:sz w:val="22"/>
              </w:rPr>
              <w:t>0.5</w:t>
            </w:r>
          </w:p>
        </w:tc>
      </w:tr>
      <w:tr>
        <w:trPr>
          <w:trHeight w:val="290" w:hRule="exact"/>
        </w:trPr>
        <w:tc>
          <w:tcPr>
            <w:tcW w:w="1596" w:type="dxa"/>
            <w:tcBorders>
              <w:left w:val="nil"/>
              <w:bottom w:val="nil"/>
              <w:right w:val="nil"/>
            </w:tcBorders>
          </w:tcPr>
          <w:p>
            <w:pPr>
              <w:pStyle w:val="TableParagraph"/>
              <w:spacing w:line="247" w:lineRule="exact"/>
              <w:ind w:left="318" w:right="331"/>
              <w:rPr>
                <w:sz w:val="22"/>
              </w:rPr>
            </w:pPr>
            <w:r>
              <w:rPr>
                <w:sz w:val="22"/>
              </w:rPr>
              <w:t>CNT</w:t>
            </w:r>
          </w:p>
        </w:tc>
        <w:tc>
          <w:tcPr>
            <w:tcW w:w="1227" w:type="dxa"/>
            <w:tcBorders>
              <w:left w:val="nil"/>
              <w:bottom w:val="nil"/>
              <w:right w:val="nil"/>
            </w:tcBorders>
          </w:tcPr>
          <w:p>
            <w:pPr>
              <w:pStyle w:val="TableParagraph"/>
              <w:spacing w:line="247" w:lineRule="exact"/>
              <w:ind w:left="334" w:right="358"/>
              <w:rPr>
                <w:sz w:val="22"/>
              </w:rPr>
            </w:pPr>
            <w:r>
              <w:rPr>
                <w:sz w:val="22"/>
              </w:rPr>
              <w:t>263.8</w:t>
            </w:r>
          </w:p>
        </w:tc>
        <w:tc>
          <w:tcPr>
            <w:tcW w:w="1351" w:type="dxa"/>
            <w:tcBorders>
              <w:left w:val="nil"/>
              <w:bottom w:val="nil"/>
              <w:right w:val="nil"/>
            </w:tcBorders>
          </w:tcPr>
          <w:p>
            <w:pPr>
              <w:pStyle w:val="TableParagraph"/>
              <w:spacing w:line="247" w:lineRule="exact"/>
              <w:ind w:left="164" w:right="259"/>
              <w:rPr>
                <w:sz w:val="22"/>
              </w:rPr>
            </w:pPr>
            <w:r>
              <w:rPr>
                <w:sz w:val="22"/>
              </w:rPr>
              <w:t>264.9</w:t>
            </w:r>
          </w:p>
        </w:tc>
        <w:tc>
          <w:tcPr>
            <w:tcW w:w="1183" w:type="dxa"/>
            <w:tcBorders>
              <w:left w:val="nil"/>
              <w:bottom w:val="nil"/>
              <w:right w:val="nil"/>
            </w:tcBorders>
          </w:tcPr>
          <w:p>
            <w:pPr>
              <w:pStyle w:val="TableParagraph"/>
              <w:spacing w:line="247" w:lineRule="exact"/>
              <w:ind w:left="262" w:right="385"/>
              <w:rPr>
                <w:sz w:val="22"/>
              </w:rPr>
            </w:pPr>
            <w:r>
              <w:rPr>
                <w:sz w:val="22"/>
              </w:rPr>
              <w:t>263.2</w:t>
            </w:r>
          </w:p>
        </w:tc>
        <w:tc>
          <w:tcPr>
            <w:tcW w:w="1225" w:type="dxa"/>
            <w:tcBorders>
              <w:left w:val="nil"/>
              <w:bottom w:val="nil"/>
              <w:right w:val="nil"/>
            </w:tcBorders>
          </w:tcPr>
          <w:p>
            <w:pPr>
              <w:pStyle w:val="TableParagraph"/>
              <w:spacing w:line="247" w:lineRule="exact"/>
              <w:ind w:left="405"/>
              <w:jc w:val="left"/>
              <w:rPr>
                <w:sz w:val="22"/>
              </w:rPr>
            </w:pPr>
            <w:r>
              <w:rPr>
                <w:sz w:val="22"/>
              </w:rPr>
              <w:t>37.8</w:t>
            </w:r>
          </w:p>
        </w:tc>
        <w:tc>
          <w:tcPr>
            <w:tcW w:w="1253" w:type="dxa"/>
            <w:tcBorders>
              <w:left w:val="nil"/>
              <w:bottom w:val="nil"/>
              <w:right w:val="nil"/>
            </w:tcBorders>
          </w:tcPr>
          <w:p>
            <w:pPr>
              <w:pStyle w:val="TableParagraph"/>
              <w:spacing w:line="247" w:lineRule="exact"/>
              <w:ind w:left="162" w:right="162"/>
              <w:rPr>
                <w:sz w:val="22"/>
              </w:rPr>
            </w:pPr>
            <w:r>
              <w:rPr>
                <w:sz w:val="22"/>
              </w:rPr>
              <w:t>38.1</w:t>
            </w:r>
          </w:p>
        </w:tc>
        <w:tc>
          <w:tcPr>
            <w:tcW w:w="1252" w:type="dxa"/>
            <w:tcBorders>
              <w:left w:val="nil"/>
              <w:bottom w:val="nil"/>
              <w:right w:val="nil"/>
            </w:tcBorders>
          </w:tcPr>
          <w:p>
            <w:pPr>
              <w:pStyle w:val="TableParagraph"/>
              <w:spacing w:line="247" w:lineRule="exact"/>
              <w:ind w:right="431"/>
              <w:jc w:val="right"/>
              <w:rPr>
                <w:sz w:val="22"/>
              </w:rPr>
            </w:pPr>
            <w:r>
              <w:rPr>
                <w:sz w:val="22"/>
              </w:rPr>
              <w:t>38.1</w:t>
            </w:r>
          </w:p>
        </w:tc>
      </w:tr>
      <w:tr>
        <w:trPr>
          <w:trHeight w:val="304" w:hRule="exact"/>
        </w:trPr>
        <w:tc>
          <w:tcPr>
            <w:tcW w:w="1596" w:type="dxa"/>
            <w:tcBorders>
              <w:top w:val="nil"/>
              <w:left w:val="nil"/>
              <w:bottom w:val="nil"/>
              <w:right w:val="nil"/>
            </w:tcBorders>
          </w:tcPr>
          <w:p>
            <w:pPr>
              <w:pStyle w:val="TableParagraph"/>
              <w:spacing w:before="6"/>
              <w:ind w:left="318" w:right="331"/>
              <w:rPr>
                <w:sz w:val="22"/>
              </w:rPr>
            </w:pPr>
            <w:r>
              <w:rPr>
                <w:sz w:val="22"/>
              </w:rPr>
              <w:t>OCNT</w:t>
            </w:r>
          </w:p>
        </w:tc>
        <w:tc>
          <w:tcPr>
            <w:tcW w:w="1227" w:type="dxa"/>
            <w:tcBorders>
              <w:top w:val="nil"/>
              <w:left w:val="nil"/>
              <w:bottom w:val="nil"/>
              <w:right w:val="nil"/>
            </w:tcBorders>
          </w:tcPr>
          <w:p>
            <w:pPr>
              <w:pStyle w:val="TableParagraph"/>
              <w:spacing w:before="6"/>
              <w:ind w:left="334" w:right="358"/>
              <w:rPr>
                <w:sz w:val="22"/>
              </w:rPr>
            </w:pPr>
            <w:r>
              <w:rPr>
                <w:sz w:val="22"/>
              </w:rPr>
              <w:t>263.8</w:t>
            </w:r>
          </w:p>
        </w:tc>
        <w:tc>
          <w:tcPr>
            <w:tcW w:w="1351" w:type="dxa"/>
            <w:tcBorders>
              <w:top w:val="nil"/>
              <w:left w:val="nil"/>
              <w:bottom w:val="nil"/>
              <w:right w:val="nil"/>
            </w:tcBorders>
          </w:tcPr>
          <w:p>
            <w:pPr>
              <w:pStyle w:val="TableParagraph"/>
              <w:spacing w:before="6"/>
              <w:ind w:left="164" w:right="259"/>
              <w:rPr>
                <w:sz w:val="22"/>
              </w:rPr>
            </w:pPr>
            <w:r>
              <w:rPr>
                <w:sz w:val="22"/>
              </w:rPr>
              <w:t>263.8</w:t>
            </w:r>
          </w:p>
        </w:tc>
        <w:tc>
          <w:tcPr>
            <w:tcW w:w="1183" w:type="dxa"/>
            <w:tcBorders>
              <w:top w:val="nil"/>
              <w:left w:val="nil"/>
              <w:bottom w:val="nil"/>
              <w:right w:val="nil"/>
            </w:tcBorders>
          </w:tcPr>
          <w:p>
            <w:pPr>
              <w:pStyle w:val="TableParagraph"/>
              <w:spacing w:before="6"/>
              <w:ind w:left="262" w:right="385"/>
              <w:rPr>
                <w:sz w:val="22"/>
              </w:rPr>
            </w:pPr>
            <w:r>
              <w:rPr>
                <w:sz w:val="22"/>
              </w:rPr>
              <w:t>263.2</w:t>
            </w:r>
          </w:p>
        </w:tc>
        <w:tc>
          <w:tcPr>
            <w:tcW w:w="1225" w:type="dxa"/>
            <w:tcBorders>
              <w:top w:val="nil"/>
              <w:left w:val="nil"/>
              <w:bottom w:val="nil"/>
              <w:right w:val="nil"/>
            </w:tcBorders>
          </w:tcPr>
          <w:p>
            <w:pPr>
              <w:pStyle w:val="TableParagraph"/>
              <w:spacing w:before="6"/>
              <w:ind w:left="405"/>
              <w:jc w:val="left"/>
              <w:rPr>
                <w:sz w:val="22"/>
              </w:rPr>
            </w:pPr>
            <w:r>
              <w:rPr>
                <w:sz w:val="22"/>
              </w:rPr>
              <w:t>38.8</w:t>
            </w:r>
          </w:p>
        </w:tc>
        <w:tc>
          <w:tcPr>
            <w:tcW w:w="1253" w:type="dxa"/>
            <w:tcBorders>
              <w:top w:val="nil"/>
              <w:left w:val="nil"/>
              <w:bottom w:val="nil"/>
              <w:right w:val="nil"/>
            </w:tcBorders>
          </w:tcPr>
          <w:p>
            <w:pPr>
              <w:pStyle w:val="TableParagraph"/>
              <w:spacing w:before="6"/>
              <w:ind w:left="162" w:right="162"/>
              <w:rPr>
                <w:sz w:val="22"/>
              </w:rPr>
            </w:pPr>
            <w:r>
              <w:rPr>
                <w:sz w:val="22"/>
              </w:rPr>
              <w:t>39.1</w:t>
            </w:r>
          </w:p>
        </w:tc>
        <w:tc>
          <w:tcPr>
            <w:tcW w:w="1252" w:type="dxa"/>
            <w:tcBorders>
              <w:top w:val="nil"/>
              <w:left w:val="nil"/>
              <w:bottom w:val="nil"/>
              <w:right w:val="nil"/>
            </w:tcBorders>
          </w:tcPr>
          <w:p>
            <w:pPr>
              <w:pStyle w:val="TableParagraph"/>
              <w:spacing w:before="6"/>
              <w:ind w:right="431"/>
              <w:jc w:val="right"/>
              <w:rPr>
                <w:sz w:val="22"/>
              </w:rPr>
            </w:pPr>
            <w:r>
              <w:rPr>
                <w:sz w:val="22"/>
              </w:rPr>
              <w:t>39.3</w:t>
            </w:r>
          </w:p>
        </w:tc>
      </w:tr>
      <w:tr>
        <w:trPr>
          <w:trHeight w:val="318" w:hRule="exact"/>
        </w:trPr>
        <w:tc>
          <w:tcPr>
            <w:tcW w:w="1596" w:type="dxa"/>
            <w:tcBorders>
              <w:top w:val="nil"/>
              <w:left w:val="nil"/>
              <w:bottom w:val="nil"/>
              <w:right w:val="nil"/>
            </w:tcBorders>
          </w:tcPr>
          <w:p>
            <w:pPr>
              <w:pStyle w:val="TableParagraph"/>
              <w:spacing w:before="21"/>
              <w:ind w:left="318" w:right="331"/>
              <w:rPr>
                <w:sz w:val="22"/>
              </w:rPr>
            </w:pPr>
            <w:r>
              <w:rPr>
                <w:sz w:val="22"/>
              </w:rPr>
              <w:t>f-CNT</w:t>
            </w:r>
          </w:p>
        </w:tc>
        <w:tc>
          <w:tcPr>
            <w:tcW w:w="1227" w:type="dxa"/>
            <w:tcBorders>
              <w:top w:val="nil"/>
              <w:left w:val="nil"/>
              <w:bottom w:val="nil"/>
              <w:right w:val="nil"/>
            </w:tcBorders>
          </w:tcPr>
          <w:p>
            <w:pPr>
              <w:pStyle w:val="TableParagraph"/>
              <w:spacing w:before="21"/>
              <w:ind w:left="334" w:right="358"/>
              <w:rPr>
                <w:sz w:val="22"/>
              </w:rPr>
            </w:pPr>
            <w:r>
              <w:rPr>
                <w:sz w:val="22"/>
              </w:rPr>
              <w:t>262.6</w:t>
            </w:r>
          </w:p>
        </w:tc>
        <w:tc>
          <w:tcPr>
            <w:tcW w:w="1351" w:type="dxa"/>
            <w:tcBorders>
              <w:top w:val="nil"/>
              <w:left w:val="nil"/>
              <w:bottom w:val="nil"/>
              <w:right w:val="nil"/>
            </w:tcBorders>
          </w:tcPr>
          <w:p>
            <w:pPr>
              <w:pStyle w:val="TableParagraph"/>
              <w:spacing w:before="21"/>
              <w:ind w:left="164" w:right="259"/>
              <w:rPr>
                <w:sz w:val="22"/>
              </w:rPr>
            </w:pPr>
            <w:r>
              <w:rPr>
                <w:sz w:val="22"/>
              </w:rPr>
              <w:t>263.8</w:t>
            </w:r>
          </w:p>
        </w:tc>
        <w:tc>
          <w:tcPr>
            <w:tcW w:w="1183" w:type="dxa"/>
            <w:tcBorders>
              <w:top w:val="nil"/>
              <w:left w:val="nil"/>
              <w:bottom w:val="nil"/>
              <w:right w:val="nil"/>
            </w:tcBorders>
          </w:tcPr>
          <w:p>
            <w:pPr>
              <w:pStyle w:val="TableParagraph"/>
              <w:spacing w:before="21"/>
              <w:ind w:left="262" w:right="385"/>
              <w:rPr>
                <w:sz w:val="22"/>
              </w:rPr>
            </w:pPr>
            <w:r>
              <w:rPr>
                <w:sz w:val="22"/>
              </w:rPr>
              <w:t>263.8</w:t>
            </w:r>
          </w:p>
        </w:tc>
        <w:tc>
          <w:tcPr>
            <w:tcW w:w="1225" w:type="dxa"/>
            <w:tcBorders>
              <w:top w:val="nil"/>
              <w:left w:val="nil"/>
              <w:bottom w:val="nil"/>
              <w:right w:val="nil"/>
            </w:tcBorders>
          </w:tcPr>
          <w:p>
            <w:pPr>
              <w:pStyle w:val="TableParagraph"/>
              <w:spacing w:before="21"/>
              <w:ind w:left="405"/>
              <w:jc w:val="left"/>
              <w:rPr>
                <w:sz w:val="22"/>
              </w:rPr>
            </w:pPr>
            <w:r>
              <w:rPr>
                <w:sz w:val="22"/>
              </w:rPr>
              <w:t>42.0</w:t>
            </w:r>
          </w:p>
        </w:tc>
        <w:tc>
          <w:tcPr>
            <w:tcW w:w="1253" w:type="dxa"/>
            <w:tcBorders>
              <w:top w:val="nil"/>
              <w:left w:val="nil"/>
              <w:bottom w:val="nil"/>
              <w:right w:val="nil"/>
            </w:tcBorders>
          </w:tcPr>
          <w:p>
            <w:pPr>
              <w:pStyle w:val="TableParagraph"/>
              <w:spacing w:before="21"/>
              <w:ind w:left="162" w:right="162"/>
              <w:rPr>
                <w:sz w:val="22"/>
              </w:rPr>
            </w:pPr>
            <w:r>
              <w:rPr>
                <w:sz w:val="22"/>
              </w:rPr>
              <w:t>38.5</w:t>
            </w:r>
          </w:p>
        </w:tc>
        <w:tc>
          <w:tcPr>
            <w:tcW w:w="1252" w:type="dxa"/>
            <w:tcBorders>
              <w:top w:val="nil"/>
              <w:left w:val="nil"/>
              <w:bottom w:val="nil"/>
              <w:right w:val="nil"/>
            </w:tcBorders>
          </w:tcPr>
          <w:p>
            <w:pPr>
              <w:pStyle w:val="TableParagraph"/>
              <w:spacing w:before="21"/>
              <w:ind w:right="431"/>
              <w:jc w:val="right"/>
              <w:rPr>
                <w:sz w:val="22"/>
              </w:rPr>
            </w:pPr>
            <w:r>
              <w:rPr>
                <w:sz w:val="22"/>
              </w:rPr>
              <w:t>38.1</w:t>
            </w:r>
          </w:p>
        </w:tc>
      </w:tr>
      <w:tr>
        <w:trPr>
          <w:trHeight w:val="318" w:hRule="exact"/>
        </w:trPr>
        <w:tc>
          <w:tcPr>
            <w:tcW w:w="1596" w:type="dxa"/>
            <w:tcBorders>
              <w:top w:val="nil"/>
              <w:left w:val="nil"/>
              <w:bottom w:val="nil"/>
              <w:right w:val="nil"/>
            </w:tcBorders>
          </w:tcPr>
          <w:p>
            <w:pPr>
              <w:pStyle w:val="TableParagraph"/>
              <w:spacing w:before="20"/>
              <w:ind w:left="319" w:right="331"/>
              <w:rPr>
                <w:sz w:val="22"/>
              </w:rPr>
            </w:pPr>
            <w:r>
              <w:rPr>
                <w:sz w:val="22"/>
              </w:rPr>
              <w:t>RGO</w:t>
            </w:r>
          </w:p>
        </w:tc>
        <w:tc>
          <w:tcPr>
            <w:tcW w:w="1227" w:type="dxa"/>
            <w:tcBorders>
              <w:top w:val="nil"/>
              <w:left w:val="nil"/>
              <w:bottom w:val="nil"/>
              <w:right w:val="nil"/>
            </w:tcBorders>
          </w:tcPr>
          <w:p>
            <w:pPr>
              <w:pStyle w:val="TableParagraph"/>
              <w:spacing w:before="20"/>
              <w:ind w:left="334" w:right="358"/>
              <w:rPr>
                <w:sz w:val="22"/>
              </w:rPr>
            </w:pPr>
            <w:r>
              <w:rPr>
                <w:sz w:val="22"/>
              </w:rPr>
              <w:t>264.3</w:t>
            </w:r>
          </w:p>
        </w:tc>
        <w:tc>
          <w:tcPr>
            <w:tcW w:w="1351" w:type="dxa"/>
            <w:tcBorders>
              <w:top w:val="nil"/>
              <w:left w:val="nil"/>
              <w:bottom w:val="nil"/>
              <w:right w:val="nil"/>
            </w:tcBorders>
          </w:tcPr>
          <w:p>
            <w:pPr>
              <w:pStyle w:val="TableParagraph"/>
              <w:spacing w:before="20"/>
              <w:ind w:left="164" w:right="259"/>
              <w:rPr>
                <w:sz w:val="22"/>
              </w:rPr>
            </w:pPr>
            <w:r>
              <w:rPr>
                <w:sz w:val="22"/>
              </w:rPr>
              <w:t>264.4</w:t>
            </w:r>
          </w:p>
        </w:tc>
        <w:tc>
          <w:tcPr>
            <w:tcW w:w="1183" w:type="dxa"/>
            <w:tcBorders>
              <w:top w:val="nil"/>
              <w:left w:val="nil"/>
              <w:bottom w:val="nil"/>
              <w:right w:val="nil"/>
            </w:tcBorders>
          </w:tcPr>
          <w:p>
            <w:pPr>
              <w:pStyle w:val="TableParagraph"/>
              <w:spacing w:before="20"/>
              <w:ind w:left="262" w:right="385"/>
              <w:rPr>
                <w:sz w:val="22"/>
              </w:rPr>
            </w:pPr>
            <w:r>
              <w:rPr>
                <w:sz w:val="22"/>
              </w:rPr>
              <w:t>264.3</w:t>
            </w:r>
          </w:p>
        </w:tc>
        <w:tc>
          <w:tcPr>
            <w:tcW w:w="1225" w:type="dxa"/>
            <w:tcBorders>
              <w:top w:val="nil"/>
              <w:left w:val="nil"/>
              <w:bottom w:val="nil"/>
              <w:right w:val="nil"/>
            </w:tcBorders>
          </w:tcPr>
          <w:p>
            <w:pPr>
              <w:pStyle w:val="TableParagraph"/>
              <w:spacing w:before="20"/>
              <w:ind w:left="405"/>
              <w:jc w:val="left"/>
              <w:rPr>
                <w:sz w:val="22"/>
              </w:rPr>
            </w:pPr>
            <w:r>
              <w:rPr>
                <w:sz w:val="22"/>
              </w:rPr>
              <w:t>38.0</w:t>
            </w:r>
          </w:p>
        </w:tc>
        <w:tc>
          <w:tcPr>
            <w:tcW w:w="1253" w:type="dxa"/>
            <w:tcBorders>
              <w:top w:val="nil"/>
              <w:left w:val="nil"/>
              <w:bottom w:val="nil"/>
              <w:right w:val="nil"/>
            </w:tcBorders>
          </w:tcPr>
          <w:p>
            <w:pPr>
              <w:pStyle w:val="TableParagraph"/>
              <w:spacing w:before="20"/>
              <w:ind w:left="162" w:right="162"/>
              <w:rPr>
                <w:sz w:val="22"/>
              </w:rPr>
            </w:pPr>
            <w:r>
              <w:rPr>
                <w:sz w:val="22"/>
              </w:rPr>
              <w:t>38.8</w:t>
            </w:r>
          </w:p>
        </w:tc>
        <w:tc>
          <w:tcPr>
            <w:tcW w:w="1252" w:type="dxa"/>
            <w:tcBorders>
              <w:top w:val="nil"/>
              <w:left w:val="nil"/>
              <w:bottom w:val="nil"/>
              <w:right w:val="nil"/>
            </w:tcBorders>
          </w:tcPr>
          <w:p>
            <w:pPr>
              <w:pStyle w:val="TableParagraph"/>
              <w:spacing w:before="20"/>
              <w:ind w:right="431"/>
              <w:jc w:val="right"/>
              <w:rPr>
                <w:sz w:val="22"/>
              </w:rPr>
            </w:pPr>
            <w:r>
              <w:rPr>
                <w:sz w:val="22"/>
              </w:rPr>
              <w:t>38.9</w:t>
            </w:r>
          </w:p>
        </w:tc>
      </w:tr>
      <w:tr>
        <w:trPr>
          <w:trHeight w:val="318" w:hRule="exact"/>
        </w:trPr>
        <w:tc>
          <w:tcPr>
            <w:tcW w:w="1596" w:type="dxa"/>
            <w:tcBorders>
              <w:top w:val="nil"/>
              <w:left w:val="nil"/>
              <w:bottom w:val="nil"/>
              <w:right w:val="nil"/>
            </w:tcBorders>
          </w:tcPr>
          <w:p>
            <w:pPr>
              <w:pStyle w:val="TableParagraph"/>
              <w:spacing w:before="21"/>
              <w:ind w:left="320" w:right="330"/>
              <w:rPr>
                <w:sz w:val="22"/>
              </w:rPr>
            </w:pPr>
            <w:r>
              <w:rPr>
                <w:sz w:val="22"/>
              </w:rPr>
              <w:t>GO</w:t>
            </w:r>
          </w:p>
        </w:tc>
        <w:tc>
          <w:tcPr>
            <w:tcW w:w="1227" w:type="dxa"/>
            <w:tcBorders>
              <w:top w:val="nil"/>
              <w:left w:val="nil"/>
              <w:bottom w:val="nil"/>
              <w:right w:val="nil"/>
            </w:tcBorders>
          </w:tcPr>
          <w:p>
            <w:pPr>
              <w:pStyle w:val="TableParagraph"/>
              <w:spacing w:before="21"/>
              <w:ind w:left="334" w:right="358"/>
              <w:rPr>
                <w:sz w:val="22"/>
              </w:rPr>
            </w:pPr>
            <w:r>
              <w:rPr>
                <w:sz w:val="22"/>
              </w:rPr>
              <w:t>263.2</w:t>
            </w:r>
          </w:p>
        </w:tc>
        <w:tc>
          <w:tcPr>
            <w:tcW w:w="1351" w:type="dxa"/>
            <w:tcBorders>
              <w:top w:val="nil"/>
              <w:left w:val="nil"/>
              <w:bottom w:val="nil"/>
              <w:right w:val="nil"/>
            </w:tcBorders>
          </w:tcPr>
          <w:p>
            <w:pPr>
              <w:pStyle w:val="TableParagraph"/>
              <w:spacing w:before="21"/>
              <w:ind w:left="164" w:right="259"/>
              <w:rPr>
                <w:sz w:val="22"/>
              </w:rPr>
            </w:pPr>
            <w:r>
              <w:rPr>
                <w:sz w:val="22"/>
              </w:rPr>
              <w:t>263.2</w:t>
            </w:r>
          </w:p>
        </w:tc>
        <w:tc>
          <w:tcPr>
            <w:tcW w:w="1183" w:type="dxa"/>
            <w:tcBorders>
              <w:top w:val="nil"/>
              <w:left w:val="nil"/>
              <w:bottom w:val="nil"/>
              <w:right w:val="nil"/>
            </w:tcBorders>
          </w:tcPr>
          <w:p>
            <w:pPr>
              <w:pStyle w:val="TableParagraph"/>
              <w:spacing w:before="21"/>
              <w:ind w:left="262" w:right="385"/>
              <w:rPr>
                <w:sz w:val="22"/>
              </w:rPr>
            </w:pPr>
            <w:r>
              <w:rPr>
                <w:sz w:val="22"/>
              </w:rPr>
              <w:t>263.2</w:t>
            </w:r>
          </w:p>
        </w:tc>
        <w:tc>
          <w:tcPr>
            <w:tcW w:w="1225" w:type="dxa"/>
            <w:tcBorders>
              <w:top w:val="nil"/>
              <w:left w:val="nil"/>
              <w:bottom w:val="nil"/>
              <w:right w:val="nil"/>
            </w:tcBorders>
          </w:tcPr>
          <w:p>
            <w:pPr>
              <w:pStyle w:val="TableParagraph"/>
              <w:spacing w:before="21"/>
              <w:ind w:left="405"/>
              <w:jc w:val="left"/>
              <w:rPr>
                <w:sz w:val="22"/>
              </w:rPr>
            </w:pPr>
            <w:r>
              <w:rPr>
                <w:sz w:val="22"/>
              </w:rPr>
              <w:t>39.1</w:t>
            </w:r>
          </w:p>
        </w:tc>
        <w:tc>
          <w:tcPr>
            <w:tcW w:w="1253" w:type="dxa"/>
            <w:tcBorders>
              <w:top w:val="nil"/>
              <w:left w:val="nil"/>
              <w:bottom w:val="nil"/>
              <w:right w:val="nil"/>
            </w:tcBorders>
          </w:tcPr>
          <w:p>
            <w:pPr>
              <w:pStyle w:val="TableParagraph"/>
              <w:spacing w:before="21"/>
              <w:ind w:left="162" w:right="162"/>
              <w:rPr>
                <w:sz w:val="22"/>
              </w:rPr>
            </w:pPr>
            <w:r>
              <w:rPr>
                <w:sz w:val="22"/>
              </w:rPr>
              <w:t>40.9</w:t>
            </w:r>
          </w:p>
        </w:tc>
        <w:tc>
          <w:tcPr>
            <w:tcW w:w="1252" w:type="dxa"/>
            <w:tcBorders>
              <w:top w:val="nil"/>
              <w:left w:val="nil"/>
              <w:bottom w:val="nil"/>
              <w:right w:val="nil"/>
            </w:tcBorders>
          </w:tcPr>
          <w:p>
            <w:pPr>
              <w:pStyle w:val="TableParagraph"/>
              <w:spacing w:before="21"/>
              <w:ind w:right="431"/>
              <w:jc w:val="right"/>
              <w:rPr>
                <w:sz w:val="22"/>
              </w:rPr>
            </w:pPr>
            <w:r>
              <w:rPr>
                <w:sz w:val="22"/>
              </w:rPr>
              <w:t>41.0</w:t>
            </w:r>
          </w:p>
        </w:tc>
      </w:tr>
      <w:tr>
        <w:trPr>
          <w:trHeight w:val="360" w:hRule="exact"/>
        </w:trPr>
        <w:tc>
          <w:tcPr>
            <w:tcW w:w="1596" w:type="dxa"/>
            <w:tcBorders>
              <w:top w:val="nil"/>
              <w:left w:val="nil"/>
              <w:right w:val="nil"/>
            </w:tcBorders>
          </w:tcPr>
          <w:p>
            <w:pPr>
              <w:pStyle w:val="TableParagraph"/>
              <w:spacing w:before="20"/>
              <w:ind w:left="317" w:right="331"/>
              <w:rPr>
                <w:sz w:val="22"/>
              </w:rPr>
            </w:pPr>
            <w:r>
              <w:rPr>
                <w:sz w:val="22"/>
              </w:rPr>
              <w:t>f-Ge</w:t>
            </w:r>
          </w:p>
        </w:tc>
        <w:tc>
          <w:tcPr>
            <w:tcW w:w="1227" w:type="dxa"/>
            <w:tcBorders>
              <w:top w:val="nil"/>
              <w:left w:val="nil"/>
              <w:right w:val="nil"/>
            </w:tcBorders>
          </w:tcPr>
          <w:p>
            <w:pPr>
              <w:pStyle w:val="TableParagraph"/>
              <w:spacing w:before="20"/>
              <w:ind w:left="334" w:right="358"/>
              <w:rPr>
                <w:sz w:val="22"/>
              </w:rPr>
            </w:pPr>
            <w:r>
              <w:rPr>
                <w:sz w:val="22"/>
              </w:rPr>
              <w:t>264.3</w:t>
            </w:r>
          </w:p>
        </w:tc>
        <w:tc>
          <w:tcPr>
            <w:tcW w:w="1351" w:type="dxa"/>
            <w:tcBorders>
              <w:top w:val="nil"/>
              <w:left w:val="nil"/>
              <w:right w:val="nil"/>
            </w:tcBorders>
          </w:tcPr>
          <w:p>
            <w:pPr>
              <w:pStyle w:val="TableParagraph"/>
              <w:spacing w:before="20"/>
              <w:ind w:left="164" w:right="259"/>
              <w:rPr>
                <w:sz w:val="22"/>
              </w:rPr>
            </w:pPr>
            <w:r>
              <w:rPr>
                <w:sz w:val="22"/>
              </w:rPr>
              <w:t>263.2</w:t>
            </w:r>
          </w:p>
        </w:tc>
        <w:tc>
          <w:tcPr>
            <w:tcW w:w="1183" w:type="dxa"/>
            <w:tcBorders>
              <w:top w:val="nil"/>
              <w:left w:val="nil"/>
              <w:right w:val="nil"/>
            </w:tcBorders>
          </w:tcPr>
          <w:p>
            <w:pPr>
              <w:pStyle w:val="TableParagraph"/>
              <w:spacing w:before="20"/>
              <w:ind w:left="262" w:right="385"/>
              <w:rPr>
                <w:sz w:val="22"/>
              </w:rPr>
            </w:pPr>
            <w:r>
              <w:rPr>
                <w:sz w:val="22"/>
              </w:rPr>
              <w:t>263.2</w:t>
            </w:r>
          </w:p>
        </w:tc>
        <w:tc>
          <w:tcPr>
            <w:tcW w:w="1225" w:type="dxa"/>
            <w:tcBorders>
              <w:top w:val="nil"/>
              <w:left w:val="nil"/>
              <w:right w:val="nil"/>
            </w:tcBorders>
          </w:tcPr>
          <w:p>
            <w:pPr>
              <w:pStyle w:val="TableParagraph"/>
              <w:spacing w:before="20"/>
              <w:ind w:left="405"/>
              <w:jc w:val="left"/>
              <w:rPr>
                <w:sz w:val="22"/>
              </w:rPr>
            </w:pPr>
            <w:r>
              <w:rPr>
                <w:sz w:val="22"/>
              </w:rPr>
              <w:t>38.1</w:t>
            </w:r>
          </w:p>
        </w:tc>
        <w:tc>
          <w:tcPr>
            <w:tcW w:w="1253" w:type="dxa"/>
            <w:tcBorders>
              <w:top w:val="nil"/>
              <w:left w:val="nil"/>
              <w:right w:val="nil"/>
            </w:tcBorders>
          </w:tcPr>
          <w:p>
            <w:pPr>
              <w:pStyle w:val="TableParagraph"/>
              <w:spacing w:before="20"/>
              <w:ind w:left="162" w:right="162"/>
              <w:rPr>
                <w:sz w:val="22"/>
              </w:rPr>
            </w:pPr>
            <w:r>
              <w:rPr>
                <w:sz w:val="22"/>
              </w:rPr>
              <w:t>40.8</w:t>
            </w:r>
          </w:p>
        </w:tc>
        <w:tc>
          <w:tcPr>
            <w:tcW w:w="1252" w:type="dxa"/>
            <w:tcBorders>
              <w:top w:val="nil"/>
              <w:left w:val="nil"/>
              <w:right w:val="nil"/>
            </w:tcBorders>
          </w:tcPr>
          <w:p>
            <w:pPr>
              <w:pStyle w:val="TableParagraph"/>
              <w:spacing w:before="20"/>
              <w:ind w:right="431"/>
              <w:jc w:val="right"/>
              <w:rPr>
                <w:sz w:val="22"/>
              </w:rPr>
            </w:pPr>
            <w:r>
              <w:rPr>
                <w:sz w:val="22"/>
              </w:rPr>
              <w:t>41.0</w:t>
            </w:r>
          </w:p>
        </w:tc>
      </w:tr>
    </w:tbl>
    <w:p>
      <w:pPr>
        <w:pStyle w:val="BodyText"/>
        <w:spacing w:before="4"/>
        <w:rPr>
          <w:sz w:val="26"/>
        </w:rPr>
      </w:pPr>
    </w:p>
    <w:p>
      <w:pPr>
        <w:pStyle w:val="BodyText"/>
        <w:spacing w:line="355" w:lineRule="auto" w:before="72"/>
        <w:ind w:left="242" w:right="217" w:firstLine="201"/>
        <w:jc w:val="both"/>
      </w:pPr>
      <w:r>
        <w:rPr/>
        <w:t>As described earlier, oxidised carbon nanofillers were used for obtaining the amino functionalised ones. The amount of carboxylic groups in OCNT was higher than in GO. Assuming the same amount of -COOH was converted to -NH</w:t>
      </w:r>
      <w:r>
        <w:rPr>
          <w:position w:val="-2"/>
          <w:sz w:val="14"/>
        </w:rPr>
        <w:t>2</w:t>
      </w:r>
      <w:r>
        <w:rPr/>
        <w:t>, the increasing content of amino groups with the addition of f-CNT hindered the diffusion and arrangement of long polymer chains resulting in a decrease   in</w:t>
      </w:r>
    </w:p>
    <w:p>
      <w:pPr>
        <w:spacing w:after="0" w:line="355" w:lineRule="auto"/>
        <w:jc w:val="both"/>
        <w:sectPr>
          <w:pgSz w:w="12240" w:h="15840"/>
          <w:pgMar w:header="730" w:footer="1060" w:top="1160" w:bottom="1260" w:left="1460" w:right="1480"/>
        </w:sectPr>
      </w:pPr>
    </w:p>
    <w:p>
      <w:pPr>
        <w:pStyle w:val="BodyText"/>
        <w:rPr>
          <w:sz w:val="14"/>
        </w:rPr>
      </w:pPr>
    </w:p>
    <w:p>
      <w:pPr>
        <w:pStyle w:val="BodyText"/>
        <w:spacing w:line="362" w:lineRule="auto" w:before="73"/>
        <w:ind w:left="122" w:right="547"/>
      </w:pPr>
      <w:r>
        <w:rPr/>
        <w:t>crystallinity. This can be also related to poor dispersion of f-CNT as it will be seen in the mechanical</w:t>
      </w:r>
      <w:r>
        <w:rPr>
          <w:spacing w:val="-2"/>
        </w:rPr>
        <w:t> </w:t>
      </w:r>
      <w:r>
        <w:rPr/>
        <w:t>response.</w:t>
      </w:r>
    </w:p>
    <w:p>
      <w:pPr>
        <w:pStyle w:val="BodyText"/>
      </w:pPr>
    </w:p>
    <w:p>
      <w:pPr>
        <w:pStyle w:val="BodyText"/>
        <w:spacing w:line="350" w:lineRule="auto" w:before="128"/>
        <w:ind w:left="122" w:right="136" w:firstLine="201"/>
        <w:jc w:val="both"/>
      </w:pPr>
      <w:r>
        <w:rPr/>
        <w:t>Figure 4 reveals nylon 6,6 crystallisation peaks became broader and decreased in intensity upon addition of nanofillers. This has been attributable to a wider crystal size distribution in the polymer.</w:t>
      </w:r>
      <w:r>
        <w:rPr>
          <w:position w:val="10"/>
          <w:sz w:val="14"/>
        </w:rPr>
        <w:t>15 </w:t>
      </w:r>
      <w:r>
        <w:rPr/>
        <w:t>In addition, the nanocomposites showed a very modest increase in crystallisation temperatures (T</w:t>
      </w:r>
      <w:r>
        <w:rPr>
          <w:position w:val="-2"/>
          <w:sz w:val="14"/>
        </w:rPr>
        <w:t>c</w:t>
      </w:r>
      <w:r>
        <w:rPr/>
        <w:t>). The increase was more evident in CNT based nanocomposites; these samples displayed slightly higher T</w:t>
      </w:r>
      <w:r>
        <w:rPr>
          <w:position w:val="-2"/>
          <w:sz w:val="14"/>
        </w:rPr>
        <w:t>c </w:t>
      </w:r>
      <w:r>
        <w:rPr/>
        <w:t>than graphene based nanocomposites.</w:t>
      </w:r>
    </w:p>
    <w:p>
      <w:pPr>
        <w:pStyle w:val="BodyText"/>
        <w:spacing w:before="9"/>
        <w:rPr>
          <w:sz w:val="29"/>
        </w:rPr>
      </w:pPr>
      <w:r>
        <w:rPr/>
        <w:drawing>
          <wp:anchor distT="0" distB="0" distL="0" distR="0" allowOverlap="1" layoutInCell="1" locked="0" behindDoc="0" simplePos="0" relativeHeight="2512">
            <wp:simplePos x="0" y="0"/>
            <wp:positionH relativeFrom="page">
              <wp:posOffset>1628775</wp:posOffset>
            </wp:positionH>
            <wp:positionV relativeFrom="paragraph">
              <wp:posOffset>242319</wp:posOffset>
            </wp:positionV>
            <wp:extent cx="4563999" cy="3042666"/>
            <wp:effectExtent l="0" t="0" r="0" b="0"/>
            <wp:wrapTopAndBottom/>
            <wp:docPr id="75" name="image46.jpeg" descr=""/>
            <wp:cNvGraphicFramePr>
              <a:graphicFrameLocks noChangeAspect="1"/>
            </wp:cNvGraphicFramePr>
            <a:graphic>
              <a:graphicData uri="http://schemas.openxmlformats.org/drawingml/2006/picture">
                <pic:pic>
                  <pic:nvPicPr>
                    <pic:cNvPr id="76" name="image46.jpeg"/>
                    <pic:cNvPicPr/>
                  </pic:nvPicPr>
                  <pic:blipFill>
                    <a:blip r:embed="rId78" cstate="print"/>
                    <a:stretch>
                      <a:fillRect/>
                    </a:stretch>
                  </pic:blipFill>
                  <pic:spPr>
                    <a:xfrm>
                      <a:off x="0" y="0"/>
                      <a:ext cx="4563999" cy="3042666"/>
                    </a:xfrm>
                    <a:prstGeom prst="rect">
                      <a:avLst/>
                    </a:prstGeom>
                  </pic:spPr>
                </pic:pic>
              </a:graphicData>
            </a:graphic>
          </wp:anchor>
        </w:drawing>
      </w:r>
    </w:p>
    <w:p>
      <w:pPr>
        <w:pStyle w:val="BodyText"/>
        <w:spacing w:before="10"/>
        <w:rPr>
          <w:sz w:val="21"/>
        </w:rPr>
      </w:pPr>
    </w:p>
    <w:p>
      <w:pPr>
        <w:pStyle w:val="BodyText"/>
        <w:ind w:left="1617" w:right="41"/>
      </w:pPr>
      <w:r>
        <w:rPr>
          <w:b/>
        </w:rPr>
        <w:t>Figure 4. </w:t>
      </w:r>
      <w:r>
        <w:rPr/>
        <w:t>Cooling thermograms of nylon 6,6 and nanocomposites.</w:t>
      </w:r>
    </w:p>
    <w:p>
      <w:pPr>
        <w:pStyle w:val="BodyText"/>
      </w:pPr>
    </w:p>
    <w:p>
      <w:pPr>
        <w:pStyle w:val="BodyText"/>
        <w:spacing w:before="11"/>
        <w:rPr>
          <w:sz w:val="19"/>
        </w:rPr>
      </w:pPr>
    </w:p>
    <w:p>
      <w:pPr>
        <w:pStyle w:val="BodyText"/>
        <w:spacing w:line="355" w:lineRule="auto"/>
        <w:ind w:left="122" w:right="133" w:firstLine="256"/>
        <w:jc w:val="both"/>
      </w:pPr>
      <w:r>
        <w:rPr/>
        <w:t>Other authors</w:t>
      </w:r>
      <w:r>
        <w:rPr>
          <w:position w:val="10"/>
          <w:sz w:val="14"/>
        </w:rPr>
        <w:t>16,23,28 </w:t>
      </w:r>
      <w:r>
        <w:rPr/>
        <w:t>have shown more noticeable results regarding the nucleating effect of CNTs and graphene based nanofillers using higher content of nanomaterials. Xu et al.</w:t>
      </w:r>
      <w:r>
        <w:rPr>
          <w:position w:val="10"/>
          <w:sz w:val="14"/>
        </w:rPr>
        <w:t>19 </w:t>
      </w:r>
      <w:r>
        <w:rPr/>
        <w:t>studied poly(L- lactide) nanocomposites using FTIR and found that the induction process of crystallisation due to graphene is slower than the process due to CNTs because lattice matching plays a dominant role in surface-induced crystallisation. The polymer chains adsorbed on the surface of graphene need more time to adjust their conformations, making the induction process more complex.</w:t>
      </w:r>
      <w:r>
        <w:rPr>
          <w:position w:val="10"/>
          <w:sz w:val="14"/>
        </w:rPr>
        <w:t>19 </w:t>
      </w:r>
      <w:r>
        <w:rPr/>
        <w:t>In contrast, the crystallisation thermograms obtained from the injection moulded nanocomposites show interesting differences between both nanofillers. Graphene based nanocomposites displayed sharper crystallisation curves than CNT based nanocomposites. This indicates that while CNTs accelerate</w:t>
      </w:r>
    </w:p>
    <w:p>
      <w:pPr>
        <w:spacing w:after="0" w:line="355" w:lineRule="auto"/>
        <w:jc w:val="both"/>
        <w:sectPr>
          <w:pgSz w:w="12240" w:h="15840"/>
          <w:pgMar w:header="730" w:footer="1060" w:top="1160" w:bottom="1260" w:left="1580" w:right="1560"/>
        </w:sectPr>
      </w:pPr>
    </w:p>
    <w:p>
      <w:pPr>
        <w:pStyle w:val="BodyText"/>
        <w:rPr>
          <w:sz w:val="14"/>
        </w:rPr>
      </w:pPr>
    </w:p>
    <w:p>
      <w:pPr>
        <w:pStyle w:val="BodyText"/>
        <w:spacing w:line="352" w:lineRule="auto" w:before="73"/>
        <w:ind w:left="122" w:right="137"/>
        <w:jc w:val="both"/>
      </w:pPr>
      <w:r>
        <w:rPr/>
        <w:t>the nucleation process, most nylon 6,6 crystals are grown in a shorter time in graphene based nanocomposites. Similar behaviour in crystallisation thermograms and crystallisation rate has been found in polypropylene nucleated with exfoliated graphite.</w:t>
      </w:r>
      <w:r>
        <w:rPr>
          <w:position w:val="10"/>
          <w:sz w:val="14"/>
        </w:rPr>
        <w:t>29 </w:t>
      </w:r>
      <w:r>
        <w:rPr/>
        <w:t>This effect can be attributed to the  large surface area of graphene favouring the reduction of interfacial free</w:t>
      </w:r>
      <w:r>
        <w:rPr>
          <w:spacing w:val="-29"/>
        </w:rPr>
        <w:t> </w:t>
      </w:r>
      <w:r>
        <w:rPr/>
        <w:t>energy.</w:t>
      </w:r>
    </w:p>
    <w:p>
      <w:pPr>
        <w:pStyle w:val="BodyText"/>
      </w:pPr>
    </w:p>
    <w:p>
      <w:pPr>
        <w:pStyle w:val="BodyText"/>
        <w:spacing w:line="350" w:lineRule="auto" w:before="138"/>
        <w:ind w:left="122" w:right="133" w:firstLine="201"/>
        <w:jc w:val="both"/>
      </w:pPr>
      <w:r>
        <w:rPr/>
        <w:t>The crystallinity of the samples was also characterised by WAXD. The diffraction patterns are displayed in Figure 5. This polymer has two characteristic diffraction signals located ~ 20.2 º and ~ 23.5º. The spacing of them are approximately 0.44 nm and 0.37 nm respectively. The former is a project value of the interchain distance within the hydrogen-bonded sheet and the latter represents the intersheet distance.</w:t>
      </w:r>
      <w:r>
        <w:rPr>
          <w:position w:val="10"/>
          <w:sz w:val="14"/>
        </w:rPr>
        <w:t>17 </w:t>
      </w:r>
      <w:r>
        <w:rPr/>
        <w:t>This peaks correspond to the (100) and (010/110) crystalline planes of α- crystals which have a triclinic unit cell.</w:t>
      </w:r>
      <w:r>
        <w:rPr>
          <w:position w:val="10"/>
          <w:sz w:val="14"/>
        </w:rPr>
        <w:t>18,22 </w:t>
      </w:r>
      <w:r>
        <w:rPr/>
        <w:t>Furthermore, the diffraction patterns were fitted using Gaussian functions in Origin</w:t>
      </w:r>
      <w:r>
        <w:rPr>
          <w:position w:val="10"/>
          <w:sz w:val="14"/>
        </w:rPr>
        <w:t>® </w:t>
      </w:r>
      <w:r>
        <w:rPr/>
        <w:t>8.5 in order to obtain a broad amorphous halo and sharp peaks from the reflections of the crystalline peaks. This procedure was used to evaluate the crystallinity index (CI) obtained by the following equation:</w:t>
      </w:r>
    </w:p>
    <w:p>
      <w:pPr>
        <w:pStyle w:val="BodyText"/>
        <w:spacing w:before="1"/>
      </w:pPr>
      <w:r>
        <w:rPr/>
        <w:pict>
          <v:line style="position:absolute;mso-position-horizontal-relative:page;mso-position-vertical-relative:paragraph;z-index:2536;mso-wrap-distance-left:0;mso-wrap-distance-right:0" from="300.049988pt,15.057052pt" to="331.969988pt,15.057052pt" stroked="true" strokeweight=".72pt" strokecolor="#000000">
            <w10:wrap type="topAndBottom"/>
          </v:line>
        </w:pict>
      </w:r>
    </w:p>
    <w:p>
      <w:pPr>
        <w:pStyle w:val="BodyText"/>
        <w:spacing w:before="10"/>
        <w:rPr>
          <w:sz w:val="26"/>
        </w:rPr>
      </w:pPr>
    </w:p>
    <w:p>
      <w:pPr>
        <w:pStyle w:val="BodyText"/>
        <w:spacing w:line="352" w:lineRule="auto" w:before="73"/>
        <w:ind w:left="122" w:right="135"/>
        <w:jc w:val="both"/>
      </w:pPr>
      <w:r>
        <w:rPr/>
        <w:t>where </w:t>
      </w:r>
      <w:r>
        <w:rPr>
          <w:i/>
        </w:rPr>
        <w:t>A</w:t>
      </w:r>
      <w:r>
        <w:rPr>
          <w:i/>
          <w:position w:val="-2"/>
          <w:sz w:val="14"/>
        </w:rPr>
        <w:t>c </w:t>
      </w:r>
      <w:r>
        <w:rPr/>
        <w:t>is the integrated area underneath the crystalline peaks and </w:t>
      </w:r>
      <w:r>
        <w:rPr>
          <w:i/>
        </w:rPr>
        <w:t>A</w:t>
      </w:r>
      <w:r>
        <w:rPr>
          <w:i/>
          <w:position w:val="-2"/>
          <w:sz w:val="14"/>
        </w:rPr>
        <w:t>a </w:t>
      </w:r>
      <w:r>
        <w:rPr/>
        <w:t>is the integrated area of the amorphous halo. The values of CI are shown in Table 2. These values agree with the </w:t>
      </w:r>
      <w:r>
        <w:rPr>
          <w:i/>
        </w:rPr>
        <w:t>X</w:t>
      </w:r>
      <w:r>
        <w:rPr>
          <w:i/>
          <w:position w:val="-2"/>
          <w:sz w:val="14"/>
        </w:rPr>
        <w:t>c </w:t>
      </w:r>
      <w:r>
        <w:rPr/>
        <w:t>calculated from DSC analyses. As seen in Figure 5 the polymer crystalline peaks are sharper after addition of nanofillers, indicating an increase in crystallite size meaning enhanced crystal perfection. The crystallite sizes perpendicular to the diffraction (hkl) planes, L</w:t>
      </w:r>
      <w:r>
        <w:rPr>
          <w:position w:val="-2"/>
          <w:sz w:val="14"/>
        </w:rPr>
        <w:t>hkl </w:t>
      </w:r>
      <w:r>
        <w:rPr/>
        <w:t>in nanometres, were obtained by applying Scherrer’s equation:</w:t>
      </w:r>
    </w:p>
    <w:p>
      <w:pPr>
        <w:pStyle w:val="BodyText"/>
        <w:spacing w:before="8"/>
      </w:pPr>
      <w:r>
        <w:rPr/>
        <w:pict>
          <v:line style="position:absolute;mso-position-horizontal-relative:page;mso-position-vertical-relative:paragraph;z-index:2560;mso-wrap-distance-left:0;mso-wrap-distance-right:0" from="308.209991pt,15.415238pt" to="337.393991pt,15.415238pt" stroked="true" strokeweight=".72pt" strokecolor="#000000">
            <w10:wrap type="topAndBottom"/>
          </v:line>
        </w:pict>
      </w:r>
    </w:p>
    <w:p>
      <w:pPr>
        <w:pStyle w:val="BodyText"/>
        <w:spacing w:before="4"/>
      </w:pPr>
    </w:p>
    <w:p>
      <w:pPr>
        <w:pStyle w:val="BodyText"/>
        <w:tabs>
          <w:tab w:pos="8811" w:val="left" w:leader="none"/>
        </w:tabs>
        <w:spacing w:before="83"/>
        <w:ind w:left="122" w:right="41"/>
      </w:pPr>
      <w:r>
        <w:rPr/>
        <w:t>where     </w:t>
      </w:r>
      <w:r>
        <w:rPr/>
        <w:t>is the Scherrer factor, taken as 0.891</w:t>
      </w:r>
      <w:r>
        <w:rPr>
          <w:position w:val="10"/>
          <w:sz w:val="14"/>
        </w:rPr>
        <w:t>18          </w:t>
      </w:r>
      <w:r>
        <w:rPr/>
        <w:t>is the  </w:t>
      </w:r>
      <w:r>
        <w:rPr>
          <w:spacing w:val="21"/>
        </w:rPr>
        <w:t> </w:t>
      </w:r>
      <w:r>
        <w:rPr/>
        <w:t>X-ray</w:t>
      </w:r>
      <w:r>
        <w:rPr>
          <w:spacing w:val="16"/>
        </w:rPr>
        <w:t> </w:t>
      </w:r>
      <w:r>
        <w:rPr/>
        <w:t>wavelength,</w:t>
      </w:r>
      <w:r>
        <w:rPr>
          <w:rFonts w:ascii="Cambria Math"/>
        </w:rPr>
        <w:tab/>
      </w:r>
      <w:r>
        <w:rPr/>
        <w:t>is</w:t>
      </w:r>
    </w:p>
    <w:p>
      <w:pPr>
        <w:pStyle w:val="BodyText"/>
        <w:spacing w:line="355" w:lineRule="auto" w:before="134"/>
        <w:ind w:left="122" w:right="135"/>
        <w:jc w:val="both"/>
      </w:pPr>
      <w:r>
        <w:rPr/>
        <w:t>the pure line breadth, is a measured half width of the experimental peak, is the instrumental broadening factor which is 0.12 for the diffractometer employed and is the Bragg angle. Table 2 shows the increased crystallite size values when compared to pure polymer. Typically, the addition of nucleating agents is expected to produce smaller and less perfect crystals. However other composite studies have shown similar results as in this case.</w:t>
      </w:r>
      <w:r>
        <w:rPr>
          <w:position w:val="10"/>
          <w:sz w:val="14"/>
        </w:rPr>
        <w:t>15,28,30 </w:t>
      </w:r>
      <w:r>
        <w:rPr/>
        <w:t>Sandler et al.</w:t>
      </w:r>
      <w:r>
        <w:rPr>
          <w:position w:val="10"/>
          <w:sz w:val="14"/>
        </w:rPr>
        <w:t>28 </w:t>
      </w:r>
      <w:r>
        <w:rPr/>
        <w:t>explained that the early nucleation leaves more space for the heteronucleated crystals to grow before homonucleation within the rest of the matrix leads to impingement.</w:t>
      </w:r>
      <w:r>
        <w:rPr>
          <w:position w:val="10"/>
          <w:sz w:val="14"/>
        </w:rPr>
        <w:t>28 </w:t>
      </w:r>
      <w:r>
        <w:rPr/>
        <w:t>The crystal sizes indicate the preferential growth of nylon 6,6 crystalline structures are in the perpendicular direction of (100) plane in all samples.</w:t>
      </w:r>
    </w:p>
    <w:p>
      <w:pPr>
        <w:spacing w:after="0" w:line="355" w:lineRule="auto"/>
        <w:jc w:val="both"/>
        <w:sectPr>
          <w:pgSz w:w="12240" w:h="15840"/>
          <w:pgMar w:header="730" w:footer="1060" w:top="1160" w:bottom="1260" w:left="1580" w:right="1560"/>
        </w:sectPr>
      </w:pPr>
    </w:p>
    <w:p>
      <w:pPr>
        <w:pStyle w:val="BodyText"/>
        <w:rPr>
          <w:sz w:val="20"/>
        </w:rPr>
      </w:pPr>
    </w:p>
    <w:p>
      <w:pPr>
        <w:pStyle w:val="BodyText"/>
        <w:rPr>
          <w:sz w:val="20"/>
        </w:rPr>
      </w:pPr>
    </w:p>
    <w:p>
      <w:pPr>
        <w:pStyle w:val="BodyText"/>
        <w:rPr>
          <w:sz w:val="14"/>
        </w:rPr>
      </w:pPr>
    </w:p>
    <w:p>
      <w:pPr>
        <w:pStyle w:val="BodyText"/>
        <w:ind w:left="2299"/>
        <w:rPr>
          <w:sz w:val="20"/>
        </w:rPr>
      </w:pPr>
      <w:r>
        <w:rPr>
          <w:sz w:val="20"/>
        </w:rPr>
        <w:drawing>
          <wp:inline distT="0" distB="0" distL="0" distR="0">
            <wp:extent cx="3043434" cy="3042666"/>
            <wp:effectExtent l="0" t="0" r="0" b="0"/>
            <wp:docPr id="77" name="image47.jpeg" descr=""/>
            <wp:cNvGraphicFramePr>
              <a:graphicFrameLocks noChangeAspect="1"/>
            </wp:cNvGraphicFramePr>
            <a:graphic>
              <a:graphicData uri="http://schemas.openxmlformats.org/drawingml/2006/picture">
                <pic:pic>
                  <pic:nvPicPr>
                    <pic:cNvPr id="78" name="image47.jpeg"/>
                    <pic:cNvPicPr/>
                  </pic:nvPicPr>
                  <pic:blipFill>
                    <a:blip r:embed="rId79" cstate="print"/>
                    <a:stretch>
                      <a:fillRect/>
                    </a:stretch>
                  </pic:blipFill>
                  <pic:spPr>
                    <a:xfrm>
                      <a:off x="0" y="0"/>
                      <a:ext cx="3043434" cy="3042666"/>
                    </a:xfrm>
                    <a:prstGeom prst="rect">
                      <a:avLst/>
                    </a:prstGeom>
                  </pic:spPr>
                </pic:pic>
              </a:graphicData>
            </a:graphic>
          </wp:inline>
        </w:drawing>
      </w:r>
      <w:r>
        <w:rPr>
          <w:sz w:val="20"/>
        </w:rPr>
      </w:r>
    </w:p>
    <w:p>
      <w:pPr>
        <w:pStyle w:val="BodyText"/>
        <w:spacing w:before="1"/>
        <w:rPr>
          <w:sz w:val="18"/>
        </w:rPr>
      </w:pPr>
    </w:p>
    <w:p>
      <w:pPr>
        <w:pStyle w:val="BodyText"/>
        <w:spacing w:before="73"/>
        <w:ind w:left="731" w:right="712"/>
        <w:jc w:val="center"/>
      </w:pPr>
      <w:r>
        <w:rPr>
          <w:b/>
        </w:rPr>
        <w:t>Figure 5. </w:t>
      </w:r>
      <w:r>
        <w:rPr/>
        <w:t>X-ray diffractograms of nylon 6,6 and nanocomposites.</w:t>
      </w:r>
    </w:p>
    <w:p>
      <w:pPr>
        <w:pStyle w:val="BodyText"/>
      </w:pPr>
    </w:p>
    <w:p>
      <w:pPr>
        <w:pStyle w:val="BodyText"/>
        <w:spacing w:before="11"/>
        <w:rPr>
          <w:sz w:val="21"/>
        </w:rPr>
      </w:pPr>
    </w:p>
    <w:p>
      <w:pPr>
        <w:pStyle w:val="BodyText"/>
        <w:ind w:left="732" w:right="712"/>
        <w:jc w:val="center"/>
      </w:pPr>
      <w:r>
        <w:rPr>
          <w:b/>
        </w:rPr>
        <w:t>Table 2. </w:t>
      </w:r>
      <w:r>
        <w:rPr/>
        <w:t>Crystallisation properties obtained from WAXD</w:t>
      </w:r>
    </w:p>
    <w:p>
      <w:pPr>
        <w:pStyle w:val="BodyText"/>
        <w:spacing w:before="9"/>
        <w:rPr>
          <w:sz w:val="28"/>
        </w:rPr>
      </w:pPr>
    </w:p>
    <w:tbl>
      <w:tblPr>
        <w:tblW w:w="0" w:type="auto"/>
        <w:jc w:val="left"/>
        <w:tblInd w:w="11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416"/>
        <w:gridCol w:w="864"/>
        <w:gridCol w:w="988"/>
        <w:gridCol w:w="714"/>
        <w:gridCol w:w="851"/>
        <w:gridCol w:w="1033"/>
        <w:gridCol w:w="669"/>
        <w:gridCol w:w="851"/>
        <w:gridCol w:w="852"/>
        <w:gridCol w:w="850"/>
      </w:tblGrid>
      <w:tr>
        <w:trPr>
          <w:trHeight w:val="314" w:hRule="exact"/>
        </w:trPr>
        <w:tc>
          <w:tcPr>
            <w:tcW w:w="1416" w:type="dxa"/>
            <w:tcBorders>
              <w:left w:val="nil"/>
              <w:bottom w:val="single" w:sz="8" w:space="0" w:color="000000"/>
              <w:right w:val="nil"/>
            </w:tcBorders>
          </w:tcPr>
          <w:p>
            <w:pPr/>
          </w:p>
        </w:tc>
        <w:tc>
          <w:tcPr>
            <w:tcW w:w="864" w:type="dxa"/>
            <w:tcBorders>
              <w:left w:val="nil"/>
              <w:bottom w:val="single" w:sz="8" w:space="0" w:color="000000"/>
              <w:right w:val="nil"/>
            </w:tcBorders>
          </w:tcPr>
          <w:p>
            <w:pPr/>
          </w:p>
        </w:tc>
        <w:tc>
          <w:tcPr>
            <w:tcW w:w="988" w:type="dxa"/>
            <w:tcBorders>
              <w:left w:val="nil"/>
              <w:bottom w:val="single" w:sz="8" w:space="0" w:color="000000"/>
              <w:right w:val="nil"/>
            </w:tcBorders>
          </w:tcPr>
          <w:p>
            <w:pPr>
              <w:pStyle w:val="TableParagraph"/>
              <w:spacing w:line="263" w:lineRule="exact"/>
              <w:ind w:left="-20" w:right="120"/>
              <w:jc w:val="right"/>
              <w:rPr>
                <w:sz w:val="22"/>
              </w:rPr>
            </w:pPr>
            <w:r>
              <w:rPr>
                <w:position w:val="3"/>
                <w:sz w:val="22"/>
              </w:rPr>
              <w:t>L </w:t>
            </w:r>
            <w:r>
              <w:rPr>
                <w:sz w:val="14"/>
              </w:rPr>
              <w:t>(100)</w:t>
            </w:r>
            <w:r>
              <w:rPr>
                <w:position w:val="3"/>
                <w:sz w:val="22"/>
              </w:rPr>
              <w:t>,</w:t>
            </w:r>
            <w:r>
              <w:rPr>
                <w:spacing w:val="-1"/>
                <w:position w:val="3"/>
                <w:sz w:val="22"/>
              </w:rPr>
              <w:t> </w:t>
            </w:r>
            <w:r>
              <w:rPr>
                <w:position w:val="3"/>
                <w:sz w:val="22"/>
              </w:rPr>
              <w:t>nm</w:t>
            </w:r>
          </w:p>
        </w:tc>
        <w:tc>
          <w:tcPr>
            <w:tcW w:w="714" w:type="dxa"/>
            <w:tcBorders>
              <w:left w:val="nil"/>
              <w:bottom w:val="single" w:sz="8" w:space="0" w:color="000000"/>
              <w:right w:val="nil"/>
            </w:tcBorders>
          </w:tcPr>
          <w:p>
            <w:pPr/>
          </w:p>
        </w:tc>
        <w:tc>
          <w:tcPr>
            <w:tcW w:w="1884" w:type="dxa"/>
            <w:gridSpan w:val="2"/>
            <w:tcBorders>
              <w:left w:val="nil"/>
              <w:bottom w:val="single" w:sz="8" w:space="0" w:color="000000"/>
              <w:right w:val="nil"/>
            </w:tcBorders>
          </w:tcPr>
          <w:p>
            <w:pPr>
              <w:pStyle w:val="TableParagraph"/>
              <w:spacing w:line="263" w:lineRule="exact"/>
              <w:ind w:left="717"/>
              <w:jc w:val="left"/>
              <w:rPr>
                <w:sz w:val="22"/>
              </w:rPr>
            </w:pPr>
            <w:r>
              <w:rPr>
                <w:position w:val="3"/>
                <w:sz w:val="22"/>
              </w:rPr>
              <w:t>L</w:t>
            </w:r>
            <w:r>
              <w:rPr>
                <w:sz w:val="14"/>
              </w:rPr>
              <w:t>( 010/110)</w:t>
            </w:r>
            <w:r>
              <w:rPr>
                <w:position w:val="3"/>
                <w:sz w:val="22"/>
              </w:rPr>
              <w:t>, nm</w:t>
            </w:r>
          </w:p>
        </w:tc>
        <w:tc>
          <w:tcPr>
            <w:tcW w:w="669" w:type="dxa"/>
            <w:tcBorders>
              <w:left w:val="nil"/>
              <w:bottom w:val="single" w:sz="8" w:space="0" w:color="000000"/>
              <w:right w:val="nil"/>
            </w:tcBorders>
          </w:tcPr>
          <w:p>
            <w:pPr/>
          </w:p>
        </w:tc>
        <w:tc>
          <w:tcPr>
            <w:tcW w:w="851" w:type="dxa"/>
            <w:tcBorders>
              <w:left w:val="nil"/>
              <w:bottom w:val="single" w:sz="8" w:space="0" w:color="000000"/>
              <w:right w:val="nil"/>
            </w:tcBorders>
          </w:tcPr>
          <w:p>
            <w:pPr/>
          </w:p>
        </w:tc>
        <w:tc>
          <w:tcPr>
            <w:tcW w:w="852" w:type="dxa"/>
            <w:tcBorders>
              <w:left w:val="nil"/>
              <w:bottom w:val="single" w:sz="8" w:space="0" w:color="000000"/>
              <w:right w:val="nil"/>
            </w:tcBorders>
          </w:tcPr>
          <w:p>
            <w:pPr>
              <w:pStyle w:val="TableParagraph"/>
              <w:spacing w:line="249" w:lineRule="exact"/>
              <w:ind w:left="267" w:right="269"/>
              <w:rPr>
                <w:sz w:val="22"/>
              </w:rPr>
            </w:pPr>
            <w:r>
              <w:rPr>
                <w:sz w:val="22"/>
              </w:rPr>
              <w:t>CI</w:t>
            </w:r>
          </w:p>
        </w:tc>
        <w:tc>
          <w:tcPr>
            <w:tcW w:w="850" w:type="dxa"/>
            <w:tcBorders>
              <w:left w:val="nil"/>
              <w:bottom w:val="single" w:sz="8" w:space="0" w:color="000000"/>
              <w:right w:val="nil"/>
            </w:tcBorders>
          </w:tcPr>
          <w:p>
            <w:pPr/>
          </w:p>
        </w:tc>
      </w:tr>
      <w:tr>
        <w:trPr>
          <w:trHeight w:val="317" w:hRule="exact"/>
        </w:trPr>
        <w:tc>
          <w:tcPr>
            <w:tcW w:w="1416" w:type="dxa"/>
            <w:tcBorders>
              <w:top w:val="single" w:sz="8" w:space="0" w:color="000000"/>
              <w:left w:val="nil"/>
              <w:bottom w:val="single" w:sz="8" w:space="0" w:color="000000"/>
              <w:right w:val="nil"/>
            </w:tcBorders>
          </w:tcPr>
          <w:p>
            <w:pPr>
              <w:pStyle w:val="TableParagraph"/>
              <w:spacing w:line="247" w:lineRule="exact"/>
              <w:ind w:left="245" w:right="225"/>
              <w:rPr>
                <w:sz w:val="22"/>
              </w:rPr>
            </w:pPr>
            <w:r>
              <w:rPr>
                <w:sz w:val="22"/>
              </w:rPr>
              <w:t>Nylon 6,6</w:t>
            </w:r>
          </w:p>
        </w:tc>
        <w:tc>
          <w:tcPr>
            <w:tcW w:w="864" w:type="dxa"/>
            <w:tcBorders>
              <w:top w:val="single" w:sz="8" w:space="0" w:color="000000"/>
              <w:left w:val="nil"/>
              <w:bottom w:val="single" w:sz="8" w:space="0" w:color="000000"/>
              <w:right w:val="nil"/>
            </w:tcBorders>
          </w:tcPr>
          <w:p>
            <w:pPr/>
          </w:p>
        </w:tc>
        <w:tc>
          <w:tcPr>
            <w:tcW w:w="988" w:type="dxa"/>
            <w:tcBorders>
              <w:top w:val="single" w:sz="8" w:space="0" w:color="000000"/>
              <w:left w:val="nil"/>
              <w:bottom w:val="single" w:sz="8" w:space="0" w:color="000000"/>
              <w:right w:val="nil"/>
            </w:tcBorders>
          </w:tcPr>
          <w:p>
            <w:pPr>
              <w:pStyle w:val="TableParagraph"/>
              <w:spacing w:line="247" w:lineRule="exact"/>
              <w:ind w:left="230"/>
              <w:jc w:val="left"/>
              <w:rPr>
                <w:sz w:val="22"/>
              </w:rPr>
            </w:pPr>
            <w:r>
              <w:rPr>
                <w:sz w:val="22"/>
              </w:rPr>
              <w:t>4.46</w:t>
            </w:r>
          </w:p>
        </w:tc>
        <w:tc>
          <w:tcPr>
            <w:tcW w:w="714" w:type="dxa"/>
            <w:tcBorders>
              <w:top w:val="single" w:sz="8" w:space="0" w:color="000000"/>
              <w:left w:val="nil"/>
              <w:bottom w:val="single" w:sz="8" w:space="0" w:color="000000"/>
              <w:right w:val="nil"/>
            </w:tcBorders>
          </w:tcPr>
          <w:p>
            <w:pPr/>
          </w:p>
        </w:tc>
        <w:tc>
          <w:tcPr>
            <w:tcW w:w="851" w:type="dxa"/>
            <w:tcBorders>
              <w:top w:val="single" w:sz="8" w:space="0" w:color="000000"/>
              <w:left w:val="nil"/>
              <w:bottom w:val="single" w:sz="8" w:space="0" w:color="000000"/>
              <w:right w:val="nil"/>
            </w:tcBorders>
          </w:tcPr>
          <w:p>
            <w:pPr/>
          </w:p>
        </w:tc>
        <w:tc>
          <w:tcPr>
            <w:tcW w:w="1033" w:type="dxa"/>
            <w:tcBorders>
              <w:top w:val="single" w:sz="8" w:space="0" w:color="000000"/>
              <w:left w:val="nil"/>
              <w:bottom w:val="single" w:sz="8" w:space="0" w:color="000000"/>
              <w:right w:val="nil"/>
            </w:tcBorders>
          </w:tcPr>
          <w:p>
            <w:pPr>
              <w:pStyle w:val="TableParagraph"/>
              <w:spacing w:line="247" w:lineRule="exact"/>
              <w:ind w:left="231"/>
              <w:jc w:val="left"/>
              <w:rPr>
                <w:sz w:val="22"/>
              </w:rPr>
            </w:pPr>
            <w:r>
              <w:rPr>
                <w:sz w:val="22"/>
              </w:rPr>
              <w:t>4.01</w:t>
            </w:r>
          </w:p>
        </w:tc>
        <w:tc>
          <w:tcPr>
            <w:tcW w:w="669" w:type="dxa"/>
            <w:tcBorders>
              <w:top w:val="single" w:sz="8" w:space="0" w:color="000000"/>
              <w:left w:val="nil"/>
              <w:bottom w:val="single" w:sz="8" w:space="0" w:color="000000"/>
              <w:right w:val="nil"/>
            </w:tcBorders>
          </w:tcPr>
          <w:p>
            <w:pPr/>
          </w:p>
        </w:tc>
        <w:tc>
          <w:tcPr>
            <w:tcW w:w="851" w:type="dxa"/>
            <w:tcBorders>
              <w:top w:val="single" w:sz="8" w:space="0" w:color="000000"/>
              <w:left w:val="nil"/>
              <w:bottom w:val="single" w:sz="8" w:space="0" w:color="000000"/>
              <w:right w:val="nil"/>
            </w:tcBorders>
          </w:tcPr>
          <w:p>
            <w:pPr/>
          </w:p>
        </w:tc>
        <w:tc>
          <w:tcPr>
            <w:tcW w:w="852" w:type="dxa"/>
            <w:tcBorders>
              <w:top w:val="single" w:sz="8" w:space="0" w:color="000000"/>
              <w:left w:val="nil"/>
              <w:bottom w:val="single" w:sz="8" w:space="0" w:color="000000"/>
              <w:right w:val="nil"/>
            </w:tcBorders>
          </w:tcPr>
          <w:p>
            <w:pPr>
              <w:pStyle w:val="TableParagraph"/>
              <w:spacing w:line="247" w:lineRule="exact"/>
              <w:ind w:left="230" w:right="-57"/>
              <w:jc w:val="left"/>
              <w:rPr>
                <w:sz w:val="22"/>
              </w:rPr>
            </w:pPr>
            <w:r>
              <w:rPr>
                <w:sz w:val="22"/>
              </w:rPr>
              <w:t>0.37</w:t>
            </w:r>
          </w:p>
        </w:tc>
        <w:tc>
          <w:tcPr>
            <w:tcW w:w="850" w:type="dxa"/>
            <w:tcBorders>
              <w:top w:val="single" w:sz="8" w:space="0" w:color="000000"/>
              <w:left w:val="nil"/>
              <w:bottom w:val="single" w:sz="8" w:space="0" w:color="000000"/>
              <w:right w:val="nil"/>
            </w:tcBorders>
          </w:tcPr>
          <w:p>
            <w:pPr/>
          </w:p>
        </w:tc>
      </w:tr>
      <w:tr>
        <w:trPr>
          <w:trHeight w:val="301" w:hRule="exact"/>
        </w:trPr>
        <w:tc>
          <w:tcPr>
            <w:tcW w:w="1416" w:type="dxa"/>
            <w:tcBorders>
              <w:top w:val="single" w:sz="8" w:space="0" w:color="000000"/>
              <w:left w:val="nil"/>
              <w:bottom w:val="nil"/>
              <w:right w:val="nil"/>
            </w:tcBorders>
          </w:tcPr>
          <w:p>
            <w:pPr>
              <w:pStyle w:val="TableParagraph"/>
              <w:spacing w:before="13"/>
              <w:ind w:left="247" w:right="225"/>
              <w:rPr>
                <w:sz w:val="22"/>
              </w:rPr>
            </w:pPr>
            <w:r>
              <w:rPr>
                <w:sz w:val="22"/>
              </w:rPr>
              <w:t>Nanofiller</w:t>
            </w:r>
          </w:p>
        </w:tc>
        <w:tc>
          <w:tcPr>
            <w:tcW w:w="864" w:type="dxa"/>
            <w:tcBorders>
              <w:top w:val="single" w:sz="8" w:space="0" w:color="000000"/>
              <w:left w:val="nil"/>
              <w:bottom w:val="nil"/>
              <w:right w:val="nil"/>
            </w:tcBorders>
          </w:tcPr>
          <w:p>
            <w:pPr>
              <w:pStyle w:val="TableParagraph"/>
              <w:spacing w:line="249" w:lineRule="exact"/>
              <w:ind w:right="-161"/>
              <w:jc w:val="right"/>
              <w:rPr>
                <w:sz w:val="22"/>
              </w:rPr>
            </w:pPr>
            <w:r>
              <w:rPr>
                <w:w w:val="100"/>
                <w:sz w:val="22"/>
              </w:rPr>
              <w:t>W</w:t>
            </w:r>
          </w:p>
        </w:tc>
        <w:tc>
          <w:tcPr>
            <w:tcW w:w="988" w:type="dxa"/>
            <w:tcBorders>
              <w:top w:val="single" w:sz="8" w:space="0" w:color="000000"/>
              <w:left w:val="nil"/>
              <w:bottom w:val="nil"/>
              <w:right w:val="nil"/>
            </w:tcBorders>
          </w:tcPr>
          <w:p>
            <w:pPr>
              <w:pStyle w:val="TableParagraph"/>
              <w:spacing w:line="249" w:lineRule="exact"/>
              <w:ind w:left="-20" w:right="92"/>
              <w:jc w:val="right"/>
              <w:rPr>
                <w:sz w:val="22"/>
              </w:rPr>
            </w:pPr>
            <w:r>
              <w:rPr>
                <w:sz w:val="22"/>
              </w:rPr>
              <w:t>eight, %</w:t>
            </w:r>
          </w:p>
        </w:tc>
        <w:tc>
          <w:tcPr>
            <w:tcW w:w="714" w:type="dxa"/>
            <w:tcBorders>
              <w:top w:val="single" w:sz="8" w:space="0" w:color="000000"/>
              <w:left w:val="nil"/>
              <w:bottom w:val="nil"/>
              <w:right w:val="nil"/>
            </w:tcBorders>
          </w:tcPr>
          <w:p>
            <w:pPr/>
          </w:p>
        </w:tc>
        <w:tc>
          <w:tcPr>
            <w:tcW w:w="851" w:type="dxa"/>
            <w:tcBorders>
              <w:top w:val="single" w:sz="8" w:space="0" w:color="000000"/>
              <w:left w:val="nil"/>
              <w:bottom w:val="nil"/>
              <w:right w:val="nil"/>
            </w:tcBorders>
          </w:tcPr>
          <w:p>
            <w:pPr>
              <w:pStyle w:val="TableParagraph"/>
              <w:spacing w:line="249" w:lineRule="exact"/>
              <w:ind w:right="-162"/>
              <w:jc w:val="right"/>
              <w:rPr>
                <w:sz w:val="22"/>
              </w:rPr>
            </w:pPr>
            <w:r>
              <w:rPr>
                <w:w w:val="100"/>
                <w:sz w:val="22"/>
              </w:rPr>
              <w:t>W</w:t>
            </w:r>
          </w:p>
        </w:tc>
        <w:tc>
          <w:tcPr>
            <w:tcW w:w="1033" w:type="dxa"/>
            <w:tcBorders>
              <w:top w:val="single" w:sz="8" w:space="0" w:color="000000"/>
              <w:left w:val="nil"/>
              <w:bottom w:val="nil"/>
              <w:right w:val="nil"/>
            </w:tcBorders>
          </w:tcPr>
          <w:p>
            <w:pPr>
              <w:pStyle w:val="TableParagraph"/>
              <w:spacing w:line="249" w:lineRule="exact"/>
              <w:ind w:left="161"/>
              <w:jc w:val="left"/>
              <w:rPr>
                <w:sz w:val="22"/>
              </w:rPr>
            </w:pPr>
            <w:r>
              <w:rPr>
                <w:sz w:val="22"/>
              </w:rPr>
              <w:t>eight, %</w:t>
            </w:r>
          </w:p>
        </w:tc>
        <w:tc>
          <w:tcPr>
            <w:tcW w:w="669" w:type="dxa"/>
            <w:tcBorders>
              <w:top w:val="single" w:sz="8" w:space="0" w:color="000000"/>
              <w:left w:val="nil"/>
              <w:bottom w:val="nil"/>
              <w:right w:val="nil"/>
            </w:tcBorders>
          </w:tcPr>
          <w:p>
            <w:pPr/>
          </w:p>
        </w:tc>
        <w:tc>
          <w:tcPr>
            <w:tcW w:w="851" w:type="dxa"/>
            <w:tcBorders>
              <w:top w:val="single" w:sz="8" w:space="0" w:color="000000"/>
              <w:left w:val="nil"/>
              <w:bottom w:val="nil"/>
              <w:right w:val="nil"/>
            </w:tcBorders>
          </w:tcPr>
          <w:p>
            <w:pPr>
              <w:pStyle w:val="TableParagraph"/>
              <w:spacing w:line="249" w:lineRule="exact"/>
              <w:ind w:right="-161"/>
              <w:jc w:val="right"/>
              <w:rPr>
                <w:sz w:val="22"/>
              </w:rPr>
            </w:pPr>
            <w:r>
              <w:rPr>
                <w:w w:val="100"/>
                <w:sz w:val="22"/>
              </w:rPr>
              <w:t>W</w:t>
            </w:r>
          </w:p>
        </w:tc>
        <w:tc>
          <w:tcPr>
            <w:tcW w:w="852" w:type="dxa"/>
            <w:tcBorders>
              <w:top w:val="single" w:sz="8" w:space="0" w:color="000000"/>
              <w:left w:val="nil"/>
              <w:bottom w:val="nil"/>
              <w:right w:val="nil"/>
            </w:tcBorders>
          </w:tcPr>
          <w:p>
            <w:pPr>
              <w:pStyle w:val="TableParagraph"/>
              <w:spacing w:line="249" w:lineRule="exact"/>
              <w:ind w:left="160" w:right="-57"/>
              <w:jc w:val="left"/>
              <w:rPr>
                <w:sz w:val="22"/>
              </w:rPr>
            </w:pPr>
            <w:r>
              <w:rPr>
                <w:sz w:val="22"/>
              </w:rPr>
              <w:t>eight,</w:t>
            </w:r>
            <w:r>
              <w:rPr>
                <w:spacing w:val="-4"/>
                <w:sz w:val="22"/>
              </w:rPr>
              <w:t> </w:t>
            </w:r>
            <w:r>
              <w:rPr>
                <w:sz w:val="22"/>
              </w:rPr>
              <w:t>%</w:t>
            </w:r>
          </w:p>
        </w:tc>
        <w:tc>
          <w:tcPr>
            <w:tcW w:w="850" w:type="dxa"/>
            <w:tcBorders>
              <w:top w:val="single" w:sz="8" w:space="0" w:color="000000"/>
              <w:left w:val="nil"/>
              <w:bottom w:val="nil"/>
              <w:right w:val="nil"/>
            </w:tcBorders>
          </w:tcPr>
          <w:p>
            <w:pPr/>
          </w:p>
        </w:tc>
      </w:tr>
      <w:tr>
        <w:trPr>
          <w:trHeight w:val="340" w:hRule="exact"/>
        </w:trPr>
        <w:tc>
          <w:tcPr>
            <w:tcW w:w="1416" w:type="dxa"/>
            <w:tcBorders>
              <w:top w:val="nil"/>
              <w:left w:val="nil"/>
              <w:right w:val="nil"/>
            </w:tcBorders>
          </w:tcPr>
          <w:p>
            <w:pPr/>
          </w:p>
        </w:tc>
        <w:tc>
          <w:tcPr>
            <w:tcW w:w="864" w:type="dxa"/>
            <w:tcBorders>
              <w:top w:val="nil"/>
              <w:left w:val="nil"/>
              <w:right w:val="nil"/>
            </w:tcBorders>
          </w:tcPr>
          <w:p>
            <w:pPr>
              <w:pStyle w:val="TableParagraph"/>
              <w:spacing w:before="2"/>
              <w:ind w:left="277" w:right="271"/>
              <w:rPr>
                <w:sz w:val="22"/>
              </w:rPr>
            </w:pPr>
            <w:r>
              <w:rPr>
                <w:sz w:val="22"/>
              </w:rPr>
              <w:t>0.1</w:t>
            </w:r>
          </w:p>
        </w:tc>
        <w:tc>
          <w:tcPr>
            <w:tcW w:w="988" w:type="dxa"/>
            <w:tcBorders>
              <w:top w:val="nil"/>
              <w:left w:val="nil"/>
              <w:right w:val="nil"/>
            </w:tcBorders>
          </w:tcPr>
          <w:p>
            <w:pPr>
              <w:pStyle w:val="TableParagraph"/>
              <w:spacing w:before="2"/>
              <w:ind w:left="285"/>
              <w:jc w:val="left"/>
              <w:rPr>
                <w:sz w:val="22"/>
              </w:rPr>
            </w:pPr>
            <w:r>
              <w:rPr>
                <w:sz w:val="22"/>
              </w:rPr>
              <w:t>0.3</w:t>
            </w:r>
          </w:p>
        </w:tc>
        <w:tc>
          <w:tcPr>
            <w:tcW w:w="714" w:type="dxa"/>
            <w:tcBorders>
              <w:top w:val="nil"/>
              <w:left w:val="nil"/>
              <w:right w:val="nil"/>
            </w:tcBorders>
          </w:tcPr>
          <w:p>
            <w:pPr>
              <w:pStyle w:val="TableParagraph"/>
              <w:spacing w:before="2"/>
              <w:ind w:left="147"/>
              <w:jc w:val="left"/>
              <w:rPr>
                <w:sz w:val="22"/>
              </w:rPr>
            </w:pPr>
            <w:r>
              <w:rPr>
                <w:sz w:val="22"/>
              </w:rPr>
              <w:t>0.5</w:t>
            </w:r>
          </w:p>
        </w:tc>
        <w:tc>
          <w:tcPr>
            <w:tcW w:w="851" w:type="dxa"/>
            <w:tcBorders>
              <w:top w:val="nil"/>
              <w:left w:val="nil"/>
              <w:right w:val="nil"/>
            </w:tcBorders>
          </w:tcPr>
          <w:p>
            <w:pPr>
              <w:pStyle w:val="TableParagraph"/>
              <w:spacing w:before="2"/>
              <w:ind w:left="285"/>
              <w:jc w:val="left"/>
              <w:rPr>
                <w:sz w:val="22"/>
              </w:rPr>
            </w:pPr>
            <w:r>
              <w:rPr>
                <w:sz w:val="22"/>
              </w:rPr>
              <w:t>0.1</w:t>
            </w:r>
          </w:p>
        </w:tc>
        <w:tc>
          <w:tcPr>
            <w:tcW w:w="1033" w:type="dxa"/>
            <w:tcBorders>
              <w:top w:val="nil"/>
              <w:left w:val="nil"/>
              <w:right w:val="nil"/>
            </w:tcBorders>
          </w:tcPr>
          <w:p>
            <w:pPr>
              <w:pStyle w:val="TableParagraph"/>
              <w:spacing w:before="2"/>
              <w:ind w:left="284"/>
              <w:jc w:val="left"/>
              <w:rPr>
                <w:sz w:val="22"/>
              </w:rPr>
            </w:pPr>
            <w:r>
              <w:rPr>
                <w:sz w:val="22"/>
              </w:rPr>
              <w:t>0.3</w:t>
            </w:r>
          </w:p>
        </w:tc>
        <w:tc>
          <w:tcPr>
            <w:tcW w:w="669" w:type="dxa"/>
            <w:tcBorders>
              <w:top w:val="nil"/>
              <w:left w:val="nil"/>
              <w:right w:val="nil"/>
            </w:tcBorders>
          </w:tcPr>
          <w:p>
            <w:pPr>
              <w:pStyle w:val="TableParagraph"/>
              <w:spacing w:before="2"/>
              <w:ind w:left="103"/>
              <w:jc w:val="left"/>
              <w:rPr>
                <w:sz w:val="22"/>
              </w:rPr>
            </w:pPr>
            <w:r>
              <w:rPr>
                <w:sz w:val="22"/>
              </w:rPr>
              <w:t>0.5</w:t>
            </w:r>
          </w:p>
        </w:tc>
        <w:tc>
          <w:tcPr>
            <w:tcW w:w="851" w:type="dxa"/>
            <w:tcBorders>
              <w:top w:val="nil"/>
              <w:left w:val="nil"/>
              <w:right w:val="nil"/>
            </w:tcBorders>
          </w:tcPr>
          <w:p>
            <w:pPr>
              <w:pStyle w:val="TableParagraph"/>
              <w:spacing w:before="2"/>
              <w:ind w:left="284"/>
              <w:jc w:val="left"/>
              <w:rPr>
                <w:sz w:val="22"/>
              </w:rPr>
            </w:pPr>
            <w:r>
              <w:rPr>
                <w:sz w:val="22"/>
              </w:rPr>
              <w:t>0.1</w:t>
            </w:r>
          </w:p>
        </w:tc>
        <w:tc>
          <w:tcPr>
            <w:tcW w:w="852" w:type="dxa"/>
            <w:tcBorders>
              <w:top w:val="nil"/>
              <w:left w:val="nil"/>
              <w:right w:val="nil"/>
            </w:tcBorders>
          </w:tcPr>
          <w:p>
            <w:pPr>
              <w:pStyle w:val="TableParagraph"/>
              <w:spacing w:before="2"/>
              <w:ind w:left="267" w:right="270"/>
              <w:rPr>
                <w:sz w:val="22"/>
              </w:rPr>
            </w:pPr>
            <w:r>
              <w:rPr>
                <w:sz w:val="22"/>
              </w:rPr>
              <w:t>0.3</w:t>
            </w:r>
          </w:p>
        </w:tc>
        <w:tc>
          <w:tcPr>
            <w:tcW w:w="850" w:type="dxa"/>
            <w:tcBorders>
              <w:top w:val="nil"/>
              <w:left w:val="nil"/>
              <w:right w:val="nil"/>
            </w:tcBorders>
          </w:tcPr>
          <w:p>
            <w:pPr>
              <w:pStyle w:val="TableParagraph"/>
              <w:spacing w:before="2"/>
              <w:ind w:left="211" w:right="211"/>
              <w:rPr>
                <w:sz w:val="22"/>
              </w:rPr>
            </w:pPr>
            <w:r>
              <w:rPr>
                <w:sz w:val="22"/>
              </w:rPr>
              <w:t>0.5</w:t>
            </w:r>
          </w:p>
        </w:tc>
      </w:tr>
      <w:tr>
        <w:trPr>
          <w:trHeight w:val="293" w:hRule="exact"/>
        </w:trPr>
        <w:tc>
          <w:tcPr>
            <w:tcW w:w="1416" w:type="dxa"/>
            <w:tcBorders>
              <w:left w:val="nil"/>
              <w:bottom w:val="nil"/>
              <w:right w:val="nil"/>
            </w:tcBorders>
          </w:tcPr>
          <w:p>
            <w:pPr>
              <w:pStyle w:val="TableParagraph"/>
              <w:spacing w:line="249" w:lineRule="exact"/>
              <w:ind w:left="245" w:right="225"/>
              <w:rPr>
                <w:sz w:val="22"/>
              </w:rPr>
            </w:pPr>
            <w:r>
              <w:rPr>
                <w:sz w:val="22"/>
              </w:rPr>
              <w:t>CNT</w:t>
            </w:r>
          </w:p>
        </w:tc>
        <w:tc>
          <w:tcPr>
            <w:tcW w:w="864" w:type="dxa"/>
            <w:tcBorders>
              <w:left w:val="nil"/>
              <w:bottom w:val="nil"/>
              <w:right w:val="nil"/>
            </w:tcBorders>
          </w:tcPr>
          <w:p>
            <w:pPr>
              <w:pStyle w:val="TableParagraph"/>
              <w:spacing w:line="249" w:lineRule="exact"/>
              <w:ind w:left="244"/>
              <w:jc w:val="left"/>
              <w:rPr>
                <w:sz w:val="22"/>
              </w:rPr>
            </w:pPr>
            <w:r>
              <w:rPr>
                <w:sz w:val="22"/>
              </w:rPr>
              <w:t>5.08</w:t>
            </w:r>
          </w:p>
        </w:tc>
        <w:tc>
          <w:tcPr>
            <w:tcW w:w="988" w:type="dxa"/>
            <w:tcBorders>
              <w:left w:val="nil"/>
              <w:bottom w:val="nil"/>
              <w:right w:val="nil"/>
            </w:tcBorders>
          </w:tcPr>
          <w:p>
            <w:pPr>
              <w:pStyle w:val="TableParagraph"/>
              <w:spacing w:line="249" w:lineRule="exact"/>
              <w:ind w:left="233"/>
              <w:jc w:val="left"/>
              <w:rPr>
                <w:sz w:val="22"/>
              </w:rPr>
            </w:pPr>
            <w:r>
              <w:rPr>
                <w:sz w:val="22"/>
              </w:rPr>
              <w:t>5.28</w:t>
            </w:r>
          </w:p>
        </w:tc>
        <w:tc>
          <w:tcPr>
            <w:tcW w:w="714" w:type="dxa"/>
            <w:tcBorders>
              <w:left w:val="nil"/>
              <w:bottom w:val="nil"/>
              <w:right w:val="nil"/>
            </w:tcBorders>
          </w:tcPr>
          <w:p>
            <w:pPr>
              <w:pStyle w:val="TableParagraph"/>
              <w:spacing w:line="249" w:lineRule="exact"/>
              <w:ind w:left="94"/>
              <w:jc w:val="left"/>
              <w:rPr>
                <w:sz w:val="22"/>
              </w:rPr>
            </w:pPr>
            <w:r>
              <w:rPr>
                <w:sz w:val="22"/>
              </w:rPr>
              <w:t>5.37</w:t>
            </w:r>
          </w:p>
        </w:tc>
        <w:tc>
          <w:tcPr>
            <w:tcW w:w="851" w:type="dxa"/>
            <w:tcBorders>
              <w:left w:val="nil"/>
              <w:bottom w:val="nil"/>
              <w:right w:val="nil"/>
            </w:tcBorders>
          </w:tcPr>
          <w:p>
            <w:pPr>
              <w:pStyle w:val="TableParagraph"/>
              <w:spacing w:line="249" w:lineRule="exact"/>
              <w:ind w:left="232"/>
              <w:jc w:val="left"/>
              <w:rPr>
                <w:sz w:val="22"/>
              </w:rPr>
            </w:pPr>
            <w:r>
              <w:rPr>
                <w:sz w:val="22"/>
              </w:rPr>
              <w:t>4.10</w:t>
            </w:r>
          </w:p>
        </w:tc>
        <w:tc>
          <w:tcPr>
            <w:tcW w:w="1033" w:type="dxa"/>
            <w:tcBorders>
              <w:left w:val="nil"/>
              <w:bottom w:val="nil"/>
              <w:right w:val="nil"/>
            </w:tcBorders>
          </w:tcPr>
          <w:p>
            <w:pPr>
              <w:pStyle w:val="TableParagraph"/>
              <w:spacing w:line="249" w:lineRule="exact"/>
              <w:ind w:left="231"/>
              <w:jc w:val="left"/>
              <w:rPr>
                <w:sz w:val="22"/>
              </w:rPr>
            </w:pPr>
            <w:r>
              <w:rPr>
                <w:sz w:val="22"/>
              </w:rPr>
              <w:t>3.75</w:t>
            </w:r>
          </w:p>
        </w:tc>
        <w:tc>
          <w:tcPr>
            <w:tcW w:w="669" w:type="dxa"/>
            <w:tcBorders>
              <w:left w:val="nil"/>
              <w:bottom w:val="nil"/>
              <w:right w:val="nil"/>
            </w:tcBorders>
          </w:tcPr>
          <w:p>
            <w:pPr>
              <w:pStyle w:val="TableParagraph"/>
              <w:spacing w:line="249" w:lineRule="exact"/>
              <w:ind w:left="51"/>
              <w:jc w:val="left"/>
              <w:rPr>
                <w:sz w:val="22"/>
              </w:rPr>
            </w:pPr>
            <w:r>
              <w:rPr>
                <w:sz w:val="22"/>
              </w:rPr>
              <w:t>4.15</w:t>
            </w:r>
          </w:p>
        </w:tc>
        <w:tc>
          <w:tcPr>
            <w:tcW w:w="851" w:type="dxa"/>
            <w:tcBorders>
              <w:left w:val="nil"/>
              <w:bottom w:val="nil"/>
              <w:right w:val="nil"/>
            </w:tcBorders>
          </w:tcPr>
          <w:p>
            <w:pPr>
              <w:pStyle w:val="TableParagraph"/>
              <w:spacing w:line="249" w:lineRule="exact"/>
              <w:ind w:left="231"/>
              <w:jc w:val="left"/>
              <w:rPr>
                <w:sz w:val="22"/>
              </w:rPr>
            </w:pPr>
            <w:r>
              <w:rPr>
                <w:sz w:val="22"/>
              </w:rPr>
              <w:t>0.38</w:t>
            </w:r>
          </w:p>
        </w:tc>
        <w:tc>
          <w:tcPr>
            <w:tcW w:w="852" w:type="dxa"/>
            <w:tcBorders>
              <w:left w:val="nil"/>
              <w:bottom w:val="nil"/>
              <w:right w:val="nil"/>
            </w:tcBorders>
          </w:tcPr>
          <w:p>
            <w:pPr>
              <w:pStyle w:val="TableParagraph"/>
              <w:spacing w:line="249" w:lineRule="exact"/>
              <w:ind w:left="232" w:right="-57"/>
              <w:jc w:val="left"/>
              <w:rPr>
                <w:sz w:val="22"/>
              </w:rPr>
            </w:pPr>
            <w:r>
              <w:rPr>
                <w:sz w:val="22"/>
              </w:rPr>
              <w:t>0.39</w:t>
            </w:r>
          </w:p>
        </w:tc>
        <w:tc>
          <w:tcPr>
            <w:tcW w:w="850" w:type="dxa"/>
            <w:tcBorders>
              <w:left w:val="nil"/>
              <w:bottom w:val="nil"/>
              <w:right w:val="nil"/>
            </w:tcBorders>
          </w:tcPr>
          <w:p>
            <w:pPr>
              <w:pStyle w:val="TableParagraph"/>
              <w:spacing w:line="249" w:lineRule="exact"/>
              <w:ind w:left="213" w:right="211"/>
              <w:rPr>
                <w:sz w:val="22"/>
              </w:rPr>
            </w:pPr>
            <w:r>
              <w:rPr>
                <w:sz w:val="22"/>
              </w:rPr>
              <w:t>0.39</w:t>
            </w:r>
          </w:p>
        </w:tc>
      </w:tr>
      <w:tr>
        <w:trPr>
          <w:trHeight w:val="302" w:hRule="exact"/>
        </w:trPr>
        <w:tc>
          <w:tcPr>
            <w:tcW w:w="1416" w:type="dxa"/>
            <w:tcBorders>
              <w:top w:val="nil"/>
              <w:left w:val="nil"/>
              <w:bottom w:val="nil"/>
              <w:right w:val="nil"/>
            </w:tcBorders>
          </w:tcPr>
          <w:p>
            <w:pPr>
              <w:pStyle w:val="TableParagraph"/>
              <w:spacing w:before="6"/>
              <w:ind w:left="245" w:right="225"/>
              <w:rPr>
                <w:sz w:val="22"/>
              </w:rPr>
            </w:pPr>
            <w:r>
              <w:rPr>
                <w:sz w:val="22"/>
              </w:rPr>
              <w:t>OCNT</w:t>
            </w:r>
          </w:p>
        </w:tc>
        <w:tc>
          <w:tcPr>
            <w:tcW w:w="864" w:type="dxa"/>
            <w:tcBorders>
              <w:top w:val="nil"/>
              <w:left w:val="nil"/>
              <w:bottom w:val="nil"/>
              <w:right w:val="nil"/>
            </w:tcBorders>
          </w:tcPr>
          <w:p>
            <w:pPr>
              <w:pStyle w:val="TableParagraph"/>
              <w:spacing w:before="6"/>
              <w:ind w:left="244"/>
              <w:jc w:val="left"/>
              <w:rPr>
                <w:sz w:val="22"/>
              </w:rPr>
            </w:pPr>
            <w:r>
              <w:rPr>
                <w:sz w:val="22"/>
              </w:rPr>
              <w:t>4.99</w:t>
            </w:r>
          </w:p>
        </w:tc>
        <w:tc>
          <w:tcPr>
            <w:tcW w:w="988" w:type="dxa"/>
            <w:tcBorders>
              <w:top w:val="nil"/>
              <w:left w:val="nil"/>
              <w:bottom w:val="nil"/>
              <w:right w:val="nil"/>
            </w:tcBorders>
          </w:tcPr>
          <w:p>
            <w:pPr>
              <w:pStyle w:val="TableParagraph"/>
              <w:spacing w:before="6"/>
              <w:ind w:left="233"/>
              <w:jc w:val="left"/>
              <w:rPr>
                <w:sz w:val="22"/>
              </w:rPr>
            </w:pPr>
            <w:r>
              <w:rPr>
                <w:sz w:val="22"/>
              </w:rPr>
              <w:t>4.91</w:t>
            </w:r>
          </w:p>
        </w:tc>
        <w:tc>
          <w:tcPr>
            <w:tcW w:w="714" w:type="dxa"/>
            <w:tcBorders>
              <w:top w:val="nil"/>
              <w:left w:val="nil"/>
              <w:bottom w:val="nil"/>
              <w:right w:val="nil"/>
            </w:tcBorders>
          </w:tcPr>
          <w:p>
            <w:pPr>
              <w:pStyle w:val="TableParagraph"/>
              <w:spacing w:before="6"/>
              <w:ind w:left="94"/>
              <w:jc w:val="left"/>
              <w:rPr>
                <w:sz w:val="22"/>
              </w:rPr>
            </w:pPr>
            <w:r>
              <w:rPr>
                <w:sz w:val="22"/>
              </w:rPr>
              <w:t>5.10</w:t>
            </w:r>
          </w:p>
        </w:tc>
        <w:tc>
          <w:tcPr>
            <w:tcW w:w="851" w:type="dxa"/>
            <w:tcBorders>
              <w:top w:val="nil"/>
              <w:left w:val="nil"/>
              <w:bottom w:val="nil"/>
              <w:right w:val="nil"/>
            </w:tcBorders>
          </w:tcPr>
          <w:p>
            <w:pPr>
              <w:pStyle w:val="TableParagraph"/>
              <w:spacing w:before="6"/>
              <w:ind w:left="232"/>
              <w:jc w:val="left"/>
              <w:rPr>
                <w:sz w:val="22"/>
              </w:rPr>
            </w:pPr>
            <w:r>
              <w:rPr>
                <w:sz w:val="22"/>
              </w:rPr>
              <w:t>4.16</w:t>
            </w:r>
          </w:p>
        </w:tc>
        <w:tc>
          <w:tcPr>
            <w:tcW w:w="1033" w:type="dxa"/>
            <w:tcBorders>
              <w:top w:val="nil"/>
              <w:left w:val="nil"/>
              <w:bottom w:val="nil"/>
              <w:right w:val="nil"/>
            </w:tcBorders>
          </w:tcPr>
          <w:p>
            <w:pPr>
              <w:pStyle w:val="TableParagraph"/>
              <w:spacing w:before="6"/>
              <w:ind w:left="231"/>
              <w:jc w:val="left"/>
              <w:rPr>
                <w:sz w:val="22"/>
              </w:rPr>
            </w:pPr>
            <w:r>
              <w:rPr>
                <w:sz w:val="22"/>
              </w:rPr>
              <w:t>4.18</w:t>
            </w:r>
          </w:p>
        </w:tc>
        <w:tc>
          <w:tcPr>
            <w:tcW w:w="669" w:type="dxa"/>
            <w:tcBorders>
              <w:top w:val="nil"/>
              <w:left w:val="nil"/>
              <w:bottom w:val="nil"/>
              <w:right w:val="nil"/>
            </w:tcBorders>
          </w:tcPr>
          <w:p>
            <w:pPr>
              <w:pStyle w:val="TableParagraph"/>
              <w:spacing w:before="6"/>
              <w:ind w:left="51"/>
              <w:jc w:val="left"/>
              <w:rPr>
                <w:sz w:val="22"/>
              </w:rPr>
            </w:pPr>
            <w:r>
              <w:rPr>
                <w:sz w:val="22"/>
              </w:rPr>
              <w:t>4.01</w:t>
            </w:r>
          </w:p>
        </w:tc>
        <w:tc>
          <w:tcPr>
            <w:tcW w:w="851" w:type="dxa"/>
            <w:tcBorders>
              <w:top w:val="nil"/>
              <w:left w:val="nil"/>
              <w:bottom w:val="nil"/>
              <w:right w:val="nil"/>
            </w:tcBorders>
          </w:tcPr>
          <w:p>
            <w:pPr>
              <w:pStyle w:val="TableParagraph"/>
              <w:spacing w:before="6"/>
              <w:ind w:left="231"/>
              <w:jc w:val="left"/>
              <w:rPr>
                <w:sz w:val="22"/>
              </w:rPr>
            </w:pPr>
            <w:r>
              <w:rPr>
                <w:sz w:val="22"/>
              </w:rPr>
              <w:t>0.38</w:t>
            </w:r>
          </w:p>
        </w:tc>
        <w:tc>
          <w:tcPr>
            <w:tcW w:w="852" w:type="dxa"/>
            <w:tcBorders>
              <w:top w:val="nil"/>
              <w:left w:val="nil"/>
              <w:bottom w:val="nil"/>
              <w:right w:val="nil"/>
            </w:tcBorders>
          </w:tcPr>
          <w:p>
            <w:pPr>
              <w:pStyle w:val="TableParagraph"/>
              <w:spacing w:before="6"/>
              <w:ind w:left="232" w:right="-57"/>
              <w:jc w:val="left"/>
              <w:rPr>
                <w:sz w:val="22"/>
              </w:rPr>
            </w:pPr>
            <w:r>
              <w:rPr>
                <w:sz w:val="22"/>
              </w:rPr>
              <w:t>0.39</w:t>
            </w:r>
          </w:p>
        </w:tc>
        <w:tc>
          <w:tcPr>
            <w:tcW w:w="850" w:type="dxa"/>
            <w:tcBorders>
              <w:top w:val="nil"/>
              <w:left w:val="nil"/>
              <w:bottom w:val="nil"/>
              <w:right w:val="nil"/>
            </w:tcBorders>
          </w:tcPr>
          <w:p>
            <w:pPr>
              <w:pStyle w:val="TableParagraph"/>
              <w:spacing w:before="6"/>
              <w:ind w:left="213" w:right="211"/>
              <w:rPr>
                <w:sz w:val="22"/>
              </w:rPr>
            </w:pPr>
            <w:r>
              <w:rPr>
                <w:sz w:val="22"/>
              </w:rPr>
              <w:t>0.40</w:t>
            </w:r>
          </w:p>
        </w:tc>
      </w:tr>
      <w:tr>
        <w:trPr>
          <w:trHeight w:val="318" w:hRule="exact"/>
        </w:trPr>
        <w:tc>
          <w:tcPr>
            <w:tcW w:w="1416" w:type="dxa"/>
            <w:tcBorders>
              <w:top w:val="nil"/>
              <w:left w:val="nil"/>
              <w:bottom w:val="nil"/>
              <w:right w:val="nil"/>
            </w:tcBorders>
          </w:tcPr>
          <w:p>
            <w:pPr>
              <w:pStyle w:val="TableParagraph"/>
              <w:spacing w:before="20"/>
              <w:ind w:left="245" w:right="225"/>
              <w:rPr>
                <w:sz w:val="22"/>
              </w:rPr>
            </w:pPr>
            <w:r>
              <w:rPr>
                <w:sz w:val="22"/>
              </w:rPr>
              <w:t>f-CNT</w:t>
            </w:r>
          </w:p>
        </w:tc>
        <w:tc>
          <w:tcPr>
            <w:tcW w:w="864" w:type="dxa"/>
            <w:tcBorders>
              <w:top w:val="nil"/>
              <w:left w:val="nil"/>
              <w:bottom w:val="nil"/>
              <w:right w:val="nil"/>
            </w:tcBorders>
          </w:tcPr>
          <w:p>
            <w:pPr>
              <w:pStyle w:val="TableParagraph"/>
              <w:spacing w:before="20"/>
              <w:ind w:left="244"/>
              <w:jc w:val="left"/>
              <w:rPr>
                <w:sz w:val="22"/>
              </w:rPr>
            </w:pPr>
            <w:r>
              <w:rPr>
                <w:sz w:val="22"/>
              </w:rPr>
              <w:t>5.07</w:t>
            </w:r>
          </w:p>
        </w:tc>
        <w:tc>
          <w:tcPr>
            <w:tcW w:w="988" w:type="dxa"/>
            <w:tcBorders>
              <w:top w:val="nil"/>
              <w:left w:val="nil"/>
              <w:bottom w:val="nil"/>
              <w:right w:val="nil"/>
            </w:tcBorders>
          </w:tcPr>
          <w:p>
            <w:pPr>
              <w:pStyle w:val="TableParagraph"/>
              <w:spacing w:before="20"/>
              <w:ind w:left="233"/>
              <w:jc w:val="left"/>
              <w:rPr>
                <w:sz w:val="22"/>
              </w:rPr>
            </w:pPr>
            <w:r>
              <w:rPr>
                <w:sz w:val="22"/>
              </w:rPr>
              <w:t>5.06</w:t>
            </w:r>
          </w:p>
        </w:tc>
        <w:tc>
          <w:tcPr>
            <w:tcW w:w="714" w:type="dxa"/>
            <w:tcBorders>
              <w:top w:val="nil"/>
              <w:left w:val="nil"/>
              <w:bottom w:val="nil"/>
              <w:right w:val="nil"/>
            </w:tcBorders>
          </w:tcPr>
          <w:p>
            <w:pPr>
              <w:pStyle w:val="TableParagraph"/>
              <w:spacing w:before="20"/>
              <w:ind w:left="94"/>
              <w:jc w:val="left"/>
              <w:rPr>
                <w:sz w:val="22"/>
              </w:rPr>
            </w:pPr>
            <w:r>
              <w:rPr>
                <w:sz w:val="22"/>
              </w:rPr>
              <w:t>4.87</w:t>
            </w:r>
          </w:p>
        </w:tc>
        <w:tc>
          <w:tcPr>
            <w:tcW w:w="851" w:type="dxa"/>
            <w:tcBorders>
              <w:top w:val="nil"/>
              <w:left w:val="nil"/>
              <w:bottom w:val="nil"/>
              <w:right w:val="nil"/>
            </w:tcBorders>
          </w:tcPr>
          <w:p>
            <w:pPr>
              <w:pStyle w:val="TableParagraph"/>
              <w:spacing w:before="20"/>
              <w:ind w:left="232"/>
              <w:jc w:val="left"/>
              <w:rPr>
                <w:sz w:val="22"/>
              </w:rPr>
            </w:pPr>
            <w:r>
              <w:rPr>
                <w:sz w:val="22"/>
              </w:rPr>
              <w:t>3.83</w:t>
            </w:r>
          </w:p>
        </w:tc>
        <w:tc>
          <w:tcPr>
            <w:tcW w:w="1033" w:type="dxa"/>
            <w:tcBorders>
              <w:top w:val="nil"/>
              <w:left w:val="nil"/>
              <w:bottom w:val="nil"/>
              <w:right w:val="nil"/>
            </w:tcBorders>
          </w:tcPr>
          <w:p>
            <w:pPr>
              <w:pStyle w:val="TableParagraph"/>
              <w:spacing w:before="20"/>
              <w:ind w:left="231"/>
              <w:jc w:val="left"/>
              <w:rPr>
                <w:sz w:val="22"/>
              </w:rPr>
            </w:pPr>
            <w:r>
              <w:rPr>
                <w:sz w:val="22"/>
              </w:rPr>
              <w:t>3.97</w:t>
            </w:r>
          </w:p>
        </w:tc>
        <w:tc>
          <w:tcPr>
            <w:tcW w:w="669" w:type="dxa"/>
            <w:tcBorders>
              <w:top w:val="nil"/>
              <w:left w:val="nil"/>
              <w:bottom w:val="nil"/>
              <w:right w:val="nil"/>
            </w:tcBorders>
          </w:tcPr>
          <w:p>
            <w:pPr>
              <w:pStyle w:val="TableParagraph"/>
              <w:spacing w:before="20"/>
              <w:ind w:left="51"/>
              <w:jc w:val="left"/>
              <w:rPr>
                <w:sz w:val="22"/>
              </w:rPr>
            </w:pPr>
            <w:r>
              <w:rPr>
                <w:sz w:val="22"/>
              </w:rPr>
              <w:t>3.94</w:t>
            </w:r>
          </w:p>
        </w:tc>
        <w:tc>
          <w:tcPr>
            <w:tcW w:w="851" w:type="dxa"/>
            <w:tcBorders>
              <w:top w:val="nil"/>
              <w:left w:val="nil"/>
              <w:bottom w:val="nil"/>
              <w:right w:val="nil"/>
            </w:tcBorders>
          </w:tcPr>
          <w:p>
            <w:pPr>
              <w:pStyle w:val="TableParagraph"/>
              <w:spacing w:before="20"/>
              <w:ind w:left="231"/>
              <w:jc w:val="left"/>
              <w:rPr>
                <w:sz w:val="22"/>
              </w:rPr>
            </w:pPr>
            <w:r>
              <w:rPr>
                <w:sz w:val="22"/>
              </w:rPr>
              <w:t>0.41</w:t>
            </w:r>
          </w:p>
        </w:tc>
        <w:tc>
          <w:tcPr>
            <w:tcW w:w="852" w:type="dxa"/>
            <w:tcBorders>
              <w:top w:val="nil"/>
              <w:left w:val="nil"/>
              <w:bottom w:val="nil"/>
              <w:right w:val="nil"/>
            </w:tcBorders>
          </w:tcPr>
          <w:p>
            <w:pPr>
              <w:pStyle w:val="TableParagraph"/>
              <w:spacing w:before="20"/>
              <w:ind w:left="232" w:right="-57"/>
              <w:jc w:val="left"/>
              <w:rPr>
                <w:sz w:val="22"/>
              </w:rPr>
            </w:pPr>
            <w:r>
              <w:rPr>
                <w:sz w:val="22"/>
              </w:rPr>
              <w:t>0.41</w:t>
            </w:r>
          </w:p>
        </w:tc>
        <w:tc>
          <w:tcPr>
            <w:tcW w:w="850" w:type="dxa"/>
            <w:tcBorders>
              <w:top w:val="nil"/>
              <w:left w:val="nil"/>
              <w:bottom w:val="nil"/>
              <w:right w:val="nil"/>
            </w:tcBorders>
          </w:tcPr>
          <w:p>
            <w:pPr>
              <w:pStyle w:val="TableParagraph"/>
              <w:spacing w:before="20"/>
              <w:ind w:left="213" w:right="211"/>
              <w:rPr>
                <w:sz w:val="22"/>
              </w:rPr>
            </w:pPr>
            <w:r>
              <w:rPr>
                <w:sz w:val="22"/>
              </w:rPr>
              <w:t>0.40</w:t>
            </w:r>
          </w:p>
        </w:tc>
      </w:tr>
      <w:tr>
        <w:trPr>
          <w:trHeight w:val="318" w:hRule="exact"/>
        </w:trPr>
        <w:tc>
          <w:tcPr>
            <w:tcW w:w="1416" w:type="dxa"/>
            <w:tcBorders>
              <w:top w:val="nil"/>
              <w:left w:val="nil"/>
              <w:bottom w:val="nil"/>
              <w:right w:val="nil"/>
            </w:tcBorders>
          </w:tcPr>
          <w:p>
            <w:pPr>
              <w:pStyle w:val="TableParagraph"/>
              <w:spacing w:before="21"/>
              <w:ind w:left="246" w:right="225"/>
              <w:rPr>
                <w:sz w:val="22"/>
              </w:rPr>
            </w:pPr>
            <w:r>
              <w:rPr>
                <w:sz w:val="22"/>
              </w:rPr>
              <w:t>RGO</w:t>
            </w:r>
          </w:p>
        </w:tc>
        <w:tc>
          <w:tcPr>
            <w:tcW w:w="864" w:type="dxa"/>
            <w:tcBorders>
              <w:top w:val="nil"/>
              <w:left w:val="nil"/>
              <w:bottom w:val="nil"/>
              <w:right w:val="nil"/>
            </w:tcBorders>
          </w:tcPr>
          <w:p>
            <w:pPr>
              <w:pStyle w:val="TableParagraph"/>
              <w:spacing w:before="21"/>
              <w:ind w:left="244"/>
              <w:jc w:val="left"/>
              <w:rPr>
                <w:sz w:val="22"/>
              </w:rPr>
            </w:pPr>
            <w:r>
              <w:rPr>
                <w:sz w:val="22"/>
              </w:rPr>
              <w:t>4.86</w:t>
            </w:r>
          </w:p>
        </w:tc>
        <w:tc>
          <w:tcPr>
            <w:tcW w:w="988" w:type="dxa"/>
            <w:tcBorders>
              <w:top w:val="nil"/>
              <w:left w:val="nil"/>
              <w:bottom w:val="nil"/>
              <w:right w:val="nil"/>
            </w:tcBorders>
          </w:tcPr>
          <w:p>
            <w:pPr>
              <w:pStyle w:val="TableParagraph"/>
              <w:spacing w:before="21"/>
              <w:ind w:left="233"/>
              <w:jc w:val="left"/>
              <w:rPr>
                <w:sz w:val="22"/>
              </w:rPr>
            </w:pPr>
            <w:r>
              <w:rPr>
                <w:sz w:val="22"/>
              </w:rPr>
              <w:t>4.92</w:t>
            </w:r>
          </w:p>
        </w:tc>
        <w:tc>
          <w:tcPr>
            <w:tcW w:w="714" w:type="dxa"/>
            <w:tcBorders>
              <w:top w:val="nil"/>
              <w:left w:val="nil"/>
              <w:bottom w:val="nil"/>
              <w:right w:val="nil"/>
            </w:tcBorders>
          </w:tcPr>
          <w:p>
            <w:pPr>
              <w:pStyle w:val="TableParagraph"/>
              <w:spacing w:before="21"/>
              <w:ind w:left="94"/>
              <w:jc w:val="left"/>
              <w:rPr>
                <w:sz w:val="22"/>
              </w:rPr>
            </w:pPr>
            <w:r>
              <w:rPr>
                <w:sz w:val="22"/>
              </w:rPr>
              <w:t>5.03</w:t>
            </w:r>
          </w:p>
        </w:tc>
        <w:tc>
          <w:tcPr>
            <w:tcW w:w="851" w:type="dxa"/>
            <w:tcBorders>
              <w:top w:val="nil"/>
              <w:left w:val="nil"/>
              <w:bottom w:val="nil"/>
              <w:right w:val="nil"/>
            </w:tcBorders>
          </w:tcPr>
          <w:p>
            <w:pPr>
              <w:pStyle w:val="TableParagraph"/>
              <w:spacing w:before="21"/>
              <w:ind w:left="232"/>
              <w:jc w:val="left"/>
              <w:rPr>
                <w:sz w:val="22"/>
              </w:rPr>
            </w:pPr>
            <w:r>
              <w:rPr>
                <w:sz w:val="22"/>
              </w:rPr>
              <w:t>4.34</w:t>
            </w:r>
          </w:p>
        </w:tc>
        <w:tc>
          <w:tcPr>
            <w:tcW w:w="1033" w:type="dxa"/>
            <w:tcBorders>
              <w:top w:val="nil"/>
              <w:left w:val="nil"/>
              <w:bottom w:val="nil"/>
              <w:right w:val="nil"/>
            </w:tcBorders>
          </w:tcPr>
          <w:p>
            <w:pPr>
              <w:pStyle w:val="TableParagraph"/>
              <w:spacing w:before="21"/>
              <w:ind w:left="231"/>
              <w:jc w:val="left"/>
              <w:rPr>
                <w:sz w:val="22"/>
              </w:rPr>
            </w:pPr>
            <w:r>
              <w:rPr>
                <w:sz w:val="22"/>
              </w:rPr>
              <w:t>4.30</w:t>
            </w:r>
          </w:p>
        </w:tc>
        <w:tc>
          <w:tcPr>
            <w:tcW w:w="669" w:type="dxa"/>
            <w:tcBorders>
              <w:top w:val="nil"/>
              <w:left w:val="nil"/>
              <w:bottom w:val="nil"/>
              <w:right w:val="nil"/>
            </w:tcBorders>
          </w:tcPr>
          <w:p>
            <w:pPr>
              <w:pStyle w:val="TableParagraph"/>
              <w:spacing w:before="21"/>
              <w:ind w:left="51"/>
              <w:jc w:val="left"/>
              <w:rPr>
                <w:sz w:val="22"/>
              </w:rPr>
            </w:pPr>
            <w:r>
              <w:rPr>
                <w:sz w:val="22"/>
              </w:rPr>
              <w:t>4.05</w:t>
            </w:r>
          </w:p>
        </w:tc>
        <w:tc>
          <w:tcPr>
            <w:tcW w:w="851" w:type="dxa"/>
            <w:tcBorders>
              <w:top w:val="nil"/>
              <w:left w:val="nil"/>
              <w:bottom w:val="nil"/>
              <w:right w:val="nil"/>
            </w:tcBorders>
          </w:tcPr>
          <w:p>
            <w:pPr>
              <w:pStyle w:val="TableParagraph"/>
              <w:spacing w:before="21"/>
              <w:ind w:left="231"/>
              <w:jc w:val="left"/>
              <w:rPr>
                <w:sz w:val="22"/>
              </w:rPr>
            </w:pPr>
            <w:r>
              <w:rPr>
                <w:sz w:val="22"/>
              </w:rPr>
              <w:t>0.38</w:t>
            </w:r>
          </w:p>
        </w:tc>
        <w:tc>
          <w:tcPr>
            <w:tcW w:w="852" w:type="dxa"/>
            <w:tcBorders>
              <w:top w:val="nil"/>
              <w:left w:val="nil"/>
              <w:bottom w:val="nil"/>
              <w:right w:val="nil"/>
            </w:tcBorders>
          </w:tcPr>
          <w:p>
            <w:pPr>
              <w:pStyle w:val="TableParagraph"/>
              <w:spacing w:before="21"/>
              <w:ind w:left="232" w:right="-57"/>
              <w:jc w:val="left"/>
              <w:rPr>
                <w:sz w:val="22"/>
              </w:rPr>
            </w:pPr>
            <w:r>
              <w:rPr>
                <w:sz w:val="22"/>
              </w:rPr>
              <w:t>0.39</w:t>
            </w:r>
          </w:p>
        </w:tc>
        <w:tc>
          <w:tcPr>
            <w:tcW w:w="850" w:type="dxa"/>
            <w:tcBorders>
              <w:top w:val="nil"/>
              <w:left w:val="nil"/>
              <w:bottom w:val="nil"/>
              <w:right w:val="nil"/>
            </w:tcBorders>
          </w:tcPr>
          <w:p>
            <w:pPr>
              <w:pStyle w:val="TableParagraph"/>
              <w:spacing w:before="21"/>
              <w:ind w:left="213" w:right="211"/>
              <w:rPr>
                <w:sz w:val="22"/>
              </w:rPr>
            </w:pPr>
            <w:r>
              <w:rPr>
                <w:sz w:val="22"/>
              </w:rPr>
              <w:t>0.39</w:t>
            </w:r>
          </w:p>
        </w:tc>
      </w:tr>
      <w:tr>
        <w:trPr>
          <w:trHeight w:val="318" w:hRule="exact"/>
        </w:trPr>
        <w:tc>
          <w:tcPr>
            <w:tcW w:w="1416" w:type="dxa"/>
            <w:tcBorders>
              <w:top w:val="nil"/>
              <w:left w:val="nil"/>
              <w:bottom w:val="nil"/>
              <w:right w:val="nil"/>
            </w:tcBorders>
          </w:tcPr>
          <w:p>
            <w:pPr>
              <w:pStyle w:val="TableParagraph"/>
              <w:spacing w:before="20"/>
              <w:ind w:left="247" w:right="224"/>
              <w:rPr>
                <w:sz w:val="22"/>
              </w:rPr>
            </w:pPr>
            <w:r>
              <w:rPr>
                <w:sz w:val="22"/>
              </w:rPr>
              <w:t>GO</w:t>
            </w:r>
          </w:p>
        </w:tc>
        <w:tc>
          <w:tcPr>
            <w:tcW w:w="864" w:type="dxa"/>
            <w:tcBorders>
              <w:top w:val="nil"/>
              <w:left w:val="nil"/>
              <w:bottom w:val="nil"/>
              <w:right w:val="nil"/>
            </w:tcBorders>
          </w:tcPr>
          <w:p>
            <w:pPr>
              <w:pStyle w:val="TableParagraph"/>
              <w:spacing w:before="20"/>
              <w:ind w:left="244"/>
              <w:jc w:val="left"/>
              <w:rPr>
                <w:sz w:val="22"/>
              </w:rPr>
            </w:pPr>
            <w:r>
              <w:rPr>
                <w:sz w:val="22"/>
              </w:rPr>
              <w:t>4.88</w:t>
            </w:r>
          </w:p>
        </w:tc>
        <w:tc>
          <w:tcPr>
            <w:tcW w:w="988" w:type="dxa"/>
            <w:tcBorders>
              <w:top w:val="nil"/>
              <w:left w:val="nil"/>
              <w:bottom w:val="nil"/>
              <w:right w:val="nil"/>
            </w:tcBorders>
          </w:tcPr>
          <w:p>
            <w:pPr>
              <w:pStyle w:val="TableParagraph"/>
              <w:spacing w:before="20"/>
              <w:ind w:left="233"/>
              <w:jc w:val="left"/>
              <w:rPr>
                <w:sz w:val="22"/>
              </w:rPr>
            </w:pPr>
            <w:r>
              <w:rPr>
                <w:sz w:val="22"/>
              </w:rPr>
              <w:t>4.75</w:t>
            </w:r>
          </w:p>
        </w:tc>
        <w:tc>
          <w:tcPr>
            <w:tcW w:w="714" w:type="dxa"/>
            <w:tcBorders>
              <w:top w:val="nil"/>
              <w:left w:val="nil"/>
              <w:bottom w:val="nil"/>
              <w:right w:val="nil"/>
            </w:tcBorders>
          </w:tcPr>
          <w:p>
            <w:pPr>
              <w:pStyle w:val="TableParagraph"/>
              <w:spacing w:before="20"/>
              <w:ind w:left="94"/>
              <w:jc w:val="left"/>
              <w:rPr>
                <w:sz w:val="22"/>
              </w:rPr>
            </w:pPr>
            <w:r>
              <w:rPr>
                <w:sz w:val="22"/>
              </w:rPr>
              <w:t>4.82</w:t>
            </w:r>
          </w:p>
        </w:tc>
        <w:tc>
          <w:tcPr>
            <w:tcW w:w="851" w:type="dxa"/>
            <w:tcBorders>
              <w:top w:val="nil"/>
              <w:left w:val="nil"/>
              <w:bottom w:val="nil"/>
              <w:right w:val="nil"/>
            </w:tcBorders>
          </w:tcPr>
          <w:p>
            <w:pPr>
              <w:pStyle w:val="TableParagraph"/>
              <w:spacing w:before="20"/>
              <w:ind w:left="232"/>
              <w:jc w:val="left"/>
              <w:rPr>
                <w:sz w:val="22"/>
              </w:rPr>
            </w:pPr>
            <w:r>
              <w:rPr>
                <w:sz w:val="22"/>
              </w:rPr>
              <w:t>4.25</w:t>
            </w:r>
          </w:p>
        </w:tc>
        <w:tc>
          <w:tcPr>
            <w:tcW w:w="1033" w:type="dxa"/>
            <w:tcBorders>
              <w:top w:val="nil"/>
              <w:left w:val="nil"/>
              <w:bottom w:val="nil"/>
              <w:right w:val="nil"/>
            </w:tcBorders>
          </w:tcPr>
          <w:p>
            <w:pPr>
              <w:pStyle w:val="TableParagraph"/>
              <w:spacing w:before="20"/>
              <w:ind w:left="231"/>
              <w:jc w:val="left"/>
              <w:rPr>
                <w:sz w:val="22"/>
              </w:rPr>
            </w:pPr>
            <w:r>
              <w:rPr>
                <w:sz w:val="22"/>
              </w:rPr>
              <w:t>4.21</w:t>
            </w:r>
          </w:p>
        </w:tc>
        <w:tc>
          <w:tcPr>
            <w:tcW w:w="669" w:type="dxa"/>
            <w:tcBorders>
              <w:top w:val="nil"/>
              <w:left w:val="nil"/>
              <w:bottom w:val="nil"/>
              <w:right w:val="nil"/>
            </w:tcBorders>
          </w:tcPr>
          <w:p>
            <w:pPr>
              <w:pStyle w:val="TableParagraph"/>
              <w:spacing w:before="20"/>
              <w:ind w:left="51"/>
              <w:jc w:val="left"/>
              <w:rPr>
                <w:sz w:val="22"/>
              </w:rPr>
            </w:pPr>
            <w:r>
              <w:rPr>
                <w:sz w:val="22"/>
              </w:rPr>
              <w:t>4.22</w:t>
            </w:r>
          </w:p>
        </w:tc>
        <w:tc>
          <w:tcPr>
            <w:tcW w:w="851" w:type="dxa"/>
            <w:tcBorders>
              <w:top w:val="nil"/>
              <w:left w:val="nil"/>
              <w:bottom w:val="nil"/>
              <w:right w:val="nil"/>
            </w:tcBorders>
          </w:tcPr>
          <w:p>
            <w:pPr>
              <w:pStyle w:val="TableParagraph"/>
              <w:spacing w:before="20"/>
              <w:ind w:left="231"/>
              <w:jc w:val="left"/>
              <w:rPr>
                <w:sz w:val="22"/>
              </w:rPr>
            </w:pPr>
            <w:r>
              <w:rPr>
                <w:sz w:val="22"/>
              </w:rPr>
              <w:t>0.39</w:t>
            </w:r>
          </w:p>
        </w:tc>
        <w:tc>
          <w:tcPr>
            <w:tcW w:w="852" w:type="dxa"/>
            <w:tcBorders>
              <w:top w:val="nil"/>
              <w:left w:val="nil"/>
              <w:bottom w:val="nil"/>
              <w:right w:val="nil"/>
            </w:tcBorders>
          </w:tcPr>
          <w:p>
            <w:pPr>
              <w:pStyle w:val="TableParagraph"/>
              <w:spacing w:before="20"/>
              <w:ind w:left="232" w:right="-57"/>
              <w:jc w:val="left"/>
              <w:rPr>
                <w:sz w:val="22"/>
              </w:rPr>
            </w:pPr>
            <w:r>
              <w:rPr>
                <w:sz w:val="22"/>
              </w:rPr>
              <w:t>0.40</w:t>
            </w:r>
          </w:p>
        </w:tc>
        <w:tc>
          <w:tcPr>
            <w:tcW w:w="850" w:type="dxa"/>
            <w:tcBorders>
              <w:top w:val="nil"/>
              <w:left w:val="nil"/>
              <w:bottom w:val="nil"/>
              <w:right w:val="nil"/>
            </w:tcBorders>
          </w:tcPr>
          <w:p>
            <w:pPr>
              <w:pStyle w:val="TableParagraph"/>
              <w:spacing w:before="20"/>
              <w:ind w:left="213" w:right="211"/>
              <w:rPr>
                <w:sz w:val="22"/>
              </w:rPr>
            </w:pPr>
            <w:r>
              <w:rPr>
                <w:sz w:val="22"/>
              </w:rPr>
              <w:t>0.40</w:t>
            </w:r>
          </w:p>
        </w:tc>
      </w:tr>
      <w:tr>
        <w:trPr>
          <w:trHeight w:val="362" w:hRule="exact"/>
        </w:trPr>
        <w:tc>
          <w:tcPr>
            <w:tcW w:w="1416" w:type="dxa"/>
            <w:tcBorders>
              <w:top w:val="nil"/>
              <w:left w:val="nil"/>
              <w:right w:val="nil"/>
            </w:tcBorders>
          </w:tcPr>
          <w:p>
            <w:pPr>
              <w:pStyle w:val="TableParagraph"/>
              <w:spacing w:before="21"/>
              <w:ind w:left="244" w:right="225"/>
              <w:rPr>
                <w:sz w:val="22"/>
              </w:rPr>
            </w:pPr>
            <w:r>
              <w:rPr>
                <w:sz w:val="22"/>
              </w:rPr>
              <w:t>f-Ge</w:t>
            </w:r>
          </w:p>
        </w:tc>
        <w:tc>
          <w:tcPr>
            <w:tcW w:w="864" w:type="dxa"/>
            <w:tcBorders>
              <w:top w:val="nil"/>
              <w:left w:val="nil"/>
              <w:right w:val="nil"/>
            </w:tcBorders>
          </w:tcPr>
          <w:p>
            <w:pPr>
              <w:pStyle w:val="TableParagraph"/>
              <w:spacing w:before="21"/>
              <w:ind w:left="244"/>
              <w:jc w:val="left"/>
              <w:rPr>
                <w:sz w:val="22"/>
              </w:rPr>
            </w:pPr>
            <w:r>
              <w:rPr>
                <w:sz w:val="22"/>
              </w:rPr>
              <w:t>4.78</w:t>
            </w:r>
          </w:p>
        </w:tc>
        <w:tc>
          <w:tcPr>
            <w:tcW w:w="988" w:type="dxa"/>
            <w:tcBorders>
              <w:top w:val="nil"/>
              <w:left w:val="nil"/>
              <w:right w:val="nil"/>
            </w:tcBorders>
          </w:tcPr>
          <w:p>
            <w:pPr>
              <w:pStyle w:val="TableParagraph"/>
              <w:spacing w:before="21"/>
              <w:ind w:left="233"/>
              <w:jc w:val="left"/>
              <w:rPr>
                <w:sz w:val="22"/>
              </w:rPr>
            </w:pPr>
            <w:r>
              <w:rPr>
                <w:sz w:val="22"/>
              </w:rPr>
              <w:t>4.91</w:t>
            </w:r>
          </w:p>
        </w:tc>
        <w:tc>
          <w:tcPr>
            <w:tcW w:w="714" w:type="dxa"/>
            <w:tcBorders>
              <w:top w:val="nil"/>
              <w:left w:val="nil"/>
              <w:right w:val="nil"/>
            </w:tcBorders>
          </w:tcPr>
          <w:p>
            <w:pPr>
              <w:pStyle w:val="TableParagraph"/>
              <w:spacing w:before="21"/>
              <w:ind w:left="94"/>
              <w:jc w:val="left"/>
              <w:rPr>
                <w:sz w:val="22"/>
              </w:rPr>
            </w:pPr>
            <w:r>
              <w:rPr>
                <w:sz w:val="22"/>
              </w:rPr>
              <w:t>4.56</w:t>
            </w:r>
          </w:p>
        </w:tc>
        <w:tc>
          <w:tcPr>
            <w:tcW w:w="851" w:type="dxa"/>
            <w:tcBorders>
              <w:top w:val="nil"/>
              <w:left w:val="nil"/>
              <w:right w:val="nil"/>
            </w:tcBorders>
          </w:tcPr>
          <w:p>
            <w:pPr>
              <w:pStyle w:val="TableParagraph"/>
              <w:spacing w:before="21"/>
              <w:ind w:left="232"/>
              <w:jc w:val="left"/>
              <w:rPr>
                <w:sz w:val="22"/>
              </w:rPr>
            </w:pPr>
            <w:r>
              <w:rPr>
                <w:sz w:val="22"/>
              </w:rPr>
              <w:t>4.01</w:t>
            </w:r>
          </w:p>
        </w:tc>
        <w:tc>
          <w:tcPr>
            <w:tcW w:w="1033" w:type="dxa"/>
            <w:tcBorders>
              <w:top w:val="nil"/>
              <w:left w:val="nil"/>
              <w:right w:val="nil"/>
            </w:tcBorders>
          </w:tcPr>
          <w:p>
            <w:pPr>
              <w:pStyle w:val="TableParagraph"/>
              <w:spacing w:before="21"/>
              <w:ind w:left="231"/>
              <w:jc w:val="left"/>
              <w:rPr>
                <w:sz w:val="22"/>
              </w:rPr>
            </w:pPr>
            <w:r>
              <w:rPr>
                <w:sz w:val="22"/>
              </w:rPr>
              <w:t>4.20</w:t>
            </w:r>
          </w:p>
        </w:tc>
        <w:tc>
          <w:tcPr>
            <w:tcW w:w="669" w:type="dxa"/>
            <w:tcBorders>
              <w:top w:val="nil"/>
              <w:left w:val="nil"/>
              <w:right w:val="nil"/>
            </w:tcBorders>
          </w:tcPr>
          <w:p>
            <w:pPr>
              <w:pStyle w:val="TableParagraph"/>
              <w:spacing w:before="21"/>
              <w:ind w:left="51"/>
              <w:jc w:val="left"/>
              <w:rPr>
                <w:sz w:val="22"/>
              </w:rPr>
            </w:pPr>
            <w:r>
              <w:rPr>
                <w:sz w:val="22"/>
              </w:rPr>
              <w:t>4.24</w:t>
            </w:r>
          </w:p>
        </w:tc>
        <w:tc>
          <w:tcPr>
            <w:tcW w:w="851" w:type="dxa"/>
            <w:tcBorders>
              <w:top w:val="nil"/>
              <w:left w:val="nil"/>
              <w:right w:val="nil"/>
            </w:tcBorders>
          </w:tcPr>
          <w:p>
            <w:pPr>
              <w:pStyle w:val="TableParagraph"/>
              <w:spacing w:before="21"/>
              <w:ind w:left="231"/>
              <w:jc w:val="left"/>
              <w:rPr>
                <w:sz w:val="22"/>
              </w:rPr>
            </w:pPr>
            <w:r>
              <w:rPr>
                <w:sz w:val="22"/>
              </w:rPr>
              <w:t>0.39</w:t>
            </w:r>
          </w:p>
        </w:tc>
        <w:tc>
          <w:tcPr>
            <w:tcW w:w="852" w:type="dxa"/>
            <w:tcBorders>
              <w:top w:val="nil"/>
              <w:left w:val="nil"/>
              <w:right w:val="nil"/>
            </w:tcBorders>
          </w:tcPr>
          <w:p>
            <w:pPr>
              <w:pStyle w:val="TableParagraph"/>
              <w:spacing w:before="21"/>
              <w:ind w:left="232" w:right="-57"/>
              <w:jc w:val="left"/>
              <w:rPr>
                <w:sz w:val="22"/>
              </w:rPr>
            </w:pPr>
            <w:r>
              <w:rPr>
                <w:sz w:val="22"/>
              </w:rPr>
              <w:t>0.40</w:t>
            </w:r>
          </w:p>
        </w:tc>
        <w:tc>
          <w:tcPr>
            <w:tcW w:w="850" w:type="dxa"/>
            <w:tcBorders>
              <w:top w:val="nil"/>
              <w:left w:val="nil"/>
              <w:right w:val="nil"/>
            </w:tcBorders>
          </w:tcPr>
          <w:p>
            <w:pPr>
              <w:pStyle w:val="TableParagraph"/>
              <w:spacing w:before="21"/>
              <w:ind w:left="213" w:right="211"/>
              <w:rPr>
                <w:sz w:val="22"/>
              </w:rPr>
            </w:pPr>
            <w:r>
              <w:rPr>
                <w:sz w:val="22"/>
              </w:rPr>
              <w:t>0.40</w:t>
            </w:r>
          </w:p>
        </w:tc>
      </w:tr>
    </w:tbl>
    <w:p>
      <w:pPr>
        <w:pStyle w:val="BodyText"/>
        <w:spacing w:before="1"/>
        <w:rPr>
          <w:sz w:val="26"/>
        </w:rPr>
      </w:pPr>
    </w:p>
    <w:p>
      <w:pPr>
        <w:pStyle w:val="BodyText"/>
        <w:spacing w:line="355" w:lineRule="auto" w:before="73"/>
        <w:ind w:left="242" w:right="215" w:firstLine="201"/>
        <w:jc w:val="both"/>
      </w:pPr>
      <w:r>
        <w:rPr/>
        <w:t>The nanofillers reinforcement effect is shown in Figure 6. These results demonstrate the polymer enhanced stiffness imposed by the carbon nanofillers. The storage modulus values match the crystallinity trend upon nanofiller addition. The predominant effect in this property can be attributed by the addition of the stiff carbon nanofillers.</w:t>
      </w:r>
      <w:r>
        <w:rPr>
          <w:position w:val="10"/>
          <w:sz w:val="14"/>
        </w:rPr>
        <w:t>20 </w:t>
      </w:r>
      <w:r>
        <w:rPr/>
        <w:t>Besides, the functionalisation effect in the mechanical response is evident in CNT based nanocomposites. CNT showed the modulus increased up to 17% at the highest content. After oxidation CNTs at the same loading provide a better</w:t>
      </w:r>
    </w:p>
    <w:p>
      <w:pPr>
        <w:spacing w:after="0" w:line="355" w:lineRule="auto"/>
        <w:jc w:val="both"/>
        <w:sectPr>
          <w:pgSz w:w="12240" w:h="15840"/>
          <w:pgMar w:header="730" w:footer="1060" w:top="1160" w:bottom="1260" w:left="1460" w:right="1480"/>
        </w:sectPr>
      </w:pPr>
    </w:p>
    <w:p>
      <w:pPr>
        <w:pStyle w:val="BodyText"/>
        <w:rPr>
          <w:sz w:val="14"/>
        </w:rPr>
      </w:pPr>
    </w:p>
    <w:p>
      <w:pPr>
        <w:pStyle w:val="BodyText"/>
        <w:spacing w:line="360" w:lineRule="auto" w:before="73"/>
        <w:ind w:left="122" w:right="336"/>
        <w:jc w:val="both"/>
      </w:pPr>
      <w:r>
        <w:rPr/>
        <w:t>dispersion in the matrix resulting in an increase of 27% compared to pure nylon 6,6. Amino functionalised CNTs could have agglomerated at high content and consequently the modulus was enhanced only by a 17% at a 0.5 wt. % loading; however the incorporation of 0.1 wt. % of this nanofiller provided a 30% enhancement in the storage modulus.</w:t>
      </w:r>
    </w:p>
    <w:p>
      <w:pPr>
        <w:pStyle w:val="BodyText"/>
        <w:rPr>
          <w:sz w:val="20"/>
        </w:rPr>
      </w:pPr>
    </w:p>
    <w:p>
      <w:pPr>
        <w:pStyle w:val="BodyText"/>
        <w:spacing w:before="5"/>
        <w:rPr>
          <w:sz w:val="10"/>
        </w:rPr>
      </w:pPr>
      <w:r>
        <w:rPr/>
        <w:drawing>
          <wp:anchor distT="0" distB="0" distL="0" distR="0" allowOverlap="1" layoutInCell="1" locked="0" behindDoc="0" simplePos="0" relativeHeight="2584">
            <wp:simplePos x="0" y="0"/>
            <wp:positionH relativeFrom="page">
              <wp:posOffset>1227455</wp:posOffset>
            </wp:positionH>
            <wp:positionV relativeFrom="paragraph">
              <wp:posOffset>101228</wp:posOffset>
            </wp:positionV>
            <wp:extent cx="5658465" cy="5335143"/>
            <wp:effectExtent l="0" t="0" r="0" b="0"/>
            <wp:wrapTopAndBottom/>
            <wp:docPr id="79" name="image48.jpeg" descr=""/>
            <wp:cNvGraphicFramePr>
              <a:graphicFrameLocks noChangeAspect="1"/>
            </wp:cNvGraphicFramePr>
            <a:graphic>
              <a:graphicData uri="http://schemas.openxmlformats.org/drawingml/2006/picture">
                <pic:pic>
                  <pic:nvPicPr>
                    <pic:cNvPr id="80" name="image48.jpeg"/>
                    <pic:cNvPicPr/>
                  </pic:nvPicPr>
                  <pic:blipFill>
                    <a:blip r:embed="rId81" cstate="print"/>
                    <a:stretch>
                      <a:fillRect/>
                    </a:stretch>
                  </pic:blipFill>
                  <pic:spPr>
                    <a:xfrm>
                      <a:off x="0" y="0"/>
                      <a:ext cx="5658465" cy="5335143"/>
                    </a:xfrm>
                    <a:prstGeom prst="rect">
                      <a:avLst/>
                    </a:prstGeom>
                  </pic:spPr>
                </pic:pic>
              </a:graphicData>
            </a:graphic>
          </wp:anchor>
        </w:drawing>
      </w:r>
    </w:p>
    <w:p>
      <w:pPr>
        <w:pStyle w:val="BodyText"/>
        <w:spacing w:before="25"/>
        <w:ind w:left="1936"/>
      </w:pPr>
      <w:r>
        <w:rPr>
          <w:b/>
        </w:rPr>
        <w:t>Figure 6. </w:t>
      </w:r>
      <w:r>
        <w:rPr/>
        <w:t>Storage modulus of nylon 6,6 and nanocomposites.</w:t>
      </w:r>
    </w:p>
    <w:p>
      <w:pPr>
        <w:pStyle w:val="BodyText"/>
      </w:pPr>
    </w:p>
    <w:p>
      <w:pPr>
        <w:pStyle w:val="BodyText"/>
        <w:spacing w:before="10"/>
        <w:rPr>
          <w:sz w:val="21"/>
        </w:rPr>
      </w:pPr>
    </w:p>
    <w:p>
      <w:pPr>
        <w:pStyle w:val="BodyText"/>
        <w:spacing w:line="360" w:lineRule="auto" w:before="1"/>
        <w:ind w:left="122" w:right="338" w:firstLine="256"/>
        <w:jc w:val="both"/>
      </w:pPr>
      <w:r>
        <w:rPr/>
        <w:t>Graphene based nanocomposites showed the best mechanical response. Both RGO and f-Ge increased the modulus ~30% at the highest content. The very similar results in  these nanocomposites can be related to the reduction method employed in this work. The  infrared analysis gave a hint of a few amine groups on the graphene surface due to the reducing agent   used;</w:t>
      </w:r>
    </w:p>
    <w:p>
      <w:pPr>
        <w:spacing w:after="0" w:line="360" w:lineRule="auto"/>
        <w:jc w:val="both"/>
        <w:sectPr>
          <w:footerReference w:type="default" r:id="rId80"/>
          <w:pgSz w:w="12240" w:h="15840"/>
          <w:pgMar w:footer="1060" w:header="730" w:top="1160" w:bottom="1260" w:left="1580" w:right="1360"/>
        </w:sectPr>
      </w:pPr>
    </w:p>
    <w:p>
      <w:pPr>
        <w:pStyle w:val="BodyText"/>
        <w:rPr>
          <w:sz w:val="14"/>
        </w:rPr>
      </w:pPr>
    </w:p>
    <w:p>
      <w:pPr>
        <w:pStyle w:val="BodyText"/>
        <w:spacing w:line="352" w:lineRule="auto" w:before="73"/>
        <w:ind w:left="242" w:right="235"/>
        <w:jc w:val="both"/>
        <w:rPr>
          <w:sz w:val="14"/>
        </w:rPr>
      </w:pPr>
      <w:r>
        <w:rPr/>
        <w:t>this provided a better dispersion of the nanofiller and favoured the mechanical properties. The incorporation of 0.5 wt. % GO resulted in an increase up to 44% in nylon 6,6 storage modulus. Previous studies have shown graphene provides better mechanical performance when compared to CNTs.</w:t>
      </w:r>
      <w:r>
        <w:rPr>
          <w:position w:val="10"/>
          <w:sz w:val="14"/>
        </w:rPr>
        <w:t>20,21 </w:t>
      </w:r>
      <w:r>
        <w:rPr/>
        <w:t>The large two-dimensional structure of graphene allows the polymer to have a larger interfacial area which favours stress transfer between both materials. Nylon nanocomposites obtained from solution mixing and melt compounding techniques have shown similar modulus results when using higher content of CNTs or graphene. </w:t>
      </w:r>
      <w:r>
        <w:rPr>
          <w:position w:val="10"/>
          <w:sz w:val="14"/>
        </w:rPr>
        <w:t>34-37</w:t>
      </w:r>
    </w:p>
    <w:p>
      <w:pPr>
        <w:pStyle w:val="BodyText"/>
        <w:spacing w:before="9"/>
        <w:rPr>
          <w:sz w:val="32"/>
        </w:rPr>
      </w:pPr>
    </w:p>
    <w:p>
      <w:pPr>
        <w:pStyle w:val="BodyText"/>
        <w:spacing w:line="348" w:lineRule="auto"/>
        <w:ind w:left="242" w:right="235" w:firstLine="201"/>
        <w:jc w:val="both"/>
      </w:pPr>
      <w:r>
        <w:rPr/>
        <w:t>Table 3 shows the glass transition temperatures obtained from the maximum of the tan δ plots. There is no clear effect produced by the carbon structures, functionalisation or content in the glass transition of polymer, as has also been observed in other works.</w:t>
      </w:r>
      <w:r>
        <w:rPr>
          <w:position w:val="10"/>
          <w:sz w:val="14"/>
        </w:rPr>
        <w:t>11,31 </w:t>
      </w:r>
      <w:r>
        <w:rPr/>
        <w:t>However there is a moderate increase in this property caused by the restriction in molecular mobility of the matrix imposed by the nanofillers.</w:t>
      </w:r>
      <w:r>
        <w:rPr>
          <w:position w:val="10"/>
          <w:sz w:val="14"/>
        </w:rPr>
        <w:t>11    </w:t>
      </w:r>
      <w:r>
        <w:rPr/>
        <w:t>This property was enhanced up to ~9 °C when incorporating 0.1 wt. % f-CNT  </w:t>
      </w:r>
      <w:r>
        <w:rPr>
          <w:spacing w:val="6"/>
        </w:rPr>
        <w:t> </w:t>
      </w:r>
      <w:r>
        <w:rPr/>
        <w:t>or</w:t>
      </w:r>
    </w:p>
    <w:p>
      <w:pPr>
        <w:pStyle w:val="BodyText"/>
        <w:spacing w:line="352" w:lineRule="auto" w:before="3"/>
        <w:ind w:left="242" w:right="235"/>
        <w:jc w:val="both"/>
        <w:rPr>
          <w:sz w:val="14"/>
        </w:rPr>
      </w:pPr>
      <w:r>
        <w:rPr/>
        <w:t>0.3 wt. % RGO. The temperature of decomposition (T</w:t>
      </w:r>
      <w:r>
        <w:rPr>
          <w:position w:val="-2"/>
          <w:sz w:val="14"/>
        </w:rPr>
        <w:t>d</w:t>
      </w:r>
      <w:r>
        <w:rPr/>
        <w:t>) of the lowest and highest filler content in the nylon 6,6 was investigated. Table 3 also summarises the results obtained from TGA measurements. The temperatures at which 10% and 50% weight loss occurred were the criteria for determining the thermal stability. In most cases, the nanocomposite T</w:t>
      </w:r>
      <w:r>
        <w:rPr>
          <w:position w:val="-2"/>
          <w:sz w:val="14"/>
        </w:rPr>
        <w:t>d </w:t>
      </w:r>
      <w:r>
        <w:rPr/>
        <w:t>remained unchanged. Enhanced thermal stability has been associated to the filler good dispersion in the polymer; the nanofillers act as restriction sites reducing segmental mobility of the polymer chains. The reduced mobility in turn assists in preventing scission of chains driven by thermal excitation.</w:t>
      </w:r>
      <w:r>
        <w:rPr>
          <w:position w:val="10"/>
          <w:sz w:val="14"/>
        </w:rPr>
        <w:t>32</w:t>
      </w:r>
    </w:p>
    <w:p>
      <w:pPr>
        <w:pStyle w:val="BodyText"/>
        <w:spacing w:before="9"/>
        <w:rPr>
          <w:sz w:val="32"/>
        </w:rPr>
      </w:pPr>
    </w:p>
    <w:p>
      <w:pPr>
        <w:pStyle w:val="BodyText"/>
        <w:ind w:left="1766"/>
      </w:pPr>
      <w:r>
        <w:rPr>
          <w:b/>
        </w:rPr>
        <w:t>Table 3. </w:t>
      </w:r>
      <w:r>
        <w:rPr/>
        <w:t>Thermal properties of nylon 6,6 and the nanocomposites</w:t>
      </w:r>
    </w:p>
    <w:p>
      <w:pPr>
        <w:pStyle w:val="BodyText"/>
        <w:spacing w:before="9"/>
        <w:rPr>
          <w:sz w:val="28"/>
        </w:rPr>
      </w:pPr>
    </w:p>
    <w:tbl>
      <w:tblPr>
        <w:tblW w:w="0" w:type="auto"/>
        <w:jc w:val="left"/>
        <w:tblInd w:w="11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335"/>
        <w:gridCol w:w="1003"/>
        <w:gridCol w:w="1241"/>
        <w:gridCol w:w="926"/>
        <w:gridCol w:w="1459"/>
        <w:gridCol w:w="849"/>
        <w:gridCol w:w="1141"/>
        <w:gridCol w:w="1134"/>
      </w:tblGrid>
      <w:tr>
        <w:trPr>
          <w:trHeight w:val="898" w:hRule="exact"/>
        </w:trPr>
        <w:tc>
          <w:tcPr>
            <w:tcW w:w="4505" w:type="dxa"/>
            <w:gridSpan w:val="4"/>
            <w:tcBorders>
              <w:left w:val="nil"/>
              <w:bottom w:val="single" w:sz="8" w:space="0" w:color="000000"/>
              <w:right w:val="nil"/>
            </w:tcBorders>
          </w:tcPr>
          <w:p>
            <w:pPr>
              <w:pStyle w:val="TableParagraph"/>
              <w:spacing w:before="10"/>
              <w:jc w:val="left"/>
              <w:rPr>
                <w:sz w:val="24"/>
              </w:rPr>
            </w:pPr>
          </w:p>
          <w:p>
            <w:pPr>
              <w:pStyle w:val="TableParagraph"/>
              <w:ind w:left="1475"/>
              <w:jc w:val="left"/>
              <w:rPr>
                <w:sz w:val="22"/>
              </w:rPr>
            </w:pPr>
            <w:r>
              <w:rPr>
                <w:sz w:val="22"/>
              </w:rPr>
              <w:t>Glass transition temperature, °C</w:t>
            </w:r>
          </w:p>
        </w:tc>
        <w:tc>
          <w:tcPr>
            <w:tcW w:w="2308" w:type="dxa"/>
            <w:gridSpan w:val="2"/>
            <w:tcBorders>
              <w:left w:val="nil"/>
              <w:bottom w:val="single" w:sz="8" w:space="0" w:color="000000"/>
              <w:right w:val="nil"/>
            </w:tcBorders>
          </w:tcPr>
          <w:p>
            <w:pPr>
              <w:pStyle w:val="TableParagraph"/>
              <w:spacing w:line="276" w:lineRule="auto"/>
              <w:ind w:left="204" w:right="170"/>
              <w:rPr>
                <w:sz w:val="22"/>
              </w:rPr>
            </w:pPr>
            <w:r>
              <w:rPr>
                <w:sz w:val="22"/>
              </w:rPr>
              <w:t>Temperature at which 10 weight % loss ocurrs, °C</w:t>
            </w:r>
          </w:p>
        </w:tc>
        <w:tc>
          <w:tcPr>
            <w:tcW w:w="2275" w:type="dxa"/>
            <w:gridSpan w:val="2"/>
            <w:tcBorders>
              <w:left w:val="nil"/>
              <w:bottom w:val="single" w:sz="8" w:space="0" w:color="000000"/>
              <w:right w:val="nil"/>
            </w:tcBorders>
          </w:tcPr>
          <w:p>
            <w:pPr>
              <w:pStyle w:val="TableParagraph"/>
              <w:spacing w:line="276" w:lineRule="auto"/>
              <w:ind w:left="172" w:right="169"/>
              <w:rPr>
                <w:sz w:val="22"/>
              </w:rPr>
            </w:pPr>
            <w:r>
              <w:rPr>
                <w:sz w:val="22"/>
              </w:rPr>
              <w:t>Temperature at which 50 weight % loss ocurrs, °C</w:t>
            </w:r>
          </w:p>
        </w:tc>
      </w:tr>
      <w:tr>
        <w:trPr>
          <w:trHeight w:val="313" w:hRule="exact"/>
        </w:trPr>
        <w:tc>
          <w:tcPr>
            <w:tcW w:w="1335" w:type="dxa"/>
            <w:tcBorders>
              <w:top w:val="single" w:sz="8" w:space="0" w:color="000000"/>
              <w:left w:val="nil"/>
              <w:bottom w:val="single" w:sz="8" w:space="0" w:color="000000"/>
              <w:right w:val="nil"/>
            </w:tcBorders>
          </w:tcPr>
          <w:p>
            <w:pPr>
              <w:pStyle w:val="TableParagraph"/>
              <w:spacing w:line="250" w:lineRule="exact"/>
              <w:ind w:left="163" w:right="250"/>
              <w:rPr>
                <w:sz w:val="22"/>
              </w:rPr>
            </w:pPr>
            <w:r>
              <w:rPr>
                <w:sz w:val="22"/>
              </w:rPr>
              <w:t>Nylon 6,6</w:t>
            </w:r>
          </w:p>
        </w:tc>
        <w:tc>
          <w:tcPr>
            <w:tcW w:w="1003" w:type="dxa"/>
            <w:tcBorders>
              <w:top w:val="single" w:sz="8" w:space="0" w:color="000000"/>
              <w:left w:val="nil"/>
              <w:bottom w:val="single" w:sz="8" w:space="0" w:color="000000"/>
              <w:right w:val="nil"/>
            </w:tcBorders>
          </w:tcPr>
          <w:p>
            <w:pPr/>
          </w:p>
        </w:tc>
        <w:tc>
          <w:tcPr>
            <w:tcW w:w="1241" w:type="dxa"/>
            <w:tcBorders>
              <w:top w:val="single" w:sz="8" w:space="0" w:color="000000"/>
              <w:left w:val="nil"/>
              <w:bottom w:val="single" w:sz="8" w:space="0" w:color="000000"/>
              <w:right w:val="nil"/>
            </w:tcBorders>
          </w:tcPr>
          <w:p>
            <w:pPr>
              <w:pStyle w:val="TableParagraph"/>
              <w:spacing w:line="250" w:lineRule="exact"/>
              <w:ind w:left="60" w:right="197"/>
              <w:rPr>
                <w:sz w:val="22"/>
              </w:rPr>
            </w:pPr>
            <w:r>
              <w:rPr>
                <w:sz w:val="22"/>
              </w:rPr>
              <w:t>71.8</w:t>
            </w:r>
          </w:p>
        </w:tc>
        <w:tc>
          <w:tcPr>
            <w:tcW w:w="926" w:type="dxa"/>
            <w:tcBorders>
              <w:top w:val="single" w:sz="8" w:space="0" w:color="000000"/>
              <w:left w:val="nil"/>
              <w:bottom w:val="single" w:sz="8" w:space="0" w:color="000000"/>
              <w:right w:val="nil"/>
            </w:tcBorders>
          </w:tcPr>
          <w:p>
            <w:pPr/>
          </w:p>
        </w:tc>
        <w:tc>
          <w:tcPr>
            <w:tcW w:w="1459" w:type="dxa"/>
            <w:tcBorders>
              <w:top w:val="single" w:sz="8" w:space="0" w:color="000000"/>
              <w:left w:val="nil"/>
              <w:bottom w:val="single" w:sz="8" w:space="0" w:color="000000"/>
              <w:right w:val="nil"/>
            </w:tcBorders>
          </w:tcPr>
          <w:p>
            <w:pPr>
              <w:pStyle w:val="TableParagraph"/>
              <w:spacing w:line="250" w:lineRule="exact"/>
              <w:ind w:left="924"/>
              <w:jc w:val="left"/>
              <w:rPr>
                <w:sz w:val="22"/>
              </w:rPr>
            </w:pPr>
            <w:r>
              <w:rPr>
                <w:sz w:val="22"/>
              </w:rPr>
              <w:t>387.4</w:t>
            </w:r>
          </w:p>
        </w:tc>
        <w:tc>
          <w:tcPr>
            <w:tcW w:w="849" w:type="dxa"/>
            <w:tcBorders>
              <w:top w:val="single" w:sz="8" w:space="0" w:color="000000"/>
              <w:left w:val="nil"/>
              <w:bottom w:val="single" w:sz="8" w:space="0" w:color="000000"/>
              <w:right w:val="nil"/>
            </w:tcBorders>
          </w:tcPr>
          <w:p>
            <w:pPr/>
          </w:p>
        </w:tc>
        <w:tc>
          <w:tcPr>
            <w:tcW w:w="2275" w:type="dxa"/>
            <w:gridSpan w:val="2"/>
            <w:tcBorders>
              <w:top w:val="single" w:sz="8" w:space="0" w:color="000000"/>
              <w:left w:val="nil"/>
              <w:bottom w:val="single" w:sz="8" w:space="0" w:color="000000"/>
              <w:right w:val="nil"/>
            </w:tcBorders>
          </w:tcPr>
          <w:p>
            <w:pPr>
              <w:pStyle w:val="TableParagraph"/>
              <w:spacing w:line="250" w:lineRule="exact"/>
              <w:ind w:left="170" w:right="169"/>
              <w:rPr>
                <w:sz w:val="22"/>
              </w:rPr>
            </w:pPr>
            <w:r>
              <w:rPr>
                <w:sz w:val="22"/>
              </w:rPr>
              <w:t>421.2</w:t>
            </w:r>
          </w:p>
        </w:tc>
      </w:tr>
      <w:tr>
        <w:trPr>
          <w:trHeight w:val="287" w:hRule="exact"/>
        </w:trPr>
        <w:tc>
          <w:tcPr>
            <w:tcW w:w="1335" w:type="dxa"/>
            <w:vMerge w:val="restart"/>
            <w:tcBorders>
              <w:top w:val="single" w:sz="8" w:space="0" w:color="000000"/>
              <w:left w:val="nil"/>
              <w:right w:val="nil"/>
            </w:tcBorders>
          </w:tcPr>
          <w:p>
            <w:pPr>
              <w:pStyle w:val="TableParagraph"/>
              <w:spacing w:before="140"/>
              <w:ind w:left="170"/>
              <w:jc w:val="left"/>
              <w:rPr>
                <w:sz w:val="22"/>
              </w:rPr>
            </w:pPr>
            <w:r>
              <w:rPr>
                <w:sz w:val="22"/>
              </w:rPr>
              <w:t>Nanofiller</w:t>
            </w:r>
          </w:p>
        </w:tc>
        <w:tc>
          <w:tcPr>
            <w:tcW w:w="1003" w:type="dxa"/>
            <w:tcBorders>
              <w:top w:val="single" w:sz="8" w:space="0" w:color="000000"/>
              <w:left w:val="nil"/>
              <w:bottom w:val="nil"/>
              <w:right w:val="nil"/>
            </w:tcBorders>
          </w:tcPr>
          <w:p>
            <w:pPr/>
          </w:p>
        </w:tc>
        <w:tc>
          <w:tcPr>
            <w:tcW w:w="1241" w:type="dxa"/>
            <w:tcBorders>
              <w:top w:val="single" w:sz="8" w:space="0" w:color="000000"/>
              <w:left w:val="nil"/>
              <w:bottom w:val="nil"/>
              <w:right w:val="nil"/>
            </w:tcBorders>
          </w:tcPr>
          <w:p>
            <w:pPr>
              <w:pStyle w:val="TableParagraph"/>
              <w:spacing w:line="247" w:lineRule="exact"/>
              <w:ind w:left="60" w:right="199"/>
              <w:rPr>
                <w:sz w:val="22"/>
              </w:rPr>
            </w:pPr>
            <w:r>
              <w:rPr>
                <w:sz w:val="22"/>
              </w:rPr>
              <w:t>Weight, %</w:t>
            </w:r>
          </w:p>
        </w:tc>
        <w:tc>
          <w:tcPr>
            <w:tcW w:w="926" w:type="dxa"/>
            <w:tcBorders>
              <w:top w:val="single" w:sz="8" w:space="0" w:color="000000"/>
              <w:left w:val="nil"/>
              <w:bottom w:val="nil"/>
              <w:right w:val="nil"/>
            </w:tcBorders>
          </w:tcPr>
          <w:p>
            <w:pPr/>
          </w:p>
        </w:tc>
        <w:tc>
          <w:tcPr>
            <w:tcW w:w="2308" w:type="dxa"/>
            <w:gridSpan w:val="2"/>
            <w:tcBorders>
              <w:top w:val="single" w:sz="8" w:space="0" w:color="000000"/>
              <w:left w:val="nil"/>
              <w:bottom w:val="nil"/>
              <w:right w:val="nil"/>
            </w:tcBorders>
          </w:tcPr>
          <w:p>
            <w:pPr>
              <w:pStyle w:val="TableParagraph"/>
              <w:spacing w:line="247" w:lineRule="exact"/>
              <w:ind w:left="701"/>
              <w:jc w:val="left"/>
              <w:rPr>
                <w:sz w:val="22"/>
              </w:rPr>
            </w:pPr>
            <w:r>
              <w:rPr>
                <w:sz w:val="22"/>
              </w:rPr>
              <w:t>Weight, %</w:t>
            </w:r>
          </w:p>
        </w:tc>
        <w:tc>
          <w:tcPr>
            <w:tcW w:w="2275" w:type="dxa"/>
            <w:gridSpan w:val="2"/>
            <w:tcBorders>
              <w:top w:val="single" w:sz="8" w:space="0" w:color="000000"/>
              <w:left w:val="nil"/>
              <w:bottom w:val="nil"/>
              <w:right w:val="nil"/>
            </w:tcBorders>
          </w:tcPr>
          <w:p>
            <w:pPr>
              <w:pStyle w:val="TableParagraph"/>
              <w:spacing w:line="247" w:lineRule="exact"/>
              <w:ind w:left="666"/>
              <w:jc w:val="left"/>
              <w:rPr>
                <w:sz w:val="22"/>
              </w:rPr>
            </w:pPr>
            <w:r>
              <w:rPr>
                <w:sz w:val="22"/>
              </w:rPr>
              <w:t>Weight, %</w:t>
            </w:r>
          </w:p>
        </w:tc>
      </w:tr>
      <w:tr>
        <w:trPr>
          <w:trHeight w:val="320" w:hRule="exact"/>
        </w:trPr>
        <w:tc>
          <w:tcPr>
            <w:tcW w:w="1335" w:type="dxa"/>
            <w:vMerge/>
            <w:tcBorders>
              <w:left w:val="nil"/>
              <w:right w:val="nil"/>
            </w:tcBorders>
          </w:tcPr>
          <w:p>
            <w:pPr/>
          </w:p>
        </w:tc>
        <w:tc>
          <w:tcPr>
            <w:tcW w:w="1003" w:type="dxa"/>
            <w:tcBorders>
              <w:top w:val="nil"/>
              <w:left w:val="nil"/>
              <w:right w:val="nil"/>
            </w:tcBorders>
          </w:tcPr>
          <w:p>
            <w:pPr>
              <w:pStyle w:val="TableParagraph"/>
              <w:spacing w:before="7"/>
              <w:ind w:left="311"/>
              <w:jc w:val="left"/>
              <w:rPr>
                <w:sz w:val="22"/>
              </w:rPr>
            </w:pPr>
            <w:r>
              <w:rPr>
                <w:sz w:val="22"/>
              </w:rPr>
              <w:t>0.1</w:t>
            </w:r>
          </w:p>
        </w:tc>
        <w:tc>
          <w:tcPr>
            <w:tcW w:w="1241" w:type="dxa"/>
            <w:tcBorders>
              <w:top w:val="nil"/>
              <w:left w:val="nil"/>
              <w:right w:val="nil"/>
            </w:tcBorders>
          </w:tcPr>
          <w:p>
            <w:pPr>
              <w:pStyle w:val="TableParagraph"/>
              <w:spacing w:before="7"/>
              <w:ind w:left="58" w:right="199"/>
              <w:rPr>
                <w:sz w:val="22"/>
              </w:rPr>
            </w:pPr>
            <w:r>
              <w:rPr>
                <w:sz w:val="22"/>
              </w:rPr>
              <w:t>0.3</w:t>
            </w:r>
          </w:p>
        </w:tc>
        <w:tc>
          <w:tcPr>
            <w:tcW w:w="926" w:type="dxa"/>
            <w:tcBorders>
              <w:top w:val="nil"/>
              <w:left w:val="nil"/>
              <w:right w:val="nil"/>
            </w:tcBorders>
          </w:tcPr>
          <w:p>
            <w:pPr>
              <w:pStyle w:val="TableParagraph"/>
              <w:spacing w:before="7"/>
              <w:ind w:left="273"/>
              <w:jc w:val="left"/>
              <w:rPr>
                <w:sz w:val="22"/>
              </w:rPr>
            </w:pPr>
            <w:r>
              <w:rPr>
                <w:sz w:val="22"/>
              </w:rPr>
              <w:t>0.5</w:t>
            </w:r>
          </w:p>
        </w:tc>
        <w:tc>
          <w:tcPr>
            <w:tcW w:w="1459" w:type="dxa"/>
            <w:tcBorders>
              <w:top w:val="nil"/>
              <w:left w:val="nil"/>
              <w:right w:val="nil"/>
            </w:tcBorders>
          </w:tcPr>
          <w:p>
            <w:pPr>
              <w:pStyle w:val="TableParagraph"/>
              <w:spacing w:before="7"/>
              <w:ind w:left="468"/>
              <w:jc w:val="left"/>
              <w:rPr>
                <w:sz w:val="22"/>
              </w:rPr>
            </w:pPr>
            <w:r>
              <w:rPr>
                <w:sz w:val="22"/>
              </w:rPr>
              <w:t>0.1</w:t>
            </w:r>
          </w:p>
        </w:tc>
        <w:tc>
          <w:tcPr>
            <w:tcW w:w="849" w:type="dxa"/>
            <w:tcBorders>
              <w:top w:val="nil"/>
              <w:left w:val="nil"/>
              <w:right w:val="nil"/>
            </w:tcBorders>
          </w:tcPr>
          <w:p>
            <w:pPr>
              <w:pStyle w:val="TableParagraph"/>
              <w:spacing w:before="7"/>
              <w:ind w:left="19" w:right="294"/>
              <w:rPr>
                <w:sz w:val="22"/>
              </w:rPr>
            </w:pPr>
            <w:r>
              <w:rPr>
                <w:sz w:val="22"/>
              </w:rPr>
              <w:t>0.5</w:t>
            </w:r>
          </w:p>
        </w:tc>
        <w:tc>
          <w:tcPr>
            <w:tcW w:w="1141" w:type="dxa"/>
            <w:tcBorders>
              <w:top w:val="nil"/>
              <w:left w:val="nil"/>
              <w:right w:val="nil"/>
            </w:tcBorders>
          </w:tcPr>
          <w:p>
            <w:pPr>
              <w:pStyle w:val="TableParagraph"/>
              <w:spacing w:before="7"/>
              <w:ind w:left="301" w:right="299"/>
              <w:rPr>
                <w:sz w:val="22"/>
              </w:rPr>
            </w:pPr>
            <w:r>
              <w:rPr>
                <w:sz w:val="22"/>
              </w:rPr>
              <w:t>0.1</w:t>
            </w:r>
          </w:p>
        </w:tc>
        <w:tc>
          <w:tcPr>
            <w:tcW w:w="1134" w:type="dxa"/>
            <w:tcBorders>
              <w:top w:val="nil"/>
              <w:left w:val="nil"/>
              <w:right w:val="nil"/>
            </w:tcBorders>
          </w:tcPr>
          <w:p>
            <w:pPr>
              <w:pStyle w:val="TableParagraph"/>
              <w:spacing w:before="7"/>
              <w:ind w:left="299" w:right="299"/>
              <w:rPr>
                <w:sz w:val="22"/>
              </w:rPr>
            </w:pPr>
            <w:r>
              <w:rPr>
                <w:sz w:val="22"/>
              </w:rPr>
              <w:t>0.5</w:t>
            </w:r>
          </w:p>
        </w:tc>
      </w:tr>
      <w:tr>
        <w:trPr>
          <w:trHeight w:val="292" w:hRule="exact"/>
        </w:trPr>
        <w:tc>
          <w:tcPr>
            <w:tcW w:w="1335" w:type="dxa"/>
            <w:tcBorders>
              <w:left w:val="nil"/>
              <w:bottom w:val="nil"/>
              <w:right w:val="nil"/>
            </w:tcBorders>
          </w:tcPr>
          <w:p>
            <w:pPr>
              <w:pStyle w:val="TableParagraph"/>
              <w:spacing w:line="247" w:lineRule="exact"/>
              <w:ind w:left="163" w:right="250"/>
              <w:rPr>
                <w:sz w:val="22"/>
              </w:rPr>
            </w:pPr>
            <w:r>
              <w:rPr>
                <w:sz w:val="22"/>
              </w:rPr>
              <w:t>CNT</w:t>
            </w:r>
          </w:p>
        </w:tc>
        <w:tc>
          <w:tcPr>
            <w:tcW w:w="1003" w:type="dxa"/>
            <w:tcBorders>
              <w:left w:val="nil"/>
              <w:bottom w:val="nil"/>
              <w:right w:val="nil"/>
            </w:tcBorders>
          </w:tcPr>
          <w:p>
            <w:pPr>
              <w:pStyle w:val="TableParagraph"/>
              <w:spacing w:line="247" w:lineRule="exact"/>
              <w:ind w:left="258"/>
              <w:jc w:val="left"/>
              <w:rPr>
                <w:sz w:val="22"/>
              </w:rPr>
            </w:pPr>
            <w:r>
              <w:rPr>
                <w:sz w:val="22"/>
              </w:rPr>
              <w:t>78.3</w:t>
            </w:r>
          </w:p>
        </w:tc>
        <w:tc>
          <w:tcPr>
            <w:tcW w:w="1241" w:type="dxa"/>
            <w:tcBorders>
              <w:left w:val="nil"/>
              <w:bottom w:val="nil"/>
              <w:right w:val="nil"/>
            </w:tcBorders>
          </w:tcPr>
          <w:p>
            <w:pPr>
              <w:pStyle w:val="TableParagraph"/>
              <w:spacing w:line="247" w:lineRule="exact"/>
              <w:ind w:left="60" w:right="197"/>
              <w:rPr>
                <w:sz w:val="22"/>
              </w:rPr>
            </w:pPr>
            <w:r>
              <w:rPr>
                <w:sz w:val="22"/>
              </w:rPr>
              <w:t>78.0</w:t>
            </w:r>
          </w:p>
        </w:tc>
        <w:tc>
          <w:tcPr>
            <w:tcW w:w="926" w:type="dxa"/>
            <w:tcBorders>
              <w:left w:val="nil"/>
              <w:bottom w:val="nil"/>
              <w:right w:val="nil"/>
            </w:tcBorders>
          </w:tcPr>
          <w:p>
            <w:pPr>
              <w:pStyle w:val="TableParagraph"/>
              <w:spacing w:line="247" w:lineRule="exact"/>
              <w:ind w:left="220"/>
              <w:jc w:val="left"/>
              <w:rPr>
                <w:sz w:val="22"/>
              </w:rPr>
            </w:pPr>
            <w:r>
              <w:rPr>
                <w:sz w:val="22"/>
              </w:rPr>
              <w:t>76.4</w:t>
            </w:r>
          </w:p>
        </w:tc>
        <w:tc>
          <w:tcPr>
            <w:tcW w:w="1459" w:type="dxa"/>
            <w:tcBorders>
              <w:left w:val="nil"/>
              <w:bottom w:val="nil"/>
              <w:right w:val="nil"/>
            </w:tcBorders>
          </w:tcPr>
          <w:p>
            <w:pPr>
              <w:pStyle w:val="TableParagraph"/>
              <w:spacing w:line="247" w:lineRule="exact"/>
              <w:ind w:left="358"/>
              <w:jc w:val="left"/>
              <w:rPr>
                <w:sz w:val="22"/>
              </w:rPr>
            </w:pPr>
            <w:r>
              <w:rPr>
                <w:sz w:val="22"/>
              </w:rPr>
              <w:t>387.5</w:t>
            </w:r>
          </w:p>
        </w:tc>
        <w:tc>
          <w:tcPr>
            <w:tcW w:w="849" w:type="dxa"/>
            <w:tcBorders>
              <w:left w:val="nil"/>
              <w:bottom w:val="nil"/>
              <w:right w:val="nil"/>
            </w:tcBorders>
          </w:tcPr>
          <w:p>
            <w:pPr>
              <w:pStyle w:val="TableParagraph"/>
              <w:spacing w:line="247" w:lineRule="exact"/>
              <w:ind w:left="19" w:right="294"/>
              <w:rPr>
                <w:sz w:val="22"/>
              </w:rPr>
            </w:pPr>
            <w:r>
              <w:rPr>
                <w:sz w:val="22"/>
              </w:rPr>
              <w:t>386.6</w:t>
            </w:r>
          </w:p>
        </w:tc>
        <w:tc>
          <w:tcPr>
            <w:tcW w:w="1141" w:type="dxa"/>
            <w:tcBorders>
              <w:left w:val="nil"/>
              <w:bottom w:val="nil"/>
              <w:right w:val="nil"/>
            </w:tcBorders>
          </w:tcPr>
          <w:p>
            <w:pPr>
              <w:pStyle w:val="TableParagraph"/>
              <w:spacing w:line="247" w:lineRule="exact"/>
              <w:ind w:left="306" w:right="299"/>
              <w:rPr>
                <w:sz w:val="22"/>
              </w:rPr>
            </w:pPr>
            <w:r>
              <w:rPr>
                <w:sz w:val="22"/>
              </w:rPr>
              <w:t>418.8</w:t>
            </w:r>
          </w:p>
        </w:tc>
        <w:tc>
          <w:tcPr>
            <w:tcW w:w="1134" w:type="dxa"/>
            <w:tcBorders>
              <w:left w:val="nil"/>
              <w:bottom w:val="nil"/>
              <w:right w:val="nil"/>
            </w:tcBorders>
          </w:tcPr>
          <w:p>
            <w:pPr>
              <w:pStyle w:val="TableParagraph"/>
              <w:spacing w:line="247" w:lineRule="exact"/>
              <w:ind w:left="299" w:right="299"/>
              <w:rPr>
                <w:sz w:val="22"/>
              </w:rPr>
            </w:pPr>
            <w:r>
              <w:rPr>
                <w:sz w:val="22"/>
              </w:rPr>
              <w:t>418.7</w:t>
            </w:r>
          </w:p>
        </w:tc>
      </w:tr>
      <w:tr>
        <w:trPr>
          <w:trHeight w:val="292" w:hRule="exact"/>
        </w:trPr>
        <w:tc>
          <w:tcPr>
            <w:tcW w:w="1335" w:type="dxa"/>
            <w:tcBorders>
              <w:top w:val="nil"/>
              <w:left w:val="nil"/>
              <w:bottom w:val="nil"/>
              <w:right w:val="nil"/>
            </w:tcBorders>
          </w:tcPr>
          <w:p>
            <w:pPr>
              <w:pStyle w:val="TableParagraph"/>
              <w:spacing w:before="7"/>
              <w:ind w:left="163" w:right="250"/>
              <w:rPr>
                <w:sz w:val="22"/>
              </w:rPr>
            </w:pPr>
            <w:r>
              <w:rPr>
                <w:sz w:val="22"/>
              </w:rPr>
              <w:t>OCNT</w:t>
            </w:r>
          </w:p>
        </w:tc>
        <w:tc>
          <w:tcPr>
            <w:tcW w:w="1003" w:type="dxa"/>
            <w:tcBorders>
              <w:top w:val="nil"/>
              <w:left w:val="nil"/>
              <w:bottom w:val="nil"/>
              <w:right w:val="nil"/>
            </w:tcBorders>
          </w:tcPr>
          <w:p>
            <w:pPr>
              <w:pStyle w:val="TableParagraph"/>
              <w:spacing w:before="7"/>
              <w:ind w:left="258"/>
              <w:jc w:val="left"/>
              <w:rPr>
                <w:sz w:val="22"/>
              </w:rPr>
            </w:pPr>
            <w:r>
              <w:rPr>
                <w:sz w:val="22"/>
              </w:rPr>
              <w:t>77.7</w:t>
            </w:r>
          </w:p>
        </w:tc>
        <w:tc>
          <w:tcPr>
            <w:tcW w:w="1241" w:type="dxa"/>
            <w:tcBorders>
              <w:top w:val="nil"/>
              <w:left w:val="nil"/>
              <w:bottom w:val="nil"/>
              <w:right w:val="nil"/>
            </w:tcBorders>
          </w:tcPr>
          <w:p>
            <w:pPr>
              <w:pStyle w:val="TableParagraph"/>
              <w:spacing w:before="7"/>
              <w:ind w:left="60" w:right="197"/>
              <w:rPr>
                <w:sz w:val="22"/>
              </w:rPr>
            </w:pPr>
            <w:r>
              <w:rPr>
                <w:sz w:val="22"/>
              </w:rPr>
              <w:t>79.3</w:t>
            </w:r>
          </w:p>
        </w:tc>
        <w:tc>
          <w:tcPr>
            <w:tcW w:w="926" w:type="dxa"/>
            <w:tcBorders>
              <w:top w:val="nil"/>
              <w:left w:val="nil"/>
              <w:bottom w:val="nil"/>
              <w:right w:val="nil"/>
            </w:tcBorders>
          </w:tcPr>
          <w:p>
            <w:pPr>
              <w:pStyle w:val="TableParagraph"/>
              <w:spacing w:before="7"/>
              <w:ind w:left="220"/>
              <w:jc w:val="left"/>
              <w:rPr>
                <w:sz w:val="22"/>
              </w:rPr>
            </w:pPr>
            <w:r>
              <w:rPr>
                <w:sz w:val="22"/>
              </w:rPr>
              <w:t>80.0</w:t>
            </w:r>
          </w:p>
        </w:tc>
        <w:tc>
          <w:tcPr>
            <w:tcW w:w="1459" w:type="dxa"/>
            <w:tcBorders>
              <w:top w:val="nil"/>
              <w:left w:val="nil"/>
              <w:bottom w:val="nil"/>
              <w:right w:val="nil"/>
            </w:tcBorders>
          </w:tcPr>
          <w:p>
            <w:pPr>
              <w:pStyle w:val="TableParagraph"/>
              <w:spacing w:before="7"/>
              <w:ind w:left="358"/>
              <w:jc w:val="left"/>
              <w:rPr>
                <w:sz w:val="22"/>
              </w:rPr>
            </w:pPr>
            <w:r>
              <w:rPr>
                <w:sz w:val="22"/>
              </w:rPr>
              <w:t>389.5</w:t>
            </w:r>
          </w:p>
        </w:tc>
        <w:tc>
          <w:tcPr>
            <w:tcW w:w="849" w:type="dxa"/>
            <w:tcBorders>
              <w:top w:val="nil"/>
              <w:left w:val="nil"/>
              <w:bottom w:val="nil"/>
              <w:right w:val="nil"/>
            </w:tcBorders>
          </w:tcPr>
          <w:p>
            <w:pPr>
              <w:pStyle w:val="TableParagraph"/>
              <w:spacing w:before="7"/>
              <w:ind w:left="19" w:right="294"/>
              <w:rPr>
                <w:sz w:val="22"/>
              </w:rPr>
            </w:pPr>
            <w:r>
              <w:rPr>
                <w:sz w:val="22"/>
              </w:rPr>
              <w:t>389.2</w:t>
            </w:r>
          </w:p>
        </w:tc>
        <w:tc>
          <w:tcPr>
            <w:tcW w:w="1141" w:type="dxa"/>
            <w:tcBorders>
              <w:top w:val="nil"/>
              <w:left w:val="nil"/>
              <w:bottom w:val="nil"/>
              <w:right w:val="nil"/>
            </w:tcBorders>
          </w:tcPr>
          <w:p>
            <w:pPr>
              <w:pStyle w:val="TableParagraph"/>
              <w:spacing w:before="7"/>
              <w:ind w:left="306" w:right="299"/>
              <w:rPr>
                <w:sz w:val="22"/>
              </w:rPr>
            </w:pPr>
            <w:r>
              <w:rPr>
                <w:sz w:val="22"/>
              </w:rPr>
              <w:t>421.1</w:t>
            </w:r>
          </w:p>
        </w:tc>
        <w:tc>
          <w:tcPr>
            <w:tcW w:w="1134" w:type="dxa"/>
            <w:tcBorders>
              <w:top w:val="nil"/>
              <w:left w:val="nil"/>
              <w:bottom w:val="nil"/>
              <w:right w:val="nil"/>
            </w:tcBorders>
          </w:tcPr>
          <w:p>
            <w:pPr>
              <w:pStyle w:val="TableParagraph"/>
              <w:spacing w:before="7"/>
              <w:ind w:left="299" w:right="299"/>
              <w:rPr>
                <w:sz w:val="22"/>
              </w:rPr>
            </w:pPr>
            <w:r>
              <w:rPr>
                <w:sz w:val="22"/>
              </w:rPr>
              <w:t>421.6</w:t>
            </w:r>
          </w:p>
        </w:tc>
      </w:tr>
      <w:tr>
        <w:trPr>
          <w:trHeight w:val="292" w:hRule="exact"/>
        </w:trPr>
        <w:tc>
          <w:tcPr>
            <w:tcW w:w="1335" w:type="dxa"/>
            <w:tcBorders>
              <w:top w:val="nil"/>
              <w:left w:val="nil"/>
              <w:bottom w:val="nil"/>
              <w:right w:val="nil"/>
            </w:tcBorders>
          </w:tcPr>
          <w:p>
            <w:pPr>
              <w:pStyle w:val="TableParagraph"/>
              <w:spacing w:before="8"/>
              <w:ind w:left="163" w:right="250"/>
              <w:rPr>
                <w:sz w:val="22"/>
              </w:rPr>
            </w:pPr>
            <w:r>
              <w:rPr>
                <w:sz w:val="22"/>
              </w:rPr>
              <w:t>f-CNT</w:t>
            </w:r>
          </w:p>
        </w:tc>
        <w:tc>
          <w:tcPr>
            <w:tcW w:w="1003" w:type="dxa"/>
            <w:tcBorders>
              <w:top w:val="nil"/>
              <w:left w:val="nil"/>
              <w:bottom w:val="nil"/>
              <w:right w:val="nil"/>
            </w:tcBorders>
          </w:tcPr>
          <w:p>
            <w:pPr>
              <w:pStyle w:val="TableParagraph"/>
              <w:spacing w:before="8"/>
              <w:ind w:left="258"/>
              <w:jc w:val="left"/>
              <w:rPr>
                <w:sz w:val="22"/>
              </w:rPr>
            </w:pPr>
            <w:r>
              <w:rPr>
                <w:sz w:val="22"/>
              </w:rPr>
              <w:t>81.4</w:t>
            </w:r>
          </w:p>
        </w:tc>
        <w:tc>
          <w:tcPr>
            <w:tcW w:w="1241" w:type="dxa"/>
            <w:tcBorders>
              <w:top w:val="nil"/>
              <w:left w:val="nil"/>
              <w:bottom w:val="nil"/>
              <w:right w:val="nil"/>
            </w:tcBorders>
          </w:tcPr>
          <w:p>
            <w:pPr>
              <w:pStyle w:val="TableParagraph"/>
              <w:spacing w:before="8"/>
              <w:ind w:left="60" w:right="197"/>
              <w:rPr>
                <w:sz w:val="22"/>
              </w:rPr>
            </w:pPr>
            <w:r>
              <w:rPr>
                <w:sz w:val="22"/>
              </w:rPr>
              <w:t>78.7</w:t>
            </w:r>
          </w:p>
        </w:tc>
        <w:tc>
          <w:tcPr>
            <w:tcW w:w="926" w:type="dxa"/>
            <w:tcBorders>
              <w:top w:val="nil"/>
              <w:left w:val="nil"/>
              <w:bottom w:val="nil"/>
              <w:right w:val="nil"/>
            </w:tcBorders>
          </w:tcPr>
          <w:p>
            <w:pPr>
              <w:pStyle w:val="TableParagraph"/>
              <w:spacing w:before="8"/>
              <w:ind w:left="220"/>
              <w:jc w:val="left"/>
              <w:rPr>
                <w:sz w:val="22"/>
              </w:rPr>
            </w:pPr>
            <w:r>
              <w:rPr>
                <w:sz w:val="22"/>
              </w:rPr>
              <w:t>77.7</w:t>
            </w:r>
          </w:p>
        </w:tc>
        <w:tc>
          <w:tcPr>
            <w:tcW w:w="1459" w:type="dxa"/>
            <w:tcBorders>
              <w:top w:val="nil"/>
              <w:left w:val="nil"/>
              <w:bottom w:val="nil"/>
              <w:right w:val="nil"/>
            </w:tcBorders>
          </w:tcPr>
          <w:p>
            <w:pPr>
              <w:pStyle w:val="TableParagraph"/>
              <w:spacing w:before="8"/>
              <w:ind w:left="358"/>
              <w:jc w:val="left"/>
              <w:rPr>
                <w:sz w:val="22"/>
              </w:rPr>
            </w:pPr>
            <w:r>
              <w:rPr>
                <w:sz w:val="22"/>
              </w:rPr>
              <w:t>388.1</w:t>
            </w:r>
          </w:p>
        </w:tc>
        <w:tc>
          <w:tcPr>
            <w:tcW w:w="849" w:type="dxa"/>
            <w:tcBorders>
              <w:top w:val="nil"/>
              <w:left w:val="nil"/>
              <w:bottom w:val="nil"/>
              <w:right w:val="nil"/>
            </w:tcBorders>
          </w:tcPr>
          <w:p>
            <w:pPr>
              <w:pStyle w:val="TableParagraph"/>
              <w:spacing w:before="8"/>
              <w:ind w:left="19" w:right="294"/>
              <w:rPr>
                <w:sz w:val="22"/>
              </w:rPr>
            </w:pPr>
            <w:r>
              <w:rPr>
                <w:sz w:val="22"/>
              </w:rPr>
              <w:t>387.6</w:t>
            </w:r>
          </w:p>
        </w:tc>
        <w:tc>
          <w:tcPr>
            <w:tcW w:w="1141" w:type="dxa"/>
            <w:tcBorders>
              <w:top w:val="nil"/>
              <w:left w:val="nil"/>
              <w:bottom w:val="nil"/>
              <w:right w:val="nil"/>
            </w:tcBorders>
          </w:tcPr>
          <w:p>
            <w:pPr>
              <w:pStyle w:val="TableParagraph"/>
              <w:spacing w:before="8"/>
              <w:ind w:left="306" w:right="299"/>
              <w:rPr>
                <w:sz w:val="22"/>
              </w:rPr>
            </w:pPr>
            <w:r>
              <w:rPr>
                <w:sz w:val="22"/>
              </w:rPr>
              <w:t>421.1</w:t>
            </w:r>
          </w:p>
        </w:tc>
        <w:tc>
          <w:tcPr>
            <w:tcW w:w="1134" w:type="dxa"/>
            <w:tcBorders>
              <w:top w:val="nil"/>
              <w:left w:val="nil"/>
              <w:bottom w:val="nil"/>
              <w:right w:val="nil"/>
            </w:tcBorders>
          </w:tcPr>
          <w:p>
            <w:pPr>
              <w:pStyle w:val="TableParagraph"/>
              <w:spacing w:before="8"/>
              <w:ind w:left="299" w:right="299"/>
              <w:rPr>
                <w:sz w:val="22"/>
              </w:rPr>
            </w:pPr>
            <w:r>
              <w:rPr>
                <w:sz w:val="22"/>
              </w:rPr>
              <w:t>421.3</w:t>
            </w:r>
          </w:p>
        </w:tc>
      </w:tr>
      <w:tr>
        <w:trPr>
          <w:trHeight w:val="290" w:hRule="exact"/>
        </w:trPr>
        <w:tc>
          <w:tcPr>
            <w:tcW w:w="1335" w:type="dxa"/>
            <w:tcBorders>
              <w:top w:val="nil"/>
              <w:left w:val="nil"/>
              <w:bottom w:val="nil"/>
              <w:right w:val="nil"/>
            </w:tcBorders>
          </w:tcPr>
          <w:p>
            <w:pPr>
              <w:pStyle w:val="TableParagraph"/>
              <w:spacing w:before="7"/>
              <w:ind w:left="163" w:right="249"/>
              <w:rPr>
                <w:sz w:val="22"/>
              </w:rPr>
            </w:pPr>
            <w:r>
              <w:rPr>
                <w:sz w:val="22"/>
              </w:rPr>
              <w:t>RGO</w:t>
            </w:r>
          </w:p>
        </w:tc>
        <w:tc>
          <w:tcPr>
            <w:tcW w:w="1003" w:type="dxa"/>
            <w:tcBorders>
              <w:top w:val="nil"/>
              <w:left w:val="nil"/>
              <w:bottom w:val="nil"/>
              <w:right w:val="nil"/>
            </w:tcBorders>
          </w:tcPr>
          <w:p>
            <w:pPr>
              <w:pStyle w:val="TableParagraph"/>
              <w:spacing w:before="7"/>
              <w:ind w:left="258"/>
              <w:jc w:val="left"/>
              <w:rPr>
                <w:sz w:val="22"/>
              </w:rPr>
            </w:pPr>
            <w:r>
              <w:rPr>
                <w:sz w:val="22"/>
              </w:rPr>
              <w:t>76.9</w:t>
            </w:r>
          </w:p>
        </w:tc>
        <w:tc>
          <w:tcPr>
            <w:tcW w:w="1241" w:type="dxa"/>
            <w:tcBorders>
              <w:top w:val="nil"/>
              <w:left w:val="nil"/>
              <w:bottom w:val="nil"/>
              <w:right w:val="nil"/>
            </w:tcBorders>
          </w:tcPr>
          <w:p>
            <w:pPr>
              <w:pStyle w:val="TableParagraph"/>
              <w:spacing w:before="7"/>
              <w:ind w:left="60" w:right="197"/>
              <w:rPr>
                <w:sz w:val="22"/>
              </w:rPr>
            </w:pPr>
            <w:r>
              <w:rPr>
                <w:sz w:val="22"/>
              </w:rPr>
              <w:t>80.9</w:t>
            </w:r>
          </w:p>
        </w:tc>
        <w:tc>
          <w:tcPr>
            <w:tcW w:w="926" w:type="dxa"/>
            <w:tcBorders>
              <w:top w:val="nil"/>
              <w:left w:val="nil"/>
              <w:bottom w:val="nil"/>
              <w:right w:val="nil"/>
            </w:tcBorders>
          </w:tcPr>
          <w:p>
            <w:pPr>
              <w:pStyle w:val="TableParagraph"/>
              <w:spacing w:before="7"/>
              <w:ind w:left="220"/>
              <w:jc w:val="left"/>
              <w:rPr>
                <w:sz w:val="22"/>
              </w:rPr>
            </w:pPr>
            <w:r>
              <w:rPr>
                <w:sz w:val="22"/>
              </w:rPr>
              <w:t>79.9</w:t>
            </w:r>
          </w:p>
        </w:tc>
        <w:tc>
          <w:tcPr>
            <w:tcW w:w="1459" w:type="dxa"/>
            <w:tcBorders>
              <w:top w:val="nil"/>
              <w:left w:val="nil"/>
              <w:bottom w:val="nil"/>
              <w:right w:val="nil"/>
            </w:tcBorders>
          </w:tcPr>
          <w:p>
            <w:pPr>
              <w:pStyle w:val="TableParagraph"/>
              <w:spacing w:before="7"/>
              <w:ind w:left="358"/>
              <w:jc w:val="left"/>
              <w:rPr>
                <w:sz w:val="22"/>
              </w:rPr>
            </w:pPr>
            <w:r>
              <w:rPr>
                <w:sz w:val="22"/>
              </w:rPr>
              <w:t>391.4</w:t>
            </w:r>
          </w:p>
        </w:tc>
        <w:tc>
          <w:tcPr>
            <w:tcW w:w="849" w:type="dxa"/>
            <w:tcBorders>
              <w:top w:val="nil"/>
              <w:left w:val="nil"/>
              <w:bottom w:val="nil"/>
              <w:right w:val="nil"/>
            </w:tcBorders>
          </w:tcPr>
          <w:p>
            <w:pPr>
              <w:pStyle w:val="TableParagraph"/>
              <w:spacing w:before="7"/>
              <w:ind w:left="19" w:right="294"/>
              <w:rPr>
                <w:sz w:val="22"/>
              </w:rPr>
            </w:pPr>
            <w:r>
              <w:rPr>
                <w:sz w:val="22"/>
              </w:rPr>
              <w:t>390.9</w:t>
            </w:r>
          </w:p>
        </w:tc>
        <w:tc>
          <w:tcPr>
            <w:tcW w:w="1141" w:type="dxa"/>
            <w:tcBorders>
              <w:top w:val="nil"/>
              <w:left w:val="nil"/>
              <w:bottom w:val="nil"/>
              <w:right w:val="nil"/>
            </w:tcBorders>
          </w:tcPr>
          <w:p>
            <w:pPr>
              <w:pStyle w:val="TableParagraph"/>
              <w:spacing w:before="7"/>
              <w:ind w:left="306" w:right="299"/>
              <w:rPr>
                <w:sz w:val="22"/>
              </w:rPr>
            </w:pPr>
            <w:r>
              <w:rPr>
                <w:sz w:val="22"/>
              </w:rPr>
              <w:t>422.5</w:t>
            </w:r>
          </w:p>
        </w:tc>
        <w:tc>
          <w:tcPr>
            <w:tcW w:w="1134" w:type="dxa"/>
            <w:tcBorders>
              <w:top w:val="nil"/>
              <w:left w:val="nil"/>
              <w:bottom w:val="nil"/>
              <w:right w:val="nil"/>
            </w:tcBorders>
          </w:tcPr>
          <w:p>
            <w:pPr>
              <w:pStyle w:val="TableParagraph"/>
              <w:spacing w:before="7"/>
              <w:ind w:left="299" w:right="299"/>
              <w:rPr>
                <w:sz w:val="22"/>
              </w:rPr>
            </w:pPr>
            <w:r>
              <w:rPr>
                <w:sz w:val="22"/>
              </w:rPr>
              <w:t>421.5</w:t>
            </w:r>
          </w:p>
        </w:tc>
      </w:tr>
      <w:tr>
        <w:trPr>
          <w:trHeight w:val="290" w:hRule="exact"/>
        </w:trPr>
        <w:tc>
          <w:tcPr>
            <w:tcW w:w="1335" w:type="dxa"/>
            <w:tcBorders>
              <w:top w:val="nil"/>
              <w:left w:val="nil"/>
              <w:bottom w:val="nil"/>
              <w:right w:val="nil"/>
            </w:tcBorders>
          </w:tcPr>
          <w:p>
            <w:pPr>
              <w:pStyle w:val="TableParagraph"/>
              <w:spacing w:before="7"/>
              <w:ind w:left="163" w:right="249"/>
              <w:rPr>
                <w:sz w:val="22"/>
              </w:rPr>
            </w:pPr>
            <w:r>
              <w:rPr>
                <w:sz w:val="22"/>
              </w:rPr>
              <w:t>GO</w:t>
            </w:r>
          </w:p>
        </w:tc>
        <w:tc>
          <w:tcPr>
            <w:tcW w:w="1003" w:type="dxa"/>
            <w:tcBorders>
              <w:top w:val="nil"/>
              <w:left w:val="nil"/>
              <w:bottom w:val="nil"/>
              <w:right w:val="nil"/>
            </w:tcBorders>
          </w:tcPr>
          <w:p>
            <w:pPr>
              <w:pStyle w:val="TableParagraph"/>
              <w:spacing w:before="7"/>
              <w:ind w:left="258"/>
              <w:jc w:val="left"/>
              <w:rPr>
                <w:sz w:val="22"/>
              </w:rPr>
            </w:pPr>
            <w:r>
              <w:rPr>
                <w:sz w:val="22"/>
              </w:rPr>
              <w:t>78.1</w:t>
            </w:r>
          </w:p>
        </w:tc>
        <w:tc>
          <w:tcPr>
            <w:tcW w:w="1241" w:type="dxa"/>
            <w:tcBorders>
              <w:top w:val="nil"/>
              <w:left w:val="nil"/>
              <w:bottom w:val="nil"/>
              <w:right w:val="nil"/>
            </w:tcBorders>
          </w:tcPr>
          <w:p>
            <w:pPr>
              <w:pStyle w:val="TableParagraph"/>
              <w:spacing w:before="7"/>
              <w:ind w:left="60" w:right="197"/>
              <w:rPr>
                <w:sz w:val="22"/>
              </w:rPr>
            </w:pPr>
            <w:r>
              <w:rPr>
                <w:sz w:val="22"/>
              </w:rPr>
              <w:t>78.2</w:t>
            </w:r>
          </w:p>
        </w:tc>
        <w:tc>
          <w:tcPr>
            <w:tcW w:w="926" w:type="dxa"/>
            <w:tcBorders>
              <w:top w:val="nil"/>
              <w:left w:val="nil"/>
              <w:bottom w:val="nil"/>
              <w:right w:val="nil"/>
            </w:tcBorders>
          </w:tcPr>
          <w:p>
            <w:pPr>
              <w:pStyle w:val="TableParagraph"/>
              <w:spacing w:before="7"/>
              <w:ind w:left="220"/>
              <w:jc w:val="left"/>
              <w:rPr>
                <w:sz w:val="22"/>
              </w:rPr>
            </w:pPr>
            <w:r>
              <w:rPr>
                <w:sz w:val="22"/>
              </w:rPr>
              <w:t>78.9</w:t>
            </w:r>
          </w:p>
        </w:tc>
        <w:tc>
          <w:tcPr>
            <w:tcW w:w="1459" w:type="dxa"/>
            <w:tcBorders>
              <w:top w:val="nil"/>
              <w:left w:val="nil"/>
              <w:bottom w:val="nil"/>
              <w:right w:val="nil"/>
            </w:tcBorders>
          </w:tcPr>
          <w:p>
            <w:pPr>
              <w:pStyle w:val="TableParagraph"/>
              <w:spacing w:before="7"/>
              <w:ind w:left="358"/>
              <w:jc w:val="left"/>
              <w:rPr>
                <w:sz w:val="22"/>
              </w:rPr>
            </w:pPr>
            <w:r>
              <w:rPr>
                <w:sz w:val="22"/>
              </w:rPr>
              <w:t>388.7</w:t>
            </w:r>
          </w:p>
        </w:tc>
        <w:tc>
          <w:tcPr>
            <w:tcW w:w="849" w:type="dxa"/>
            <w:tcBorders>
              <w:top w:val="nil"/>
              <w:left w:val="nil"/>
              <w:bottom w:val="nil"/>
              <w:right w:val="nil"/>
            </w:tcBorders>
          </w:tcPr>
          <w:p>
            <w:pPr>
              <w:pStyle w:val="TableParagraph"/>
              <w:spacing w:before="7"/>
              <w:ind w:left="19" w:right="294"/>
              <w:rPr>
                <w:sz w:val="22"/>
              </w:rPr>
            </w:pPr>
            <w:r>
              <w:rPr>
                <w:sz w:val="22"/>
              </w:rPr>
              <w:t>392.8</w:t>
            </w:r>
          </w:p>
        </w:tc>
        <w:tc>
          <w:tcPr>
            <w:tcW w:w="1141" w:type="dxa"/>
            <w:tcBorders>
              <w:top w:val="nil"/>
              <w:left w:val="nil"/>
              <w:bottom w:val="nil"/>
              <w:right w:val="nil"/>
            </w:tcBorders>
          </w:tcPr>
          <w:p>
            <w:pPr>
              <w:pStyle w:val="TableParagraph"/>
              <w:spacing w:before="7"/>
              <w:ind w:left="306" w:right="299"/>
              <w:rPr>
                <w:sz w:val="22"/>
              </w:rPr>
            </w:pPr>
            <w:r>
              <w:rPr>
                <w:sz w:val="22"/>
              </w:rPr>
              <w:t>418.6</w:t>
            </w:r>
          </w:p>
        </w:tc>
        <w:tc>
          <w:tcPr>
            <w:tcW w:w="1134" w:type="dxa"/>
            <w:tcBorders>
              <w:top w:val="nil"/>
              <w:left w:val="nil"/>
              <w:bottom w:val="nil"/>
              <w:right w:val="nil"/>
            </w:tcBorders>
          </w:tcPr>
          <w:p>
            <w:pPr>
              <w:pStyle w:val="TableParagraph"/>
              <w:spacing w:before="7"/>
              <w:ind w:left="299" w:right="299"/>
              <w:rPr>
                <w:sz w:val="22"/>
              </w:rPr>
            </w:pPr>
            <w:r>
              <w:rPr>
                <w:sz w:val="22"/>
              </w:rPr>
              <w:t>426.0</w:t>
            </w:r>
          </w:p>
        </w:tc>
      </w:tr>
      <w:tr>
        <w:trPr>
          <w:trHeight w:val="320" w:hRule="exact"/>
        </w:trPr>
        <w:tc>
          <w:tcPr>
            <w:tcW w:w="1335" w:type="dxa"/>
            <w:tcBorders>
              <w:top w:val="nil"/>
              <w:left w:val="nil"/>
              <w:right w:val="nil"/>
            </w:tcBorders>
          </w:tcPr>
          <w:p>
            <w:pPr>
              <w:pStyle w:val="TableParagraph"/>
              <w:spacing w:before="7"/>
              <w:ind w:left="162" w:right="250"/>
              <w:rPr>
                <w:sz w:val="22"/>
              </w:rPr>
            </w:pPr>
            <w:r>
              <w:rPr>
                <w:sz w:val="22"/>
              </w:rPr>
              <w:t>f-Ge</w:t>
            </w:r>
          </w:p>
        </w:tc>
        <w:tc>
          <w:tcPr>
            <w:tcW w:w="1003" w:type="dxa"/>
            <w:tcBorders>
              <w:top w:val="nil"/>
              <w:left w:val="nil"/>
              <w:right w:val="nil"/>
            </w:tcBorders>
          </w:tcPr>
          <w:p>
            <w:pPr>
              <w:pStyle w:val="TableParagraph"/>
              <w:spacing w:before="7"/>
              <w:ind w:left="258"/>
              <w:jc w:val="left"/>
              <w:rPr>
                <w:sz w:val="22"/>
              </w:rPr>
            </w:pPr>
            <w:r>
              <w:rPr>
                <w:sz w:val="22"/>
              </w:rPr>
              <w:t>78.3</w:t>
            </w:r>
          </w:p>
        </w:tc>
        <w:tc>
          <w:tcPr>
            <w:tcW w:w="1241" w:type="dxa"/>
            <w:tcBorders>
              <w:top w:val="nil"/>
              <w:left w:val="nil"/>
              <w:right w:val="nil"/>
            </w:tcBorders>
          </w:tcPr>
          <w:p>
            <w:pPr>
              <w:pStyle w:val="TableParagraph"/>
              <w:spacing w:before="7"/>
              <w:ind w:left="60" w:right="197"/>
              <w:rPr>
                <w:sz w:val="22"/>
              </w:rPr>
            </w:pPr>
            <w:r>
              <w:rPr>
                <w:sz w:val="22"/>
              </w:rPr>
              <w:t>77.7</w:t>
            </w:r>
          </w:p>
        </w:tc>
        <w:tc>
          <w:tcPr>
            <w:tcW w:w="926" w:type="dxa"/>
            <w:tcBorders>
              <w:top w:val="nil"/>
              <w:left w:val="nil"/>
              <w:right w:val="nil"/>
            </w:tcBorders>
          </w:tcPr>
          <w:p>
            <w:pPr>
              <w:pStyle w:val="TableParagraph"/>
              <w:spacing w:before="7"/>
              <w:ind w:left="220"/>
              <w:jc w:val="left"/>
              <w:rPr>
                <w:sz w:val="22"/>
              </w:rPr>
            </w:pPr>
            <w:r>
              <w:rPr>
                <w:sz w:val="22"/>
              </w:rPr>
              <w:t>79.6</w:t>
            </w:r>
          </w:p>
        </w:tc>
        <w:tc>
          <w:tcPr>
            <w:tcW w:w="1459" w:type="dxa"/>
            <w:tcBorders>
              <w:top w:val="nil"/>
              <w:left w:val="nil"/>
              <w:right w:val="nil"/>
            </w:tcBorders>
          </w:tcPr>
          <w:p>
            <w:pPr>
              <w:pStyle w:val="TableParagraph"/>
              <w:spacing w:before="7"/>
              <w:ind w:left="358"/>
              <w:jc w:val="left"/>
              <w:rPr>
                <w:sz w:val="22"/>
              </w:rPr>
            </w:pPr>
            <w:r>
              <w:rPr>
                <w:sz w:val="22"/>
              </w:rPr>
              <w:t>390.6</w:t>
            </w:r>
          </w:p>
        </w:tc>
        <w:tc>
          <w:tcPr>
            <w:tcW w:w="849" w:type="dxa"/>
            <w:tcBorders>
              <w:top w:val="nil"/>
              <w:left w:val="nil"/>
              <w:right w:val="nil"/>
            </w:tcBorders>
          </w:tcPr>
          <w:p>
            <w:pPr>
              <w:pStyle w:val="TableParagraph"/>
              <w:spacing w:before="7"/>
              <w:ind w:left="19" w:right="294"/>
              <w:rPr>
                <w:sz w:val="22"/>
              </w:rPr>
            </w:pPr>
            <w:r>
              <w:rPr>
                <w:sz w:val="22"/>
              </w:rPr>
              <w:t>389.6</w:t>
            </w:r>
          </w:p>
        </w:tc>
        <w:tc>
          <w:tcPr>
            <w:tcW w:w="1141" w:type="dxa"/>
            <w:tcBorders>
              <w:top w:val="nil"/>
              <w:left w:val="nil"/>
              <w:right w:val="nil"/>
            </w:tcBorders>
          </w:tcPr>
          <w:p>
            <w:pPr>
              <w:pStyle w:val="TableParagraph"/>
              <w:spacing w:before="7"/>
              <w:ind w:left="306" w:right="299"/>
              <w:rPr>
                <w:sz w:val="22"/>
              </w:rPr>
            </w:pPr>
            <w:r>
              <w:rPr>
                <w:sz w:val="22"/>
              </w:rPr>
              <w:t>421.7</w:t>
            </w:r>
          </w:p>
        </w:tc>
        <w:tc>
          <w:tcPr>
            <w:tcW w:w="1134" w:type="dxa"/>
            <w:tcBorders>
              <w:top w:val="nil"/>
              <w:left w:val="nil"/>
              <w:right w:val="nil"/>
            </w:tcBorders>
          </w:tcPr>
          <w:p>
            <w:pPr>
              <w:pStyle w:val="TableParagraph"/>
              <w:spacing w:before="7"/>
              <w:ind w:left="299" w:right="299"/>
              <w:rPr>
                <w:sz w:val="22"/>
              </w:rPr>
            </w:pPr>
            <w:r>
              <w:rPr>
                <w:sz w:val="22"/>
              </w:rPr>
              <w:t>422.0</w:t>
            </w:r>
          </w:p>
        </w:tc>
      </w:tr>
    </w:tbl>
    <w:p>
      <w:pPr>
        <w:spacing w:after="0"/>
        <w:rPr>
          <w:sz w:val="22"/>
        </w:rPr>
        <w:sectPr>
          <w:footerReference w:type="default" r:id="rId82"/>
          <w:pgSz w:w="12240" w:h="15840"/>
          <w:pgMar w:footer="1060" w:header="730" w:top="1160" w:bottom="1260" w:left="1460" w:right="1460"/>
          <w:pgNumType w:start="101"/>
        </w:sectPr>
      </w:pPr>
    </w:p>
    <w:p>
      <w:pPr>
        <w:pStyle w:val="BodyText"/>
        <w:spacing w:before="11"/>
        <w:rPr>
          <w:sz w:val="10"/>
        </w:rPr>
      </w:pPr>
    </w:p>
    <w:p>
      <w:pPr>
        <w:pStyle w:val="BodyText"/>
        <w:spacing w:line="343" w:lineRule="auto" w:before="83"/>
        <w:ind w:left="122" w:right="135" w:firstLine="201"/>
        <w:jc w:val="both"/>
      </w:pPr>
      <w:r>
        <w:rPr/>
        <w:t>Liu et al.</w:t>
      </w:r>
      <w:r>
        <w:rPr>
          <w:position w:val="10"/>
          <w:sz w:val="14"/>
        </w:rPr>
        <w:t>33 </w:t>
      </w:r>
      <w:r>
        <w:rPr/>
        <w:t>obtained well dispersed nanocomposites of PMMA/CNTs and TGA analyses showed T</w:t>
      </w:r>
      <w:r>
        <w:rPr>
          <w:position w:val="-2"/>
          <w:sz w:val="14"/>
        </w:rPr>
        <w:t>d </w:t>
      </w:r>
      <w:r>
        <w:rPr/>
        <w:t>similar to the polymer when using nitrogen. Other studies</w:t>
      </w:r>
      <w:r>
        <w:rPr>
          <w:position w:val="10"/>
          <w:sz w:val="14"/>
        </w:rPr>
        <w:t>11,32,37 </w:t>
      </w:r>
      <w:r>
        <w:rPr/>
        <w:t>have indicated that the T</w:t>
      </w:r>
      <w:r>
        <w:rPr>
          <w:position w:val="-2"/>
          <w:sz w:val="14"/>
        </w:rPr>
        <w:t>d </w:t>
      </w:r>
      <w:r>
        <w:rPr/>
        <w:t>of nanocomposites is comparable to the matrix when tested under an inert atmosphere. Li et al.</w:t>
      </w:r>
      <w:r>
        <w:rPr>
          <w:position w:val="10"/>
          <w:sz w:val="14"/>
        </w:rPr>
        <w:t>37 </w:t>
      </w:r>
      <w:r>
        <w:rPr/>
        <w:t>concluded that the presence of CNTs hinders the thermo-oxidation of nylon 6 under air, and thus increases the thermal stability of the polymer. However, this effect was not found for all the CNTs/nylon 6 composites under nitrogen atmosphere without the participation of oxygen.</w:t>
      </w:r>
      <w:r>
        <w:rPr>
          <w:position w:val="10"/>
          <w:sz w:val="14"/>
        </w:rPr>
        <w:t>37  </w:t>
      </w:r>
      <w:r>
        <w:rPr/>
        <w:t>Despite</w:t>
      </w:r>
    </w:p>
    <w:p>
      <w:pPr>
        <w:pStyle w:val="BodyText"/>
        <w:spacing w:line="360" w:lineRule="auto" w:before="9"/>
        <w:ind w:left="122" w:right="135"/>
        <w:jc w:val="both"/>
      </w:pPr>
      <w:r>
        <w:rPr/>
        <w:t>the results obtained, the GO addition into nylon 6,6 enhanced this property. The  GO nanocomposites displayed an increase of ~6°C and ~5°C at 10 wt. % and 50 wt. % loss respectively for the highest content.</w:t>
      </w:r>
    </w:p>
    <w:p>
      <w:pPr>
        <w:pStyle w:val="BodyText"/>
      </w:pPr>
    </w:p>
    <w:p>
      <w:pPr>
        <w:pStyle w:val="Heading4"/>
        <w:spacing w:before="138"/>
        <w:jc w:val="both"/>
      </w:pPr>
      <w:r>
        <w:rPr/>
        <w:t>CONCLUSIONS</w:t>
      </w:r>
    </w:p>
    <w:p>
      <w:pPr>
        <w:pStyle w:val="BodyText"/>
        <w:spacing w:line="360" w:lineRule="auto" w:before="121"/>
        <w:ind w:left="122" w:right="136" w:firstLine="201"/>
        <w:jc w:val="both"/>
      </w:pPr>
      <w:r>
        <w:rPr/>
        <w:t>Nylon 6,6 was reinforced using one-dimensional and two-dimensional carbon nanofillers. Raman spectroscopy showed the successful preparation of the nanofillers. FTIR spectroscopy showed the functional groups in the nanofillers and nylon 6,6. The addition of the nanofillers provided a very little increase in the crystallinity of the polymer and there was no significant influence in this property attributed to the functionalisation of the nanofillers. The crystallisation curves revealed the effect in crystal growth when using differently structured carbon nanofillers. CNT based nanocomposites crystallised at higher temperatures than graphene based nanocomposites. However the crystal growth in graphene based nanocomposites was faster. The method employed for obtaining the nanocomposites is compatible with current industrial processes and revealed interesting crystal features. All nanofillers favoured the perfection of the crystals. The stiffness of the polymer was increased and the improvement was more noticeable in graphene based nanocomposites. The mechanical response of most nanocomposites was enhanced as the nanofiller content increased. f-CNT nanocomposites showed an opposite behaviour and the modulus was 30% higher than nylon 6,6 when using 0.1 wt % of this nanofiller. GO showed to be the best reinforcing material at all contents when compared to the rest of the nanofillers. In addition, the nanocomposite containing 0.5 wt % GO improved the thermal stability by ~5°C. Graphene based composites showed the best thermo-mechanical properties owned to the dimensionality of this material.</w:t>
      </w:r>
    </w:p>
    <w:p>
      <w:pPr>
        <w:pStyle w:val="BodyText"/>
      </w:pPr>
    </w:p>
    <w:p>
      <w:pPr>
        <w:pStyle w:val="Heading4"/>
        <w:spacing w:before="138"/>
        <w:jc w:val="both"/>
      </w:pPr>
      <w:r>
        <w:rPr/>
        <w:t>Corresponding Author</w:t>
      </w:r>
    </w:p>
    <w:p>
      <w:pPr>
        <w:pStyle w:val="BodyText"/>
        <w:spacing w:before="121"/>
        <w:ind w:left="122"/>
        <w:jc w:val="both"/>
      </w:pPr>
      <w:r>
        <w:rPr/>
        <w:t>*E-mail: </w:t>
      </w:r>
      <w:hyperlink r:id="rId58">
        <w:r>
          <w:rPr/>
          <w:t>cylaura@gmail.com</w:t>
        </w:r>
      </w:hyperlink>
    </w:p>
    <w:p>
      <w:pPr>
        <w:pStyle w:val="BodyText"/>
        <w:spacing w:before="9"/>
        <w:rPr>
          <w:sz w:val="21"/>
        </w:rPr>
      </w:pPr>
    </w:p>
    <w:p>
      <w:pPr>
        <w:pStyle w:val="Heading4"/>
        <w:spacing w:before="0"/>
        <w:jc w:val="both"/>
      </w:pPr>
      <w:r>
        <w:rPr/>
        <w:t>Author Contributions</w:t>
      </w:r>
    </w:p>
    <w:p>
      <w:pPr>
        <w:spacing w:after="0"/>
        <w:jc w:val="both"/>
        <w:sectPr>
          <w:pgSz w:w="12240" w:h="15840"/>
          <w:pgMar w:header="730" w:footer="1060" w:top="1160" w:bottom="1260" w:left="1580" w:right="1560"/>
        </w:sectPr>
      </w:pPr>
    </w:p>
    <w:p>
      <w:pPr>
        <w:pStyle w:val="BodyText"/>
        <w:rPr>
          <w:b/>
          <w:sz w:val="14"/>
        </w:rPr>
      </w:pPr>
    </w:p>
    <w:p>
      <w:pPr>
        <w:pStyle w:val="BodyText"/>
        <w:spacing w:line="360" w:lineRule="auto" w:before="73"/>
        <w:ind w:left="122" w:right="178"/>
      </w:pPr>
      <w:r>
        <w:rPr/>
        <w:t>The manuscript was written through contributions of all authors. All authors have given approval to the final version of the manuscript. ‡These authors contributed equally. (match statement to author names with a symbol)</w:t>
      </w:r>
    </w:p>
    <w:p>
      <w:pPr>
        <w:pStyle w:val="BodyText"/>
        <w:spacing w:before="7"/>
        <w:rPr>
          <w:sz w:val="21"/>
        </w:rPr>
      </w:pPr>
    </w:p>
    <w:p>
      <w:pPr>
        <w:pStyle w:val="Heading4"/>
        <w:spacing w:before="0"/>
        <w:ind w:right="41"/>
      </w:pPr>
      <w:r>
        <w:rPr/>
        <w:t>Funding Sources</w:t>
      </w:r>
    </w:p>
    <w:p>
      <w:pPr>
        <w:pStyle w:val="BodyText"/>
        <w:spacing w:before="181"/>
        <w:ind w:left="122" w:right="41"/>
      </w:pPr>
      <w:r>
        <w:rPr/>
        <w:t>Any funds used to support the research of the manuscript should be placed here (per journal style).</w:t>
      </w:r>
    </w:p>
    <w:p>
      <w:pPr>
        <w:pStyle w:val="BodyText"/>
        <w:spacing w:before="3"/>
        <w:rPr>
          <w:sz w:val="32"/>
        </w:rPr>
      </w:pPr>
    </w:p>
    <w:p>
      <w:pPr>
        <w:pStyle w:val="Heading4"/>
        <w:spacing w:before="0"/>
        <w:ind w:right="41"/>
      </w:pPr>
      <w:r>
        <w:rPr/>
        <w:t>ACKNOWLEDGMENTS</w:t>
      </w:r>
    </w:p>
    <w:p>
      <w:pPr>
        <w:pStyle w:val="BodyText"/>
        <w:spacing w:before="10"/>
        <w:rPr>
          <w:b/>
          <w:sz w:val="27"/>
        </w:rPr>
      </w:pPr>
    </w:p>
    <w:p>
      <w:pPr>
        <w:pStyle w:val="BodyText"/>
        <w:ind w:left="323" w:right="41"/>
      </w:pPr>
      <w:r>
        <w:rPr/>
        <w:t>The authors are grateful to Dr G. Hernández Padron for her    assistance in IR spectroscopy, to Dr</w:t>
      </w:r>
    </w:p>
    <w:p>
      <w:pPr>
        <w:pStyle w:val="ListParagraph"/>
        <w:numPr>
          <w:ilvl w:val="0"/>
          <w:numId w:val="19"/>
        </w:numPr>
        <w:tabs>
          <w:tab w:pos="367" w:val="left" w:leader="none"/>
        </w:tabs>
        <w:spacing w:line="360" w:lineRule="auto" w:before="129" w:after="0"/>
        <w:ind w:left="122" w:right="131" w:firstLine="0"/>
        <w:jc w:val="both"/>
        <w:rPr>
          <w:sz w:val="22"/>
        </w:rPr>
      </w:pPr>
      <w:r>
        <w:rPr>
          <w:sz w:val="22"/>
        </w:rPr>
        <w:t>J. Jiménez Sandoval for Raman facilities at CINVESTAV and F. Rodríguez Melgarejo for his technical assistance. We also appreciate the support of O. Davalos Montoya for her help in DSC analyses, A. L. Rodríguez Villanueva for her assistance in WAXD measurements and F. Ureña- Nuñez for his help in TGA measurements. We are also grateful to R. Preza for his technical assistance. PhD student F. Navarro-Pardo is thankful to CONACYT for grant No. 213733 and to Universidad Autonóma del Estado de México for the use of</w:t>
      </w:r>
      <w:r>
        <w:rPr>
          <w:spacing w:val="-20"/>
          <w:sz w:val="22"/>
        </w:rPr>
        <w:t> </w:t>
      </w:r>
      <w:r>
        <w:rPr>
          <w:sz w:val="22"/>
        </w:rPr>
        <w:t>facilities.</w:t>
      </w:r>
    </w:p>
    <w:p>
      <w:pPr>
        <w:pStyle w:val="BodyText"/>
      </w:pPr>
    </w:p>
    <w:p>
      <w:pPr>
        <w:pStyle w:val="Heading4"/>
        <w:ind w:right="41"/>
      </w:pPr>
      <w:r>
        <w:rPr/>
        <w:t>REFERENCES</w:t>
      </w:r>
    </w:p>
    <w:p>
      <w:pPr>
        <w:pStyle w:val="ListParagraph"/>
        <w:numPr>
          <w:ilvl w:val="1"/>
          <w:numId w:val="19"/>
        </w:numPr>
        <w:tabs>
          <w:tab w:pos="406" w:val="left" w:leader="none"/>
        </w:tabs>
        <w:spacing w:line="240" w:lineRule="auto" w:before="122" w:after="0"/>
        <w:ind w:left="405" w:right="0" w:hanging="283"/>
        <w:jc w:val="left"/>
        <w:rPr>
          <w:sz w:val="22"/>
        </w:rPr>
      </w:pPr>
      <w:r>
        <w:rPr>
          <w:sz w:val="22"/>
        </w:rPr>
        <w:t>Park,</w:t>
      </w:r>
      <w:r>
        <w:rPr>
          <w:spacing w:val="12"/>
          <w:sz w:val="22"/>
        </w:rPr>
        <w:t> </w:t>
      </w:r>
      <w:r>
        <w:rPr>
          <w:sz w:val="22"/>
        </w:rPr>
        <w:t>S.;</w:t>
      </w:r>
      <w:r>
        <w:rPr>
          <w:spacing w:val="13"/>
          <w:sz w:val="22"/>
        </w:rPr>
        <w:t> </w:t>
      </w:r>
      <w:r>
        <w:rPr>
          <w:sz w:val="22"/>
        </w:rPr>
        <w:t>An,</w:t>
      </w:r>
      <w:r>
        <w:rPr>
          <w:spacing w:val="7"/>
          <w:sz w:val="22"/>
        </w:rPr>
        <w:t> </w:t>
      </w:r>
      <w:r>
        <w:rPr>
          <w:sz w:val="22"/>
        </w:rPr>
        <w:t>J.;</w:t>
      </w:r>
      <w:r>
        <w:rPr>
          <w:spacing w:val="13"/>
          <w:sz w:val="22"/>
        </w:rPr>
        <w:t> </w:t>
      </w:r>
      <w:r>
        <w:rPr>
          <w:sz w:val="22"/>
        </w:rPr>
        <w:t>Piner,</w:t>
      </w:r>
      <w:r>
        <w:rPr>
          <w:spacing w:val="12"/>
          <w:sz w:val="22"/>
        </w:rPr>
        <w:t> </w:t>
      </w:r>
      <w:r>
        <w:rPr>
          <w:sz w:val="22"/>
        </w:rPr>
        <w:t>R.</w:t>
      </w:r>
      <w:r>
        <w:rPr>
          <w:spacing w:val="9"/>
          <w:sz w:val="22"/>
        </w:rPr>
        <w:t> </w:t>
      </w:r>
      <w:r>
        <w:rPr>
          <w:sz w:val="22"/>
        </w:rPr>
        <w:t>D.;</w:t>
      </w:r>
      <w:r>
        <w:rPr>
          <w:spacing w:val="10"/>
          <w:sz w:val="22"/>
        </w:rPr>
        <w:t> </w:t>
      </w:r>
      <w:r>
        <w:rPr>
          <w:sz w:val="22"/>
        </w:rPr>
        <w:t>Jung,</w:t>
      </w:r>
      <w:r>
        <w:rPr>
          <w:spacing w:val="12"/>
          <w:sz w:val="22"/>
        </w:rPr>
        <w:t> </w:t>
      </w:r>
      <w:r>
        <w:rPr>
          <w:sz w:val="22"/>
        </w:rPr>
        <w:t>I.;</w:t>
      </w:r>
      <w:r>
        <w:rPr>
          <w:spacing w:val="13"/>
          <w:sz w:val="22"/>
        </w:rPr>
        <w:t> </w:t>
      </w:r>
      <w:r>
        <w:rPr>
          <w:sz w:val="22"/>
        </w:rPr>
        <w:t>Yang,</w:t>
      </w:r>
      <w:r>
        <w:rPr>
          <w:spacing w:val="12"/>
          <w:sz w:val="22"/>
        </w:rPr>
        <w:t> </w:t>
      </w:r>
      <w:r>
        <w:rPr>
          <w:sz w:val="22"/>
        </w:rPr>
        <w:t>D.;</w:t>
      </w:r>
      <w:r>
        <w:rPr>
          <w:spacing w:val="10"/>
          <w:sz w:val="22"/>
        </w:rPr>
        <w:t> </w:t>
      </w:r>
      <w:r>
        <w:rPr>
          <w:sz w:val="22"/>
        </w:rPr>
        <w:t>Velamakanni,</w:t>
      </w:r>
      <w:r>
        <w:rPr>
          <w:spacing w:val="12"/>
          <w:sz w:val="22"/>
        </w:rPr>
        <w:t> </w:t>
      </w:r>
      <w:r>
        <w:rPr>
          <w:sz w:val="22"/>
        </w:rPr>
        <w:t>A.;</w:t>
      </w:r>
      <w:r>
        <w:rPr>
          <w:spacing w:val="11"/>
          <w:sz w:val="22"/>
        </w:rPr>
        <w:t> </w:t>
      </w:r>
      <w:r>
        <w:rPr>
          <w:sz w:val="22"/>
        </w:rPr>
        <w:t>Nguyen,</w:t>
      </w:r>
      <w:r>
        <w:rPr>
          <w:spacing w:val="12"/>
          <w:sz w:val="22"/>
        </w:rPr>
        <w:t> </w:t>
      </w:r>
      <w:r>
        <w:rPr>
          <w:sz w:val="22"/>
        </w:rPr>
        <w:t>S.</w:t>
      </w:r>
      <w:r>
        <w:rPr>
          <w:spacing w:val="12"/>
          <w:sz w:val="22"/>
        </w:rPr>
        <w:t> </w:t>
      </w:r>
      <w:r>
        <w:rPr>
          <w:sz w:val="22"/>
        </w:rPr>
        <w:t>T.;</w:t>
      </w:r>
      <w:r>
        <w:rPr>
          <w:spacing w:val="13"/>
          <w:sz w:val="22"/>
        </w:rPr>
        <w:t> </w:t>
      </w:r>
      <w:r>
        <w:rPr>
          <w:sz w:val="22"/>
        </w:rPr>
        <w:t>Ruoff,</w:t>
      </w:r>
      <w:r>
        <w:rPr>
          <w:spacing w:val="12"/>
          <w:sz w:val="22"/>
        </w:rPr>
        <w:t> </w:t>
      </w:r>
      <w:r>
        <w:rPr>
          <w:sz w:val="22"/>
        </w:rPr>
        <w:t>R.</w:t>
      </w:r>
      <w:r>
        <w:rPr>
          <w:spacing w:val="9"/>
          <w:sz w:val="22"/>
        </w:rPr>
        <w:t> </w:t>
      </w:r>
      <w:r>
        <w:rPr>
          <w:sz w:val="22"/>
        </w:rPr>
        <w:t>S.</w:t>
      </w:r>
    </w:p>
    <w:p>
      <w:pPr>
        <w:spacing w:before="128"/>
        <w:ind w:left="405" w:right="41" w:firstLine="0"/>
        <w:jc w:val="left"/>
        <w:rPr>
          <w:sz w:val="22"/>
        </w:rPr>
      </w:pPr>
      <w:r>
        <w:rPr>
          <w:i/>
          <w:sz w:val="22"/>
        </w:rPr>
        <w:t>Chem. Mater. </w:t>
      </w:r>
      <w:r>
        <w:rPr>
          <w:b/>
          <w:sz w:val="22"/>
        </w:rPr>
        <w:t>2008</w:t>
      </w:r>
      <w:r>
        <w:rPr>
          <w:sz w:val="22"/>
        </w:rPr>
        <w:t>, 20(21), 6592-6594.</w:t>
      </w:r>
    </w:p>
    <w:p>
      <w:pPr>
        <w:pStyle w:val="ListParagraph"/>
        <w:numPr>
          <w:ilvl w:val="1"/>
          <w:numId w:val="19"/>
        </w:numPr>
        <w:tabs>
          <w:tab w:pos="406" w:val="left" w:leader="none"/>
        </w:tabs>
        <w:spacing w:line="360" w:lineRule="auto" w:before="126" w:after="0"/>
        <w:ind w:left="405" w:right="136" w:hanging="283"/>
        <w:jc w:val="left"/>
        <w:rPr>
          <w:sz w:val="22"/>
        </w:rPr>
      </w:pPr>
      <w:r>
        <w:rPr>
          <w:sz w:val="22"/>
        </w:rPr>
        <w:t>Shen, X.; Jiang, L.; Ji, Z.; Wu, J.; Zhou, H.; Zhu, G</w:t>
      </w:r>
      <w:r>
        <w:rPr>
          <w:i/>
          <w:sz w:val="22"/>
        </w:rPr>
        <w:t>. J. Colloid Interface Sci. </w:t>
      </w:r>
      <w:r>
        <w:rPr>
          <w:b/>
          <w:sz w:val="22"/>
        </w:rPr>
        <w:t>2011</w:t>
      </w:r>
      <w:r>
        <w:rPr>
          <w:sz w:val="22"/>
        </w:rPr>
        <w:t>, 354(2), 493- 497.</w:t>
      </w:r>
    </w:p>
    <w:p>
      <w:pPr>
        <w:pStyle w:val="ListParagraph"/>
        <w:numPr>
          <w:ilvl w:val="1"/>
          <w:numId w:val="19"/>
        </w:numPr>
        <w:tabs>
          <w:tab w:pos="406" w:val="left" w:leader="none"/>
        </w:tabs>
        <w:spacing w:line="360" w:lineRule="auto" w:before="4" w:after="0"/>
        <w:ind w:left="405" w:right="141" w:hanging="283"/>
        <w:jc w:val="left"/>
        <w:rPr>
          <w:sz w:val="22"/>
        </w:rPr>
      </w:pPr>
      <w:r>
        <w:rPr>
          <w:sz w:val="22"/>
        </w:rPr>
        <w:t>Datsyuk, V.; Kalyva, M.: Papagelis, K.; Parthenios, J.; Tasis, D.; Siokou, A.; Kallitsis, I.; Galiotis, C. </w:t>
      </w:r>
      <w:r>
        <w:rPr>
          <w:i/>
          <w:sz w:val="22"/>
        </w:rPr>
        <w:t>Carbon </w:t>
      </w:r>
      <w:r>
        <w:rPr>
          <w:b/>
          <w:sz w:val="22"/>
        </w:rPr>
        <w:t>2008</w:t>
      </w:r>
      <w:r>
        <w:rPr>
          <w:sz w:val="22"/>
        </w:rPr>
        <w:t>, 46(6),</w:t>
      </w:r>
      <w:r>
        <w:rPr>
          <w:spacing w:val="-9"/>
          <w:sz w:val="22"/>
        </w:rPr>
        <w:t> </w:t>
      </w:r>
      <w:r>
        <w:rPr>
          <w:sz w:val="22"/>
        </w:rPr>
        <w:t>833-840.</w:t>
      </w:r>
    </w:p>
    <w:p>
      <w:pPr>
        <w:pStyle w:val="ListParagraph"/>
        <w:numPr>
          <w:ilvl w:val="1"/>
          <w:numId w:val="19"/>
        </w:numPr>
        <w:tabs>
          <w:tab w:pos="406" w:val="left" w:leader="none"/>
        </w:tabs>
        <w:spacing w:line="360" w:lineRule="auto" w:before="4" w:after="0"/>
        <w:ind w:left="405" w:right="133" w:hanging="283"/>
        <w:jc w:val="left"/>
        <w:rPr>
          <w:sz w:val="22"/>
        </w:rPr>
      </w:pPr>
      <w:r>
        <w:rPr>
          <w:sz w:val="22"/>
        </w:rPr>
        <w:t>Guo, H. L.; Wang, X. F.; Qian, Q. Y.; Wang, F. B.; Xia, X. H. </w:t>
      </w:r>
      <w:r>
        <w:rPr>
          <w:i/>
          <w:sz w:val="22"/>
        </w:rPr>
        <w:t>ACS Nano </w:t>
      </w:r>
      <w:r>
        <w:rPr>
          <w:b/>
          <w:sz w:val="22"/>
        </w:rPr>
        <w:t>2009</w:t>
      </w:r>
      <w:r>
        <w:rPr>
          <w:sz w:val="22"/>
        </w:rPr>
        <w:t>, 3(9), 2653- 2659.</w:t>
      </w:r>
    </w:p>
    <w:p>
      <w:pPr>
        <w:pStyle w:val="BodyText"/>
        <w:spacing w:before="5"/>
        <w:ind w:left="122" w:right="41"/>
      </w:pPr>
      <w:r>
        <w:rPr/>
        <w:t>5.  Chen, W.; Yan, L.; Bangal, P. R. </w:t>
      </w:r>
      <w:r>
        <w:rPr>
          <w:i/>
        </w:rPr>
        <w:t>Carbon </w:t>
      </w:r>
      <w:r>
        <w:rPr>
          <w:b/>
        </w:rPr>
        <w:t>2010</w:t>
      </w:r>
      <w:r>
        <w:rPr/>
        <w:t>, 48(4), 1146-1152.</w:t>
      </w:r>
    </w:p>
    <w:p>
      <w:pPr>
        <w:pStyle w:val="ListParagraph"/>
        <w:numPr>
          <w:ilvl w:val="0"/>
          <w:numId w:val="20"/>
        </w:numPr>
        <w:tabs>
          <w:tab w:pos="406" w:val="left" w:leader="none"/>
        </w:tabs>
        <w:spacing w:line="362" w:lineRule="auto" w:before="126" w:after="0"/>
        <w:ind w:left="405" w:right="133" w:hanging="283"/>
        <w:jc w:val="left"/>
        <w:rPr>
          <w:sz w:val="22"/>
        </w:rPr>
      </w:pPr>
      <w:r>
        <w:rPr>
          <w:sz w:val="22"/>
        </w:rPr>
        <w:t>Martínez-Hernández, A. L.; Velasco-Santos, C.; Castaño, V. M. </w:t>
      </w:r>
      <w:r>
        <w:rPr>
          <w:i/>
          <w:sz w:val="22"/>
        </w:rPr>
        <w:t>Curr. Nanosc. </w:t>
      </w:r>
      <w:r>
        <w:rPr>
          <w:b/>
          <w:sz w:val="22"/>
        </w:rPr>
        <w:t>2010</w:t>
      </w:r>
      <w:r>
        <w:rPr>
          <w:sz w:val="22"/>
        </w:rPr>
        <w:t>, 6(1), 12- 39.</w:t>
      </w:r>
    </w:p>
    <w:p>
      <w:pPr>
        <w:pStyle w:val="ListParagraph"/>
        <w:numPr>
          <w:ilvl w:val="0"/>
          <w:numId w:val="20"/>
        </w:numPr>
        <w:tabs>
          <w:tab w:pos="406" w:val="left" w:leader="none"/>
        </w:tabs>
        <w:spacing w:line="360" w:lineRule="auto" w:before="2" w:after="0"/>
        <w:ind w:left="405" w:right="133" w:hanging="283"/>
        <w:jc w:val="both"/>
        <w:rPr>
          <w:sz w:val="22"/>
        </w:rPr>
      </w:pPr>
      <w:r>
        <w:rPr>
          <w:sz w:val="22"/>
        </w:rPr>
        <w:t>Navarro-Pardo, F.; Martínez-Barrera, G.; Martínez-Hernández, A. L.; Castaño, V. M.; Rivera- Armenta, J. L.; Medellín-Rodríguez, F.; Velasco-Santos, C. </w:t>
      </w:r>
      <w:r>
        <w:rPr>
          <w:i/>
          <w:sz w:val="22"/>
        </w:rPr>
        <w:t>IOP Conf. Series: Mat. Sci. Eng. </w:t>
      </w:r>
      <w:r>
        <w:rPr>
          <w:b/>
          <w:sz w:val="22"/>
        </w:rPr>
        <w:t>2012</w:t>
      </w:r>
      <w:r>
        <w:rPr>
          <w:sz w:val="22"/>
        </w:rPr>
        <w:t>, 40,</w:t>
      </w:r>
      <w:r>
        <w:rPr>
          <w:spacing w:val="1"/>
          <w:sz w:val="22"/>
        </w:rPr>
        <w:t> </w:t>
      </w:r>
      <w:r>
        <w:rPr>
          <w:sz w:val="22"/>
        </w:rPr>
        <w:t>012023.</w:t>
      </w:r>
    </w:p>
    <w:p>
      <w:pPr>
        <w:pStyle w:val="ListParagraph"/>
        <w:numPr>
          <w:ilvl w:val="0"/>
          <w:numId w:val="20"/>
        </w:numPr>
        <w:tabs>
          <w:tab w:pos="406" w:val="left" w:leader="none"/>
        </w:tabs>
        <w:spacing w:line="360" w:lineRule="auto" w:before="4" w:after="0"/>
        <w:ind w:left="405" w:right="136" w:hanging="283"/>
        <w:jc w:val="left"/>
        <w:rPr>
          <w:sz w:val="22"/>
        </w:rPr>
      </w:pPr>
      <w:r>
        <w:rPr>
          <w:sz w:val="22"/>
        </w:rPr>
        <w:t>Rong, C.; Ma, G.; Zhang, S.; Song, L.; Chen, Z.; Wang, G.; Ajayan, P. M. </w:t>
      </w:r>
      <w:r>
        <w:rPr>
          <w:i/>
          <w:sz w:val="22"/>
        </w:rPr>
        <w:t>Composites Sci. </w:t>
      </w:r>
      <w:r>
        <w:rPr>
          <w:i/>
          <w:sz w:val="22"/>
        </w:rPr>
        <w:t>Technol. </w:t>
      </w:r>
      <w:r>
        <w:rPr>
          <w:b/>
          <w:sz w:val="22"/>
        </w:rPr>
        <w:t>2010</w:t>
      </w:r>
      <w:r>
        <w:rPr>
          <w:sz w:val="22"/>
        </w:rPr>
        <w:t>, 70(2),</w:t>
      </w:r>
      <w:r>
        <w:rPr>
          <w:spacing w:val="-3"/>
          <w:sz w:val="22"/>
        </w:rPr>
        <w:t> </w:t>
      </w:r>
      <w:r>
        <w:rPr>
          <w:sz w:val="22"/>
        </w:rPr>
        <w:t>380-386.</w:t>
      </w:r>
    </w:p>
    <w:p>
      <w:pPr>
        <w:spacing w:after="0" w:line="360" w:lineRule="auto"/>
        <w:jc w:val="left"/>
        <w:rPr>
          <w:sz w:val="22"/>
        </w:rPr>
        <w:sectPr>
          <w:pgSz w:w="12240" w:h="15840"/>
          <w:pgMar w:header="730" w:footer="1060" w:top="1160" w:bottom="1260" w:left="1580" w:right="1560"/>
        </w:sectPr>
      </w:pPr>
    </w:p>
    <w:p>
      <w:pPr>
        <w:pStyle w:val="BodyText"/>
        <w:rPr>
          <w:sz w:val="14"/>
        </w:rPr>
      </w:pPr>
    </w:p>
    <w:p>
      <w:pPr>
        <w:pStyle w:val="ListParagraph"/>
        <w:numPr>
          <w:ilvl w:val="0"/>
          <w:numId w:val="20"/>
        </w:numPr>
        <w:tabs>
          <w:tab w:pos="406" w:val="left" w:leader="none"/>
        </w:tabs>
        <w:spacing w:line="362" w:lineRule="auto" w:before="73" w:after="0"/>
        <w:ind w:left="405" w:right="135" w:hanging="283"/>
        <w:jc w:val="left"/>
        <w:rPr>
          <w:sz w:val="22"/>
        </w:rPr>
      </w:pPr>
      <w:r>
        <w:rPr>
          <w:sz w:val="22"/>
        </w:rPr>
        <w:t>Chen, X.; Chen, X.; Lin, M.; Zhong, W.; Chen, X.; Chen, Z. </w:t>
      </w:r>
      <w:r>
        <w:rPr>
          <w:i/>
          <w:sz w:val="22"/>
        </w:rPr>
        <w:t>Macromol. Chem. Phys. </w:t>
      </w:r>
      <w:r>
        <w:rPr>
          <w:b/>
          <w:sz w:val="22"/>
        </w:rPr>
        <w:t>2007</w:t>
      </w:r>
      <w:r>
        <w:rPr>
          <w:sz w:val="22"/>
        </w:rPr>
        <w:t>, 208(9),</w:t>
      </w:r>
      <w:r>
        <w:rPr>
          <w:spacing w:val="-2"/>
          <w:sz w:val="22"/>
        </w:rPr>
        <w:t> </w:t>
      </w:r>
      <w:r>
        <w:rPr>
          <w:sz w:val="22"/>
        </w:rPr>
        <w:t>964-972.</w:t>
      </w:r>
    </w:p>
    <w:p>
      <w:pPr>
        <w:pStyle w:val="ListParagraph"/>
        <w:numPr>
          <w:ilvl w:val="0"/>
          <w:numId w:val="20"/>
        </w:numPr>
        <w:tabs>
          <w:tab w:pos="406" w:val="left" w:leader="none"/>
        </w:tabs>
        <w:spacing w:line="240" w:lineRule="auto" w:before="2" w:after="0"/>
        <w:ind w:left="405" w:right="0" w:hanging="283"/>
        <w:jc w:val="left"/>
        <w:rPr>
          <w:i/>
          <w:sz w:val="22"/>
        </w:rPr>
      </w:pPr>
      <w:r>
        <w:rPr>
          <w:sz w:val="22"/>
        </w:rPr>
        <w:t>Mago,</w:t>
      </w:r>
      <w:r>
        <w:rPr>
          <w:spacing w:val="15"/>
          <w:sz w:val="22"/>
        </w:rPr>
        <w:t> </w:t>
      </w:r>
      <w:r>
        <w:rPr>
          <w:sz w:val="22"/>
        </w:rPr>
        <w:t>G.;</w:t>
      </w:r>
      <w:r>
        <w:rPr>
          <w:spacing w:val="16"/>
          <w:sz w:val="22"/>
        </w:rPr>
        <w:t> </w:t>
      </w:r>
      <w:r>
        <w:rPr>
          <w:sz w:val="22"/>
        </w:rPr>
        <w:t>Velasco-Santos,</w:t>
      </w:r>
      <w:r>
        <w:rPr>
          <w:spacing w:val="13"/>
          <w:sz w:val="22"/>
        </w:rPr>
        <w:t> </w:t>
      </w:r>
      <w:r>
        <w:rPr>
          <w:sz w:val="22"/>
        </w:rPr>
        <w:t>C.;</w:t>
      </w:r>
      <w:r>
        <w:rPr>
          <w:spacing w:val="16"/>
          <w:sz w:val="22"/>
        </w:rPr>
        <w:t> </w:t>
      </w:r>
      <w:r>
        <w:rPr>
          <w:sz w:val="22"/>
        </w:rPr>
        <w:t>Martinez-Hernandez,</w:t>
      </w:r>
      <w:r>
        <w:rPr>
          <w:spacing w:val="15"/>
          <w:sz w:val="22"/>
        </w:rPr>
        <w:t> </w:t>
      </w:r>
      <w:r>
        <w:rPr>
          <w:sz w:val="22"/>
        </w:rPr>
        <w:t>A.</w:t>
      </w:r>
      <w:r>
        <w:rPr>
          <w:spacing w:val="15"/>
          <w:sz w:val="22"/>
        </w:rPr>
        <w:t> </w:t>
      </w:r>
      <w:r>
        <w:rPr>
          <w:sz w:val="22"/>
        </w:rPr>
        <w:t>L.;</w:t>
      </w:r>
      <w:r>
        <w:rPr>
          <w:spacing w:val="16"/>
          <w:sz w:val="22"/>
        </w:rPr>
        <w:t> </w:t>
      </w:r>
      <w:r>
        <w:rPr>
          <w:sz w:val="22"/>
        </w:rPr>
        <w:t>Kalyon</w:t>
      </w:r>
      <w:r>
        <w:rPr>
          <w:spacing w:val="15"/>
          <w:sz w:val="22"/>
        </w:rPr>
        <w:t> </w:t>
      </w:r>
      <w:r>
        <w:rPr>
          <w:sz w:val="22"/>
        </w:rPr>
        <w:t>D.</w:t>
      </w:r>
      <w:r>
        <w:rPr>
          <w:spacing w:val="15"/>
          <w:sz w:val="22"/>
        </w:rPr>
        <w:t> </w:t>
      </w:r>
      <w:r>
        <w:rPr>
          <w:sz w:val="22"/>
        </w:rPr>
        <w:t>M.;</w:t>
      </w:r>
      <w:r>
        <w:rPr>
          <w:spacing w:val="14"/>
          <w:sz w:val="22"/>
        </w:rPr>
        <w:t> </w:t>
      </w:r>
      <w:r>
        <w:rPr>
          <w:sz w:val="22"/>
        </w:rPr>
        <w:t>Tisher,</w:t>
      </w:r>
      <w:r>
        <w:rPr>
          <w:spacing w:val="15"/>
          <w:sz w:val="22"/>
        </w:rPr>
        <w:t> </w:t>
      </w:r>
      <w:r>
        <w:rPr>
          <w:sz w:val="22"/>
        </w:rPr>
        <w:t>F.</w:t>
      </w:r>
      <w:r>
        <w:rPr>
          <w:spacing w:val="13"/>
          <w:sz w:val="22"/>
        </w:rPr>
        <w:t> </w:t>
      </w:r>
      <w:r>
        <w:rPr>
          <w:sz w:val="22"/>
        </w:rPr>
        <w:t>T.</w:t>
      </w:r>
      <w:r>
        <w:rPr>
          <w:spacing w:val="18"/>
          <w:sz w:val="22"/>
        </w:rPr>
        <w:t> </w:t>
      </w:r>
      <w:r>
        <w:rPr>
          <w:i/>
          <w:sz w:val="22"/>
        </w:rPr>
        <w:t>Mater.</w:t>
      </w:r>
    </w:p>
    <w:p>
      <w:pPr>
        <w:spacing w:before="126"/>
        <w:ind w:left="405" w:right="41" w:firstLine="0"/>
        <w:jc w:val="left"/>
        <w:rPr>
          <w:sz w:val="22"/>
        </w:rPr>
      </w:pPr>
      <w:r>
        <w:rPr>
          <w:i/>
          <w:sz w:val="22"/>
        </w:rPr>
        <w:t>Res. Soc. Symp. Proc. </w:t>
      </w:r>
      <w:r>
        <w:rPr>
          <w:b/>
          <w:sz w:val="22"/>
        </w:rPr>
        <w:t>2008</w:t>
      </w:r>
      <w:r>
        <w:rPr>
          <w:sz w:val="22"/>
        </w:rPr>
        <w:t>, 1056, 295-300.</w:t>
      </w:r>
    </w:p>
    <w:p>
      <w:pPr>
        <w:pStyle w:val="ListParagraph"/>
        <w:numPr>
          <w:ilvl w:val="0"/>
          <w:numId w:val="20"/>
        </w:numPr>
        <w:tabs>
          <w:tab w:pos="406" w:val="left" w:leader="none"/>
        </w:tabs>
        <w:spacing w:line="240" w:lineRule="auto" w:before="126" w:after="0"/>
        <w:ind w:left="405" w:right="0" w:hanging="283"/>
        <w:jc w:val="left"/>
        <w:rPr>
          <w:sz w:val="22"/>
        </w:rPr>
      </w:pPr>
      <w:r>
        <w:rPr>
          <w:sz w:val="22"/>
        </w:rPr>
        <w:t>Song, P.; Cao, Z.; Cai, Y.; Zhao, L.; Fang, Z.; Fu, S. </w:t>
      </w:r>
      <w:r>
        <w:rPr>
          <w:i/>
          <w:sz w:val="22"/>
        </w:rPr>
        <w:t>Polymer </w:t>
      </w:r>
      <w:r>
        <w:rPr>
          <w:b/>
          <w:sz w:val="22"/>
        </w:rPr>
        <w:t>2011</w:t>
      </w:r>
      <w:r>
        <w:rPr>
          <w:sz w:val="22"/>
        </w:rPr>
        <w:t>,  52,</w:t>
      </w:r>
      <w:r>
        <w:rPr>
          <w:spacing w:val="-11"/>
          <w:sz w:val="22"/>
        </w:rPr>
        <w:t> </w:t>
      </w:r>
      <w:r>
        <w:rPr>
          <w:sz w:val="22"/>
        </w:rPr>
        <w:t>40001-4010.</w:t>
      </w:r>
    </w:p>
    <w:p>
      <w:pPr>
        <w:pStyle w:val="ListParagraph"/>
        <w:numPr>
          <w:ilvl w:val="0"/>
          <w:numId w:val="20"/>
        </w:numPr>
        <w:tabs>
          <w:tab w:pos="406" w:val="left" w:leader="none"/>
        </w:tabs>
        <w:spacing w:line="360" w:lineRule="auto" w:before="126" w:after="0"/>
        <w:ind w:left="405" w:right="135" w:hanging="283"/>
        <w:jc w:val="left"/>
        <w:rPr>
          <w:sz w:val="22"/>
        </w:rPr>
      </w:pPr>
      <w:r>
        <w:rPr>
          <w:sz w:val="22"/>
        </w:rPr>
        <w:t>Shen, J.; Yan B.; Shi M.; Ma H.; Li, N.; Hu, Y.; Ye, M. </w:t>
      </w:r>
      <w:r>
        <w:rPr>
          <w:i/>
          <w:sz w:val="22"/>
        </w:rPr>
        <w:t>J. Colloid Interface Sci. </w:t>
      </w:r>
      <w:r>
        <w:rPr>
          <w:b/>
          <w:sz w:val="22"/>
        </w:rPr>
        <w:t>2011</w:t>
      </w:r>
      <w:r>
        <w:rPr>
          <w:sz w:val="22"/>
        </w:rPr>
        <w:t>, 356, 543– 549.</w:t>
      </w:r>
    </w:p>
    <w:p>
      <w:pPr>
        <w:pStyle w:val="ListParagraph"/>
        <w:numPr>
          <w:ilvl w:val="0"/>
          <w:numId w:val="20"/>
        </w:numPr>
        <w:tabs>
          <w:tab w:pos="406" w:val="left" w:leader="none"/>
        </w:tabs>
        <w:spacing w:line="360" w:lineRule="auto" w:before="4" w:after="0"/>
        <w:ind w:left="405" w:right="135" w:hanging="283"/>
        <w:jc w:val="left"/>
        <w:rPr>
          <w:sz w:val="22"/>
        </w:rPr>
      </w:pPr>
      <w:r>
        <w:rPr>
          <w:sz w:val="22"/>
        </w:rPr>
        <w:t>Shen, J.; Shi, M.; Yan, B.; Ma, H.; Li, N.; Hu, Y.; Mingxin, Ye. </w:t>
      </w:r>
      <w:r>
        <w:rPr>
          <w:i/>
          <w:sz w:val="22"/>
        </w:rPr>
        <w:t>Colloid Surface B </w:t>
      </w:r>
      <w:r>
        <w:rPr>
          <w:b/>
          <w:sz w:val="22"/>
        </w:rPr>
        <w:t>2010</w:t>
      </w:r>
      <w:r>
        <w:rPr>
          <w:sz w:val="22"/>
        </w:rPr>
        <w:t>, 81(2), 434-438.</w:t>
      </w:r>
    </w:p>
    <w:p>
      <w:pPr>
        <w:pStyle w:val="ListParagraph"/>
        <w:numPr>
          <w:ilvl w:val="0"/>
          <w:numId w:val="20"/>
        </w:numPr>
        <w:tabs>
          <w:tab w:pos="406" w:val="left" w:leader="none"/>
        </w:tabs>
        <w:spacing w:line="240" w:lineRule="auto" w:before="5" w:after="0"/>
        <w:ind w:left="405" w:right="0" w:hanging="283"/>
        <w:jc w:val="left"/>
        <w:rPr>
          <w:sz w:val="22"/>
        </w:rPr>
      </w:pPr>
      <w:r>
        <w:rPr>
          <w:sz w:val="22"/>
        </w:rPr>
        <w:t>Seredych, M.; Rossin, J. A.; Bandosz, T. J. </w:t>
      </w:r>
      <w:r>
        <w:rPr>
          <w:i/>
          <w:sz w:val="22"/>
        </w:rPr>
        <w:t>Carbon </w:t>
      </w:r>
      <w:r>
        <w:rPr>
          <w:b/>
          <w:sz w:val="22"/>
        </w:rPr>
        <w:t>2011</w:t>
      </w:r>
      <w:r>
        <w:rPr>
          <w:sz w:val="22"/>
        </w:rPr>
        <w:t>, 49(13),</w:t>
      </w:r>
      <w:r>
        <w:rPr>
          <w:spacing w:val="-13"/>
          <w:sz w:val="22"/>
        </w:rPr>
        <w:t> </w:t>
      </w:r>
      <w:r>
        <w:rPr>
          <w:sz w:val="22"/>
        </w:rPr>
        <w:t>4392-4402.</w:t>
      </w:r>
    </w:p>
    <w:p>
      <w:pPr>
        <w:pStyle w:val="ListParagraph"/>
        <w:numPr>
          <w:ilvl w:val="0"/>
          <w:numId w:val="20"/>
        </w:numPr>
        <w:tabs>
          <w:tab w:pos="406" w:val="left" w:leader="none"/>
        </w:tabs>
        <w:spacing w:line="360" w:lineRule="auto" w:before="128" w:after="0"/>
        <w:ind w:left="405" w:right="135" w:hanging="283"/>
        <w:jc w:val="left"/>
        <w:rPr>
          <w:sz w:val="22"/>
        </w:rPr>
      </w:pPr>
      <w:r>
        <w:rPr>
          <w:sz w:val="22"/>
        </w:rPr>
        <w:t>Bhattacharyya, A. R.; Pötschke, P.; Häußler, L.; Fischer, D. </w:t>
      </w:r>
      <w:r>
        <w:rPr>
          <w:i/>
          <w:sz w:val="22"/>
        </w:rPr>
        <w:t>Macromol. Chem. Phys. </w:t>
      </w:r>
      <w:r>
        <w:rPr>
          <w:sz w:val="22"/>
        </w:rPr>
        <w:t>2</w:t>
      </w:r>
      <w:r>
        <w:rPr>
          <w:b/>
          <w:sz w:val="22"/>
        </w:rPr>
        <w:t>005</w:t>
      </w:r>
      <w:r>
        <w:rPr>
          <w:sz w:val="22"/>
        </w:rPr>
        <w:t>, 206(20),</w:t>
      </w:r>
      <w:r>
        <w:rPr>
          <w:spacing w:val="-4"/>
          <w:sz w:val="22"/>
        </w:rPr>
        <w:t> </w:t>
      </w:r>
      <w:r>
        <w:rPr>
          <w:sz w:val="22"/>
        </w:rPr>
        <w:t>2084-2095.</w:t>
      </w:r>
    </w:p>
    <w:p>
      <w:pPr>
        <w:pStyle w:val="ListParagraph"/>
        <w:numPr>
          <w:ilvl w:val="0"/>
          <w:numId w:val="20"/>
        </w:numPr>
        <w:tabs>
          <w:tab w:pos="406" w:val="left" w:leader="none"/>
        </w:tabs>
        <w:spacing w:line="240" w:lineRule="auto" w:before="4" w:after="0"/>
        <w:ind w:left="405" w:right="0" w:hanging="283"/>
        <w:jc w:val="left"/>
        <w:rPr>
          <w:sz w:val="22"/>
        </w:rPr>
      </w:pPr>
      <w:r>
        <w:rPr>
          <w:sz w:val="22"/>
        </w:rPr>
        <w:t>Yun, Y. S.; Bae, Y. H.; Kim, D. H.; Lee, J. Y.; Chin,   I. J.;   Jin,      </w:t>
      </w:r>
      <w:r>
        <w:rPr>
          <w:spacing w:val="28"/>
          <w:sz w:val="22"/>
        </w:rPr>
        <w:t> </w:t>
      </w:r>
      <w:r>
        <w:rPr>
          <w:sz w:val="22"/>
        </w:rPr>
        <w:t>H. J.  </w:t>
      </w:r>
      <w:r>
        <w:rPr>
          <w:i/>
          <w:sz w:val="22"/>
        </w:rPr>
        <w:t>Carbon </w:t>
      </w:r>
      <w:r>
        <w:rPr>
          <w:b/>
          <w:sz w:val="22"/>
        </w:rPr>
        <w:t>2011</w:t>
      </w:r>
      <w:r>
        <w:rPr>
          <w:sz w:val="22"/>
        </w:rPr>
        <w:t>, 49(11),</w:t>
      </w:r>
    </w:p>
    <w:p>
      <w:pPr>
        <w:pStyle w:val="BodyText"/>
        <w:spacing w:before="126"/>
        <w:ind w:left="405" w:right="41"/>
      </w:pPr>
      <w:r>
        <w:rPr/>
        <w:t>3553-3559.</w:t>
      </w:r>
    </w:p>
    <w:p>
      <w:pPr>
        <w:pStyle w:val="ListParagraph"/>
        <w:numPr>
          <w:ilvl w:val="0"/>
          <w:numId w:val="20"/>
        </w:numPr>
        <w:tabs>
          <w:tab w:pos="406" w:val="left" w:leader="none"/>
        </w:tabs>
        <w:spacing w:line="240" w:lineRule="auto" w:before="126" w:after="0"/>
        <w:ind w:left="405" w:right="0" w:hanging="283"/>
        <w:jc w:val="left"/>
        <w:rPr>
          <w:sz w:val="22"/>
        </w:rPr>
      </w:pPr>
      <w:r>
        <w:rPr>
          <w:sz w:val="22"/>
        </w:rPr>
        <w:t>Lu, Y.; Zhang, Y.; Zhang, G.; Yang, M.; Yan, S.; Shen, D. </w:t>
      </w:r>
      <w:r>
        <w:rPr>
          <w:i/>
          <w:sz w:val="22"/>
        </w:rPr>
        <w:t>Polymer </w:t>
      </w:r>
      <w:r>
        <w:rPr>
          <w:b/>
          <w:sz w:val="22"/>
        </w:rPr>
        <w:t>2004 </w:t>
      </w:r>
      <w:r>
        <w:rPr>
          <w:sz w:val="22"/>
        </w:rPr>
        <w:t>45(26),</w:t>
      </w:r>
      <w:r>
        <w:rPr>
          <w:spacing w:val="-14"/>
          <w:sz w:val="22"/>
        </w:rPr>
        <w:t> </w:t>
      </w:r>
      <w:r>
        <w:rPr>
          <w:sz w:val="22"/>
        </w:rPr>
        <w:t>8999-9009.</w:t>
      </w:r>
    </w:p>
    <w:p>
      <w:pPr>
        <w:pStyle w:val="BodyText"/>
        <w:spacing w:before="126"/>
        <w:ind w:left="122" w:right="41"/>
      </w:pPr>
      <w:r>
        <w:rPr/>
        <w:t>18.Li, L.; Li, C. Y.; Ni, C.; Rong, L.; Hsiao, B. </w:t>
      </w:r>
      <w:r>
        <w:rPr>
          <w:i/>
        </w:rPr>
        <w:t>Polymer </w:t>
      </w:r>
      <w:r>
        <w:rPr>
          <w:b/>
        </w:rPr>
        <w:t>2007 </w:t>
      </w:r>
      <w:r>
        <w:rPr/>
        <w:t>48(12), 3452-3460.</w:t>
      </w:r>
    </w:p>
    <w:p>
      <w:pPr>
        <w:pStyle w:val="ListParagraph"/>
        <w:numPr>
          <w:ilvl w:val="0"/>
          <w:numId w:val="21"/>
        </w:numPr>
        <w:tabs>
          <w:tab w:pos="406" w:val="left" w:leader="none"/>
        </w:tabs>
        <w:spacing w:line="240" w:lineRule="auto" w:before="126" w:after="0"/>
        <w:ind w:left="122" w:right="0" w:firstLine="0"/>
        <w:jc w:val="left"/>
        <w:rPr>
          <w:i/>
          <w:sz w:val="22"/>
        </w:rPr>
      </w:pPr>
      <w:r>
        <w:rPr>
          <w:sz w:val="22"/>
        </w:rPr>
        <w:t>Xu, J. Z.; Chen, T.; Yang, C. L.; Li Z. M.; Mao Y. M.; Zeng B. Q.; Hsiao, B. S.</w:t>
      </w:r>
      <w:r>
        <w:rPr>
          <w:spacing w:val="2"/>
          <w:sz w:val="22"/>
        </w:rPr>
        <w:t> </w:t>
      </w:r>
      <w:r>
        <w:rPr>
          <w:i/>
          <w:sz w:val="22"/>
        </w:rPr>
        <w:t>Macromolecules</w:t>
      </w:r>
    </w:p>
    <w:p>
      <w:pPr>
        <w:pStyle w:val="BodyText"/>
        <w:spacing w:before="126"/>
        <w:ind w:left="405" w:right="41"/>
      </w:pPr>
      <w:r>
        <w:rPr>
          <w:b/>
        </w:rPr>
        <w:t>2010</w:t>
      </w:r>
      <w:r>
        <w:rPr/>
        <w:t>, 43(11), 5000-5008.</w:t>
      </w:r>
    </w:p>
    <w:p>
      <w:pPr>
        <w:pStyle w:val="ListParagraph"/>
        <w:numPr>
          <w:ilvl w:val="0"/>
          <w:numId w:val="21"/>
        </w:numPr>
        <w:tabs>
          <w:tab w:pos="406" w:val="left" w:leader="none"/>
        </w:tabs>
        <w:spacing w:line="240" w:lineRule="auto" w:before="126" w:after="0"/>
        <w:ind w:left="405" w:right="0" w:hanging="283"/>
        <w:jc w:val="left"/>
        <w:rPr>
          <w:i/>
          <w:sz w:val="22"/>
        </w:rPr>
      </w:pPr>
      <w:r>
        <w:rPr>
          <w:sz w:val="22"/>
        </w:rPr>
        <w:t>Lamastra, F. R.; Puglia, D.; Monti, M.; Vella, A.; Peponi, L.; Kenny, J. M.;       </w:t>
      </w:r>
      <w:r>
        <w:rPr>
          <w:spacing w:val="4"/>
          <w:sz w:val="22"/>
        </w:rPr>
        <w:t> </w:t>
      </w:r>
      <w:r>
        <w:rPr>
          <w:sz w:val="22"/>
        </w:rPr>
        <w:t>Nanni, F. </w:t>
      </w:r>
      <w:r>
        <w:rPr>
          <w:i/>
          <w:sz w:val="22"/>
        </w:rPr>
        <w:t>Chem.</w:t>
      </w:r>
    </w:p>
    <w:p>
      <w:pPr>
        <w:spacing w:before="128"/>
        <w:ind w:left="405" w:right="41" w:firstLine="0"/>
        <w:jc w:val="left"/>
        <w:rPr>
          <w:sz w:val="22"/>
        </w:rPr>
      </w:pPr>
      <w:r>
        <w:rPr>
          <w:i/>
          <w:sz w:val="22"/>
        </w:rPr>
        <w:t>Eng. J. </w:t>
      </w:r>
      <w:r>
        <w:rPr>
          <w:b/>
          <w:sz w:val="22"/>
        </w:rPr>
        <w:t>2012</w:t>
      </w:r>
      <w:r>
        <w:rPr>
          <w:sz w:val="22"/>
        </w:rPr>
        <w:t>, 195-196, 140-148.</w:t>
      </w:r>
    </w:p>
    <w:p>
      <w:pPr>
        <w:pStyle w:val="ListParagraph"/>
        <w:numPr>
          <w:ilvl w:val="0"/>
          <w:numId w:val="21"/>
        </w:numPr>
        <w:tabs>
          <w:tab w:pos="406" w:val="left" w:leader="none"/>
        </w:tabs>
        <w:spacing w:line="360" w:lineRule="auto" w:before="126" w:after="0"/>
        <w:ind w:left="122" w:right="1128" w:firstLine="0"/>
        <w:jc w:val="left"/>
        <w:rPr>
          <w:sz w:val="22"/>
        </w:rPr>
      </w:pPr>
      <w:r>
        <w:rPr>
          <w:sz w:val="22"/>
        </w:rPr>
        <w:t>Chatterjee, S.; Nüesch, F. A.; Chu, B. T. T. </w:t>
      </w:r>
      <w:r>
        <w:rPr>
          <w:i/>
          <w:sz w:val="22"/>
        </w:rPr>
        <w:t>Chem. Phys. Lett. </w:t>
      </w:r>
      <w:r>
        <w:rPr>
          <w:b/>
          <w:sz w:val="22"/>
        </w:rPr>
        <w:t>2013 </w:t>
      </w:r>
      <w:r>
        <w:rPr>
          <w:sz w:val="22"/>
        </w:rPr>
        <w:t>557, 92-96. 22.Lin, D. J.; Chang, C. L.; Lee, C. K.; Cheng, L. P. </w:t>
      </w:r>
      <w:r>
        <w:rPr>
          <w:i/>
          <w:sz w:val="22"/>
        </w:rPr>
        <w:t>Eur. Polym. J. </w:t>
      </w:r>
      <w:r>
        <w:rPr>
          <w:b/>
          <w:sz w:val="22"/>
        </w:rPr>
        <w:t>2006 </w:t>
      </w:r>
      <w:r>
        <w:rPr>
          <w:sz w:val="22"/>
        </w:rPr>
        <w:t>42(2),</w:t>
      </w:r>
      <w:r>
        <w:rPr>
          <w:spacing w:val="-3"/>
          <w:sz w:val="22"/>
        </w:rPr>
        <w:t> </w:t>
      </w:r>
      <w:r>
        <w:rPr>
          <w:sz w:val="22"/>
        </w:rPr>
        <w:t>356-367.</w:t>
      </w:r>
    </w:p>
    <w:p>
      <w:pPr>
        <w:pStyle w:val="ListParagraph"/>
        <w:numPr>
          <w:ilvl w:val="0"/>
          <w:numId w:val="22"/>
        </w:numPr>
        <w:tabs>
          <w:tab w:pos="406" w:val="left" w:leader="none"/>
        </w:tabs>
        <w:spacing w:line="240" w:lineRule="auto" w:before="4" w:after="0"/>
        <w:ind w:left="405" w:right="0" w:hanging="283"/>
        <w:jc w:val="left"/>
        <w:rPr>
          <w:sz w:val="22"/>
        </w:rPr>
      </w:pPr>
      <w:r>
        <w:rPr>
          <w:sz w:val="22"/>
        </w:rPr>
        <w:t>Ferrari, A. C.; Robertson J. </w:t>
      </w:r>
      <w:r>
        <w:rPr>
          <w:i/>
          <w:sz w:val="22"/>
        </w:rPr>
        <w:t>Phys. Rev. B </w:t>
      </w:r>
      <w:r>
        <w:rPr>
          <w:b/>
          <w:sz w:val="22"/>
        </w:rPr>
        <w:t>2000 </w:t>
      </w:r>
      <w:r>
        <w:rPr>
          <w:sz w:val="22"/>
        </w:rPr>
        <w:t>61(20),</w:t>
      </w:r>
      <w:r>
        <w:rPr>
          <w:spacing w:val="-11"/>
          <w:sz w:val="22"/>
        </w:rPr>
        <w:t> </w:t>
      </w:r>
      <w:r>
        <w:rPr>
          <w:sz w:val="22"/>
        </w:rPr>
        <w:t>14095-14107.</w:t>
      </w:r>
    </w:p>
    <w:p>
      <w:pPr>
        <w:pStyle w:val="ListParagraph"/>
        <w:numPr>
          <w:ilvl w:val="0"/>
          <w:numId w:val="22"/>
        </w:numPr>
        <w:tabs>
          <w:tab w:pos="406" w:val="left" w:leader="none"/>
        </w:tabs>
        <w:spacing w:line="360" w:lineRule="auto" w:before="126" w:after="0"/>
        <w:ind w:left="405" w:right="138" w:hanging="283"/>
        <w:jc w:val="left"/>
        <w:rPr>
          <w:sz w:val="22"/>
        </w:rPr>
      </w:pPr>
      <w:r>
        <w:rPr>
          <w:sz w:val="22"/>
        </w:rPr>
        <w:t>Coates, J. In </w:t>
      </w:r>
      <w:r>
        <w:rPr>
          <w:i/>
          <w:sz w:val="22"/>
        </w:rPr>
        <w:t>Encyclopedia of Analytical Chemistry</w:t>
      </w:r>
      <w:r>
        <w:rPr>
          <w:sz w:val="22"/>
        </w:rPr>
        <w:t>; Meyers R. A. Ed.; John Wiley &amp; Sons: New York, </w:t>
      </w:r>
      <w:r>
        <w:rPr>
          <w:b/>
          <w:sz w:val="22"/>
        </w:rPr>
        <w:t>2000</w:t>
      </w:r>
      <w:r>
        <w:rPr>
          <w:sz w:val="22"/>
        </w:rPr>
        <w:t>; p.</w:t>
      </w:r>
      <w:r>
        <w:rPr>
          <w:spacing w:val="-2"/>
          <w:sz w:val="22"/>
        </w:rPr>
        <w:t> </w:t>
      </w:r>
      <w:r>
        <w:rPr>
          <w:sz w:val="22"/>
        </w:rPr>
        <w:t>23.</w:t>
      </w:r>
    </w:p>
    <w:p>
      <w:pPr>
        <w:pStyle w:val="ListParagraph"/>
        <w:numPr>
          <w:ilvl w:val="0"/>
          <w:numId w:val="22"/>
        </w:numPr>
        <w:tabs>
          <w:tab w:pos="406" w:val="left" w:leader="none"/>
        </w:tabs>
        <w:spacing w:line="360" w:lineRule="auto" w:before="5" w:after="0"/>
        <w:ind w:left="405" w:right="133" w:hanging="283"/>
        <w:jc w:val="left"/>
        <w:rPr>
          <w:sz w:val="22"/>
        </w:rPr>
      </w:pPr>
      <w:r>
        <w:rPr>
          <w:sz w:val="22"/>
        </w:rPr>
        <w:t>Guerrini, L. M.; Branciforti, M. C.; Canova, T.; Bretas R. E. S. </w:t>
      </w:r>
      <w:r>
        <w:rPr>
          <w:i/>
          <w:sz w:val="22"/>
        </w:rPr>
        <w:t>Mater. Res. </w:t>
      </w:r>
      <w:r>
        <w:rPr>
          <w:b/>
          <w:sz w:val="22"/>
        </w:rPr>
        <w:t>2009</w:t>
      </w:r>
      <w:r>
        <w:rPr>
          <w:sz w:val="22"/>
        </w:rPr>
        <w:t>, 12(2), 181- 190.</w:t>
      </w:r>
    </w:p>
    <w:p>
      <w:pPr>
        <w:pStyle w:val="ListParagraph"/>
        <w:numPr>
          <w:ilvl w:val="0"/>
          <w:numId w:val="22"/>
        </w:numPr>
        <w:tabs>
          <w:tab w:pos="406" w:val="left" w:leader="none"/>
        </w:tabs>
        <w:spacing w:line="362" w:lineRule="auto" w:before="4" w:after="0"/>
        <w:ind w:left="122" w:right="600" w:firstLine="0"/>
        <w:jc w:val="left"/>
        <w:rPr>
          <w:sz w:val="22"/>
        </w:rPr>
      </w:pPr>
      <w:r>
        <w:rPr>
          <w:sz w:val="22"/>
        </w:rPr>
        <w:t>Charles, J.; Ramkumaar, G. R.; Azhagiri, S.; Gunasekaran, S. E. </w:t>
      </w:r>
      <w:r>
        <w:rPr>
          <w:i/>
          <w:sz w:val="22"/>
        </w:rPr>
        <w:t>J. Chem. </w:t>
      </w:r>
      <w:r>
        <w:rPr>
          <w:b/>
          <w:sz w:val="22"/>
        </w:rPr>
        <w:t>2009</w:t>
      </w:r>
      <w:r>
        <w:rPr>
          <w:sz w:val="22"/>
        </w:rPr>
        <w:t>, 6(1), 23-33 27.Caamaño, C.; Grady, B.; Resasco, D.E. </w:t>
      </w:r>
      <w:r>
        <w:rPr>
          <w:i/>
          <w:sz w:val="22"/>
        </w:rPr>
        <w:t>Carbon </w:t>
      </w:r>
      <w:r>
        <w:rPr>
          <w:b/>
          <w:sz w:val="22"/>
        </w:rPr>
        <w:t>2012 </w:t>
      </w:r>
      <w:r>
        <w:rPr>
          <w:sz w:val="22"/>
        </w:rPr>
        <w:t>50 (10),</w:t>
      </w:r>
      <w:r>
        <w:rPr>
          <w:spacing w:val="-1"/>
          <w:sz w:val="22"/>
        </w:rPr>
        <w:t> </w:t>
      </w:r>
      <w:r>
        <w:rPr>
          <w:sz w:val="22"/>
        </w:rPr>
        <w:t>3694-3707.</w:t>
      </w:r>
    </w:p>
    <w:p>
      <w:pPr>
        <w:pStyle w:val="ListParagraph"/>
        <w:numPr>
          <w:ilvl w:val="0"/>
          <w:numId w:val="23"/>
        </w:numPr>
        <w:tabs>
          <w:tab w:pos="406" w:val="left" w:leader="none"/>
        </w:tabs>
        <w:spacing w:line="360" w:lineRule="auto" w:before="2" w:after="0"/>
        <w:ind w:left="405" w:right="140" w:hanging="283"/>
        <w:jc w:val="left"/>
        <w:rPr>
          <w:sz w:val="22"/>
        </w:rPr>
      </w:pPr>
      <w:r>
        <w:rPr>
          <w:sz w:val="22"/>
        </w:rPr>
        <w:t>Sandler, J. K. W.; Pegel,, S.; Cadek, M.; Gojny, F.; Van Es, M.; Lohmar, J.; Blau, W. J.:  Schulte, K.: Windle, A. H.: Shaffer, M. S. P. </w:t>
      </w:r>
      <w:r>
        <w:rPr>
          <w:i/>
          <w:sz w:val="22"/>
        </w:rPr>
        <w:t>Polymer </w:t>
      </w:r>
      <w:r>
        <w:rPr>
          <w:b/>
          <w:sz w:val="22"/>
        </w:rPr>
        <w:t>2004</w:t>
      </w:r>
      <w:r>
        <w:rPr>
          <w:sz w:val="22"/>
        </w:rPr>
        <w:t>, 45(6),</w:t>
      </w:r>
      <w:r>
        <w:rPr>
          <w:spacing w:val="-13"/>
          <w:sz w:val="22"/>
        </w:rPr>
        <w:t> </w:t>
      </w:r>
      <w:r>
        <w:rPr>
          <w:sz w:val="22"/>
        </w:rPr>
        <w:t>2001-2015.</w:t>
      </w:r>
    </w:p>
    <w:p>
      <w:pPr>
        <w:pStyle w:val="ListParagraph"/>
        <w:numPr>
          <w:ilvl w:val="0"/>
          <w:numId w:val="23"/>
        </w:numPr>
        <w:tabs>
          <w:tab w:pos="406" w:val="left" w:leader="none"/>
        </w:tabs>
        <w:spacing w:line="360" w:lineRule="auto" w:before="4" w:after="0"/>
        <w:ind w:left="405" w:right="133" w:hanging="283"/>
        <w:jc w:val="left"/>
        <w:rPr>
          <w:sz w:val="22"/>
        </w:rPr>
      </w:pPr>
      <w:r>
        <w:rPr>
          <w:sz w:val="22"/>
        </w:rPr>
        <w:t>Ferreira, C. I.; Dal Castel, C.; Oviedo, M. A. S.; Mauler, R. S. </w:t>
      </w:r>
      <w:r>
        <w:rPr>
          <w:i/>
          <w:sz w:val="22"/>
        </w:rPr>
        <w:t>Thermochim. Acta </w:t>
      </w:r>
      <w:r>
        <w:rPr>
          <w:b/>
          <w:sz w:val="22"/>
        </w:rPr>
        <w:t>2013</w:t>
      </w:r>
      <w:r>
        <w:rPr>
          <w:sz w:val="22"/>
        </w:rPr>
        <w:t>, 553, 40- 48.</w:t>
      </w:r>
    </w:p>
    <w:p>
      <w:pPr>
        <w:spacing w:after="0" w:line="360" w:lineRule="auto"/>
        <w:jc w:val="left"/>
        <w:rPr>
          <w:sz w:val="22"/>
        </w:rPr>
        <w:sectPr>
          <w:pgSz w:w="12240" w:h="15840"/>
          <w:pgMar w:header="730" w:footer="1060" w:top="1160" w:bottom="1260" w:left="1580" w:right="1560"/>
        </w:sectPr>
      </w:pPr>
    </w:p>
    <w:p>
      <w:pPr>
        <w:pStyle w:val="BodyText"/>
        <w:rPr>
          <w:sz w:val="14"/>
        </w:rPr>
      </w:pPr>
    </w:p>
    <w:p>
      <w:pPr>
        <w:pStyle w:val="ListParagraph"/>
        <w:numPr>
          <w:ilvl w:val="0"/>
          <w:numId w:val="23"/>
        </w:numPr>
        <w:tabs>
          <w:tab w:pos="406" w:val="left" w:leader="none"/>
        </w:tabs>
        <w:spacing w:line="362" w:lineRule="auto" w:before="73" w:after="0"/>
        <w:ind w:left="405" w:right="136" w:hanging="283"/>
        <w:jc w:val="left"/>
        <w:rPr>
          <w:sz w:val="22"/>
        </w:rPr>
      </w:pPr>
      <w:r>
        <w:rPr>
          <w:sz w:val="22"/>
        </w:rPr>
        <w:t>Kumar, S.; Rath, T.; Mahaling, R. N.; Das, C. K. </w:t>
      </w:r>
      <w:r>
        <w:rPr>
          <w:i/>
          <w:sz w:val="22"/>
        </w:rPr>
        <w:t>Compos. Part A-Appl. S</w:t>
      </w:r>
      <w:r>
        <w:rPr>
          <w:sz w:val="22"/>
        </w:rPr>
        <w:t>. </w:t>
      </w:r>
      <w:r>
        <w:rPr>
          <w:b/>
          <w:sz w:val="22"/>
        </w:rPr>
        <w:t>2007</w:t>
      </w:r>
      <w:r>
        <w:rPr>
          <w:sz w:val="22"/>
        </w:rPr>
        <w:t>, 38(5), 1304- 1317.</w:t>
      </w:r>
    </w:p>
    <w:p>
      <w:pPr>
        <w:pStyle w:val="ListParagraph"/>
        <w:numPr>
          <w:ilvl w:val="0"/>
          <w:numId w:val="23"/>
        </w:numPr>
        <w:tabs>
          <w:tab w:pos="406" w:val="left" w:leader="none"/>
        </w:tabs>
        <w:spacing w:line="240" w:lineRule="auto" w:before="2" w:after="0"/>
        <w:ind w:left="405" w:right="0" w:hanging="283"/>
        <w:jc w:val="left"/>
        <w:rPr>
          <w:sz w:val="22"/>
        </w:rPr>
      </w:pPr>
      <w:r>
        <w:rPr>
          <w:sz w:val="22"/>
        </w:rPr>
        <w:t>Vadukumpully, S.; Paul, J.; Mahanta, N.; Valiyaveettil S. </w:t>
      </w:r>
      <w:r>
        <w:rPr>
          <w:i/>
          <w:sz w:val="22"/>
        </w:rPr>
        <w:t>Carbon </w:t>
      </w:r>
      <w:r>
        <w:rPr>
          <w:b/>
          <w:sz w:val="22"/>
        </w:rPr>
        <w:t>2011</w:t>
      </w:r>
      <w:r>
        <w:rPr>
          <w:sz w:val="22"/>
        </w:rPr>
        <w:t>, 49,</w:t>
      </w:r>
      <w:r>
        <w:rPr>
          <w:spacing w:val="-20"/>
          <w:sz w:val="22"/>
        </w:rPr>
        <w:t> </w:t>
      </w:r>
      <w:r>
        <w:rPr>
          <w:sz w:val="22"/>
        </w:rPr>
        <w:t>198-205.</w:t>
      </w:r>
    </w:p>
    <w:p>
      <w:pPr>
        <w:pStyle w:val="ListParagraph"/>
        <w:numPr>
          <w:ilvl w:val="0"/>
          <w:numId w:val="23"/>
        </w:numPr>
        <w:tabs>
          <w:tab w:pos="406" w:val="left" w:leader="none"/>
        </w:tabs>
        <w:spacing w:line="240" w:lineRule="auto" w:before="126" w:after="0"/>
        <w:ind w:left="405" w:right="0" w:hanging="283"/>
        <w:jc w:val="left"/>
        <w:rPr>
          <w:sz w:val="22"/>
        </w:rPr>
      </w:pPr>
      <w:r>
        <w:rPr>
          <w:sz w:val="22"/>
        </w:rPr>
        <w:t>Deng,</w:t>
      </w:r>
      <w:r>
        <w:rPr>
          <w:spacing w:val="29"/>
          <w:sz w:val="22"/>
        </w:rPr>
        <w:t> </w:t>
      </w:r>
      <w:r>
        <w:rPr>
          <w:sz w:val="22"/>
        </w:rPr>
        <w:t>H.;</w:t>
      </w:r>
      <w:r>
        <w:rPr>
          <w:spacing w:val="30"/>
          <w:sz w:val="22"/>
        </w:rPr>
        <w:t> </w:t>
      </w:r>
      <w:r>
        <w:rPr>
          <w:sz w:val="22"/>
        </w:rPr>
        <w:t>Bilotti,</w:t>
      </w:r>
      <w:r>
        <w:rPr>
          <w:spacing w:val="26"/>
          <w:sz w:val="22"/>
        </w:rPr>
        <w:t> </w:t>
      </w:r>
      <w:r>
        <w:rPr>
          <w:sz w:val="22"/>
        </w:rPr>
        <w:t>E.;</w:t>
      </w:r>
      <w:r>
        <w:rPr>
          <w:spacing w:val="27"/>
          <w:sz w:val="22"/>
        </w:rPr>
        <w:t> </w:t>
      </w:r>
      <w:r>
        <w:rPr>
          <w:sz w:val="22"/>
        </w:rPr>
        <w:t>Zhang,</w:t>
      </w:r>
      <w:r>
        <w:rPr>
          <w:spacing w:val="29"/>
          <w:sz w:val="22"/>
        </w:rPr>
        <w:t> </w:t>
      </w:r>
      <w:r>
        <w:rPr>
          <w:sz w:val="22"/>
        </w:rPr>
        <w:t>R.;</w:t>
      </w:r>
      <w:r>
        <w:rPr>
          <w:spacing w:val="30"/>
          <w:sz w:val="22"/>
        </w:rPr>
        <w:t> </w:t>
      </w:r>
      <w:r>
        <w:rPr>
          <w:sz w:val="22"/>
        </w:rPr>
        <w:t>Wang,</w:t>
      </w:r>
      <w:r>
        <w:rPr>
          <w:spacing w:val="29"/>
          <w:sz w:val="22"/>
        </w:rPr>
        <w:t> </w:t>
      </w:r>
      <w:r>
        <w:rPr>
          <w:sz w:val="22"/>
        </w:rPr>
        <w:t>K.;</w:t>
      </w:r>
      <w:r>
        <w:rPr>
          <w:spacing w:val="30"/>
          <w:sz w:val="22"/>
        </w:rPr>
        <w:t> </w:t>
      </w:r>
      <w:r>
        <w:rPr>
          <w:sz w:val="22"/>
        </w:rPr>
        <w:t>Zhang,</w:t>
      </w:r>
      <w:r>
        <w:rPr>
          <w:spacing w:val="29"/>
          <w:sz w:val="22"/>
        </w:rPr>
        <w:t> </w:t>
      </w:r>
      <w:r>
        <w:rPr>
          <w:sz w:val="22"/>
        </w:rPr>
        <w:t>Q.;</w:t>
      </w:r>
      <w:r>
        <w:rPr>
          <w:spacing w:val="30"/>
          <w:sz w:val="22"/>
        </w:rPr>
        <w:t> </w:t>
      </w:r>
      <w:r>
        <w:rPr>
          <w:sz w:val="22"/>
        </w:rPr>
        <w:t>Peijs,</w:t>
      </w:r>
      <w:r>
        <w:rPr>
          <w:spacing w:val="26"/>
          <w:sz w:val="22"/>
        </w:rPr>
        <w:t> </w:t>
      </w:r>
      <w:r>
        <w:rPr>
          <w:sz w:val="22"/>
        </w:rPr>
        <w:t>T.;</w:t>
      </w:r>
      <w:r>
        <w:rPr>
          <w:spacing w:val="30"/>
          <w:sz w:val="22"/>
        </w:rPr>
        <w:t> </w:t>
      </w:r>
      <w:r>
        <w:rPr>
          <w:sz w:val="22"/>
        </w:rPr>
        <w:t>Fu,</w:t>
      </w:r>
      <w:r>
        <w:rPr>
          <w:spacing w:val="26"/>
          <w:sz w:val="22"/>
        </w:rPr>
        <w:t> </w:t>
      </w:r>
      <w:r>
        <w:rPr>
          <w:sz w:val="22"/>
        </w:rPr>
        <w:t>Q.</w:t>
      </w:r>
      <w:r>
        <w:rPr>
          <w:spacing w:val="36"/>
          <w:sz w:val="22"/>
        </w:rPr>
        <w:t> </w:t>
      </w:r>
      <w:r>
        <w:rPr>
          <w:i/>
          <w:sz w:val="22"/>
        </w:rPr>
        <w:t>J.</w:t>
      </w:r>
      <w:r>
        <w:rPr>
          <w:i/>
          <w:spacing w:val="27"/>
          <w:sz w:val="22"/>
        </w:rPr>
        <w:t> </w:t>
      </w:r>
      <w:r>
        <w:rPr>
          <w:i/>
          <w:sz w:val="22"/>
        </w:rPr>
        <w:t>Appl.</w:t>
      </w:r>
      <w:r>
        <w:rPr>
          <w:i/>
          <w:spacing w:val="29"/>
          <w:sz w:val="22"/>
        </w:rPr>
        <w:t> </w:t>
      </w:r>
      <w:r>
        <w:rPr>
          <w:i/>
          <w:sz w:val="22"/>
        </w:rPr>
        <w:t>Polym.</w:t>
      </w:r>
      <w:r>
        <w:rPr>
          <w:i/>
          <w:spacing w:val="26"/>
          <w:sz w:val="22"/>
        </w:rPr>
        <w:t> </w:t>
      </w:r>
      <w:r>
        <w:rPr>
          <w:i/>
          <w:sz w:val="22"/>
        </w:rPr>
        <w:t>Sci</w:t>
      </w:r>
      <w:r>
        <w:rPr>
          <w:sz w:val="22"/>
        </w:rPr>
        <w:t>.</w:t>
      </w:r>
    </w:p>
    <w:p>
      <w:pPr>
        <w:pStyle w:val="BodyText"/>
        <w:spacing w:before="126"/>
        <w:ind w:left="405" w:right="41"/>
      </w:pPr>
      <w:r>
        <w:rPr>
          <w:b/>
        </w:rPr>
        <w:t>2011</w:t>
      </w:r>
      <w:r>
        <w:rPr/>
        <w:t>, 120(1), 133-140.</w:t>
      </w:r>
    </w:p>
    <w:p>
      <w:pPr>
        <w:pStyle w:val="ListParagraph"/>
        <w:numPr>
          <w:ilvl w:val="0"/>
          <w:numId w:val="23"/>
        </w:numPr>
        <w:tabs>
          <w:tab w:pos="406" w:val="left" w:leader="none"/>
        </w:tabs>
        <w:spacing w:line="360" w:lineRule="auto" w:before="126" w:after="0"/>
        <w:ind w:left="122" w:right="780" w:firstLine="0"/>
        <w:jc w:val="left"/>
        <w:rPr>
          <w:sz w:val="22"/>
        </w:rPr>
      </w:pPr>
      <w:r>
        <w:rPr>
          <w:sz w:val="22"/>
        </w:rPr>
        <w:t>Liu, J.; Rasheed, A.; Minus, M. L.; Kumar, S. </w:t>
      </w:r>
      <w:r>
        <w:rPr>
          <w:i/>
          <w:sz w:val="22"/>
        </w:rPr>
        <w:t>J. Appl. Polym. Sci. </w:t>
      </w:r>
      <w:r>
        <w:rPr>
          <w:b/>
          <w:sz w:val="22"/>
        </w:rPr>
        <w:t>2009</w:t>
      </w:r>
      <w:r>
        <w:rPr>
          <w:sz w:val="22"/>
        </w:rPr>
        <w:t>, 112(1),</w:t>
      </w:r>
      <w:r>
        <w:rPr>
          <w:spacing w:val="-20"/>
          <w:sz w:val="22"/>
        </w:rPr>
        <w:t> </w:t>
      </w:r>
      <w:r>
        <w:rPr>
          <w:sz w:val="22"/>
        </w:rPr>
        <w:t>142-156. 34.Chiu, F. C.; Kao, G. F. </w:t>
      </w:r>
      <w:r>
        <w:rPr>
          <w:i/>
          <w:sz w:val="22"/>
        </w:rPr>
        <w:t>Compos. Part A </w:t>
      </w:r>
      <w:r>
        <w:rPr>
          <w:b/>
          <w:sz w:val="22"/>
        </w:rPr>
        <w:t>2012</w:t>
      </w:r>
      <w:r>
        <w:rPr>
          <w:sz w:val="22"/>
        </w:rPr>
        <w:t>, 43,</w:t>
      </w:r>
      <w:r>
        <w:rPr>
          <w:spacing w:val="1"/>
          <w:sz w:val="22"/>
        </w:rPr>
        <w:t> </w:t>
      </w:r>
      <w:r>
        <w:rPr>
          <w:sz w:val="22"/>
        </w:rPr>
        <w:t>208–218</w:t>
      </w:r>
    </w:p>
    <w:p>
      <w:pPr>
        <w:pStyle w:val="ListParagraph"/>
        <w:numPr>
          <w:ilvl w:val="0"/>
          <w:numId w:val="24"/>
        </w:numPr>
        <w:tabs>
          <w:tab w:pos="406" w:val="left" w:leader="none"/>
        </w:tabs>
        <w:spacing w:line="240" w:lineRule="auto" w:before="4" w:after="0"/>
        <w:ind w:left="405" w:right="0" w:hanging="283"/>
        <w:jc w:val="left"/>
        <w:rPr>
          <w:sz w:val="22"/>
        </w:rPr>
      </w:pPr>
      <w:r>
        <w:rPr>
          <w:sz w:val="22"/>
        </w:rPr>
        <w:t>Chiu, F. C.; Huang, I. N.  </w:t>
      </w:r>
      <w:r>
        <w:rPr>
          <w:i/>
          <w:sz w:val="22"/>
        </w:rPr>
        <w:t>Polym. Test</w:t>
      </w:r>
      <w:r>
        <w:rPr>
          <w:sz w:val="22"/>
        </w:rPr>
        <w:t>. </w:t>
      </w:r>
      <w:r>
        <w:rPr>
          <w:b/>
          <w:sz w:val="22"/>
        </w:rPr>
        <w:t>2012</w:t>
      </w:r>
      <w:r>
        <w:rPr>
          <w:sz w:val="22"/>
        </w:rPr>
        <w:t>, 31,</w:t>
      </w:r>
      <w:r>
        <w:rPr>
          <w:spacing w:val="-10"/>
          <w:sz w:val="22"/>
        </w:rPr>
        <w:t> </w:t>
      </w:r>
      <w:r>
        <w:rPr>
          <w:sz w:val="22"/>
        </w:rPr>
        <w:t>953-962.</w:t>
      </w:r>
    </w:p>
    <w:p>
      <w:pPr>
        <w:pStyle w:val="ListParagraph"/>
        <w:numPr>
          <w:ilvl w:val="0"/>
          <w:numId w:val="24"/>
        </w:numPr>
        <w:tabs>
          <w:tab w:pos="406" w:val="left" w:leader="none"/>
        </w:tabs>
        <w:spacing w:line="240" w:lineRule="auto" w:before="126" w:after="0"/>
        <w:ind w:left="405" w:right="0" w:hanging="283"/>
        <w:jc w:val="left"/>
        <w:rPr>
          <w:sz w:val="22"/>
        </w:rPr>
      </w:pPr>
      <w:r>
        <w:rPr>
          <w:sz w:val="22"/>
        </w:rPr>
        <w:t>Meng, H.;  Sui, G.X.; Fang, P.F., Yang, R. </w:t>
      </w:r>
      <w:r>
        <w:rPr>
          <w:i/>
          <w:sz w:val="22"/>
        </w:rPr>
        <w:t>Polymer </w:t>
      </w:r>
      <w:r>
        <w:rPr>
          <w:b/>
          <w:sz w:val="22"/>
        </w:rPr>
        <w:t>2008</w:t>
      </w:r>
      <w:r>
        <w:rPr>
          <w:sz w:val="22"/>
        </w:rPr>
        <w:t>, 610 –</w:t>
      </w:r>
      <w:r>
        <w:rPr>
          <w:spacing w:val="-10"/>
          <w:sz w:val="22"/>
        </w:rPr>
        <w:t> </w:t>
      </w:r>
      <w:r>
        <w:rPr>
          <w:sz w:val="22"/>
        </w:rPr>
        <w:t>620.</w:t>
      </w:r>
    </w:p>
    <w:p>
      <w:pPr>
        <w:pStyle w:val="ListParagraph"/>
        <w:numPr>
          <w:ilvl w:val="0"/>
          <w:numId w:val="24"/>
        </w:numPr>
        <w:tabs>
          <w:tab w:pos="406" w:val="left" w:leader="none"/>
        </w:tabs>
        <w:spacing w:line="240" w:lineRule="auto" w:before="127" w:after="0"/>
        <w:ind w:left="405" w:right="0" w:hanging="283"/>
        <w:jc w:val="left"/>
        <w:rPr>
          <w:sz w:val="22"/>
        </w:rPr>
      </w:pPr>
      <w:r>
        <w:rPr>
          <w:sz w:val="22"/>
        </w:rPr>
        <w:t>Li, J.; Tong, L.; Fang, Z.; Gu, A.; Xu, Z. </w:t>
      </w:r>
      <w:r>
        <w:rPr>
          <w:i/>
          <w:sz w:val="22"/>
        </w:rPr>
        <w:t>Polym. Degrad. Stabil. </w:t>
      </w:r>
      <w:r>
        <w:rPr>
          <w:b/>
          <w:sz w:val="22"/>
        </w:rPr>
        <w:t>2006</w:t>
      </w:r>
      <w:r>
        <w:rPr>
          <w:sz w:val="22"/>
        </w:rPr>
        <w:t>, 91(9),</w:t>
      </w:r>
      <w:r>
        <w:rPr>
          <w:spacing w:val="-20"/>
          <w:sz w:val="22"/>
        </w:rPr>
        <w:t> </w:t>
      </w:r>
      <w:r>
        <w:rPr>
          <w:sz w:val="22"/>
        </w:rPr>
        <w:t>2046-2052.</w:t>
      </w:r>
    </w:p>
    <w:p>
      <w:pPr>
        <w:pStyle w:val="BodyText"/>
      </w:pPr>
    </w:p>
    <w:p>
      <w:pPr>
        <w:pStyle w:val="BodyText"/>
      </w:pPr>
    </w:p>
    <w:p>
      <w:pPr>
        <w:pStyle w:val="BodyText"/>
      </w:pPr>
    </w:p>
    <w:p>
      <w:pPr>
        <w:pStyle w:val="Heading3"/>
        <w:spacing w:before="184"/>
        <w:ind w:right="172"/>
        <w:jc w:val="center"/>
      </w:pPr>
      <w:r>
        <w:rPr/>
        <w:t>For Table of Contents Only</w:t>
      </w:r>
    </w:p>
    <w:p>
      <w:pPr>
        <w:pStyle w:val="BodyText"/>
        <w:rPr>
          <w:sz w:val="20"/>
        </w:rPr>
      </w:pPr>
    </w:p>
    <w:p>
      <w:pPr>
        <w:pStyle w:val="BodyText"/>
        <w:rPr>
          <w:sz w:val="20"/>
        </w:rPr>
      </w:pPr>
    </w:p>
    <w:p>
      <w:pPr>
        <w:pStyle w:val="BodyText"/>
        <w:rPr>
          <w:sz w:val="20"/>
        </w:rPr>
      </w:pPr>
    </w:p>
    <w:p>
      <w:pPr>
        <w:pStyle w:val="BodyText"/>
        <w:spacing w:before="2"/>
        <w:rPr>
          <w:sz w:val="23"/>
        </w:rPr>
      </w:pPr>
      <w:r>
        <w:rPr/>
        <w:drawing>
          <wp:anchor distT="0" distB="0" distL="0" distR="0" allowOverlap="1" layoutInCell="1" locked="0" behindDoc="0" simplePos="0" relativeHeight="2608">
            <wp:simplePos x="0" y="0"/>
            <wp:positionH relativeFrom="page">
              <wp:posOffset>2381250</wp:posOffset>
            </wp:positionH>
            <wp:positionV relativeFrom="paragraph">
              <wp:posOffset>194274</wp:posOffset>
            </wp:positionV>
            <wp:extent cx="2984171" cy="1277874"/>
            <wp:effectExtent l="0" t="0" r="0" b="0"/>
            <wp:wrapTopAndBottom/>
            <wp:docPr id="81" name="image49.jpeg" descr=""/>
            <wp:cNvGraphicFramePr>
              <a:graphicFrameLocks noChangeAspect="1"/>
            </wp:cNvGraphicFramePr>
            <a:graphic>
              <a:graphicData uri="http://schemas.openxmlformats.org/drawingml/2006/picture">
                <pic:pic>
                  <pic:nvPicPr>
                    <pic:cNvPr id="82" name="image49.jpeg"/>
                    <pic:cNvPicPr/>
                  </pic:nvPicPr>
                  <pic:blipFill>
                    <a:blip r:embed="rId83" cstate="print"/>
                    <a:stretch>
                      <a:fillRect/>
                    </a:stretch>
                  </pic:blipFill>
                  <pic:spPr>
                    <a:xfrm>
                      <a:off x="0" y="0"/>
                      <a:ext cx="2984171" cy="1277874"/>
                    </a:xfrm>
                    <a:prstGeom prst="rect">
                      <a:avLst/>
                    </a:prstGeom>
                  </pic:spPr>
                </pic:pic>
              </a:graphicData>
            </a:graphic>
          </wp:anchor>
        </w:drawing>
      </w:r>
    </w:p>
    <w:p>
      <w:pPr>
        <w:spacing w:after="0"/>
        <w:rPr>
          <w:sz w:val="23"/>
        </w:rPr>
        <w:sectPr>
          <w:pgSz w:w="12240" w:h="15840"/>
          <w:pgMar w:header="730" w:footer="1060" w:top="1160" w:bottom="1260" w:left="1580" w:right="1560"/>
        </w:sectPr>
      </w:pPr>
    </w:p>
    <w:p>
      <w:pPr>
        <w:pStyle w:val="BodyText"/>
        <w:rPr>
          <w:sz w:val="20"/>
        </w:rPr>
      </w:pPr>
      <w:r>
        <w:rPr/>
        <w:pict>
          <v:group style="position:absolute;margin-left:122.175003pt;margin-top:212.595001pt;width:4.45pt;height:192.7pt;mso-position-horizontal-relative:page;mso-position-vertical-relative:page;z-index:-174520" coordorigin="2444,4252" coordsize="89,3854">
            <v:line style="position:absolute" from="2488,4296" to="2488,4512" stroked="true" strokeweight="4.440pt" strokecolor="#000000"/>
            <v:line style="position:absolute" from="2488,4513" to="2488,5351" stroked="true" strokeweight="4.440pt" strokecolor="#000000"/>
            <v:line style="position:absolute" from="2488,5351" to="2488,7007" stroked="true" strokeweight="4.440pt" strokecolor="#000000"/>
            <v:line style="position:absolute" from="2488,7007" to="2488,7223" stroked="true" strokeweight="4.440pt" strokecolor="#000000"/>
            <v:line style="position:absolute" from="2488,7223" to="2488,8061" stroked="true" strokeweight="4.440pt" strokecolor="#000000"/>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tbl>
      <w:tblPr>
        <w:tblW w:w="0" w:type="auto"/>
        <w:jc w:val="left"/>
        <w:tblInd w:w="7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24"/>
      </w:tblGrid>
      <w:tr>
        <w:trPr>
          <w:trHeight w:val="1374" w:hRule="exact"/>
        </w:trPr>
        <w:tc>
          <w:tcPr>
            <w:tcW w:w="3724" w:type="dxa"/>
          </w:tcPr>
          <w:p>
            <w:pPr>
              <w:pStyle w:val="TableParagraph"/>
              <w:spacing w:line="980" w:lineRule="exact"/>
              <w:ind w:left="109"/>
              <w:jc w:val="left"/>
              <w:rPr>
                <w:b/>
                <w:i/>
                <w:sz w:val="96"/>
              </w:rPr>
            </w:pPr>
            <w:r>
              <w:rPr>
                <w:b/>
                <w:i/>
                <w:sz w:val="96"/>
              </w:rPr>
              <w:t>Sumario</w:t>
            </w:r>
          </w:p>
        </w:tc>
      </w:tr>
      <w:tr>
        <w:trPr>
          <w:trHeight w:val="1174" w:hRule="exact"/>
        </w:trPr>
        <w:tc>
          <w:tcPr>
            <w:tcW w:w="3724" w:type="dxa"/>
          </w:tcPr>
          <w:p>
            <w:pPr>
              <w:pStyle w:val="TableParagraph"/>
              <w:spacing w:before="11"/>
              <w:jc w:val="left"/>
              <w:rPr>
                <w:sz w:val="31"/>
              </w:rPr>
            </w:pPr>
          </w:p>
          <w:p>
            <w:pPr>
              <w:pStyle w:val="TableParagraph"/>
              <w:ind w:left="116"/>
              <w:jc w:val="left"/>
              <w:rPr>
                <w:i/>
                <w:sz w:val="36"/>
              </w:rPr>
            </w:pPr>
            <w:r>
              <w:rPr>
                <w:i/>
                <w:sz w:val="36"/>
              </w:rPr>
              <w:t>Capítulo 4</w:t>
            </w:r>
          </w:p>
        </w:tc>
      </w:tr>
    </w:tbl>
    <w:p>
      <w:pPr>
        <w:spacing w:after="0"/>
        <w:jc w:val="left"/>
        <w:rPr>
          <w:sz w:val="36"/>
        </w:rPr>
        <w:sectPr>
          <w:headerReference w:type="default" r:id="rId84"/>
          <w:footerReference w:type="default" r:id="rId85"/>
          <w:pgSz w:w="12240" w:h="15840"/>
          <w:pgMar w:header="0" w:footer="0" w:top="1500" w:bottom="280" w:left="1720" w:right="1720"/>
        </w:sectPr>
      </w:pPr>
    </w:p>
    <w:p>
      <w:pPr>
        <w:pStyle w:val="BodyText"/>
        <w:spacing w:before="5"/>
        <w:rPr>
          <w:sz w:val="14"/>
        </w:rPr>
      </w:pPr>
    </w:p>
    <w:p>
      <w:pPr>
        <w:pStyle w:val="Heading4"/>
        <w:numPr>
          <w:ilvl w:val="1"/>
          <w:numId w:val="25"/>
        </w:numPr>
        <w:tabs>
          <w:tab w:pos="454" w:val="left" w:leader="none"/>
        </w:tabs>
        <w:spacing w:line="240" w:lineRule="auto" w:before="73" w:after="0"/>
        <w:ind w:left="453" w:right="0" w:hanging="331"/>
        <w:jc w:val="left"/>
      </w:pPr>
      <w:bookmarkStart w:name="_TOC_250000" w:id="21"/>
      <w:bookmarkEnd w:id="21"/>
      <w:r>
        <w:rPr/>
        <w:t>Introducción</w:t>
      </w:r>
    </w:p>
    <w:p>
      <w:pPr>
        <w:pStyle w:val="BodyText"/>
        <w:spacing w:line="360" w:lineRule="auto" w:before="124"/>
        <w:ind w:left="122" w:right="135" w:firstLine="283"/>
        <w:jc w:val="both"/>
      </w:pPr>
      <w:r>
        <w:rPr/>
        <w:t>El objetivo principal de este trabajo fue el de estudiar la influencia que tienen las estructuras del carbono unidimensional y bidimensional en la cristalización de una matriz polimérica  semicristalina. Asimismo se buscó entender el efecto que tiene la funcionalización de ambos alótropos de carbono en el comportamiento de cristalización y las propiedades de térmicas y mecánicas del nanocomposito</w:t>
      </w:r>
      <w:r>
        <w:rPr>
          <w:spacing w:val="-9"/>
        </w:rPr>
        <w:t> </w:t>
      </w:r>
      <w:r>
        <w:rPr/>
        <w:t>resultante.</w:t>
      </w:r>
    </w:p>
    <w:p>
      <w:pPr>
        <w:pStyle w:val="BodyText"/>
      </w:pPr>
    </w:p>
    <w:p>
      <w:pPr>
        <w:pStyle w:val="BodyText"/>
        <w:spacing w:line="360" w:lineRule="auto" w:before="130"/>
        <w:ind w:left="122" w:right="135" w:firstLine="283"/>
        <w:jc w:val="both"/>
      </w:pPr>
      <w:r>
        <w:rPr/>
        <w:t>Por lo anterior se realizó la oxidación de los CNTs mediante el reflujo de H</w:t>
      </w:r>
      <w:r>
        <w:rPr>
          <w:position w:val="-2"/>
          <w:sz w:val="14"/>
        </w:rPr>
        <w:t>2</w:t>
      </w:r>
      <w:r>
        <w:rPr/>
        <w:t>SO</w:t>
      </w:r>
      <w:r>
        <w:rPr>
          <w:position w:val="-2"/>
          <w:sz w:val="14"/>
        </w:rPr>
        <w:t>4</w:t>
      </w:r>
      <w:r>
        <w:rPr/>
        <w:t>/HNO</w:t>
      </w:r>
      <w:r>
        <w:rPr>
          <w:position w:val="-2"/>
          <w:sz w:val="14"/>
        </w:rPr>
        <w:t>3 </w:t>
      </w:r>
      <w:r>
        <w:rPr/>
        <w:t>y la obtención de óxido de grafeno, la cual se llevó a cabo a partir de la oxidación de grafito mediante el método modificado de Hummers, para posteriormente someterlo a una exfoliación mediante ondas de ultrasonido para la separación de las láminas de óxido de grafeno. El uso de  estos  nanomateriales que contienen grupos funcionales oxigenados fue con el fin de facilitar la dispersión e incrementar la afinidad de éstos en una matriz con grupos funcionales polares como la del nylon 6,6. La concentración de sitios carboxílicos de los nanomateriales mencionados anteriormente se determinó a través de una titulación ácido-base [100]. Dicha prueba indicó un mayor contenido de ácidos carboxílicos en los OCNT respecto a la concentración en el GO. Los resultados obtenidos fueron de 6.5 mmol/g en CNTs oxidados y 5.4 mmol/g para el óxido de grafeno. Estos grupos sirvieron para la incorporación de grupos amino a través de una reacción de funcionalización utilizando trietilenamina y un agente acoplante como el EDAC. Además también se emplearon p-CNT y RGO obtenido de la reducción de GO con</w:t>
      </w:r>
      <w:r>
        <w:rPr>
          <w:spacing w:val="-17"/>
        </w:rPr>
        <w:t> </w:t>
      </w:r>
      <w:r>
        <w:rPr/>
        <w:t>hexametilentetramamina.</w:t>
      </w:r>
    </w:p>
    <w:p>
      <w:pPr>
        <w:pStyle w:val="BodyText"/>
      </w:pPr>
    </w:p>
    <w:p>
      <w:pPr>
        <w:pStyle w:val="BodyText"/>
        <w:spacing w:line="360" w:lineRule="auto" w:before="130"/>
        <w:ind w:left="122" w:right="138" w:firstLine="283"/>
        <w:jc w:val="both"/>
      </w:pPr>
      <w:r>
        <w:rPr/>
        <w:t>Los seis nanomateriales de carbono mencionados anteriormente fueron utilizados como refuerzo para la obtención de nanocompositos de nylon 6,6. Se obtuvieron fibras a través del proceso de electrospinning, en donde se utilizaron concentraciones de 0.1, 0.5 y 1.0 % peso de cada nanomaterial. Además el proceso de moldeo por inyección también fue utilizado, en donde se manejaron concentraciones de 0.1, 0.3 y 0.5 % peso. En importante mencionar que se manejaron concentraciones de nanomaterial menores para el moldeo de los nanocompositos con el objetivo de no comprometer las propiedades de éstos al adicionar una concentración mayor que hubiera favorecido la aglomeración de los nanomateriales. Además porque al incrementar la cantidad de nanomaterial la inyección de las probetas se vio dificultada debida a la alta viscosidad de material al fundirlo.</w:t>
      </w:r>
    </w:p>
    <w:p>
      <w:pPr>
        <w:spacing w:after="0" w:line="360" w:lineRule="auto"/>
        <w:jc w:val="both"/>
        <w:sectPr>
          <w:headerReference w:type="default" r:id="rId86"/>
          <w:footerReference w:type="default" r:id="rId87"/>
          <w:pgSz w:w="12240" w:h="15840"/>
          <w:pgMar w:header="730" w:footer="1060" w:top="1160" w:bottom="1260" w:left="1580" w:right="1560"/>
          <w:pgNumType w:start="107"/>
        </w:sectPr>
      </w:pPr>
    </w:p>
    <w:p>
      <w:pPr>
        <w:pStyle w:val="BodyText"/>
        <w:spacing w:before="5"/>
        <w:rPr>
          <w:sz w:val="14"/>
        </w:rPr>
      </w:pPr>
    </w:p>
    <w:p>
      <w:pPr>
        <w:pStyle w:val="Heading4"/>
        <w:numPr>
          <w:ilvl w:val="1"/>
          <w:numId w:val="25"/>
        </w:numPr>
        <w:tabs>
          <w:tab w:pos="454" w:val="left" w:leader="none"/>
        </w:tabs>
        <w:spacing w:line="240" w:lineRule="auto" w:before="73" w:after="0"/>
        <w:ind w:left="453" w:right="0" w:hanging="331"/>
        <w:jc w:val="both"/>
      </w:pPr>
      <w:r>
        <w:rPr/>
        <w:t>Caracterización de los</w:t>
      </w:r>
      <w:r>
        <w:rPr>
          <w:spacing w:val="-12"/>
        </w:rPr>
        <w:t> </w:t>
      </w:r>
      <w:r>
        <w:rPr/>
        <w:t>nanomateriales</w:t>
      </w:r>
    </w:p>
    <w:p>
      <w:pPr>
        <w:pStyle w:val="BodyText"/>
        <w:spacing w:line="352" w:lineRule="auto" w:before="124"/>
        <w:ind w:left="122" w:right="136" w:firstLine="283"/>
        <w:jc w:val="both"/>
      </w:pPr>
      <w:r>
        <w:rPr/>
        <w:t>El estudio de los grupos funcionales en la superficie de los materiales de carbono fue llevado a cabo mediante el análisis de los espectrogramas de IR los cuales mostraron los grupos principales resultantes de la oxidación de los CNTs y grafeno entre los que se encuentran las vibraciones de estiramiento de los grupos carboxílicos como son C-O, O-H, C=O en la región de 1050 – 1750 cm</w:t>
      </w:r>
      <w:r>
        <w:rPr>
          <w:position w:val="10"/>
          <w:sz w:val="14"/>
        </w:rPr>
        <w:t>-1 </w:t>
      </w:r>
      <w:r>
        <w:rPr/>
        <w:t>[13,15]. El óxido de grafeno además presenta una banda ancha alrededor de 3300 cm</w:t>
      </w:r>
      <w:r>
        <w:rPr>
          <w:position w:val="10"/>
          <w:sz w:val="14"/>
        </w:rPr>
        <w:t>-1 </w:t>
      </w:r>
      <w:r>
        <w:rPr/>
        <w:t>característica del enlace O-H del agua absorbida y que es típicamente imposible de remover después de su obtención [33, 93].</w:t>
      </w:r>
    </w:p>
    <w:p>
      <w:pPr>
        <w:pStyle w:val="BodyText"/>
      </w:pPr>
    </w:p>
    <w:p>
      <w:pPr>
        <w:pStyle w:val="BodyText"/>
        <w:spacing w:line="355" w:lineRule="auto" w:before="138"/>
        <w:ind w:left="122" w:right="137" w:firstLine="283"/>
        <w:jc w:val="both"/>
      </w:pPr>
      <w:r>
        <w:rPr/>
        <w:t>El espectro del grafeno reducido mostró la desaparición de los grupos funcionales oxigenados que fueron mencionados anteriormente. Sin embargo, debido a que el agente reductor fue hexametilendiamina algunos grupos amino fueron adheridos a la superficie lo que determinó la aparición de algunas bandas débiles correspondientes al estiramiento del enlace C-N en la región de 1030-1340 cm</w:t>
      </w:r>
      <w:r>
        <w:rPr>
          <w:position w:val="10"/>
          <w:sz w:val="14"/>
        </w:rPr>
        <w:t>-1 </w:t>
      </w:r>
      <w:r>
        <w:rPr/>
        <w:t>[41]. Más adelante se indica el efecto positivo proporcionado por esta característica en los nanocompositos con óxido de grafeno reducido.</w:t>
      </w:r>
    </w:p>
    <w:p>
      <w:pPr>
        <w:pStyle w:val="BodyText"/>
      </w:pPr>
    </w:p>
    <w:p>
      <w:pPr>
        <w:pStyle w:val="BodyText"/>
        <w:spacing w:line="348" w:lineRule="auto" w:before="135"/>
        <w:ind w:left="122" w:right="136" w:firstLine="283"/>
        <w:jc w:val="both"/>
      </w:pPr>
      <w:r>
        <w:rPr/>
        <w:t>Los espectros de IR de los CNTs y grafeno funcionalizados mostraron bandas representativas de los grupos amino, como las del enlace N-H, C-N y (C=O)N-H en la región de 750-1700 cm</w:t>
      </w:r>
      <w:r>
        <w:rPr>
          <w:position w:val="10"/>
          <w:sz w:val="14"/>
        </w:rPr>
        <w:t>-1 </w:t>
      </w:r>
      <w:r>
        <w:rPr/>
        <w:t>[41,100,120]. Así como también se observó la presencia de grupos metilo en la región de 2850- 2920 cm</w:t>
      </w:r>
      <w:r>
        <w:rPr>
          <w:position w:val="10"/>
          <w:sz w:val="14"/>
        </w:rPr>
        <w:t>-1 </w:t>
      </w:r>
      <w:r>
        <w:rPr/>
        <w:t>[121], los cuales fueron proporcionados por la trietilamina con la cual fue llevada a cabo la aminación.</w:t>
      </w:r>
    </w:p>
    <w:p>
      <w:pPr>
        <w:pStyle w:val="BodyText"/>
      </w:pPr>
    </w:p>
    <w:p>
      <w:pPr>
        <w:pStyle w:val="BodyText"/>
        <w:spacing w:line="336" w:lineRule="auto" w:before="143"/>
        <w:ind w:left="122" w:right="136" w:firstLine="283"/>
        <w:jc w:val="both"/>
      </w:pPr>
      <w:r>
        <w:rPr/>
        <w:t>El análisis de Raman permitió la identificación de las bandas características de los materiales de carbono. La banda G atribuida al fonon E</w:t>
      </w:r>
      <w:r>
        <w:rPr>
          <w:position w:val="-2"/>
          <w:sz w:val="14"/>
        </w:rPr>
        <w:t>2g  </w:t>
      </w:r>
      <w:r>
        <w:rPr/>
        <w:t>de los átomos de carbono con hibridación sp</w:t>
      </w:r>
      <w:r>
        <w:rPr>
          <w:position w:val="10"/>
          <w:sz w:val="14"/>
        </w:rPr>
        <w:t>2  </w:t>
      </w:r>
      <w:r>
        <w:rPr/>
        <w:t>localizada</w:t>
      </w:r>
    </w:p>
    <w:p>
      <w:pPr>
        <w:pStyle w:val="BodyText"/>
        <w:spacing w:line="259" w:lineRule="exact"/>
        <w:ind w:left="122"/>
        <w:jc w:val="both"/>
      </w:pPr>
      <w:r>
        <w:rPr>
          <w:rFonts w:ascii="Cambria Math" w:hAnsi="Cambria Math"/>
        </w:rPr>
        <w:t>∼</w:t>
      </w:r>
      <w:r>
        <w:rPr/>
        <w:t>1580 cm</w:t>
      </w:r>
      <w:r>
        <w:rPr>
          <w:position w:val="10"/>
          <w:sz w:val="14"/>
        </w:rPr>
        <w:t>-1  </w:t>
      </w:r>
      <w:r>
        <w:rPr/>
        <w:t>y la banda D correspondiente al modo respiratorio de los fonones del punto κ de</w:t>
      </w:r>
    </w:p>
    <w:p>
      <w:pPr>
        <w:pStyle w:val="BodyText"/>
        <w:spacing w:line="350" w:lineRule="auto" w:before="102"/>
        <w:ind w:left="122" w:right="137"/>
        <w:jc w:val="both"/>
      </w:pPr>
      <w:r>
        <w:rPr/>
        <w:t>simetría A</w:t>
      </w:r>
      <w:r>
        <w:rPr>
          <w:position w:val="-2"/>
          <w:sz w:val="14"/>
        </w:rPr>
        <w:t>1g</w:t>
      </w:r>
      <w:r>
        <w:rPr/>
        <w:t>, que se encuentra ~1320 cm</w:t>
      </w:r>
      <w:r>
        <w:rPr>
          <w:position w:val="10"/>
          <w:sz w:val="14"/>
        </w:rPr>
        <w:t>-1</w:t>
      </w:r>
      <w:r>
        <w:rPr/>
        <w:t>, atribuida a los defectos y desordenes particularmente en las orillas de las hojas de grafeno [122]. Además otra característica principal de estos materiales es la banda 2D que se presenta alrededor de 2700 cm</w:t>
      </w:r>
      <w:r>
        <w:rPr>
          <w:position w:val="10"/>
          <w:sz w:val="14"/>
        </w:rPr>
        <w:t>-1 </w:t>
      </w:r>
      <w:r>
        <w:rPr/>
        <w:t>la cual se aprecia como un pico bien definido en los CNTs y como una banda ancha y poco intensa para el grafeno, la cual es característica del grafeno que ha sido obtenido a través de un método químico [36].</w:t>
      </w:r>
    </w:p>
    <w:p>
      <w:pPr>
        <w:pStyle w:val="BodyText"/>
      </w:pPr>
    </w:p>
    <w:p>
      <w:pPr>
        <w:pStyle w:val="BodyText"/>
        <w:spacing w:line="360" w:lineRule="auto" w:before="140"/>
        <w:ind w:left="122" w:right="138" w:firstLine="283"/>
        <w:jc w:val="both"/>
      </w:pPr>
      <w:r>
        <w:rPr/>
        <w:t>Las micrografías de TEM permitieron la observación de las principales características de los nanomateriales empleados en este trabajo. Los OCNT mostraron la abertura de puntas y reducción del</w:t>
      </w:r>
      <w:r>
        <w:rPr>
          <w:spacing w:val="50"/>
        </w:rPr>
        <w:t> </w:t>
      </w:r>
      <w:r>
        <w:rPr/>
        <w:t>diámetro debido a los ácidos</w:t>
      </w:r>
      <w:r>
        <w:rPr>
          <w:spacing w:val="50"/>
        </w:rPr>
        <w:t> </w:t>
      </w:r>
      <w:r>
        <w:rPr/>
        <w:t>empleados</w:t>
      </w:r>
      <w:r>
        <w:rPr>
          <w:spacing w:val="50"/>
        </w:rPr>
        <w:t> </w:t>
      </w:r>
      <w:r>
        <w:rPr/>
        <w:t>que dañan las</w:t>
      </w:r>
      <w:r>
        <w:rPr>
          <w:spacing w:val="50"/>
        </w:rPr>
        <w:t> </w:t>
      </w:r>
      <w:r>
        <w:rPr/>
        <w:t>paredes</w:t>
      </w:r>
      <w:r>
        <w:rPr>
          <w:spacing w:val="50"/>
        </w:rPr>
        <w:t> </w:t>
      </w:r>
      <w:r>
        <w:rPr/>
        <w:t>y reducen el</w:t>
      </w:r>
      <w:r>
        <w:rPr>
          <w:spacing w:val="50"/>
        </w:rPr>
        <w:t> </w:t>
      </w:r>
      <w:r>
        <w:rPr/>
        <w:t>largo de los</w:t>
      </w:r>
    </w:p>
    <w:p>
      <w:pPr>
        <w:spacing w:after="0" w:line="360" w:lineRule="auto"/>
        <w:jc w:val="both"/>
        <w:sectPr>
          <w:pgSz w:w="12240" w:h="15840"/>
          <w:pgMar w:header="730" w:footer="1060" w:top="1160" w:bottom="1260" w:left="1580" w:right="1560"/>
        </w:sectPr>
      </w:pPr>
    </w:p>
    <w:p>
      <w:pPr>
        <w:pStyle w:val="BodyText"/>
        <w:rPr>
          <w:sz w:val="14"/>
        </w:rPr>
      </w:pPr>
    </w:p>
    <w:p>
      <w:pPr>
        <w:pStyle w:val="BodyText"/>
        <w:spacing w:line="360" w:lineRule="auto" w:before="73"/>
        <w:ind w:left="122" w:right="136"/>
        <w:jc w:val="both"/>
      </w:pPr>
      <w:r>
        <w:rPr/>
        <w:t>nanotubos. En cuanto a los f-CNT se observó la introducción de defectos sobre la superficie de estos. Las hojas de GO mostraron la característica típica similar a la de un velo arrugado. Además de que se pudo observar que algunas hojas se encontraron apiladas. Características similares fueron observadas en el f-Ge. En las micrografías de RGO se encontraron láminas individuales de grafeno. En el apéndice se encuentran imágenes complementarias de estos nanomateriales y se extiende la descripción de las características de</w:t>
      </w:r>
      <w:r>
        <w:rPr>
          <w:spacing w:val="-14"/>
        </w:rPr>
        <w:t> </w:t>
      </w:r>
      <w:r>
        <w:rPr/>
        <w:t>éstos.</w:t>
      </w:r>
    </w:p>
    <w:p>
      <w:pPr>
        <w:pStyle w:val="BodyText"/>
      </w:pPr>
    </w:p>
    <w:p>
      <w:pPr>
        <w:pStyle w:val="Heading4"/>
        <w:numPr>
          <w:ilvl w:val="1"/>
          <w:numId w:val="25"/>
        </w:numPr>
        <w:tabs>
          <w:tab w:pos="454" w:val="left" w:leader="none"/>
        </w:tabs>
        <w:spacing w:line="240" w:lineRule="auto" w:before="135" w:after="0"/>
        <w:ind w:left="453" w:right="0" w:hanging="331"/>
        <w:jc w:val="both"/>
      </w:pPr>
      <w:r>
        <w:rPr/>
        <w:t>Caracterización estructural de los</w:t>
      </w:r>
      <w:r>
        <w:rPr>
          <w:spacing w:val="-14"/>
        </w:rPr>
        <w:t> </w:t>
      </w:r>
      <w:r>
        <w:rPr/>
        <w:t>nanocompositos</w:t>
      </w:r>
    </w:p>
    <w:p>
      <w:pPr>
        <w:pStyle w:val="BodyText"/>
        <w:spacing w:line="348" w:lineRule="auto" w:before="121"/>
        <w:ind w:left="122" w:right="133" w:firstLine="283"/>
        <w:jc w:val="both"/>
      </w:pPr>
      <w:r>
        <w:rPr/>
        <w:t>Los nanocompositos de nylon obtenidos por la adición de los diferentes materiales mencionados anteriormente también fueron estudiados por espectroscopía FTIR, a partir de la cual se  identificaron las bandas características del nylon 6,6 entre las cuales se encuentran las bandas de deformación de grupos metilo y de elongaciones axiales del esqueleto de la cadena hidrocarbonada (C-C) en la región de 720-1070 cm</w:t>
      </w:r>
      <w:r>
        <w:rPr>
          <w:position w:val="10"/>
          <w:sz w:val="14"/>
        </w:rPr>
        <w:t>-1 </w:t>
      </w:r>
      <w:r>
        <w:rPr/>
        <w:t>[73]. Además la banda amida III correspondiente a la deformación simétrica angular fuera del plano en el rango 1190-1200 cm</w:t>
      </w:r>
      <w:r>
        <w:rPr>
          <w:position w:val="10"/>
          <w:sz w:val="14"/>
        </w:rPr>
        <w:t>-1 </w:t>
      </w:r>
      <w:r>
        <w:rPr/>
        <w:t>[124]. La banda amida II de las deformaciones axiales del enlace C-N y angulares del enlace CO-NH en la región de 1535- 1555 cm</w:t>
      </w:r>
      <w:r>
        <w:rPr>
          <w:position w:val="10"/>
          <w:sz w:val="14"/>
        </w:rPr>
        <w:t>-1 </w:t>
      </w:r>
      <w:r>
        <w:rPr/>
        <w:t>[73]. Así como la banda amida I de la deformación axial del enlace C=O alrededor de 1640 cm</w:t>
      </w:r>
      <w:r>
        <w:rPr>
          <w:position w:val="10"/>
          <w:sz w:val="14"/>
        </w:rPr>
        <w:t>-1</w:t>
      </w:r>
      <w:r>
        <w:rPr/>
        <w:t>[73]. A números de onda mayores se presentaron las bandas de deformaciones axial del enlace N-H en el rango de 2850-3060 cm</w:t>
      </w:r>
      <w:r>
        <w:rPr>
          <w:position w:val="10"/>
          <w:sz w:val="14"/>
        </w:rPr>
        <w:t>-1</w:t>
      </w:r>
      <w:r>
        <w:rPr/>
        <w:t>[124]. Diversos autores han designado algunas de estas bandas como características de la cristalinidad en el material [73,123, 125]. En el caso del nylon 6,6 los picos cristalinos se encuentran ubicadas ~940 y ~1200 cm</w:t>
      </w:r>
      <w:r>
        <w:rPr>
          <w:position w:val="10"/>
          <w:sz w:val="14"/>
        </w:rPr>
        <w:t>-1</w:t>
      </w:r>
      <w:r>
        <w:rPr/>
        <w:t>. En la mayoría de los casos se observó la intensificación de estas bandas a medida que el contenido de los nanomateriales aumentaba.</w:t>
      </w:r>
    </w:p>
    <w:p>
      <w:pPr>
        <w:pStyle w:val="BodyText"/>
      </w:pPr>
    </w:p>
    <w:p>
      <w:pPr>
        <w:pStyle w:val="ListParagraph"/>
        <w:numPr>
          <w:ilvl w:val="1"/>
          <w:numId w:val="25"/>
        </w:numPr>
        <w:tabs>
          <w:tab w:pos="509" w:val="left" w:leader="none"/>
        </w:tabs>
        <w:spacing w:line="240" w:lineRule="auto" w:before="147" w:after="0"/>
        <w:ind w:left="508" w:right="0" w:hanging="386"/>
        <w:jc w:val="both"/>
        <w:rPr>
          <w:b/>
          <w:i/>
          <w:sz w:val="22"/>
        </w:rPr>
      </w:pPr>
      <w:r>
        <w:rPr>
          <w:b/>
          <w:sz w:val="22"/>
        </w:rPr>
        <w:t>Nanocompositos obtenidos por</w:t>
      </w:r>
      <w:r>
        <w:rPr>
          <w:b/>
          <w:spacing w:val="-12"/>
          <w:sz w:val="22"/>
        </w:rPr>
        <w:t> </w:t>
      </w:r>
      <w:r>
        <w:rPr>
          <w:b/>
          <w:i/>
          <w:sz w:val="22"/>
        </w:rPr>
        <w:t>electrospinning</w:t>
      </w:r>
    </w:p>
    <w:p>
      <w:pPr>
        <w:pStyle w:val="BodyText"/>
        <w:spacing w:line="360" w:lineRule="auto" w:before="121"/>
        <w:ind w:left="122" w:right="136" w:firstLine="283"/>
        <w:jc w:val="both"/>
      </w:pPr>
      <w:r>
        <w:rPr/>
        <w:t>Los nanocompositos fueron obtenidos a partir de dos procesos diferentes. Uno de éstos es el proceso de </w:t>
      </w:r>
      <w:r>
        <w:rPr>
          <w:i/>
        </w:rPr>
        <w:t>electrospinning</w:t>
      </w:r>
      <w:r>
        <w:rPr/>
        <w:t>, el cual es un método por solución. Como su nombre lo indica involucró la disolución de la matriz polimérica y la incorporación de los nanomateriales. Este método permite la fácil dispersión de los nanomateriales de carbono en la solución polimérica [1]. El solvente empleado para disolver el nylon 6,6 fue el ácido fórmico. Esta solución lleva a reacciones de intercambio iónico, proporcionándole un carácter poli-electrolítico [123]. La ionización parcial de los grupos amida del nylon hace posible la producción de fibras a través de la técnica de </w:t>
      </w:r>
      <w:r>
        <w:rPr>
          <w:i/>
        </w:rPr>
        <w:t>electrospinning</w:t>
      </w:r>
      <w:r>
        <w:rPr/>
        <w:t>. Estas fibras son generadas a través de un campo  eléctrico proporcionado  a una gota de una solución de polímero que pasan a través de la punta de un orificio fino. Una característica  importante  de  esta  técnica  es  que  produce  fibras  con  diámetros  que  varían    de</w:t>
      </w:r>
    </w:p>
    <w:p>
      <w:pPr>
        <w:spacing w:after="0" w:line="360" w:lineRule="auto"/>
        <w:jc w:val="both"/>
        <w:sectPr>
          <w:pgSz w:w="12240" w:h="15840"/>
          <w:pgMar w:header="730" w:footer="1060" w:top="1160" w:bottom="1260" w:left="1580" w:right="1560"/>
        </w:sectPr>
      </w:pPr>
    </w:p>
    <w:p>
      <w:pPr>
        <w:pStyle w:val="BodyText"/>
        <w:rPr>
          <w:sz w:val="14"/>
        </w:rPr>
      </w:pPr>
    </w:p>
    <w:p>
      <w:pPr>
        <w:pStyle w:val="BodyText"/>
        <w:spacing w:line="360" w:lineRule="auto" w:before="73"/>
        <w:ind w:left="202" w:right="177"/>
        <w:jc w:val="both"/>
      </w:pPr>
      <w:r>
        <w:rPr/>
        <w:t>nanómetros a unos cuantos micrómetros y cuyas dimensiones no son fáciles de obtener por otros métodos [63]. De acuerdo a mediciones de los diámetros de las fibras obtenidas a través de SEM estos se encontraron dentro de un rango de 200 - 450 nm.</w:t>
      </w:r>
    </w:p>
    <w:p>
      <w:pPr>
        <w:pStyle w:val="BodyText"/>
      </w:pPr>
    </w:p>
    <w:p>
      <w:pPr>
        <w:pStyle w:val="Heading4"/>
        <w:ind w:left="202"/>
        <w:jc w:val="both"/>
      </w:pPr>
      <w:r>
        <w:rPr/>
        <w:t>4.4.1 Propiedades de cristalinidad</w:t>
      </w:r>
    </w:p>
    <w:p>
      <w:pPr>
        <w:pStyle w:val="BodyText"/>
        <w:spacing w:line="355" w:lineRule="auto" w:before="121"/>
        <w:ind w:left="202" w:right="176" w:firstLine="283"/>
        <w:jc w:val="both"/>
      </w:pPr>
      <w:r>
        <w:rPr/>
        <w:t>Las propiedades de cristalización fueron investigadas por DSC. A través de este análisis se observó el comportamiento de fusión y cristalización de los nanocompositos. En todos los termogramas solo se presentó una pequeña diferencia en la temperatura de fusión (T</w:t>
      </w:r>
      <w:r>
        <w:rPr>
          <w:position w:val="-2"/>
          <w:sz w:val="14"/>
        </w:rPr>
        <w:t>f</w:t>
      </w:r>
      <w:r>
        <w:rPr/>
        <w:t>) de los nanocompositos respecto a la fusión de las muestras con nylon puro, como se observa en la Tabla</w:t>
      </w:r>
    </w:p>
    <w:p>
      <w:pPr>
        <w:pStyle w:val="BodyText"/>
        <w:spacing w:line="357" w:lineRule="auto" w:before="10"/>
        <w:ind w:left="202" w:right="176"/>
        <w:jc w:val="both"/>
      </w:pPr>
      <w:r>
        <w:rPr/>
        <w:t>4.1. Esta tabla también muestra el efecto nucleante proporcionado por los nanomateriales  de carbono el cual se puede apreciar por el aumento en la T</w:t>
      </w:r>
      <w:r>
        <w:rPr>
          <w:position w:val="-2"/>
          <w:sz w:val="14"/>
        </w:rPr>
        <w:t>c </w:t>
      </w:r>
      <w:r>
        <w:rPr/>
        <w:t>de los nanocompositos. Este efecto es más notable en los nanocompositos en base a nanotubos de carbono. Dentro de estos nanomateriales, los p-CNT exhibieron el mejor efecto nucleante, indicando que la funcionalización de los nanomateriales retardó ligeramente la nucleación de las cadenas poliméricas. Además en la Tabla</w:t>
      </w:r>
    </w:p>
    <w:p>
      <w:pPr>
        <w:pStyle w:val="BodyText"/>
        <w:spacing w:line="360" w:lineRule="auto" w:before="7"/>
        <w:ind w:left="202" w:right="184"/>
        <w:jc w:val="both"/>
      </w:pPr>
      <w:r>
        <w:rPr/>
        <w:t>4.1 se presenta el grado de cristalinidad de las muestras, donde se observa que la adición de los nanomateriales propició un ligero aumento de esta propiedad.</w:t>
      </w:r>
    </w:p>
    <w:p>
      <w:pPr>
        <w:pStyle w:val="BodyText"/>
      </w:pPr>
    </w:p>
    <w:p>
      <w:pPr>
        <w:spacing w:before="131"/>
        <w:ind w:left="924" w:right="0" w:firstLine="0"/>
        <w:jc w:val="left"/>
        <w:rPr>
          <w:i/>
          <w:sz w:val="22"/>
        </w:rPr>
      </w:pPr>
      <w:r>
        <w:rPr>
          <w:b/>
          <w:sz w:val="22"/>
        </w:rPr>
        <w:t>Tabla 4.1 </w:t>
      </w:r>
      <w:r>
        <w:rPr>
          <w:sz w:val="22"/>
        </w:rPr>
        <w:t>Resultados de DSC de los nanocompositos obtenidos por </w:t>
      </w:r>
      <w:r>
        <w:rPr>
          <w:i/>
          <w:sz w:val="22"/>
        </w:rPr>
        <w:t>electrospinning</w:t>
      </w:r>
    </w:p>
    <w:p>
      <w:pPr>
        <w:pStyle w:val="BodyText"/>
        <w:rPr>
          <w:i/>
          <w:sz w:val="29"/>
        </w:rPr>
      </w:pPr>
    </w:p>
    <w:tbl>
      <w:tblPr>
        <w:tblW w:w="0" w:type="auto"/>
        <w:jc w:val="left"/>
        <w:tblInd w:w="11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253"/>
        <w:gridCol w:w="905"/>
        <w:gridCol w:w="942"/>
        <w:gridCol w:w="868"/>
        <w:gridCol w:w="905"/>
        <w:gridCol w:w="942"/>
        <w:gridCol w:w="863"/>
        <w:gridCol w:w="776"/>
        <w:gridCol w:w="769"/>
        <w:gridCol w:w="771"/>
      </w:tblGrid>
      <w:tr>
        <w:trPr>
          <w:trHeight w:val="334" w:hRule="exact"/>
        </w:trPr>
        <w:tc>
          <w:tcPr>
            <w:tcW w:w="1253" w:type="dxa"/>
            <w:tcBorders>
              <w:left w:val="nil"/>
              <w:bottom w:val="nil"/>
              <w:right w:val="nil"/>
            </w:tcBorders>
          </w:tcPr>
          <w:p>
            <w:pPr/>
          </w:p>
        </w:tc>
        <w:tc>
          <w:tcPr>
            <w:tcW w:w="905" w:type="dxa"/>
            <w:tcBorders>
              <w:left w:val="nil"/>
              <w:bottom w:val="single" w:sz="2" w:space="0" w:color="000000"/>
              <w:right w:val="nil"/>
            </w:tcBorders>
          </w:tcPr>
          <w:p>
            <w:pPr/>
          </w:p>
        </w:tc>
        <w:tc>
          <w:tcPr>
            <w:tcW w:w="942" w:type="dxa"/>
            <w:tcBorders>
              <w:left w:val="nil"/>
              <w:bottom w:val="single" w:sz="2" w:space="0" w:color="000000"/>
              <w:right w:val="nil"/>
            </w:tcBorders>
          </w:tcPr>
          <w:p>
            <w:pPr>
              <w:pStyle w:val="TableParagraph"/>
              <w:spacing w:before="30"/>
              <w:ind w:right="223"/>
              <w:jc w:val="right"/>
              <w:rPr>
                <w:b/>
                <w:i/>
                <w:sz w:val="22"/>
              </w:rPr>
            </w:pPr>
            <w:r>
              <w:rPr>
                <w:b/>
                <w:i/>
                <w:sz w:val="22"/>
              </w:rPr>
              <w:t>T</w:t>
            </w:r>
            <w:r>
              <w:rPr>
                <w:b/>
                <w:i/>
                <w:position w:val="-2"/>
                <w:sz w:val="14"/>
              </w:rPr>
              <w:t>f</w:t>
            </w:r>
            <w:r>
              <w:rPr>
                <w:b/>
                <w:i/>
                <w:sz w:val="22"/>
              </w:rPr>
              <w:t>, °C</w:t>
            </w:r>
          </w:p>
        </w:tc>
        <w:tc>
          <w:tcPr>
            <w:tcW w:w="868" w:type="dxa"/>
            <w:tcBorders>
              <w:left w:val="nil"/>
              <w:bottom w:val="single" w:sz="2" w:space="0" w:color="000000"/>
              <w:right w:val="nil"/>
            </w:tcBorders>
          </w:tcPr>
          <w:p>
            <w:pPr/>
          </w:p>
        </w:tc>
        <w:tc>
          <w:tcPr>
            <w:tcW w:w="905" w:type="dxa"/>
            <w:tcBorders>
              <w:left w:val="nil"/>
              <w:bottom w:val="single" w:sz="2" w:space="0" w:color="000000"/>
              <w:right w:val="nil"/>
            </w:tcBorders>
          </w:tcPr>
          <w:p>
            <w:pPr/>
          </w:p>
        </w:tc>
        <w:tc>
          <w:tcPr>
            <w:tcW w:w="942" w:type="dxa"/>
            <w:tcBorders>
              <w:left w:val="nil"/>
              <w:bottom w:val="single" w:sz="2" w:space="0" w:color="000000"/>
              <w:right w:val="nil"/>
            </w:tcBorders>
          </w:tcPr>
          <w:p>
            <w:pPr>
              <w:pStyle w:val="TableParagraph"/>
              <w:spacing w:before="30"/>
              <w:ind w:left="110" w:right="146"/>
              <w:rPr>
                <w:b/>
                <w:i/>
                <w:sz w:val="22"/>
              </w:rPr>
            </w:pPr>
            <w:r>
              <w:rPr>
                <w:b/>
                <w:i/>
                <w:sz w:val="22"/>
              </w:rPr>
              <w:t>T</w:t>
            </w:r>
            <w:r>
              <w:rPr>
                <w:b/>
                <w:i/>
                <w:position w:val="-2"/>
                <w:sz w:val="14"/>
              </w:rPr>
              <w:t>c</w:t>
            </w:r>
            <w:r>
              <w:rPr>
                <w:b/>
                <w:i/>
                <w:sz w:val="22"/>
              </w:rPr>
              <w:t>, °C</w:t>
            </w:r>
          </w:p>
        </w:tc>
        <w:tc>
          <w:tcPr>
            <w:tcW w:w="863" w:type="dxa"/>
            <w:tcBorders>
              <w:left w:val="nil"/>
              <w:bottom w:val="single" w:sz="2" w:space="0" w:color="000000"/>
              <w:right w:val="nil"/>
            </w:tcBorders>
          </w:tcPr>
          <w:p>
            <w:pPr/>
          </w:p>
        </w:tc>
        <w:tc>
          <w:tcPr>
            <w:tcW w:w="776" w:type="dxa"/>
            <w:tcBorders>
              <w:left w:val="nil"/>
              <w:bottom w:val="single" w:sz="2" w:space="0" w:color="000000"/>
              <w:right w:val="nil"/>
            </w:tcBorders>
          </w:tcPr>
          <w:p>
            <w:pPr/>
          </w:p>
        </w:tc>
        <w:tc>
          <w:tcPr>
            <w:tcW w:w="769" w:type="dxa"/>
            <w:tcBorders>
              <w:left w:val="nil"/>
              <w:bottom w:val="single" w:sz="2" w:space="0" w:color="000000"/>
              <w:right w:val="nil"/>
            </w:tcBorders>
          </w:tcPr>
          <w:p>
            <w:pPr>
              <w:pStyle w:val="TableParagraph"/>
              <w:spacing w:before="30"/>
              <w:ind w:left="44" w:right="44"/>
              <w:rPr>
                <w:b/>
                <w:i/>
                <w:sz w:val="14"/>
              </w:rPr>
            </w:pPr>
            <w:r>
              <w:rPr>
                <w:b/>
                <w:i/>
                <w:sz w:val="22"/>
              </w:rPr>
              <w:t>X</w:t>
            </w:r>
            <w:r>
              <w:rPr>
                <w:b/>
                <w:i/>
                <w:position w:val="-2"/>
                <w:sz w:val="14"/>
              </w:rPr>
              <w:t>c</w:t>
            </w:r>
          </w:p>
        </w:tc>
        <w:tc>
          <w:tcPr>
            <w:tcW w:w="771" w:type="dxa"/>
            <w:tcBorders>
              <w:left w:val="nil"/>
              <w:bottom w:val="single" w:sz="2" w:space="0" w:color="000000"/>
              <w:right w:val="nil"/>
            </w:tcBorders>
          </w:tcPr>
          <w:p>
            <w:pPr/>
          </w:p>
        </w:tc>
      </w:tr>
      <w:tr>
        <w:trPr>
          <w:trHeight w:val="334" w:hRule="exact"/>
        </w:trPr>
        <w:tc>
          <w:tcPr>
            <w:tcW w:w="1253" w:type="dxa"/>
            <w:tcBorders>
              <w:top w:val="nil"/>
              <w:left w:val="nil"/>
              <w:bottom w:val="nil"/>
              <w:right w:val="nil"/>
            </w:tcBorders>
          </w:tcPr>
          <w:p>
            <w:pPr>
              <w:pStyle w:val="TableParagraph"/>
              <w:spacing w:before="39"/>
              <w:ind w:left="173" w:right="159"/>
              <w:rPr>
                <w:b/>
                <w:i/>
                <w:sz w:val="22"/>
              </w:rPr>
            </w:pPr>
            <w:r>
              <w:rPr>
                <w:b/>
                <w:i/>
                <w:sz w:val="22"/>
              </w:rPr>
              <w:t>Nylon 6,6</w:t>
            </w:r>
          </w:p>
        </w:tc>
        <w:tc>
          <w:tcPr>
            <w:tcW w:w="905" w:type="dxa"/>
            <w:tcBorders>
              <w:top w:val="single" w:sz="2" w:space="0" w:color="000000"/>
              <w:left w:val="nil"/>
              <w:bottom w:val="single" w:sz="2" w:space="0" w:color="000000"/>
              <w:right w:val="nil"/>
            </w:tcBorders>
          </w:tcPr>
          <w:p>
            <w:pPr/>
          </w:p>
        </w:tc>
        <w:tc>
          <w:tcPr>
            <w:tcW w:w="942" w:type="dxa"/>
            <w:tcBorders>
              <w:top w:val="single" w:sz="2" w:space="0" w:color="000000"/>
              <w:left w:val="nil"/>
              <w:bottom w:val="single" w:sz="2" w:space="0" w:color="000000"/>
              <w:right w:val="nil"/>
            </w:tcBorders>
          </w:tcPr>
          <w:p>
            <w:pPr>
              <w:pStyle w:val="TableParagraph"/>
              <w:spacing w:before="32"/>
              <w:ind w:right="239"/>
              <w:jc w:val="right"/>
              <w:rPr>
                <w:sz w:val="22"/>
              </w:rPr>
            </w:pPr>
            <w:r>
              <w:rPr>
                <w:sz w:val="22"/>
              </w:rPr>
              <w:t>261.5</w:t>
            </w:r>
          </w:p>
        </w:tc>
        <w:tc>
          <w:tcPr>
            <w:tcW w:w="868" w:type="dxa"/>
            <w:tcBorders>
              <w:top w:val="single" w:sz="2" w:space="0" w:color="000000"/>
              <w:left w:val="nil"/>
              <w:bottom w:val="single" w:sz="2" w:space="0" w:color="000000"/>
              <w:right w:val="nil"/>
            </w:tcBorders>
          </w:tcPr>
          <w:p>
            <w:pPr/>
          </w:p>
        </w:tc>
        <w:tc>
          <w:tcPr>
            <w:tcW w:w="905" w:type="dxa"/>
            <w:tcBorders>
              <w:top w:val="single" w:sz="2" w:space="0" w:color="000000"/>
              <w:left w:val="nil"/>
              <w:bottom w:val="single" w:sz="2" w:space="0" w:color="000000"/>
              <w:right w:val="nil"/>
            </w:tcBorders>
          </w:tcPr>
          <w:p>
            <w:pPr/>
          </w:p>
        </w:tc>
        <w:tc>
          <w:tcPr>
            <w:tcW w:w="942" w:type="dxa"/>
            <w:tcBorders>
              <w:top w:val="single" w:sz="2" w:space="0" w:color="000000"/>
              <w:left w:val="nil"/>
              <w:bottom w:val="single" w:sz="2" w:space="0" w:color="000000"/>
              <w:right w:val="nil"/>
            </w:tcBorders>
          </w:tcPr>
          <w:p>
            <w:pPr>
              <w:pStyle w:val="TableParagraph"/>
              <w:spacing w:before="32"/>
              <w:ind w:left="112" w:right="146"/>
              <w:rPr>
                <w:sz w:val="22"/>
              </w:rPr>
            </w:pPr>
            <w:r>
              <w:rPr>
                <w:sz w:val="22"/>
              </w:rPr>
              <w:t>231.2</w:t>
            </w:r>
          </w:p>
        </w:tc>
        <w:tc>
          <w:tcPr>
            <w:tcW w:w="863" w:type="dxa"/>
            <w:tcBorders>
              <w:top w:val="single" w:sz="2" w:space="0" w:color="000000"/>
              <w:left w:val="nil"/>
              <w:bottom w:val="single" w:sz="2" w:space="0" w:color="000000"/>
              <w:right w:val="nil"/>
            </w:tcBorders>
          </w:tcPr>
          <w:p>
            <w:pPr/>
          </w:p>
        </w:tc>
        <w:tc>
          <w:tcPr>
            <w:tcW w:w="776" w:type="dxa"/>
            <w:tcBorders>
              <w:top w:val="single" w:sz="2" w:space="0" w:color="000000"/>
              <w:left w:val="nil"/>
              <w:bottom w:val="single" w:sz="2" w:space="0" w:color="000000"/>
              <w:right w:val="nil"/>
            </w:tcBorders>
          </w:tcPr>
          <w:p>
            <w:pPr/>
          </w:p>
        </w:tc>
        <w:tc>
          <w:tcPr>
            <w:tcW w:w="769" w:type="dxa"/>
            <w:tcBorders>
              <w:top w:val="single" w:sz="2" w:space="0" w:color="000000"/>
              <w:left w:val="nil"/>
              <w:bottom w:val="single" w:sz="2" w:space="0" w:color="000000"/>
              <w:right w:val="nil"/>
            </w:tcBorders>
          </w:tcPr>
          <w:p>
            <w:pPr>
              <w:pStyle w:val="TableParagraph"/>
              <w:spacing w:before="32"/>
              <w:ind w:left="44" w:right="41"/>
              <w:rPr>
                <w:sz w:val="22"/>
              </w:rPr>
            </w:pPr>
            <w:r>
              <w:rPr>
                <w:sz w:val="22"/>
              </w:rPr>
              <w:t>39.4</w:t>
            </w:r>
          </w:p>
        </w:tc>
        <w:tc>
          <w:tcPr>
            <w:tcW w:w="771" w:type="dxa"/>
            <w:tcBorders>
              <w:top w:val="single" w:sz="2" w:space="0" w:color="000000"/>
              <w:left w:val="nil"/>
              <w:bottom w:val="single" w:sz="2" w:space="0" w:color="000000"/>
              <w:right w:val="nil"/>
            </w:tcBorders>
          </w:tcPr>
          <w:p>
            <w:pPr/>
          </w:p>
        </w:tc>
      </w:tr>
      <w:tr>
        <w:trPr>
          <w:trHeight w:val="257" w:hRule="exact"/>
        </w:trPr>
        <w:tc>
          <w:tcPr>
            <w:tcW w:w="1253" w:type="dxa"/>
            <w:tcBorders>
              <w:top w:val="nil"/>
              <w:left w:val="nil"/>
              <w:bottom w:val="nil"/>
              <w:right w:val="nil"/>
            </w:tcBorders>
          </w:tcPr>
          <w:p>
            <w:pPr/>
          </w:p>
        </w:tc>
        <w:tc>
          <w:tcPr>
            <w:tcW w:w="905" w:type="dxa"/>
            <w:tcBorders>
              <w:top w:val="single" w:sz="2" w:space="0" w:color="000000"/>
              <w:left w:val="nil"/>
              <w:bottom w:val="nil"/>
              <w:right w:val="nil"/>
            </w:tcBorders>
          </w:tcPr>
          <w:p>
            <w:pPr/>
          </w:p>
        </w:tc>
        <w:tc>
          <w:tcPr>
            <w:tcW w:w="942" w:type="dxa"/>
            <w:tcBorders>
              <w:top w:val="single" w:sz="2" w:space="0" w:color="000000"/>
              <w:left w:val="nil"/>
              <w:bottom w:val="nil"/>
              <w:right w:val="nil"/>
            </w:tcBorders>
          </w:tcPr>
          <w:p>
            <w:pPr>
              <w:pStyle w:val="TableParagraph"/>
              <w:spacing w:before="30"/>
              <w:ind w:right="165"/>
              <w:jc w:val="right"/>
              <w:rPr>
                <w:b/>
                <w:i/>
                <w:sz w:val="22"/>
              </w:rPr>
            </w:pPr>
            <w:r>
              <w:rPr>
                <w:b/>
                <w:i/>
                <w:sz w:val="22"/>
              </w:rPr>
              <w:t>% peso</w:t>
            </w:r>
          </w:p>
        </w:tc>
        <w:tc>
          <w:tcPr>
            <w:tcW w:w="868" w:type="dxa"/>
            <w:tcBorders>
              <w:top w:val="single" w:sz="2" w:space="0" w:color="000000"/>
              <w:left w:val="nil"/>
              <w:bottom w:val="nil"/>
              <w:right w:val="nil"/>
            </w:tcBorders>
          </w:tcPr>
          <w:p>
            <w:pPr/>
          </w:p>
        </w:tc>
        <w:tc>
          <w:tcPr>
            <w:tcW w:w="905" w:type="dxa"/>
            <w:tcBorders>
              <w:top w:val="single" w:sz="2" w:space="0" w:color="000000"/>
              <w:left w:val="nil"/>
              <w:bottom w:val="nil"/>
              <w:right w:val="nil"/>
            </w:tcBorders>
          </w:tcPr>
          <w:p>
            <w:pPr/>
          </w:p>
        </w:tc>
        <w:tc>
          <w:tcPr>
            <w:tcW w:w="942" w:type="dxa"/>
            <w:tcBorders>
              <w:top w:val="single" w:sz="2" w:space="0" w:color="000000"/>
              <w:left w:val="nil"/>
              <w:bottom w:val="nil"/>
              <w:right w:val="nil"/>
            </w:tcBorders>
          </w:tcPr>
          <w:p>
            <w:pPr>
              <w:pStyle w:val="TableParagraph"/>
              <w:spacing w:before="30"/>
              <w:ind w:left="113" w:right="146"/>
              <w:rPr>
                <w:b/>
                <w:i/>
                <w:sz w:val="22"/>
              </w:rPr>
            </w:pPr>
            <w:r>
              <w:rPr>
                <w:b/>
                <w:i/>
                <w:sz w:val="22"/>
              </w:rPr>
              <w:t>% peso</w:t>
            </w:r>
          </w:p>
        </w:tc>
        <w:tc>
          <w:tcPr>
            <w:tcW w:w="863" w:type="dxa"/>
            <w:tcBorders>
              <w:top w:val="single" w:sz="2" w:space="0" w:color="000000"/>
              <w:left w:val="nil"/>
              <w:bottom w:val="nil"/>
              <w:right w:val="nil"/>
            </w:tcBorders>
          </w:tcPr>
          <w:p>
            <w:pPr/>
          </w:p>
        </w:tc>
        <w:tc>
          <w:tcPr>
            <w:tcW w:w="776" w:type="dxa"/>
            <w:tcBorders>
              <w:top w:val="single" w:sz="2" w:space="0" w:color="000000"/>
              <w:left w:val="nil"/>
              <w:bottom w:val="nil"/>
              <w:right w:val="nil"/>
            </w:tcBorders>
          </w:tcPr>
          <w:p>
            <w:pPr/>
          </w:p>
        </w:tc>
        <w:tc>
          <w:tcPr>
            <w:tcW w:w="769" w:type="dxa"/>
            <w:tcBorders>
              <w:top w:val="single" w:sz="2" w:space="0" w:color="000000"/>
              <w:left w:val="nil"/>
              <w:bottom w:val="nil"/>
              <w:right w:val="nil"/>
            </w:tcBorders>
          </w:tcPr>
          <w:p>
            <w:pPr>
              <w:pStyle w:val="TableParagraph"/>
              <w:spacing w:before="30"/>
              <w:ind w:left="44" w:right="44"/>
              <w:rPr>
                <w:b/>
                <w:i/>
                <w:sz w:val="22"/>
              </w:rPr>
            </w:pPr>
            <w:r>
              <w:rPr>
                <w:b/>
                <w:i/>
                <w:sz w:val="22"/>
              </w:rPr>
              <w:t>% peso</w:t>
            </w:r>
          </w:p>
        </w:tc>
        <w:tc>
          <w:tcPr>
            <w:tcW w:w="771" w:type="dxa"/>
            <w:tcBorders>
              <w:top w:val="single" w:sz="2" w:space="0" w:color="000000"/>
              <w:left w:val="nil"/>
              <w:bottom w:val="nil"/>
              <w:right w:val="nil"/>
            </w:tcBorders>
          </w:tcPr>
          <w:p>
            <w:pPr/>
          </w:p>
        </w:tc>
      </w:tr>
      <w:tr>
        <w:trPr>
          <w:trHeight w:val="420" w:hRule="exact"/>
        </w:trPr>
        <w:tc>
          <w:tcPr>
            <w:tcW w:w="1253" w:type="dxa"/>
            <w:tcBorders>
              <w:top w:val="nil"/>
              <w:left w:val="nil"/>
              <w:right w:val="nil"/>
            </w:tcBorders>
          </w:tcPr>
          <w:p>
            <w:pPr>
              <w:pStyle w:val="TableParagraph"/>
              <w:spacing w:line="201" w:lineRule="exact"/>
              <w:ind w:left="172" w:right="159"/>
              <w:rPr>
                <w:b/>
                <w:i/>
                <w:sz w:val="22"/>
              </w:rPr>
            </w:pPr>
            <w:r>
              <w:rPr>
                <w:b/>
                <w:i/>
                <w:sz w:val="22"/>
              </w:rPr>
              <w:t>Refuerzo</w:t>
            </w:r>
          </w:p>
        </w:tc>
        <w:tc>
          <w:tcPr>
            <w:tcW w:w="905" w:type="dxa"/>
            <w:tcBorders>
              <w:top w:val="nil"/>
              <w:left w:val="nil"/>
              <w:right w:val="nil"/>
            </w:tcBorders>
          </w:tcPr>
          <w:p>
            <w:pPr>
              <w:pStyle w:val="TableParagraph"/>
              <w:spacing w:before="116"/>
              <w:ind w:left="184" w:right="184"/>
              <w:rPr>
                <w:i/>
                <w:sz w:val="22"/>
              </w:rPr>
            </w:pPr>
            <w:r>
              <w:rPr>
                <w:i/>
                <w:sz w:val="22"/>
              </w:rPr>
              <w:t>0.1</w:t>
            </w:r>
          </w:p>
        </w:tc>
        <w:tc>
          <w:tcPr>
            <w:tcW w:w="942" w:type="dxa"/>
            <w:tcBorders>
              <w:top w:val="nil"/>
              <w:left w:val="nil"/>
              <w:right w:val="nil"/>
            </w:tcBorders>
          </w:tcPr>
          <w:p>
            <w:pPr>
              <w:pStyle w:val="TableParagraph"/>
              <w:spacing w:before="116"/>
              <w:ind w:left="297" w:right="330"/>
              <w:rPr>
                <w:i/>
                <w:sz w:val="22"/>
              </w:rPr>
            </w:pPr>
            <w:r>
              <w:rPr>
                <w:i/>
                <w:sz w:val="22"/>
              </w:rPr>
              <w:t>0.5</w:t>
            </w:r>
          </w:p>
        </w:tc>
        <w:tc>
          <w:tcPr>
            <w:tcW w:w="868" w:type="dxa"/>
            <w:tcBorders>
              <w:top w:val="nil"/>
              <w:left w:val="nil"/>
              <w:right w:val="nil"/>
            </w:tcBorders>
          </w:tcPr>
          <w:p>
            <w:pPr>
              <w:pStyle w:val="TableParagraph"/>
              <w:spacing w:before="116"/>
              <w:ind w:right="36"/>
              <w:rPr>
                <w:i/>
                <w:sz w:val="22"/>
              </w:rPr>
            </w:pPr>
            <w:r>
              <w:rPr>
                <w:i/>
                <w:w w:val="100"/>
                <w:sz w:val="22"/>
              </w:rPr>
              <w:t>1</w:t>
            </w:r>
          </w:p>
        </w:tc>
        <w:tc>
          <w:tcPr>
            <w:tcW w:w="905" w:type="dxa"/>
            <w:tcBorders>
              <w:top w:val="nil"/>
              <w:left w:val="nil"/>
              <w:right w:val="nil"/>
            </w:tcBorders>
          </w:tcPr>
          <w:p>
            <w:pPr>
              <w:pStyle w:val="TableParagraph"/>
              <w:spacing w:before="116"/>
              <w:ind w:left="185" w:right="185"/>
              <w:rPr>
                <w:i/>
                <w:sz w:val="22"/>
              </w:rPr>
            </w:pPr>
            <w:r>
              <w:rPr>
                <w:i/>
                <w:sz w:val="22"/>
              </w:rPr>
              <w:t>0.1</w:t>
            </w:r>
          </w:p>
        </w:tc>
        <w:tc>
          <w:tcPr>
            <w:tcW w:w="942" w:type="dxa"/>
            <w:tcBorders>
              <w:top w:val="nil"/>
              <w:left w:val="nil"/>
              <w:right w:val="nil"/>
            </w:tcBorders>
          </w:tcPr>
          <w:p>
            <w:pPr>
              <w:pStyle w:val="TableParagraph"/>
              <w:spacing w:before="116"/>
              <w:ind w:left="112" w:right="146"/>
              <w:rPr>
                <w:i/>
                <w:sz w:val="22"/>
              </w:rPr>
            </w:pPr>
            <w:r>
              <w:rPr>
                <w:i/>
                <w:sz w:val="22"/>
              </w:rPr>
              <w:t>0.5</w:t>
            </w:r>
          </w:p>
        </w:tc>
        <w:tc>
          <w:tcPr>
            <w:tcW w:w="863" w:type="dxa"/>
            <w:tcBorders>
              <w:top w:val="nil"/>
              <w:left w:val="nil"/>
              <w:right w:val="nil"/>
            </w:tcBorders>
          </w:tcPr>
          <w:p>
            <w:pPr>
              <w:pStyle w:val="TableParagraph"/>
              <w:spacing w:before="116"/>
              <w:ind w:right="32"/>
              <w:rPr>
                <w:i/>
                <w:sz w:val="22"/>
              </w:rPr>
            </w:pPr>
            <w:r>
              <w:rPr>
                <w:i/>
                <w:w w:val="100"/>
                <w:sz w:val="22"/>
              </w:rPr>
              <w:t>1</w:t>
            </w:r>
          </w:p>
        </w:tc>
        <w:tc>
          <w:tcPr>
            <w:tcW w:w="776" w:type="dxa"/>
            <w:tcBorders>
              <w:top w:val="nil"/>
              <w:left w:val="nil"/>
              <w:right w:val="nil"/>
            </w:tcBorders>
          </w:tcPr>
          <w:p>
            <w:pPr>
              <w:pStyle w:val="TableParagraph"/>
              <w:spacing w:before="116"/>
              <w:ind w:left="179" w:right="171"/>
              <w:rPr>
                <w:i/>
                <w:sz w:val="22"/>
              </w:rPr>
            </w:pPr>
            <w:r>
              <w:rPr>
                <w:i/>
                <w:sz w:val="22"/>
              </w:rPr>
              <w:t>0.1</w:t>
            </w:r>
          </w:p>
        </w:tc>
        <w:tc>
          <w:tcPr>
            <w:tcW w:w="769" w:type="dxa"/>
            <w:tcBorders>
              <w:top w:val="nil"/>
              <w:left w:val="nil"/>
              <w:right w:val="nil"/>
            </w:tcBorders>
          </w:tcPr>
          <w:p>
            <w:pPr>
              <w:pStyle w:val="TableParagraph"/>
              <w:spacing w:before="116"/>
              <w:ind w:left="43" w:right="44"/>
              <w:rPr>
                <w:i/>
                <w:sz w:val="22"/>
              </w:rPr>
            </w:pPr>
            <w:r>
              <w:rPr>
                <w:i/>
                <w:sz w:val="22"/>
              </w:rPr>
              <w:t>0.5</w:t>
            </w:r>
          </w:p>
        </w:tc>
        <w:tc>
          <w:tcPr>
            <w:tcW w:w="771" w:type="dxa"/>
            <w:tcBorders>
              <w:top w:val="nil"/>
              <w:left w:val="nil"/>
              <w:right w:val="nil"/>
            </w:tcBorders>
          </w:tcPr>
          <w:p>
            <w:pPr>
              <w:pStyle w:val="TableParagraph"/>
              <w:spacing w:before="116"/>
              <w:rPr>
                <w:i/>
                <w:sz w:val="22"/>
              </w:rPr>
            </w:pPr>
            <w:r>
              <w:rPr>
                <w:i/>
                <w:w w:val="100"/>
                <w:sz w:val="22"/>
              </w:rPr>
              <w:t>1</w:t>
            </w:r>
          </w:p>
        </w:tc>
      </w:tr>
      <w:tr>
        <w:trPr>
          <w:trHeight w:val="373" w:hRule="exact"/>
        </w:trPr>
        <w:tc>
          <w:tcPr>
            <w:tcW w:w="1253" w:type="dxa"/>
            <w:tcBorders>
              <w:left w:val="nil"/>
              <w:bottom w:val="nil"/>
              <w:right w:val="nil"/>
            </w:tcBorders>
          </w:tcPr>
          <w:p>
            <w:pPr>
              <w:pStyle w:val="TableParagraph"/>
              <w:spacing w:before="39"/>
              <w:ind w:left="173" w:right="159"/>
              <w:rPr>
                <w:b/>
                <w:i/>
                <w:sz w:val="22"/>
              </w:rPr>
            </w:pPr>
            <w:r>
              <w:rPr>
                <w:b/>
                <w:i/>
                <w:sz w:val="22"/>
              </w:rPr>
              <w:t>p-CNT</w:t>
            </w:r>
          </w:p>
        </w:tc>
        <w:tc>
          <w:tcPr>
            <w:tcW w:w="905" w:type="dxa"/>
            <w:tcBorders>
              <w:left w:val="nil"/>
              <w:bottom w:val="nil"/>
              <w:right w:val="nil"/>
            </w:tcBorders>
          </w:tcPr>
          <w:p>
            <w:pPr>
              <w:pStyle w:val="TableParagraph"/>
              <w:spacing w:before="73"/>
              <w:ind w:left="184" w:right="184"/>
              <w:rPr>
                <w:sz w:val="22"/>
              </w:rPr>
            </w:pPr>
            <w:r>
              <w:rPr>
                <w:sz w:val="22"/>
              </w:rPr>
              <w:t>260.9</w:t>
            </w:r>
          </w:p>
        </w:tc>
        <w:tc>
          <w:tcPr>
            <w:tcW w:w="942" w:type="dxa"/>
            <w:tcBorders>
              <w:left w:val="nil"/>
              <w:bottom w:val="nil"/>
              <w:right w:val="nil"/>
            </w:tcBorders>
          </w:tcPr>
          <w:p>
            <w:pPr>
              <w:pStyle w:val="TableParagraph"/>
              <w:spacing w:before="73"/>
              <w:ind w:right="239"/>
              <w:jc w:val="right"/>
              <w:rPr>
                <w:sz w:val="22"/>
              </w:rPr>
            </w:pPr>
            <w:r>
              <w:rPr>
                <w:sz w:val="22"/>
              </w:rPr>
              <w:t>260.9</w:t>
            </w:r>
          </w:p>
        </w:tc>
        <w:tc>
          <w:tcPr>
            <w:tcW w:w="868" w:type="dxa"/>
            <w:tcBorders>
              <w:left w:val="nil"/>
              <w:bottom w:val="nil"/>
              <w:right w:val="nil"/>
            </w:tcBorders>
          </w:tcPr>
          <w:p>
            <w:pPr>
              <w:pStyle w:val="TableParagraph"/>
              <w:spacing w:before="73"/>
              <w:ind w:left="149" w:right="183"/>
              <w:rPr>
                <w:sz w:val="22"/>
              </w:rPr>
            </w:pPr>
            <w:r>
              <w:rPr>
                <w:sz w:val="22"/>
              </w:rPr>
              <w:t>261.5</w:t>
            </w:r>
          </w:p>
        </w:tc>
        <w:tc>
          <w:tcPr>
            <w:tcW w:w="905" w:type="dxa"/>
            <w:tcBorders>
              <w:left w:val="nil"/>
              <w:bottom w:val="nil"/>
              <w:right w:val="nil"/>
            </w:tcBorders>
          </w:tcPr>
          <w:p>
            <w:pPr>
              <w:pStyle w:val="TableParagraph"/>
              <w:spacing w:before="73"/>
              <w:ind w:left="185" w:right="185"/>
              <w:rPr>
                <w:sz w:val="22"/>
              </w:rPr>
            </w:pPr>
            <w:r>
              <w:rPr>
                <w:sz w:val="22"/>
              </w:rPr>
              <w:t>234.6</w:t>
            </w:r>
          </w:p>
        </w:tc>
        <w:tc>
          <w:tcPr>
            <w:tcW w:w="942" w:type="dxa"/>
            <w:tcBorders>
              <w:left w:val="nil"/>
              <w:bottom w:val="nil"/>
              <w:right w:val="nil"/>
            </w:tcBorders>
          </w:tcPr>
          <w:p>
            <w:pPr>
              <w:pStyle w:val="TableParagraph"/>
              <w:spacing w:before="73"/>
              <w:ind w:left="112" w:right="146"/>
              <w:rPr>
                <w:sz w:val="22"/>
              </w:rPr>
            </w:pPr>
            <w:r>
              <w:rPr>
                <w:sz w:val="22"/>
              </w:rPr>
              <w:t>238.6</w:t>
            </w:r>
          </w:p>
        </w:tc>
        <w:tc>
          <w:tcPr>
            <w:tcW w:w="863" w:type="dxa"/>
            <w:tcBorders>
              <w:left w:val="nil"/>
              <w:bottom w:val="nil"/>
              <w:right w:val="nil"/>
            </w:tcBorders>
          </w:tcPr>
          <w:p>
            <w:pPr>
              <w:pStyle w:val="TableParagraph"/>
              <w:spacing w:before="73"/>
              <w:ind w:left="149" w:right="178"/>
              <w:rPr>
                <w:sz w:val="22"/>
              </w:rPr>
            </w:pPr>
            <w:r>
              <w:rPr>
                <w:sz w:val="22"/>
              </w:rPr>
              <w:t>238.6</w:t>
            </w:r>
          </w:p>
        </w:tc>
        <w:tc>
          <w:tcPr>
            <w:tcW w:w="776" w:type="dxa"/>
            <w:tcBorders>
              <w:left w:val="nil"/>
              <w:bottom w:val="nil"/>
              <w:right w:val="nil"/>
            </w:tcBorders>
          </w:tcPr>
          <w:p>
            <w:pPr>
              <w:pStyle w:val="TableParagraph"/>
              <w:spacing w:before="73"/>
              <w:ind w:left="179" w:right="171"/>
              <w:rPr>
                <w:sz w:val="22"/>
              </w:rPr>
            </w:pPr>
            <w:r>
              <w:rPr>
                <w:sz w:val="22"/>
              </w:rPr>
              <w:t>39.0</w:t>
            </w:r>
          </w:p>
        </w:tc>
        <w:tc>
          <w:tcPr>
            <w:tcW w:w="769" w:type="dxa"/>
            <w:tcBorders>
              <w:left w:val="nil"/>
              <w:bottom w:val="nil"/>
              <w:right w:val="nil"/>
            </w:tcBorders>
          </w:tcPr>
          <w:p>
            <w:pPr>
              <w:pStyle w:val="TableParagraph"/>
              <w:spacing w:before="73"/>
              <w:ind w:left="43" w:right="44"/>
              <w:rPr>
                <w:sz w:val="22"/>
              </w:rPr>
            </w:pPr>
            <w:r>
              <w:rPr>
                <w:sz w:val="22"/>
              </w:rPr>
              <w:t>41.4</w:t>
            </w:r>
          </w:p>
        </w:tc>
        <w:tc>
          <w:tcPr>
            <w:tcW w:w="771" w:type="dxa"/>
            <w:tcBorders>
              <w:left w:val="nil"/>
              <w:bottom w:val="nil"/>
              <w:right w:val="nil"/>
            </w:tcBorders>
          </w:tcPr>
          <w:p>
            <w:pPr>
              <w:pStyle w:val="TableParagraph"/>
              <w:spacing w:before="73"/>
              <w:ind w:left="172" w:right="172"/>
              <w:rPr>
                <w:sz w:val="22"/>
              </w:rPr>
            </w:pPr>
            <w:r>
              <w:rPr>
                <w:sz w:val="22"/>
              </w:rPr>
              <w:t>41.8</w:t>
            </w:r>
          </w:p>
        </w:tc>
      </w:tr>
      <w:tr>
        <w:trPr>
          <w:trHeight w:val="330" w:hRule="exact"/>
        </w:trPr>
        <w:tc>
          <w:tcPr>
            <w:tcW w:w="1253" w:type="dxa"/>
            <w:tcBorders>
              <w:top w:val="nil"/>
              <w:left w:val="nil"/>
              <w:bottom w:val="nil"/>
              <w:right w:val="nil"/>
            </w:tcBorders>
          </w:tcPr>
          <w:p>
            <w:pPr>
              <w:pStyle w:val="TableParagraph"/>
              <w:spacing w:before="9"/>
              <w:ind w:left="170" w:right="159"/>
              <w:rPr>
                <w:b/>
                <w:i/>
                <w:sz w:val="22"/>
              </w:rPr>
            </w:pPr>
            <w:r>
              <w:rPr>
                <w:b/>
                <w:i/>
                <w:sz w:val="22"/>
              </w:rPr>
              <w:t>OCNT</w:t>
            </w:r>
          </w:p>
        </w:tc>
        <w:tc>
          <w:tcPr>
            <w:tcW w:w="905" w:type="dxa"/>
            <w:tcBorders>
              <w:top w:val="nil"/>
              <w:left w:val="nil"/>
              <w:bottom w:val="nil"/>
              <w:right w:val="nil"/>
            </w:tcBorders>
          </w:tcPr>
          <w:p>
            <w:pPr>
              <w:pStyle w:val="TableParagraph"/>
              <w:spacing w:before="43"/>
              <w:ind w:left="184" w:right="184"/>
              <w:rPr>
                <w:sz w:val="22"/>
              </w:rPr>
            </w:pPr>
            <w:r>
              <w:rPr>
                <w:sz w:val="22"/>
              </w:rPr>
              <w:t>261.5</w:t>
            </w:r>
          </w:p>
        </w:tc>
        <w:tc>
          <w:tcPr>
            <w:tcW w:w="942" w:type="dxa"/>
            <w:tcBorders>
              <w:top w:val="nil"/>
              <w:left w:val="nil"/>
              <w:bottom w:val="nil"/>
              <w:right w:val="nil"/>
            </w:tcBorders>
          </w:tcPr>
          <w:p>
            <w:pPr>
              <w:pStyle w:val="TableParagraph"/>
              <w:spacing w:before="43"/>
              <w:ind w:right="239"/>
              <w:jc w:val="right"/>
              <w:rPr>
                <w:sz w:val="22"/>
              </w:rPr>
            </w:pPr>
            <w:r>
              <w:rPr>
                <w:sz w:val="22"/>
              </w:rPr>
              <w:t>261.5</w:t>
            </w:r>
          </w:p>
        </w:tc>
        <w:tc>
          <w:tcPr>
            <w:tcW w:w="868" w:type="dxa"/>
            <w:tcBorders>
              <w:top w:val="nil"/>
              <w:left w:val="nil"/>
              <w:bottom w:val="nil"/>
              <w:right w:val="nil"/>
            </w:tcBorders>
          </w:tcPr>
          <w:p>
            <w:pPr>
              <w:pStyle w:val="TableParagraph"/>
              <w:spacing w:before="43"/>
              <w:ind w:left="149" w:right="183"/>
              <w:rPr>
                <w:sz w:val="22"/>
              </w:rPr>
            </w:pPr>
            <w:r>
              <w:rPr>
                <w:sz w:val="22"/>
              </w:rPr>
              <w:t>262.1</w:t>
            </w:r>
          </w:p>
        </w:tc>
        <w:tc>
          <w:tcPr>
            <w:tcW w:w="905" w:type="dxa"/>
            <w:tcBorders>
              <w:top w:val="nil"/>
              <w:left w:val="nil"/>
              <w:bottom w:val="nil"/>
              <w:right w:val="nil"/>
            </w:tcBorders>
          </w:tcPr>
          <w:p>
            <w:pPr>
              <w:pStyle w:val="TableParagraph"/>
              <w:spacing w:before="43"/>
              <w:ind w:left="185" w:right="185"/>
              <w:rPr>
                <w:sz w:val="22"/>
              </w:rPr>
            </w:pPr>
            <w:r>
              <w:rPr>
                <w:sz w:val="22"/>
              </w:rPr>
              <w:t>234.0</w:t>
            </w:r>
          </w:p>
        </w:tc>
        <w:tc>
          <w:tcPr>
            <w:tcW w:w="942" w:type="dxa"/>
            <w:tcBorders>
              <w:top w:val="nil"/>
              <w:left w:val="nil"/>
              <w:bottom w:val="nil"/>
              <w:right w:val="nil"/>
            </w:tcBorders>
          </w:tcPr>
          <w:p>
            <w:pPr>
              <w:pStyle w:val="TableParagraph"/>
              <w:spacing w:before="43"/>
              <w:ind w:left="112" w:right="146"/>
              <w:rPr>
                <w:sz w:val="22"/>
              </w:rPr>
            </w:pPr>
            <w:r>
              <w:rPr>
                <w:sz w:val="22"/>
              </w:rPr>
              <w:t>236.3</w:t>
            </w:r>
          </w:p>
        </w:tc>
        <w:tc>
          <w:tcPr>
            <w:tcW w:w="863" w:type="dxa"/>
            <w:tcBorders>
              <w:top w:val="nil"/>
              <w:left w:val="nil"/>
              <w:bottom w:val="nil"/>
              <w:right w:val="nil"/>
            </w:tcBorders>
          </w:tcPr>
          <w:p>
            <w:pPr>
              <w:pStyle w:val="TableParagraph"/>
              <w:spacing w:before="43"/>
              <w:ind w:left="149" w:right="178"/>
              <w:rPr>
                <w:sz w:val="22"/>
              </w:rPr>
            </w:pPr>
            <w:r>
              <w:rPr>
                <w:sz w:val="22"/>
              </w:rPr>
              <w:t>236.9</w:t>
            </w:r>
          </w:p>
        </w:tc>
        <w:tc>
          <w:tcPr>
            <w:tcW w:w="776" w:type="dxa"/>
            <w:tcBorders>
              <w:top w:val="nil"/>
              <w:left w:val="nil"/>
              <w:bottom w:val="nil"/>
              <w:right w:val="nil"/>
            </w:tcBorders>
          </w:tcPr>
          <w:p>
            <w:pPr>
              <w:pStyle w:val="TableParagraph"/>
              <w:spacing w:before="43"/>
              <w:ind w:left="179" w:right="171"/>
              <w:rPr>
                <w:sz w:val="22"/>
              </w:rPr>
            </w:pPr>
            <w:r>
              <w:rPr>
                <w:sz w:val="22"/>
              </w:rPr>
              <w:t>40.8</w:t>
            </w:r>
          </w:p>
        </w:tc>
        <w:tc>
          <w:tcPr>
            <w:tcW w:w="769" w:type="dxa"/>
            <w:tcBorders>
              <w:top w:val="nil"/>
              <w:left w:val="nil"/>
              <w:bottom w:val="nil"/>
              <w:right w:val="nil"/>
            </w:tcBorders>
          </w:tcPr>
          <w:p>
            <w:pPr>
              <w:pStyle w:val="TableParagraph"/>
              <w:spacing w:before="43"/>
              <w:ind w:left="43" w:right="44"/>
              <w:rPr>
                <w:sz w:val="22"/>
              </w:rPr>
            </w:pPr>
            <w:r>
              <w:rPr>
                <w:sz w:val="22"/>
              </w:rPr>
              <w:t>41.3</w:t>
            </w:r>
          </w:p>
        </w:tc>
        <w:tc>
          <w:tcPr>
            <w:tcW w:w="771" w:type="dxa"/>
            <w:tcBorders>
              <w:top w:val="nil"/>
              <w:left w:val="nil"/>
              <w:bottom w:val="nil"/>
              <w:right w:val="nil"/>
            </w:tcBorders>
          </w:tcPr>
          <w:p>
            <w:pPr>
              <w:pStyle w:val="TableParagraph"/>
              <w:spacing w:before="43"/>
              <w:ind w:left="172" w:right="172"/>
              <w:rPr>
                <w:sz w:val="22"/>
              </w:rPr>
            </w:pPr>
            <w:r>
              <w:rPr>
                <w:sz w:val="22"/>
              </w:rPr>
              <w:t>42.1</w:t>
            </w:r>
          </w:p>
        </w:tc>
      </w:tr>
      <w:tr>
        <w:trPr>
          <w:trHeight w:val="330" w:hRule="exact"/>
        </w:trPr>
        <w:tc>
          <w:tcPr>
            <w:tcW w:w="1253" w:type="dxa"/>
            <w:tcBorders>
              <w:top w:val="nil"/>
              <w:left w:val="nil"/>
              <w:bottom w:val="nil"/>
              <w:right w:val="nil"/>
            </w:tcBorders>
          </w:tcPr>
          <w:p>
            <w:pPr>
              <w:pStyle w:val="TableParagraph"/>
              <w:spacing w:before="10"/>
              <w:ind w:left="173" w:right="157"/>
              <w:rPr>
                <w:b/>
                <w:i/>
                <w:sz w:val="22"/>
              </w:rPr>
            </w:pPr>
            <w:r>
              <w:rPr>
                <w:b/>
                <w:i/>
                <w:sz w:val="22"/>
              </w:rPr>
              <w:t>f-CNT</w:t>
            </w:r>
          </w:p>
        </w:tc>
        <w:tc>
          <w:tcPr>
            <w:tcW w:w="905" w:type="dxa"/>
            <w:tcBorders>
              <w:top w:val="nil"/>
              <w:left w:val="nil"/>
              <w:bottom w:val="nil"/>
              <w:right w:val="nil"/>
            </w:tcBorders>
          </w:tcPr>
          <w:p>
            <w:pPr>
              <w:pStyle w:val="TableParagraph"/>
              <w:spacing w:before="44"/>
              <w:ind w:left="184" w:right="184"/>
              <w:rPr>
                <w:sz w:val="22"/>
              </w:rPr>
            </w:pPr>
            <w:r>
              <w:rPr>
                <w:sz w:val="22"/>
              </w:rPr>
              <w:t>261.5</w:t>
            </w:r>
          </w:p>
        </w:tc>
        <w:tc>
          <w:tcPr>
            <w:tcW w:w="942" w:type="dxa"/>
            <w:tcBorders>
              <w:top w:val="nil"/>
              <w:left w:val="nil"/>
              <w:bottom w:val="nil"/>
              <w:right w:val="nil"/>
            </w:tcBorders>
          </w:tcPr>
          <w:p>
            <w:pPr>
              <w:pStyle w:val="TableParagraph"/>
              <w:spacing w:before="44"/>
              <w:ind w:right="239"/>
              <w:jc w:val="right"/>
              <w:rPr>
                <w:sz w:val="22"/>
              </w:rPr>
            </w:pPr>
            <w:r>
              <w:rPr>
                <w:sz w:val="22"/>
              </w:rPr>
              <w:t>260.4</w:t>
            </w:r>
          </w:p>
        </w:tc>
        <w:tc>
          <w:tcPr>
            <w:tcW w:w="868" w:type="dxa"/>
            <w:tcBorders>
              <w:top w:val="nil"/>
              <w:left w:val="nil"/>
              <w:bottom w:val="nil"/>
              <w:right w:val="nil"/>
            </w:tcBorders>
          </w:tcPr>
          <w:p>
            <w:pPr>
              <w:pStyle w:val="TableParagraph"/>
              <w:spacing w:before="44"/>
              <w:ind w:left="149" w:right="183"/>
              <w:rPr>
                <w:sz w:val="22"/>
              </w:rPr>
            </w:pPr>
            <w:r>
              <w:rPr>
                <w:sz w:val="22"/>
              </w:rPr>
              <w:t>258.7</w:t>
            </w:r>
          </w:p>
        </w:tc>
        <w:tc>
          <w:tcPr>
            <w:tcW w:w="905" w:type="dxa"/>
            <w:tcBorders>
              <w:top w:val="nil"/>
              <w:left w:val="nil"/>
              <w:bottom w:val="nil"/>
              <w:right w:val="nil"/>
            </w:tcBorders>
          </w:tcPr>
          <w:p>
            <w:pPr>
              <w:pStyle w:val="TableParagraph"/>
              <w:spacing w:before="44"/>
              <w:ind w:left="185" w:right="185"/>
              <w:rPr>
                <w:sz w:val="22"/>
              </w:rPr>
            </w:pPr>
            <w:r>
              <w:rPr>
                <w:sz w:val="22"/>
              </w:rPr>
              <w:t>234.0</w:t>
            </w:r>
          </w:p>
        </w:tc>
        <w:tc>
          <w:tcPr>
            <w:tcW w:w="942" w:type="dxa"/>
            <w:tcBorders>
              <w:top w:val="nil"/>
              <w:left w:val="nil"/>
              <w:bottom w:val="nil"/>
              <w:right w:val="nil"/>
            </w:tcBorders>
          </w:tcPr>
          <w:p>
            <w:pPr>
              <w:pStyle w:val="TableParagraph"/>
              <w:spacing w:before="44"/>
              <w:ind w:left="112" w:right="146"/>
              <w:rPr>
                <w:sz w:val="22"/>
              </w:rPr>
            </w:pPr>
            <w:r>
              <w:rPr>
                <w:sz w:val="22"/>
              </w:rPr>
              <w:t>235.7</w:t>
            </w:r>
          </w:p>
        </w:tc>
        <w:tc>
          <w:tcPr>
            <w:tcW w:w="863" w:type="dxa"/>
            <w:tcBorders>
              <w:top w:val="nil"/>
              <w:left w:val="nil"/>
              <w:bottom w:val="nil"/>
              <w:right w:val="nil"/>
            </w:tcBorders>
          </w:tcPr>
          <w:p>
            <w:pPr>
              <w:pStyle w:val="TableParagraph"/>
              <w:spacing w:before="44"/>
              <w:ind w:left="149" w:right="178"/>
              <w:rPr>
                <w:sz w:val="22"/>
              </w:rPr>
            </w:pPr>
            <w:r>
              <w:rPr>
                <w:sz w:val="22"/>
              </w:rPr>
              <w:t>237.4</w:t>
            </w:r>
          </w:p>
        </w:tc>
        <w:tc>
          <w:tcPr>
            <w:tcW w:w="776" w:type="dxa"/>
            <w:tcBorders>
              <w:top w:val="nil"/>
              <w:left w:val="nil"/>
              <w:bottom w:val="nil"/>
              <w:right w:val="nil"/>
            </w:tcBorders>
          </w:tcPr>
          <w:p>
            <w:pPr>
              <w:pStyle w:val="TableParagraph"/>
              <w:spacing w:before="44"/>
              <w:ind w:left="179" w:right="171"/>
              <w:rPr>
                <w:sz w:val="22"/>
              </w:rPr>
            </w:pPr>
            <w:r>
              <w:rPr>
                <w:sz w:val="22"/>
              </w:rPr>
              <w:t>44.3</w:t>
            </w:r>
          </w:p>
        </w:tc>
        <w:tc>
          <w:tcPr>
            <w:tcW w:w="769" w:type="dxa"/>
            <w:tcBorders>
              <w:top w:val="nil"/>
              <w:left w:val="nil"/>
              <w:bottom w:val="nil"/>
              <w:right w:val="nil"/>
            </w:tcBorders>
          </w:tcPr>
          <w:p>
            <w:pPr>
              <w:pStyle w:val="TableParagraph"/>
              <w:spacing w:before="44"/>
              <w:ind w:left="43" w:right="44"/>
              <w:rPr>
                <w:sz w:val="22"/>
              </w:rPr>
            </w:pPr>
            <w:r>
              <w:rPr>
                <w:sz w:val="22"/>
              </w:rPr>
              <w:t>38.9</w:t>
            </w:r>
          </w:p>
        </w:tc>
        <w:tc>
          <w:tcPr>
            <w:tcW w:w="771" w:type="dxa"/>
            <w:tcBorders>
              <w:top w:val="nil"/>
              <w:left w:val="nil"/>
              <w:bottom w:val="nil"/>
              <w:right w:val="nil"/>
            </w:tcBorders>
          </w:tcPr>
          <w:p>
            <w:pPr>
              <w:pStyle w:val="TableParagraph"/>
              <w:spacing w:before="44"/>
              <w:ind w:left="172" w:right="172"/>
              <w:rPr>
                <w:sz w:val="22"/>
              </w:rPr>
            </w:pPr>
            <w:r>
              <w:rPr>
                <w:sz w:val="22"/>
              </w:rPr>
              <w:t>41.1</w:t>
            </w:r>
          </w:p>
        </w:tc>
      </w:tr>
      <w:tr>
        <w:trPr>
          <w:trHeight w:val="330" w:hRule="exact"/>
        </w:trPr>
        <w:tc>
          <w:tcPr>
            <w:tcW w:w="1253" w:type="dxa"/>
            <w:tcBorders>
              <w:top w:val="nil"/>
              <w:left w:val="nil"/>
              <w:bottom w:val="nil"/>
              <w:right w:val="nil"/>
            </w:tcBorders>
          </w:tcPr>
          <w:p>
            <w:pPr>
              <w:pStyle w:val="TableParagraph"/>
              <w:spacing w:before="9"/>
              <w:ind w:left="171" w:right="159"/>
              <w:rPr>
                <w:b/>
                <w:i/>
                <w:sz w:val="22"/>
              </w:rPr>
            </w:pPr>
            <w:r>
              <w:rPr>
                <w:b/>
                <w:i/>
                <w:sz w:val="22"/>
              </w:rPr>
              <w:t>RGO</w:t>
            </w:r>
          </w:p>
        </w:tc>
        <w:tc>
          <w:tcPr>
            <w:tcW w:w="905" w:type="dxa"/>
            <w:tcBorders>
              <w:top w:val="nil"/>
              <w:left w:val="nil"/>
              <w:bottom w:val="nil"/>
              <w:right w:val="nil"/>
            </w:tcBorders>
          </w:tcPr>
          <w:p>
            <w:pPr>
              <w:pStyle w:val="TableParagraph"/>
              <w:spacing w:before="43"/>
              <w:ind w:left="184" w:right="184"/>
              <w:rPr>
                <w:sz w:val="22"/>
              </w:rPr>
            </w:pPr>
            <w:r>
              <w:rPr>
                <w:sz w:val="22"/>
              </w:rPr>
              <w:t>258.7</w:t>
            </w:r>
          </w:p>
        </w:tc>
        <w:tc>
          <w:tcPr>
            <w:tcW w:w="942" w:type="dxa"/>
            <w:tcBorders>
              <w:top w:val="nil"/>
              <w:left w:val="nil"/>
              <w:bottom w:val="nil"/>
              <w:right w:val="nil"/>
            </w:tcBorders>
          </w:tcPr>
          <w:p>
            <w:pPr>
              <w:pStyle w:val="TableParagraph"/>
              <w:spacing w:before="43"/>
              <w:ind w:right="239"/>
              <w:jc w:val="right"/>
              <w:rPr>
                <w:sz w:val="22"/>
              </w:rPr>
            </w:pPr>
            <w:r>
              <w:rPr>
                <w:sz w:val="22"/>
              </w:rPr>
              <w:t>260.9</w:t>
            </w:r>
          </w:p>
        </w:tc>
        <w:tc>
          <w:tcPr>
            <w:tcW w:w="868" w:type="dxa"/>
            <w:tcBorders>
              <w:top w:val="nil"/>
              <w:left w:val="nil"/>
              <w:bottom w:val="nil"/>
              <w:right w:val="nil"/>
            </w:tcBorders>
          </w:tcPr>
          <w:p>
            <w:pPr>
              <w:pStyle w:val="TableParagraph"/>
              <w:spacing w:before="43"/>
              <w:ind w:left="149" w:right="183"/>
              <w:rPr>
                <w:sz w:val="22"/>
              </w:rPr>
            </w:pPr>
            <w:r>
              <w:rPr>
                <w:sz w:val="22"/>
              </w:rPr>
              <w:t>260.4</w:t>
            </w:r>
          </w:p>
        </w:tc>
        <w:tc>
          <w:tcPr>
            <w:tcW w:w="905" w:type="dxa"/>
            <w:tcBorders>
              <w:top w:val="nil"/>
              <w:left w:val="nil"/>
              <w:bottom w:val="nil"/>
              <w:right w:val="nil"/>
            </w:tcBorders>
          </w:tcPr>
          <w:p>
            <w:pPr>
              <w:pStyle w:val="TableParagraph"/>
              <w:spacing w:before="43"/>
              <w:ind w:left="185" w:right="185"/>
              <w:rPr>
                <w:sz w:val="22"/>
              </w:rPr>
            </w:pPr>
            <w:r>
              <w:rPr>
                <w:sz w:val="22"/>
              </w:rPr>
              <w:t>230.1</w:t>
            </w:r>
          </w:p>
        </w:tc>
        <w:tc>
          <w:tcPr>
            <w:tcW w:w="942" w:type="dxa"/>
            <w:tcBorders>
              <w:top w:val="nil"/>
              <w:left w:val="nil"/>
              <w:bottom w:val="nil"/>
              <w:right w:val="nil"/>
            </w:tcBorders>
          </w:tcPr>
          <w:p>
            <w:pPr>
              <w:pStyle w:val="TableParagraph"/>
              <w:spacing w:before="43"/>
              <w:ind w:left="112" w:right="146"/>
              <w:rPr>
                <w:sz w:val="22"/>
              </w:rPr>
            </w:pPr>
            <w:r>
              <w:rPr>
                <w:sz w:val="22"/>
              </w:rPr>
              <w:t>231.8</w:t>
            </w:r>
          </w:p>
        </w:tc>
        <w:tc>
          <w:tcPr>
            <w:tcW w:w="863" w:type="dxa"/>
            <w:tcBorders>
              <w:top w:val="nil"/>
              <w:left w:val="nil"/>
              <w:bottom w:val="nil"/>
              <w:right w:val="nil"/>
            </w:tcBorders>
          </w:tcPr>
          <w:p>
            <w:pPr>
              <w:pStyle w:val="TableParagraph"/>
              <w:spacing w:before="43"/>
              <w:ind w:left="149" w:right="178"/>
              <w:rPr>
                <w:sz w:val="22"/>
              </w:rPr>
            </w:pPr>
            <w:r>
              <w:rPr>
                <w:sz w:val="22"/>
              </w:rPr>
              <w:t>230.6</w:t>
            </w:r>
          </w:p>
        </w:tc>
        <w:tc>
          <w:tcPr>
            <w:tcW w:w="776" w:type="dxa"/>
            <w:tcBorders>
              <w:top w:val="nil"/>
              <w:left w:val="nil"/>
              <w:bottom w:val="nil"/>
              <w:right w:val="nil"/>
            </w:tcBorders>
          </w:tcPr>
          <w:p>
            <w:pPr>
              <w:pStyle w:val="TableParagraph"/>
              <w:spacing w:before="43"/>
              <w:ind w:left="179" w:right="171"/>
              <w:rPr>
                <w:sz w:val="22"/>
              </w:rPr>
            </w:pPr>
            <w:r>
              <w:rPr>
                <w:sz w:val="22"/>
              </w:rPr>
              <w:t>41.5</w:t>
            </w:r>
          </w:p>
        </w:tc>
        <w:tc>
          <w:tcPr>
            <w:tcW w:w="769" w:type="dxa"/>
            <w:tcBorders>
              <w:top w:val="nil"/>
              <w:left w:val="nil"/>
              <w:bottom w:val="nil"/>
              <w:right w:val="nil"/>
            </w:tcBorders>
          </w:tcPr>
          <w:p>
            <w:pPr>
              <w:pStyle w:val="TableParagraph"/>
              <w:spacing w:before="43"/>
              <w:ind w:left="43" w:right="44"/>
              <w:rPr>
                <w:sz w:val="22"/>
              </w:rPr>
            </w:pPr>
            <w:r>
              <w:rPr>
                <w:sz w:val="22"/>
              </w:rPr>
              <w:t>42.5</w:t>
            </w:r>
          </w:p>
        </w:tc>
        <w:tc>
          <w:tcPr>
            <w:tcW w:w="771" w:type="dxa"/>
            <w:tcBorders>
              <w:top w:val="nil"/>
              <w:left w:val="nil"/>
              <w:bottom w:val="nil"/>
              <w:right w:val="nil"/>
            </w:tcBorders>
          </w:tcPr>
          <w:p>
            <w:pPr>
              <w:pStyle w:val="TableParagraph"/>
              <w:spacing w:before="43"/>
              <w:ind w:left="172" w:right="172"/>
              <w:rPr>
                <w:sz w:val="22"/>
              </w:rPr>
            </w:pPr>
            <w:r>
              <w:rPr>
                <w:sz w:val="22"/>
              </w:rPr>
              <w:t>43.5</w:t>
            </w:r>
          </w:p>
        </w:tc>
      </w:tr>
      <w:tr>
        <w:trPr>
          <w:trHeight w:val="330" w:hRule="exact"/>
        </w:trPr>
        <w:tc>
          <w:tcPr>
            <w:tcW w:w="1253" w:type="dxa"/>
            <w:tcBorders>
              <w:top w:val="nil"/>
              <w:left w:val="nil"/>
              <w:bottom w:val="nil"/>
              <w:right w:val="nil"/>
            </w:tcBorders>
          </w:tcPr>
          <w:p>
            <w:pPr>
              <w:pStyle w:val="TableParagraph"/>
              <w:spacing w:before="10"/>
              <w:ind w:left="173" w:right="159"/>
              <w:rPr>
                <w:b/>
                <w:i/>
                <w:sz w:val="22"/>
              </w:rPr>
            </w:pPr>
            <w:r>
              <w:rPr>
                <w:b/>
                <w:i/>
                <w:sz w:val="22"/>
              </w:rPr>
              <w:t>GO</w:t>
            </w:r>
          </w:p>
        </w:tc>
        <w:tc>
          <w:tcPr>
            <w:tcW w:w="905" w:type="dxa"/>
            <w:tcBorders>
              <w:top w:val="nil"/>
              <w:left w:val="nil"/>
              <w:bottom w:val="nil"/>
              <w:right w:val="nil"/>
            </w:tcBorders>
          </w:tcPr>
          <w:p>
            <w:pPr>
              <w:pStyle w:val="TableParagraph"/>
              <w:spacing w:before="44"/>
              <w:ind w:left="184" w:right="184"/>
              <w:rPr>
                <w:sz w:val="22"/>
              </w:rPr>
            </w:pPr>
            <w:r>
              <w:rPr>
                <w:sz w:val="22"/>
              </w:rPr>
              <w:t>260.9</w:t>
            </w:r>
          </w:p>
        </w:tc>
        <w:tc>
          <w:tcPr>
            <w:tcW w:w="942" w:type="dxa"/>
            <w:tcBorders>
              <w:top w:val="nil"/>
              <w:left w:val="nil"/>
              <w:bottom w:val="nil"/>
              <w:right w:val="nil"/>
            </w:tcBorders>
          </w:tcPr>
          <w:p>
            <w:pPr>
              <w:pStyle w:val="TableParagraph"/>
              <w:spacing w:before="44"/>
              <w:ind w:right="239"/>
              <w:jc w:val="right"/>
              <w:rPr>
                <w:sz w:val="22"/>
              </w:rPr>
            </w:pPr>
            <w:r>
              <w:rPr>
                <w:sz w:val="22"/>
              </w:rPr>
              <w:t>260.4</w:t>
            </w:r>
          </w:p>
        </w:tc>
        <w:tc>
          <w:tcPr>
            <w:tcW w:w="868" w:type="dxa"/>
            <w:tcBorders>
              <w:top w:val="nil"/>
              <w:left w:val="nil"/>
              <w:bottom w:val="nil"/>
              <w:right w:val="nil"/>
            </w:tcBorders>
          </w:tcPr>
          <w:p>
            <w:pPr>
              <w:pStyle w:val="TableParagraph"/>
              <w:spacing w:before="44"/>
              <w:ind w:left="149" w:right="183"/>
              <w:rPr>
                <w:sz w:val="22"/>
              </w:rPr>
            </w:pPr>
            <w:r>
              <w:rPr>
                <w:sz w:val="22"/>
              </w:rPr>
              <w:t>261.5</w:t>
            </w:r>
          </w:p>
        </w:tc>
        <w:tc>
          <w:tcPr>
            <w:tcW w:w="905" w:type="dxa"/>
            <w:tcBorders>
              <w:top w:val="nil"/>
              <w:left w:val="nil"/>
              <w:bottom w:val="nil"/>
              <w:right w:val="nil"/>
            </w:tcBorders>
          </w:tcPr>
          <w:p>
            <w:pPr>
              <w:pStyle w:val="TableParagraph"/>
              <w:spacing w:before="44"/>
              <w:ind w:left="185" w:right="185"/>
              <w:rPr>
                <w:sz w:val="22"/>
              </w:rPr>
            </w:pPr>
            <w:r>
              <w:rPr>
                <w:sz w:val="22"/>
              </w:rPr>
              <w:t>231.8</w:t>
            </w:r>
          </w:p>
        </w:tc>
        <w:tc>
          <w:tcPr>
            <w:tcW w:w="942" w:type="dxa"/>
            <w:tcBorders>
              <w:top w:val="nil"/>
              <w:left w:val="nil"/>
              <w:bottom w:val="nil"/>
              <w:right w:val="nil"/>
            </w:tcBorders>
          </w:tcPr>
          <w:p>
            <w:pPr>
              <w:pStyle w:val="TableParagraph"/>
              <w:spacing w:before="44"/>
              <w:ind w:left="112" w:right="146"/>
              <w:rPr>
                <w:sz w:val="22"/>
              </w:rPr>
            </w:pPr>
            <w:r>
              <w:rPr>
                <w:sz w:val="22"/>
              </w:rPr>
              <w:t>231.8</w:t>
            </w:r>
          </w:p>
        </w:tc>
        <w:tc>
          <w:tcPr>
            <w:tcW w:w="863" w:type="dxa"/>
            <w:tcBorders>
              <w:top w:val="nil"/>
              <w:left w:val="nil"/>
              <w:bottom w:val="nil"/>
              <w:right w:val="nil"/>
            </w:tcBorders>
          </w:tcPr>
          <w:p>
            <w:pPr>
              <w:pStyle w:val="TableParagraph"/>
              <w:spacing w:before="44"/>
              <w:ind w:left="149" w:right="178"/>
              <w:rPr>
                <w:sz w:val="22"/>
              </w:rPr>
            </w:pPr>
            <w:r>
              <w:rPr>
                <w:sz w:val="22"/>
              </w:rPr>
              <w:t>232.3</w:t>
            </w:r>
          </w:p>
        </w:tc>
        <w:tc>
          <w:tcPr>
            <w:tcW w:w="776" w:type="dxa"/>
            <w:tcBorders>
              <w:top w:val="nil"/>
              <w:left w:val="nil"/>
              <w:bottom w:val="nil"/>
              <w:right w:val="nil"/>
            </w:tcBorders>
          </w:tcPr>
          <w:p>
            <w:pPr>
              <w:pStyle w:val="TableParagraph"/>
              <w:spacing w:before="44"/>
              <w:ind w:left="179" w:right="171"/>
              <w:rPr>
                <w:sz w:val="22"/>
              </w:rPr>
            </w:pPr>
            <w:r>
              <w:rPr>
                <w:sz w:val="22"/>
              </w:rPr>
              <w:t>40.8</w:t>
            </w:r>
          </w:p>
        </w:tc>
        <w:tc>
          <w:tcPr>
            <w:tcW w:w="769" w:type="dxa"/>
            <w:tcBorders>
              <w:top w:val="nil"/>
              <w:left w:val="nil"/>
              <w:bottom w:val="nil"/>
              <w:right w:val="nil"/>
            </w:tcBorders>
          </w:tcPr>
          <w:p>
            <w:pPr>
              <w:pStyle w:val="TableParagraph"/>
              <w:spacing w:before="44"/>
              <w:ind w:left="43" w:right="44"/>
              <w:rPr>
                <w:sz w:val="22"/>
              </w:rPr>
            </w:pPr>
            <w:r>
              <w:rPr>
                <w:sz w:val="22"/>
              </w:rPr>
              <w:t>42.6</w:t>
            </w:r>
          </w:p>
        </w:tc>
        <w:tc>
          <w:tcPr>
            <w:tcW w:w="771" w:type="dxa"/>
            <w:tcBorders>
              <w:top w:val="nil"/>
              <w:left w:val="nil"/>
              <w:bottom w:val="nil"/>
              <w:right w:val="nil"/>
            </w:tcBorders>
          </w:tcPr>
          <w:p>
            <w:pPr>
              <w:pStyle w:val="TableParagraph"/>
              <w:spacing w:before="44"/>
              <w:ind w:left="172" w:right="172"/>
              <w:rPr>
                <w:sz w:val="22"/>
              </w:rPr>
            </w:pPr>
            <w:r>
              <w:rPr>
                <w:sz w:val="22"/>
              </w:rPr>
              <w:t>43.8</w:t>
            </w:r>
          </w:p>
        </w:tc>
      </w:tr>
      <w:tr>
        <w:trPr>
          <w:trHeight w:val="318" w:hRule="exact"/>
        </w:trPr>
        <w:tc>
          <w:tcPr>
            <w:tcW w:w="1253" w:type="dxa"/>
            <w:tcBorders>
              <w:top w:val="nil"/>
              <w:left w:val="nil"/>
              <w:right w:val="nil"/>
            </w:tcBorders>
          </w:tcPr>
          <w:p>
            <w:pPr>
              <w:pStyle w:val="TableParagraph"/>
              <w:spacing w:before="9"/>
              <w:ind w:left="173" w:right="158"/>
              <w:rPr>
                <w:b/>
                <w:i/>
                <w:sz w:val="22"/>
              </w:rPr>
            </w:pPr>
            <w:r>
              <w:rPr>
                <w:b/>
                <w:i/>
                <w:sz w:val="22"/>
              </w:rPr>
              <w:t>f-Ge</w:t>
            </w:r>
          </w:p>
        </w:tc>
        <w:tc>
          <w:tcPr>
            <w:tcW w:w="905" w:type="dxa"/>
            <w:tcBorders>
              <w:top w:val="nil"/>
              <w:left w:val="nil"/>
              <w:right w:val="nil"/>
            </w:tcBorders>
          </w:tcPr>
          <w:p>
            <w:pPr>
              <w:pStyle w:val="TableParagraph"/>
              <w:spacing w:before="43"/>
              <w:ind w:left="184" w:right="184"/>
              <w:rPr>
                <w:sz w:val="22"/>
              </w:rPr>
            </w:pPr>
            <w:r>
              <w:rPr>
                <w:sz w:val="22"/>
              </w:rPr>
              <w:t>259.8</w:t>
            </w:r>
          </w:p>
        </w:tc>
        <w:tc>
          <w:tcPr>
            <w:tcW w:w="942" w:type="dxa"/>
            <w:tcBorders>
              <w:top w:val="nil"/>
              <w:left w:val="nil"/>
              <w:right w:val="nil"/>
            </w:tcBorders>
          </w:tcPr>
          <w:p>
            <w:pPr>
              <w:pStyle w:val="TableParagraph"/>
              <w:spacing w:before="43"/>
              <w:ind w:right="239"/>
              <w:jc w:val="right"/>
              <w:rPr>
                <w:sz w:val="22"/>
              </w:rPr>
            </w:pPr>
            <w:r>
              <w:rPr>
                <w:sz w:val="22"/>
              </w:rPr>
              <w:t>258.7</w:t>
            </w:r>
          </w:p>
        </w:tc>
        <w:tc>
          <w:tcPr>
            <w:tcW w:w="868" w:type="dxa"/>
            <w:tcBorders>
              <w:top w:val="nil"/>
              <w:left w:val="nil"/>
              <w:right w:val="nil"/>
            </w:tcBorders>
          </w:tcPr>
          <w:p>
            <w:pPr>
              <w:pStyle w:val="TableParagraph"/>
              <w:spacing w:before="43"/>
              <w:ind w:left="149" w:right="183"/>
              <w:rPr>
                <w:sz w:val="22"/>
              </w:rPr>
            </w:pPr>
            <w:r>
              <w:rPr>
                <w:sz w:val="22"/>
              </w:rPr>
              <w:t>261.5</w:t>
            </w:r>
          </w:p>
        </w:tc>
        <w:tc>
          <w:tcPr>
            <w:tcW w:w="905" w:type="dxa"/>
            <w:tcBorders>
              <w:top w:val="nil"/>
              <w:left w:val="nil"/>
              <w:right w:val="nil"/>
            </w:tcBorders>
          </w:tcPr>
          <w:p>
            <w:pPr>
              <w:pStyle w:val="TableParagraph"/>
              <w:spacing w:before="43"/>
              <w:ind w:left="185" w:right="185"/>
              <w:rPr>
                <w:sz w:val="22"/>
              </w:rPr>
            </w:pPr>
            <w:r>
              <w:rPr>
                <w:sz w:val="22"/>
              </w:rPr>
              <w:t>230.6</w:t>
            </w:r>
          </w:p>
        </w:tc>
        <w:tc>
          <w:tcPr>
            <w:tcW w:w="942" w:type="dxa"/>
            <w:tcBorders>
              <w:top w:val="nil"/>
              <w:left w:val="nil"/>
              <w:right w:val="nil"/>
            </w:tcBorders>
          </w:tcPr>
          <w:p>
            <w:pPr>
              <w:pStyle w:val="TableParagraph"/>
              <w:spacing w:before="43"/>
              <w:ind w:left="112" w:right="146"/>
              <w:rPr>
                <w:sz w:val="22"/>
              </w:rPr>
            </w:pPr>
            <w:r>
              <w:rPr>
                <w:sz w:val="22"/>
              </w:rPr>
              <w:t>231.2</w:t>
            </w:r>
          </w:p>
        </w:tc>
        <w:tc>
          <w:tcPr>
            <w:tcW w:w="863" w:type="dxa"/>
            <w:tcBorders>
              <w:top w:val="nil"/>
              <w:left w:val="nil"/>
              <w:right w:val="nil"/>
            </w:tcBorders>
          </w:tcPr>
          <w:p>
            <w:pPr>
              <w:pStyle w:val="TableParagraph"/>
              <w:spacing w:before="43"/>
              <w:ind w:left="149" w:right="178"/>
              <w:rPr>
                <w:sz w:val="22"/>
              </w:rPr>
            </w:pPr>
            <w:r>
              <w:rPr>
                <w:sz w:val="22"/>
              </w:rPr>
              <w:t>232.3</w:t>
            </w:r>
          </w:p>
        </w:tc>
        <w:tc>
          <w:tcPr>
            <w:tcW w:w="776" w:type="dxa"/>
            <w:tcBorders>
              <w:top w:val="nil"/>
              <w:left w:val="nil"/>
              <w:right w:val="nil"/>
            </w:tcBorders>
          </w:tcPr>
          <w:p>
            <w:pPr>
              <w:pStyle w:val="TableParagraph"/>
              <w:spacing w:before="43"/>
              <w:ind w:left="179" w:right="171"/>
              <w:rPr>
                <w:sz w:val="22"/>
              </w:rPr>
            </w:pPr>
            <w:r>
              <w:rPr>
                <w:sz w:val="22"/>
              </w:rPr>
              <w:t>41.1</w:t>
            </w:r>
          </w:p>
        </w:tc>
        <w:tc>
          <w:tcPr>
            <w:tcW w:w="769" w:type="dxa"/>
            <w:tcBorders>
              <w:top w:val="nil"/>
              <w:left w:val="nil"/>
              <w:right w:val="nil"/>
            </w:tcBorders>
          </w:tcPr>
          <w:p>
            <w:pPr>
              <w:pStyle w:val="TableParagraph"/>
              <w:spacing w:before="43"/>
              <w:ind w:left="43" w:right="44"/>
              <w:rPr>
                <w:sz w:val="22"/>
              </w:rPr>
            </w:pPr>
            <w:r>
              <w:rPr>
                <w:sz w:val="22"/>
              </w:rPr>
              <w:t>41.7</w:t>
            </w:r>
          </w:p>
        </w:tc>
        <w:tc>
          <w:tcPr>
            <w:tcW w:w="771" w:type="dxa"/>
            <w:tcBorders>
              <w:top w:val="nil"/>
              <w:left w:val="nil"/>
              <w:right w:val="nil"/>
            </w:tcBorders>
          </w:tcPr>
          <w:p>
            <w:pPr>
              <w:pStyle w:val="TableParagraph"/>
              <w:spacing w:before="43"/>
              <w:ind w:left="172" w:right="172"/>
              <w:rPr>
                <w:sz w:val="22"/>
              </w:rPr>
            </w:pPr>
            <w:r>
              <w:rPr>
                <w:sz w:val="22"/>
              </w:rPr>
              <w:t>43.1</w:t>
            </w:r>
          </w:p>
        </w:tc>
      </w:tr>
    </w:tbl>
    <w:p>
      <w:pPr>
        <w:pStyle w:val="BodyText"/>
        <w:spacing w:before="1"/>
        <w:rPr>
          <w:i/>
          <w:sz w:val="26"/>
        </w:rPr>
      </w:pPr>
    </w:p>
    <w:p>
      <w:pPr>
        <w:pStyle w:val="BodyText"/>
        <w:spacing w:line="360" w:lineRule="auto" w:before="73"/>
        <w:ind w:left="202" w:right="180" w:firstLine="283"/>
        <w:jc w:val="both"/>
      </w:pPr>
      <w:r>
        <w:rPr/>
        <w:t>Asimismo, de acuerdo a los valores de CI obtenidos mediante WAXD, se corroboró la misma tendencia de cristalinidad observada mediante DSC. Esta técnica también sirvió para determinar el tamaño de cristal perpendicular a los planos (100) y (010/110) del nylon 6,6. De acuerdo a la Tabla 4.2, se obtuvo una disminución del tamaño de cristal con la incorporación de los nanomateriales de carbono. En esta tabla también se puede observar que en la mayoría de los casos a medida que la</w:t>
      </w:r>
    </w:p>
    <w:p>
      <w:pPr>
        <w:spacing w:after="0" w:line="360" w:lineRule="auto"/>
        <w:jc w:val="both"/>
        <w:sectPr>
          <w:pgSz w:w="12240" w:h="15840"/>
          <w:pgMar w:header="730" w:footer="1060" w:top="1160" w:bottom="1260" w:left="1500" w:right="1520"/>
        </w:sectPr>
      </w:pPr>
    </w:p>
    <w:p>
      <w:pPr>
        <w:pStyle w:val="BodyText"/>
        <w:rPr>
          <w:sz w:val="14"/>
        </w:rPr>
      </w:pPr>
    </w:p>
    <w:p>
      <w:pPr>
        <w:pStyle w:val="BodyText"/>
        <w:spacing w:line="360" w:lineRule="auto" w:before="73"/>
        <w:ind w:left="202" w:right="195"/>
        <w:jc w:val="both"/>
      </w:pPr>
      <w:r>
        <w:rPr/>
        <w:t>cantidad del refuerzo aumenta existe una disminución en el tamaño de cristal perpendicular al plano (100). Al adicionar mayor concentración de f-CNT, se obtuvo un ligero aumento en el tamaño de cristal en ambas direcciones, lo cual puede atribuirse a la pobre dispersión de este refuerzo al aumentar su contenido.</w:t>
      </w:r>
    </w:p>
    <w:p>
      <w:pPr>
        <w:pStyle w:val="BodyText"/>
      </w:pPr>
    </w:p>
    <w:p>
      <w:pPr>
        <w:spacing w:before="130"/>
        <w:ind w:left="797" w:right="0" w:firstLine="0"/>
        <w:jc w:val="left"/>
        <w:rPr>
          <w:i/>
          <w:sz w:val="22"/>
        </w:rPr>
      </w:pPr>
      <w:r>
        <w:rPr/>
        <w:pict>
          <v:shape style="position:absolute;margin-left:81.624001pt;margin-top:53.129513pt;width:449pt;height:152.7pt;mso-position-horizontal-relative:page;mso-position-vertical-relative:paragraph;z-index:268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38"/>
                    <w:gridCol w:w="905"/>
                    <w:gridCol w:w="905"/>
                    <w:gridCol w:w="932"/>
                    <w:gridCol w:w="877"/>
                    <w:gridCol w:w="905"/>
                    <w:gridCol w:w="872"/>
                    <w:gridCol w:w="804"/>
                    <w:gridCol w:w="769"/>
                    <w:gridCol w:w="771"/>
                  </w:tblGrid>
                  <w:tr>
                    <w:trPr>
                      <w:trHeight w:val="336" w:hRule="exact"/>
                    </w:trPr>
                    <w:tc>
                      <w:tcPr>
                        <w:tcW w:w="1238" w:type="dxa"/>
                      </w:tcPr>
                      <w:p>
                        <w:pPr>
                          <w:pStyle w:val="TableParagraph"/>
                          <w:spacing w:before="39"/>
                          <w:ind w:left="159" w:right="159"/>
                          <w:rPr>
                            <w:b/>
                            <w:i/>
                            <w:sz w:val="22"/>
                          </w:rPr>
                        </w:pPr>
                        <w:r>
                          <w:rPr>
                            <w:b/>
                            <w:i/>
                            <w:sz w:val="22"/>
                          </w:rPr>
                          <w:t>Nylon 6,6</w:t>
                        </w:r>
                      </w:p>
                    </w:tc>
                    <w:tc>
                      <w:tcPr>
                        <w:tcW w:w="1810" w:type="dxa"/>
                        <w:gridSpan w:val="2"/>
                        <w:tcBorders>
                          <w:top w:val="single" w:sz="2" w:space="0" w:color="000000"/>
                          <w:bottom w:val="single" w:sz="2" w:space="0" w:color="000000"/>
                        </w:tcBorders>
                      </w:tcPr>
                      <w:p>
                        <w:pPr>
                          <w:pStyle w:val="TableParagraph"/>
                          <w:spacing w:before="32"/>
                          <w:ind w:left="1108"/>
                          <w:jc w:val="left"/>
                          <w:rPr>
                            <w:sz w:val="22"/>
                          </w:rPr>
                        </w:pPr>
                        <w:r>
                          <w:rPr>
                            <w:sz w:val="22"/>
                          </w:rPr>
                          <w:t>0.383</w:t>
                        </w:r>
                      </w:p>
                    </w:tc>
                    <w:tc>
                      <w:tcPr>
                        <w:tcW w:w="2715" w:type="dxa"/>
                        <w:gridSpan w:val="3"/>
                        <w:tcBorders>
                          <w:top w:val="single" w:sz="2" w:space="0" w:color="000000"/>
                          <w:bottom w:val="single" w:sz="2" w:space="0" w:color="000000"/>
                        </w:tcBorders>
                      </w:tcPr>
                      <w:p>
                        <w:pPr>
                          <w:pStyle w:val="TableParagraph"/>
                          <w:spacing w:before="32"/>
                          <w:ind w:right="257"/>
                          <w:jc w:val="right"/>
                          <w:rPr>
                            <w:sz w:val="22"/>
                          </w:rPr>
                        </w:pPr>
                        <w:r>
                          <w:rPr>
                            <w:sz w:val="22"/>
                          </w:rPr>
                          <w:t>6.45</w:t>
                        </w:r>
                      </w:p>
                    </w:tc>
                    <w:tc>
                      <w:tcPr>
                        <w:tcW w:w="3217" w:type="dxa"/>
                        <w:gridSpan w:val="4"/>
                        <w:tcBorders>
                          <w:top w:val="single" w:sz="2" w:space="0" w:color="000000"/>
                          <w:bottom w:val="single" w:sz="2" w:space="0" w:color="000000"/>
                        </w:tcBorders>
                      </w:tcPr>
                      <w:p>
                        <w:pPr>
                          <w:pStyle w:val="TableParagraph"/>
                          <w:spacing w:before="32"/>
                          <w:ind w:left="1869"/>
                          <w:jc w:val="left"/>
                          <w:rPr>
                            <w:sz w:val="22"/>
                          </w:rPr>
                        </w:pPr>
                        <w:r>
                          <w:rPr>
                            <w:sz w:val="22"/>
                          </w:rPr>
                          <w:t>3.41</w:t>
                        </w:r>
                      </w:p>
                    </w:tc>
                  </w:tr>
                  <w:tr>
                    <w:trPr>
                      <w:trHeight w:val="428" w:hRule="exact"/>
                    </w:trPr>
                    <w:tc>
                      <w:tcPr>
                        <w:tcW w:w="8980" w:type="dxa"/>
                        <w:gridSpan w:val="10"/>
                      </w:tcPr>
                      <w:p>
                        <w:pPr>
                          <w:pStyle w:val="TableParagraph"/>
                          <w:tabs>
                            <w:tab w:pos="4990" w:val="left" w:leader="none"/>
                            <w:tab w:pos="7503" w:val="left" w:leader="none"/>
                          </w:tabs>
                          <w:spacing w:before="33"/>
                          <w:ind w:left="2275"/>
                          <w:jc w:val="left"/>
                          <w:rPr>
                            <w:b/>
                            <w:i/>
                            <w:sz w:val="22"/>
                          </w:rPr>
                        </w:pPr>
                        <w:r>
                          <w:rPr>
                            <w:b/>
                            <w:i/>
                            <w:sz w:val="22"/>
                          </w:rPr>
                          <w:t>% peso</w:t>
                          <w:tab/>
                          <w:t>% peso</w:t>
                          <w:tab/>
                          <w:t>% peso</w:t>
                        </w:r>
                      </w:p>
                    </w:tc>
                  </w:tr>
                  <w:tr>
                    <w:trPr>
                      <w:trHeight w:val="250" w:hRule="exact"/>
                    </w:trPr>
                    <w:tc>
                      <w:tcPr>
                        <w:tcW w:w="1238" w:type="dxa"/>
                        <w:tcBorders>
                          <w:bottom w:val="single" w:sz="12" w:space="0" w:color="000000"/>
                        </w:tcBorders>
                      </w:tcPr>
                      <w:p>
                        <w:pPr/>
                      </w:p>
                    </w:tc>
                    <w:tc>
                      <w:tcPr>
                        <w:tcW w:w="905" w:type="dxa"/>
                        <w:tcBorders>
                          <w:bottom w:val="single" w:sz="12" w:space="0" w:color="000000"/>
                        </w:tcBorders>
                      </w:tcPr>
                      <w:p>
                        <w:pPr>
                          <w:pStyle w:val="TableParagraph"/>
                          <w:spacing w:line="199" w:lineRule="exact"/>
                          <w:ind w:left="184" w:right="184"/>
                          <w:rPr>
                            <w:i/>
                            <w:sz w:val="22"/>
                          </w:rPr>
                        </w:pPr>
                        <w:r>
                          <w:rPr>
                            <w:i/>
                            <w:sz w:val="22"/>
                          </w:rPr>
                          <w:t>0.1</w:t>
                        </w:r>
                      </w:p>
                    </w:tc>
                    <w:tc>
                      <w:tcPr>
                        <w:tcW w:w="905" w:type="dxa"/>
                        <w:tcBorders>
                          <w:bottom w:val="single" w:sz="12" w:space="0" w:color="000000"/>
                        </w:tcBorders>
                      </w:tcPr>
                      <w:p>
                        <w:pPr>
                          <w:pStyle w:val="TableParagraph"/>
                          <w:spacing w:line="199" w:lineRule="exact"/>
                          <w:ind w:left="185" w:right="185"/>
                          <w:rPr>
                            <w:i/>
                            <w:sz w:val="22"/>
                          </w:rPr>
                        </w:pPr>
                        <w:r>
                          <w:rPr>
                            <w:i/>
                            <w:sz w:val="22"/>
                          </w:rPr>
                          <w:t>0.5</w:t>
                        </w:r>
                      </w:p>
                    </w:tc>
                    <w:tc>
                      <w:tcPr>
                        <w:tcW w:w="932" w:type="dxa"/>
                        <w:tcBorders>
                          <w:bottom w:val="single" w:sz="12" w:space="0" w:color="000000"/>
                        </w:tcBorders>
                      </w:tcPr>
                      <w:p>
                        <w:pPr>
                          <w:pStyle w:val="TableParagraph"/>
                          <w:spacing w:line="199" w:lineRule="exact"/>
                          <w:ind w:right="28"/>
                          <w:rPr>
                            <w:i/>
                            <w:sz w:val="22"/>
                          </w:rPr>
                        </w:pPr>
                        <w:r>
                          <w:rPr>
                            <w:i/>
                            <w:w w:val="100"/>
                            <w:sz w:val="22"/>
                          </w:rPr>
                          <w:t>1</w:t>
                        </w:r>
                      </w:p>
                    </w:tc>
                    <w:tc>
                      <w:tcPr>
                        <w:tcW w:w="877" w:type="dxa"/>
                        <w:tcBorders>
                          <w:bottom w:val="single" w:sz="12" w:space="0" w:color="000000"/>
                        </w:tcBorders>
                      </w:tcPr>
                      <w:p>
                        <w:pPr>
                          <w:pStyle w:val="TableParagraph"/>
                          <w:spacing w:line="228" w:lineRule="exact"/>
                          <w:ind w:left="286"/>
                          <w:jc w:val="left"/>
                          <w:rPr>
                            <w:i/>
                            <w:sz w:val="22"/>
                          </w:rPr>
                        </w:pPr>
                        <w:r>
                          <w:rPr>
                            <w:i/>
                            <w:sz w:val="22"/>
                          </w:rPr>
                          <w:t>0.1</w:t>
                        </w:r>
                      </w:p>
                    </w:tc>
                    <w:tc>
                      <w:tcPr>
                        <w:tcW w:w="905" w:type="dxa"/>
                        <w:tcBorders>
                          <w:bottom w:val="single" w:sz="12" w:space="0" w:color="000000"/>
                        </w:tcBorders>
                      </w:tcPr>
                      <w:p>
                        <w:pPr>
                          <w:pStyle w:val="TableParagraph"/>
                          <w:spacing w:line="228" w:lineRule="exact"/>
                          <w:ind w:left="185" w:right="185"/>
                          <w:rPr>
                            <w:i/>
                            <w:sz w:val="22"/>
                          </w:rPr>
                        </w:pPr>
                        <w:r>
                          <w:rPr>
                            <w:i/>
                            <w:sz w:val="22"/>
                          </w:rPr>
                          <w:t>0.5</w:t>
                        </w:r>
                      </w:p>
                    </w:tc>
                    <w:tc>
                      <w:tcPr>
                        <w:tcW w:w="872" w:type="dxa"/>
                        <w:tcBorders>
                          <w:bottom w:val="single" w:sz="12" w:space="0" w:color="000000"/>
                        </w:tcBorders>
                      </w:tcPr>
                      <w:p>
                        <w:pPr>
                          <w:pStyle w:val="TableParagraph"/>
                          <w:spacing w:line="228" w:lineRule="exact"/>
                          <w:ind w:left="29"/>
                          <w:rPr>
                            <w:i/>
                            <w:sz w:val="22"/>
                          </w:rPr>
                        </w:pPr>
                        <w:r>
                          <w:rPr>
                            <w:i/>
                            <w:w w:val="100"/>
                            <w:sz w:val="22"/>
                          </w:rPr>
                          <w:t>1</w:t>
                        </w:r>
                      </w:p>
                    </w:tc>
                    <w:tc>
                      <w:tcPr>
                        <w:tcW w:w="804" w:type="dxa"/>
                        <w:tcBorders>
                          <w:bottom w:val="single" w:sz="12" w:space="0" w:color="000000"/>
                        </w:tcBorders>
                      </w:tcPr>
                      <w:p>
                        <w:pPr>
                          <w:pStyle w:val="TableParagraph"/>
                          <w:spacing w:line="228" w:lineRule="exact"/>
                          <w:ind w:left="281"/>
                          <w:jc w:val="left"/>
                          <w:rPr>
                            <w:i/>
                            <w:sz w:val="22"/>
                          </w:rPr>
                        </w:pPr>
                        <w:r>
                          <w:rPr>
                            <w:i/>
                            <w:sz w:val="22"/>
                          </w:rPr>
                          <w:t>0.1</w:t>
                        </w:r>
                      </w:p>
                    </w:tc>
                    <w:tc>
                      <w:tcPr>
                        <w:tcW w:w="769" w:type="dxa"/>
                        <w:tcBorders>
                          <w:bottom w:val="single" w:sz="12" w:space="0" w:color="000000"/>
                        </w:tcBorders>
                      </w:tcPr>
                      <w:p>
                        <w:pPr>
                          <w:pStyle w:val="TableParagraph"/>
                          <w:spacing w:line="228" w:lineRule="exact"/>
                          <w:ind w:left="245"/>
                          <w:jc w:val="left"/>
                          <w:rPr>
                            <w:i/>
                            <w:sz w:val="22"/>
                          </w:rPr>
                        </w:pPr>
                        <w:r>
                          <w:rPr>
                            <w:i/>
                            <w:sz w:val="22"/>
                          </w:rPr>
                          <w:t>0.5</w:t>
                        </w:r>
                      </w:p>
                    </w:tc>
                    <w:tc>
                      <w:tcPr>
                        <w:tcW w:w="771" w:type="dxa"/>
                        <w:tcBorders>
                          <w:bottom w:val="single" w:sz="12" w:space="0" w:color="000000"/>
                        </w:tcBorders>
                      </w:tcPr>
                      <w:p>
                        <w:pPr>
                          <w:pStyle w:val="TableParagraph"/>
                          <w:spacing w:line="228" w:lineRule="exact"/>
                          <w:rPr>
                            <w:i/>
                            <w:sz w:val="22"/>
                          </w:rPr>
                        </w:pPr>
                        <w:r>
                          <w:rPr>
                            <w:i/>
                            <w:w w:val="100"/>
                            <w:sz w:val="22"/>
                          </w:rPr>
                          <w:t>1</w:t>
                        </w:r>
                      </w:p>
                    </w:tc>
                  </w:tr>
                  <w:tr>
                    <w:trPr>
                      <w:trHeight w:val="372" w:hRule="exact"/>
                    </w:trPr>
                    <w:tc>
                      <w:tcPr>
                        <w:tcW w:w="1238" w:type="dxa"/>
                        <w:tcBorders>
                          <w:top w:val="single" w:sz="12" w:space="0" w:color="000000"/>
                        </w:tcBorders>
                      </w:tcPr>
                      <w:p>
                        <w:pPr>
                          <w:pStyle w:val="TableParagraph"/>
                          <w:spacing w:before="37"/>
                          <w:ind w:left="159" w:right="159"/>
                          <w:rPr>
                            <w:b/>
                            <w:i/>
                            <w:sz w:val="22"/>
                          </w:rPr>
                        </w:pPr>
                        <w:r>
                          <w:rPr>
                            <w:b/>
                            <w:i/>
                            <w:sz w:val="22"/>
                          </w:rPr>
                          <w:t>p-CNT</w:t>
                        </w:r>
                      </w:p>
                    </w:tc>
                    <w:tc>
                      <w:tcPr>
                        <w:tcW w:w="905" w:type="dxa"/>
                        <w:tcBorders>
                          <w:top w:val="single" w:sz="12" w:space="0" w:color="000000"/>
                        </w:tcBorders>
                      </w:tcPr>
                      <w:p>
                        <w:pPr>
                          <w:pStyle w:val="TableParagraph"/>
                          <w:spacing w:before="70"/>
                          <w:ind w:left="184" w:right="184"/>
                          <w:rPr>
                            <w:sz w:val="22"/>
                          </w:rPr>
                        </w:pPr>
                        <w:r>
                          <w:rPr>
                            <w:sz w:val="22"/>
                          </w:rPr>
                          <w:t>0.393</w:t>
                        </w:r>
                      </w:p>
                    </w:tc>
                    <w:tc>
                      <w:tcPr>
                        <w:tcW w:w="905" w:type="dxa"/>
                        <w:tcBorders>
                          <w:top w:val="single" w:sz="12" w:space="0" w:color="000000"/>
                        </w:tcBorders>
                      </w:tcPr>
                      <w:p>
                        <w:pPr>
                          <w:pStyle w:val="TableParagraph"/>
                          <w:spacing w:before="70"/>
                          <w:ind w:left="185" w:right="185"/>
                          <w:rPr>
                            <w:sz w:val="22"/>
                          </w:rPr>
                        </w:pPr>
                        <w:r>
                          <w:rPr>
                            <w:sz w:val="22"/>
                          </w:rPr>
                          <w:t>0.399</w:t>
                        </w:r>
                      </w:p>
                    </w:tc>
                    <w:tc>
                      <w:tcPr>
                        <w:tcW w:w="932" w:type="dxa"/>
                        <w:tcBorders>
                          <w:top w:val="single" w:sz="12" w:space="0" w:color="000000"/>
                        </w:tcBorders>
                      </w:tcPr>
                      <w:p>
                        <w:pPr>
                          <w:pStyle w:val="TableParagraph"/>
                          <w:spacing w:before="70"/>
                          <w:ind w:left="186" w:right="211"/>
                          <w:rPr>
                            <w:sz w:val="22"/>
                          </w:rPr>
                        </w:pPr>
                        <w:r>
                          <w:rPr>
                            <w:sz w:val="22"/>
                          </w:rPr>
                          <w:t>0.420</w:t>
                        </w:r>
                      </w:p>
                    </w:tc>
                    <w:tc>
                      <w:tcPr>
                        <w:tcW w:w="877" w:type="dxa"/>
                        <w:tcBorders>
                          <w:top w:val="single" w:sz="12" w:space="0" w:color="000000"/>
                        </w:tcBorders>
                      </w:tcPr>
                      <w:p>
                        <w:pPr>
                          <w:pStyle w:val="TableParagraph"/>
                          <w:spacing w:before="70"/>
                          <w:ind w:left="231"/>
                          <w:jc w:val="left"/>
                          <w:rPr>
                            <w:sz w:val="22"/>
                          </w:rPr>
                        </w:pPr>
                        <w:r>
                          <w:rPr>
                            <w:sz w:val="22"/>
                          </w:rPr>
                          <w:t>6.32</w:t>
                        </w:r>
                      </w:p>
                    </w:tc>
                    <w:tc>
                      <w:tcPr>
                        <w:tcW w:w="905" w:type="dxa"/>
                        <w:tcBorders>
                          <w:top w:val="single" w:sz="12" w:space="0" w:color="000000"/>
                        </w:tcBorders>
                      </w:tcPr>
                      <w:p>
                        <w:pPr>
                          <w:pStyle w:val="TableParagraph"/>
                          <w:spacing w:before="70"/>
                          <w:ind w:left="185" w:right="185"/>
                          <w:rPr>
                            <w:sz w:val="22"/>
                          </w:rPr>
                        </w:pPr>
                        <w:r>
                          <w:rPr>
                            <w:sz w:val="22"/>
                          </w:rPr>
                          <w:t>6.06</w:t>
                        </w:r>
                      </w:p>
                    </w:tc>
                    <w:tc>
                      <w:tcPr>
                        <w:tcW w:w="872" w:type="dxa"/>
                        <w:tcBorders>
                          <w:top w:val="single" w:sz="12" w:space="0" w:color="000000"/>
                        </w:tcBorders>
                      </w:tcPr>
                      <w:p>
                        <w:pPr>
                          <w:pStyle w:val="TableParagraph"/>
                          <w:spacing w:before="70"/>
                          <w:ind w:left="239" w:right="207"/>
                          <w:rPr>
                            <w:sz w:val="22"/>
                          </w:rPr>
                        </w:pPr>
                        <w:r>
                          <w:rPr>
                            <w:sz w:val="22"/>
                          </w:rPr>
                          <w:t>6.00</w:t>
                        </w:r>
                      </w:p>
                    </w:tc>
                    <w:tc>
                      <w:tcPr>
                        <w:tcW w:w="804" w:type="dxa"/>
                        <w:tcBorders>
                          <w:top w:val="single" w:sz="12" w:space="0" w:color="000000"/>
                        </w:tcBorders>
                      </w:tcPr>
                      <w:p>
                        <w:pPr>
                          <w:pStyle w:val="TableParagraph"/>
                          <w:spacing w:before="70"/>
                          <w:ind w:left="226"/>
                          <w:jc w:val="left"/>
                          <w:rPr>
                            <w:sz w:val="22"/>
                          </w:rPr>
                        </w:pPr>
                        <w:r>
                          <w:rPr>
                            <w:sz w:val="22"/>
                          </w:rPr>
                          <w:t>3.18</w:t>
                        </w:r>
                      </w:p>
                    </w:tc>
                    <w:tc>
                      <w:tcPr>
                        <w:tcW w:w="769" w:type="dxa"/>
                        <w:tcBorders>
                          <w:top w:val="single" w:sz="12" w:space="0" w:color="000000"/>
                        </w:tcBorders>
                      </w:tcPr>
                      <w:p>
                        <w:pPr>
                          <w:pStyle w:val="TableParagraph"/>
                          <w:spacing w:before="70"/>
                          <w:ind w:left="190"/>
                          <w:jc w:val="left"/>
                          <w:rPr>
                            <w:sz w:val="22"/>
                          </w:rPr>
                        </w:pPr>
                        <w:r>
                          <w:rPr>
                            <w:sz w:val="22"/>
                          </w:rPr>
                          <w:t>3.35</w:t>
                        </w:r>
                      </w:p>
                    </w:tc>
                    <w:tc>
                      <w:tcPr>
                        <w:tcW w:w="771" w:type="dxa"/>
                        <w:tcBorders>
                          <w:top w:val="single" w:sz="12" w:space="0" w:color="000000"/>
                        </w:tcBorders>
                      </w:tcPr>
                      <w:p>
                        <w:pPr>
                          <w:pStyle w:val="TableParagraph"/>
                          <w:spacing w:before="70"/>
                          <w:ind w:left="172" w:right="172"/>
                          <w:rPr>
                            <w:sz w:val="22"/>
                          </w:rPr>
                        </w:pPr>
                        <w:r>
                          <w:rPr>
                            <w:sz w:val="22"/>
                          </w:rPr>
                          <w:t>3.14</w:t>
                        </w:r>
                      </w:p>
                    </w:tc>
                  </w:tr>
                  <w:tr>
                    <w:trPr>
                      <w:trHeight w:val="330" w:hRule="exact"/>
                    </w:trPr>
                    <w:tc>
                      <w:tcPr>
                        <w:tcW w:w="1238" w:type="dxa"/>
                      </w:tcPr>
                      <w:p>
                        <w:pPr>
                          <w:pStyle w:val="TableParagraph"/>
                          <w:spacing w:before="10"/>
                          <w:ind w:left="158" w:right="159"/>
                          <w:rPr>
                            <w:b/>
                            <w:i/>
                            <w:sz w:val="22"/>
                          </w:rPr>
                        </w:pPr>
                        <w:r>
                          <w:rPr>
                            <w:b/>
                            <w:i/>
                            <w:sz w:val="22"/>
                          </w:rPr>
                          <w:t>OCNT</w:t>
                        </w:r>
                      </w:p>
                    </w:tc>
                    <w:tc>
                      <w:tcPr>
                        <w:tcW w:w="905" w:type="dxa"/>
                      </w:tcPr>
                      <w:p>
                        <w:pPr>
                          <w:pStyle w:val="TableParagraph"/>
                          <w:spacing w:before="44"/>
                          <w:ind w:left="184" w:right="184"/>
                          <w:rPr>
                            <w:sz w:val="22"/>
                          </w:rPr>
                        </w:pPr>
                        <w:r>
                          <w:rPr>
                            <w:sz w:val="22"/>
                          </w:rPr>
                          <w:t>0.395</w:t>
                        </w:r>
                      </w:p>
                    </w:tc>
                    <w:tc>
                      <w:tcPr>
                        <w:tcW w:w="905" w:type="dxa"/>
                      </w:tcPr>
                      <w:p>
                        <w:pPr>
                          <w:pStyle w:val="TableParagraph"/>
                          <w:spacing w:before="44"/>
                          <w:ind w:left="185" w:right="185"/>
                          <w:rPr>
                            <w:sz w:val="22"/>
                          </w:rPr>
                        </w:pPr>
                        <w:r>
                          <w:rPr>
                            <w:sz w:val="22"/>
                          </w:rPr>
                          <w:t>0.403</w:t>
                        </w:r>
                      </w:p>
                    </w:tc>
                    <w:tc>
                      <w:tcPr>
                        <w:tcW w:w="932" w:type="dxa"/>
                      </w:tcPr>
                      <w:p>
                        <w:pPr>
                          <w:pStyle w:val="TableParagraph"/>
                          <w:spacing w:before="44"/>
                          <w:ind w:left="186" w:right="211"/>
                          <w:rPr>
                            <w:sz w:val="22"/>
                          </w:rPr>
                        </w:pPr>
                        <w:r>
                          <w:rPr>
                            <w:sz w:val="22"/>
                          </w:rPr>
                          <w:t>0.440</w:t>
                        </w:r>
                      </w:p>
                    </w:tc>
                    <w:tc>
                      <w:tcPr>
                        <w:tcW w:w="877" w:type="dxa"/>
                      </w:tcPr>
                      <w:p>
                        <w:pPr>
                          <w:pStyle w:val="TableParagraph"/>
                          <w:spacing w:before="44"/>
                          <w:ind w:left="231"/>
                          <w:jc w:val="left"/>
                          <w:rPr>
                            <w:sz w:val="22"/>
                          </w:rPr>
                        </w:pPr>
                        <w:r>
                          <w:rPr>
                            <w:sz w:val="22"/>
                          </w:rPr>
                          <w:t>6.12</w:t>
                        </w:r>
                      </w:p>
                    </w:tc>
                    <w:tc>
                      <w:tcPr>
                        <w:tcW w:w="905" w:type="dxa"/>
                      </w:tcPr>
                      <w:p>
                        <w:pPr>
                          <w:pStyle w:val="TableParagraph"/>
                          <w:spacing w:before="44"/>
                          <w:ind w:left="185" w:right="185"/>
                          <w:rPr>
                            <w:sz w:val="22"/>
                          </w:rPr>
                        </w:pPr>
                        <w:r>
                          <w:rPr>
                            <w:sz w:val="22"/>
                          </w:rPr>
                          <w:t>5.63</w:t>
                        </w:r>
                      </w:p>
                    </w:tc>
                    <w:tc>
                      <w:tcPr>
                        <w:tcW w:w="872" w:type="dxa"/>
                      </w:tcPr>
                      <w:p>
                        <w:pPr>
                          <w:pStyle w:val="TableParagraph"/>
                          <w:spacing w:before="44"/>
                          <w:ind w:left="239" w:right="207"/>
                          <w:rPr>
                            <w:sz w:val="22"/>
                          </w:rPr>
                        </w:pPr>
                        <w:r>
                          <w:rPr>
                            <w:sz w:val="22"/>
                          </w:rPr>
                          <w:t>5.61</w:t>
                        </w:r>
                      </w:p>
                    </w:tc>
                    <w:tc>
                      <w:tcPr>
                        <w:tcW w:w="804" w:type="dxa"/>
                      </w:tcPr>
                      <w:p>
                        <w:pPr>
                          <w:pStyle w:val="TableParagraph"/>
                          <w:spacing w:before="44"/>
                          <w:ind w:left="226"/>
                          <w:jc w:val="left"/>
                          <w:rPr>
                            <w:sz w:val="22"/>
                          </w:rPr>
                        </w:pPr>
                        <w:r>
                          <w:rPr>
                            <w:sz w:val="22"/>
                          </w:rPr>
                          <w:t>3.09</w:t>
                        </w:r>
                      </w:p>
                    </w:tc>
                    <w:tc>
                      <w:tcPr>
                        <w:tcW w:w="769" w:type="dxa"/>
                      </w:tcPr>
                      <w:p>
                        <w:pPr>
                          <w:pStyle w:val="TableParagraph"/>
                          <w:spacing w:before="44"/>
                          <w:ind w:left="190"/>
                          <w:jc w:val="left"/>
                          <w:rPr>
                            <w:sz w:val="22"/>
                          </w:rPr>
                        </w:pPr>
                        <w:r>
                          <w:rPr>
                            <w:sz w:val="22"/>
                          </w:rPr>
                          <w:t>3.15</w:t>
                        </w:r>
                      </w:p>
                    </w:tc>
                    <w:tc>
                      <w:tcPr>
                        <w:tcW w:w="771" w:type="dxa"/>
                      </w:tcPr>
                      <w:p>
                        <w:pPr>
                          <w:pStyle w:val="TableParagraph"/>
                          <w:spacing w:before="44"/>
                          <w:ind w:left="172" w:right="172"/>
                          <w:rPr>
                            <w:sz w:val="22"/>
                          </w:rPr>
                        </w:pPr>
                        <w:r>
                          <w:rPr>
                            <w:sz w:val="22"/>
                          </w:rPr>
                          <w:t>3.11</w:t>
                        </w:r>
                      </w:p>
                    </w:tc>
                  </w:tr>
                  <w:tr>
                    <w:trPr>
                      <w:trHeight w:val="330" w:hRule="exact"/>
                    </w:trPr>
                    <w:tc>
                      <w:tcPr>
                        <w:tcW w:w="1238" w:type="dxa"/>
                      </w:tcPr>
                      <w:p>
                        <w:pPr>
                          <w:pStyle w:val="TableParagraph"/>
                          <w:spacing w:before="9"/>
                          <w:ind w:left="159" w:right="157"/>
                          <w:rPr>
                            <w:b/>
                            <w:i/>
                            <w:sz w:val="22"/>
                          </w:rPr>
                        </w:pPr>
                        <w:r>
                          <w:rPr>
                            <w:b/>
                            <w:i/>
                            <w:sz w:val="22"/>
                          </w:rPr>
                          <w:t>f-CNT</w:t>
                        </w:r>
                      </w:p>
                    </w:tc>
                    <w:tc>
                      <w:tcPr>
                        <w:tcW w:w="905" w:type="dxa"/>
                      </w:tcPr>
                      <w:p>
                        <w:pPr>
                          <w:pStyle w:val="TableParagraph"/>
                          <w:spacing w:before="43"/>
                          <w:ind w:left="184" w:right="184"/>
                          <w:rPr>
                            <w:sz w:val="22"/>
                          </w:rPr>
                        </w:pPr>
                        <w:r>
                          <w:rPr>
                            <w:sz w:val="22"/>
                          </w:rPr>
                          <w:t>0.435</w:t>
                        </w:r>
                      </w:p>
                    </w:tc>
                    <w:tc>
                      <w:tcPr>
                        <w:tcW w:w="905" w:type="dxa"/>
                      </w:tcPr>
                      <w:p>
                        <w:pPr>
                          <w:pStyle w:val="TableParagraph"/>
                          <w:spacing w:before="43"/>
                          <w:ind w:left="185" w:right="185"/>
                          <w:rPr>
                            <w:sz w:val="22"/>
                          </w:rPr>
                        </w:pPr>
                        <w:r>
                          <w:rPr>
                            <w:sz w:val="22"/>
                          </w:rPr>
                          <w:t>0.390</w:t>
                        </w:r>
                      </w:p>
                    </w:tc>
                    <w:tc>
                      <w:tcPr>
                        <w:tcW w:w="932" w:type="dxa"/>
                      </w:tcPr>
                      <w:p>
                        <w:pPr>
                          <w:pStyle w:val="TableParagraph"/>
                          <w:spacing w:before="43"/>
                          <w:ind w:left="186" w:right="211"/>
                          <w:rPr>
                            <w:sz w:val="22"/>
                          </w:rPr>
                        </w:pPr>
                        <w:r>
                          <w:rPr>
                            <w:sz w:val="22"/>
                          </w:rPr>
                          <w:t>0.387</w:t>
                        </w:r>
                      </w:p>
                    </w:tc>
                    <w:tc>
                      <w:tcPr>
                        <w:tcW w:w="877" w:type="dxa"/>
                      </w:tcPr>
                      <w:p>
                        <w:pPr>
                          <w:pStyle w:val="TableParagraph"/>
                          <w:spacing w:before="43"/>
                          <w:ind w:left="231"/>
                          <w:jc w:val="left"/>
                          <w:rPr>
                            <w:sz w:val="22"/>
                          </w:rPr>
                        </w:pPr>
                        <w:r>
                          <w:rPr>
                            <w:sz w:val="22"/>
                          </w:rPr>
                          <w:t>5.35</w:t>
                        </w:r>
                      </w:p>
                    </w:tc>
                    <w:tc>
                      <w:tcPr>
                        <w:tcW w:w="905" w:type="dxa"/>
                      </w:tcPr>
                      <w:p>
                        <w:pPr>
                          <w:pStyle w:val="TableParagraph"/>
                          <w:spacing w:before="43"/>
                          <w:ind w:left="185" w:right="185"/>
                          <w:rPr>
                            <w:sz w:val="22"/>
                          </w:rPr>
                        </w:pPr>
                        <w:r>
                          <w:rPr>
                            <w:sz w:val="22"/>
                          </w:rPr>
                          <w:t>5.93</w:t>
                        </w:r>
                      </w:p>
                    </w:tc>
                    <w:tc>
                      <w:tcPr>
                        <w:tcW w:w="872" w:type="dxa"/>
                      </w:tcPr>
                      <w:p>
                        <w:pPr>
                          <w:pStyle w:val="TableParagraph"/>
                          <w:spacing w:before="43"/>
                          <w:ind w:left="239" w:right="207"/>
                          <w:rPr>
                            <w:sz w:val="22"/>
                          </w:rPr>
                        </w:pPr>
                        <w:r>
                          <w:rPr>
                            <w:sz w:val="22"/>
                          </w:rPr>
                          <w:t>5.98</w:t>
                        </w:r>
                      </w:p>
                    </w:tc>
                    <w:tc>
                      <w:tcPr>
                        <w:tcW w:w="804" w:type="dxa"/>
                      </w:tcPr>
                      <w:p>
                        <w:pPr>
                          <w:pStyle w:val="TableParagraph"/>
                          <w:spacing w:before="43"/>
                          <w:ind w:left="226"/>
                          <w:jc w:val="left"/>
                          <w:rPr>
                            <w:sz w:val="22"/>
                          </w:rPr>
                        </w:pPr>
                        <w:r>
                          <w:rPr>
                            <w:sz w:val="22"/>
                          </w:rPr>
                          <w:t>3.10</w:t>
                        </w:r>
                      </w:p>
                    </w:tc>
                    <w:tc>
                      <w:tcPr>
                        <w:tcW w:w="769" w:type="dxa"/>
                      </w:tcPr>
                      <w:p>
                        <w:pPr>
                          <w:pStyle w:val="TableParagraph"/>
                          <w:spacing w:before="43"/>
                          <w:ind w:left="190"/>
                          <w:jc w:val="left"/>
                          <w:rPr>
                            <w:sz w:val="22"/>
                          </w:rPr>
                        </w:pPr>
                        <w:r>
                          <w:rPr>
                            <w:sz w:val="22"/>
                          </w:rPr>
                          <w:t>3.23</w:t>
                        </w:r>
                      </w:p>
                    </w:tc>
                    <w:tc>
                      <w:tcPr>
                        <w:tcW w:w="771" w:type="dxa"/>
                      </w:tcPr>
                      <w:p>
                        <w:pPr>
                          <w:pStyle w:val="TableParagraph"/>
                          <w:spacing w:before="43"/>
                          <w:ind w:left="172" w:right="172"/>
                          <w:rPr>
                            <w:sz w:val="22"/>
                          </w:rPr>
                        </w:pPr>
                        <w:r>
                          <w:rPr>
                            <w:sz w:val="22"/>
                          </w:rPr>
                          <w:t>3.88</w:t>
                        </w:r>
                      </w:p>
                    </w:tc>
                  </w:tr>
                  <w:tr>
                    <w:trPr>
                      <w:trHeight w:val="330" w:hRule="exact"/>
                    </w:trPr>
                    <w:tc>
                      <w:tcPr>
                        <w:tcW w:w="1238" w:type="dxa"/>
                      </w:tcPr>
                      <w:p>
                        <w:pPr>
                          <w:pStyle w:val="TableParagraph"/>
                          <w:spacing w:before="10"/>
                          <w:ind w:left="159" w:right="159"/>
                          <w:rPr>
                            <w:b/>
                            <w:i/>
                            <w:sz w:val="22"/>
                          </w:rPr>
                        </w:pPr>
                        <w:r>
                          <w:rPr>
                            <w:b/>
                            <w:i/>
                            <w:sz w:val="22"/>
                          </w:rPr>
                          <w:t>RGO</w:t>
                        </w:r>
                      </w:p>
                    </w:tc>
                    <w:tc>
                      <w:tcPr>
                        <w:tcW w:w="905" w:type="dxa"/>
                      </w:tcPr>
                      <w:p>
                        <w:pPr>
                          <w:pStyle w:val="TableParagraph"/>
                          <w:spacing w:before="44"/>
                          <w:ind w:left="184" w:right="184"/>
                          <w:rPr>
                            <w:sz w:val="22"/>
                          </w:rPr>
                        </w:pPr>
                        <w:r>
                          <w:rPr>
                            <w:sz w:val="22"/>
                          </w:rPr>
                          <w:t>0.418</w:t>
                        </w:r>
                      </w:p>
                    </w:tc>
                    <w:tc>
                      <w:tcPr>
                        <w:tcW w:w="905" w:type="dxa"/>
                      </w:tcPr>
                      <w:p>
                        <w:pPr>
                          <w:pStyle w:val="TableParagraph"/>
                          <w:spacing w:before="44"/>
                          <w:ind w:left="185" w:right="185"/>
                          <w:rPr>
                            <w:sz w:val="22"/>
                          </w:rPr>
                        </w:pPr>
                        <w:r>
                          <w:rPr>
                            <w:sz w:val="22"/>
                          </w:rPr>
                          <w:t>0.426</w:t>
                        </w:r>
                      </w:p>
                    </w:tc>
                    <w:tc>
                      <w:tcPr>
                        <w:tcW w:w="932" w:type="dxa"/>
                      </w:tcPr>
                      <w:p>
                        <w:pPr>
                          <w:pStyle w:val="TableParagraph"/>
                          <w:spacing w:before="44"/>
                          <w:ind w:left="186" w:right="211"/>
                          <w:rPr>
                            <w:sz w:val="22"/>
                          </w:rPr>
                        </w:pPr>
                        <w:r>
                          <w:rPr>
                            <w:sz w:val="22"/>
                          </w:rPr>
                          <w:t>0.435</w:t>
                        </w:r>
                      </w:p>
                    </w:tc>
                    <w:tc>
                      <w:tcPr>
                        <w:tcW w:w="877" w:type="dxa"/>
                      </w:tcPr>
                      <w:p>
                        <w:pPr>
                          <w:pStyle w:val="TableParagraph"/>
                          <w:spacing w:before="44"/>
                          <w:ind w:left="231"/>
                          <w:jc w:val="left"/>
                          <w:rPr>
                            <w:sz w:val="22"/>
                          </w:rPr>
                        </w:pPr>
                        <w:r>
                          <w:rPr>
                            <w:sz w:val="22"/>
                          </w:rPr>
                          <w:t>5.44</w:t>
                        </w:r>
                      </w:p>
                    </w:tc>
                    <w:tc>
                      <w:tcPr>
                        <w:tcW w:w="905" w:type="dxa"/>
                      </w:tcPr>
                      <w:p>
                        <w:pPr>
                          <w:pStyle w:val="TableParagraph"/>
                          <w:spacing w:before="44"/>
                          <w:ind w:left="185" w:right="185"/>
                          <w:rPr>
                            <w:sz w:val="22"/>
                          </w:rPr>
                        </w:pPr>
                        <w:r>
                          <w:rPr>
                            <w:sz w:val="22"/>
                          </w:rPr>
                          <w:t>5.43</w:t>
                        </w:r>
                      </w:p>
                    </w:tc>
                    <w:tc>
                      <w:tcPr>
                        <w:tcW w:w="872" w:type="dxa"/>
                      </w:tcPr>
                      <w:p>
                        <w:pPr>
                          <w:pStyle w:val="TableParagraph"/>
                          <w:spacing w:before="44"/>
                          <w:ind w:left="239" w:right="207"/>
                          <w:rPr>
                            <w:sz w:val="22"/>
                          </w:rPr>
                        </w:pPr>
                        <w:r>
                          <w:rPr>
                            <w:sz w:val="22"/>
                          </w:rPr>
                          <w:t>5.18</w:t>
                        </w:r>
                      </w:p>
                    </w:tc>
                    <w:tc>
                      <w:tcPr>
                        <w:tcW w:w="804" w:type="dxa"/>
                      </w:tcPr>
                      <w:p>
                        <w:pPr>
                          <w:pStyle w:val="TableParagraph"/>
                          <w:spacing w:before="44"/>
                          <w:ind w:left="226"/>
                          <w:jc w:val="left"/>
                          <w:rPr>
                            <w:sz w:val="22"/>
                          </w:rPr>
                        </w:pPr>
                        <w:r>
                          <w:rPr>
                            <w:sz w:val="22"/>
                          </w:rPr>
                          <w:t>2.89</w:t>
                        </w:r>
                      </w:p>
                    </w:tc>
                    <w:tc>
                      <w:tcPr>
                        <w:tcW w:w="769" w:type="dxa"/>
                      </w:tcPr>
                      <w:p>
                        <w:pPr>
                          <w:pStyle w:val="TableParagraph"/>
                          <w:spacing w:before="44"/>
                          <w:ind w:left="190"/>
                          <w:jc w:val="left"/>
                          <w:rPr>
                            <w:sz w:val="22"/>
                          </w:rPr>
                        </w:pPr>
                        <w:r>
                          <w:rPr>
                            <w:sz w:val="22"/>
                          </w:rPr>
                          <w:t>2.98</w:t>
                        </w:r>
                      </w:p>
                    </w:tc>
                    <w:tc>
                      <w:tcPr>
                        <w:tcW w:w="771" w:type="dxa"/>
                      </w:tcPr>
                      <w:p>
                        <w:pPr>
                          <w:pStyle w:val="TableParagraph"/>
                          <w:spacing w:before="44"/>
                          <w:ind w:left="172" w:right="172"/>
                          <w:rPr>
                            <w:sz w:val="22"/>
                          </w:rPr>
                        </w:pPr>
                        <w:r>
                          <w:rPr>
                            <w:sz w:val="22"/>
                          </w:rPr>
                          <w:t>2.92</w:t>
                        </w:r>
                      </w:p>
                    </w:tc>
                  </w:tr>
                  <w:tr>
                    <w:trPr>
                      <w:trHeight w:val="330" w:hRule="exact"/>
                    </w:trPr>
                    <w:tc>
                      <w:tcPr>
                        <w:tcW w:w="1238" w:type="dxa"/>
                      </w:tcPr>
                      <w:p>
                        <w:pPr>
                          <w:pStyle w:val="TableParagraph"/>
                          <w:spacing w:before="9"/>
                          <w:ind w:left="159" w:right="159"/>
                          <w:rPr>
                            <w:b/>
                            <w:i/>
                            <w:sz w:val="22"/>
                          </w:rPr>
                        </w:pPr>
                        <w:r>
                          <w:rPr>
                            <w:b/>
                            <w:i/>
                            <w:sz w:val="22"/>
                          </w:rPr>
                          <w:t>GO</w:t>
                        </w:r>
                      </w:p>
                    </w:tc>
                    <w:tc>
                      <w:tcPr>
                        <w:tcW w:w="905" w:type="dxa"/>
                      </w:tcPr>
                      <w:p>
                        <w:pPr>
                          <w:pStyle w:val="TableParagraph"/>
                          <w:spacing w:before="43"/>
                          <w:ind w:left="184" w:right="184"/>
                          <w:rPr>
                            <w:sz w:val="22"/>
                          </w:rPr>
                        </w:pPr>
                        <w:r>
                          <w:rPr>
                            <w:sz w:val="22"/>
                          </w:rPr>
                          <w:t>0.401</w:t>
                        </w:r>
                      </w:p>
                    </w:tc>
                    <w:tc>
                      <w:tcPr>
                        <w:tcW w:w="905" w:type="dxa"/>
                      </w:tcPr>
                      <w:p>
                        <w:pPr>
                          <w:pStyle w:val="TableParagraph"/>
                          <w:spacing w:before="43"/>
                          <w:ind w:left="185" w:right="185"/>
                          <w:rPr>
                            <w:sz w:val="22"/>
                          </w:rPr>
                        </w:pPr>
                        <w:r>
                          <w:rPr>
                            <w:sz w:val="22"/>
                          </w:rPr>
                          <w:t>0.424</w:t>
                        </w:r>
                      </w:p>
                    </w:tc>
                    <w:tc>
                      <w:tcPr>
                        <w:tcW w:w="932" w:type="dxa"/>
                      </w:tcPr>
                      <w:p>
                        <w:pPr>
                          <w:pStyle w:val="TableParagraph"/>
                          <w:spacing w:before="43"/>
                          <w:ind w:left="186" w:right="211"/>
                          <w:rPr>
                            <w:sz w:val="22"/>
                          </w:rPr>
                        </w:pPr>
                        <w:r>
                          <w:rPr>
                            <w:sz w:val="22"/>
                          </w:rPr>
                          <w:t>0.437</w:t>
                        </w:r>
                      </w:p>
                    </w:tc>
                    <w:tc>
                      <w:tcPr>
                        <w:tcW w:w="877" w:type="dxa"/>
                      </w:tcPr>
                      <w:p>
                        <w:pPr>
                          <w:pStyle w:val="TableParagraph"/>
                          <w:spacing w:before="43"/>
                          <w:ind w:left="231"/>
                          <w:jc w:val="left"/>
                          <w:rPr>
                            <w:sz w:val="22"/>
                          </w:rPr>
                        </w:pPr>
                        <w:r>
                          <w:rPr>
                            <w:sz w:val="22"/>
                          </w:rPr>
                          <w:t>5.60</w:t>
                        </w:r>
                      </w:p>
                    </w:tc>
                    <w:tc>
                      <w:tcPr>
                        <w:tcW w:w="905" w:type="dxa"/>
                      </w:tcPr>
                      <w:p>
                        <w:pPr>
                          <w:pStyle w:val="TableParagraph"/>
                          <w:spacing w:before="43"/>
                          <w:ind w:left="185" w:right="185"/>
                          <w:rPr>
                            <w:sz w:val="22"/>
                          </w:rPr>
                        </w:pPr>
                        <w:r>
                          <w:rPr>
                            <w:sz w:val="22"/>
                          </w:rPr>
                          <w:t>5.10</w:t>
                        </w:r>
                      </w:p>
                    </w:tc>
                    <w:tc>
                      <w:tcPr>
                        <w:tcW w:w="872" w:type="dxa"/>
                      </w:tcPr>
                      <w:p>
                        <w:pPr>
                          <w:pStyle w:val="TableParagraph"/>
                          <w:spacing w:before="43"/>
                          <w:ind w:left="239" w:right="207"/>
                          <w:rPr>
                            <w:sz w:val="22"/>
                          </w:rPr>
                        </w:pPr>
                        <w:r>
                          <w:rPr>
                            <w:sz w:val="22"/>
                          </w:rPr>
                          <w:t>5.01</w:t>
                        </w:r>
                      </w:p>
                    </w:tc>
                    <w:tc>
                      <w:tcPr>
                        <w:tcW w:w="804" w:type="dxa"/>
                      </w:tcPr>
                      <w:p>
                        <w:pPr>
                          <w:pStyle w:val="TableParagraph"/>
                          <w:spacing w:before="43"/>
                          <w:ind w:left="226"/>
                          <w:jc w:val="left"/>
                          <w:rPr>
                            <w:sz w:val="22"/>
                          </w:rPr>
                        </w:pPr>
                        <w:r>
                          <w:rPr>
                            <w:sz w:val="22"/>
                          </w:rPr>
                          <w:t>3.17</w:t>
                        </w:r>
                      </w:p>
                    </w:tc>
                    <w:tc>
                      <w:tcPr>
                        <w:tcW w:w="769" w:type="dxa"/>
                      </w:tcPr>
                      <w:p>
                        <w:pPr>
                          <w:pStyle w:val="TableParagraph"/>
                          <w:spacing w:before="43"/>
                          <w:ind w:left="190"/>
                          <w:jc w:val="left"/>
                          <w:rPr>
                            <w:sz w:val="22"/>
                          </w:rPr>
                        </w:pPr>
                        <w:r>
                          <w:rPr>
                            <w:sz w:val="22"/>
                          </w:rPr>
                          <w:t>3.08</w:t>
                        </w:r>
                      </w:p>
                    </w:tc>
                    <w:tc>
                      <w:tcPr>
                        <w:tcW w:w="771" w:type="dxa"/>
                      </w:tcPr>
                      <w:p>
                        <w:pPr>
                          <w:pStyle w:val="TableParagraph"/>
                          <w:spacing w:before="43"/>
                          <w:ind w:left="172" w:right="172"/>
                          <w:rPr>
                            <w:sz w:val="22"/>
                          </w:rPr>
                        </w:pPr>
                        <w:r>
                          <w:rPr>
                            <w:sz w:val="22"/>
                          </w:rPr>
                          <w:t>2.93</w:t>
                        </w:r>
                      </w:p>
                    </w:tc>
                  </w:tr>
                  <w:tr>
                    <w:trPr>
                      <w:trHeight w:val="319" w:hRule="exact"/>
                    </w:trPr>
                    <w:tc>
                      <w:tcPr>
                        <w:tcW w:w="1238" w:type="dxa"/>
                        <w:tcBorders>
                          <w:bottom w:val="single" w:sz="12" w:space="0" w:color="000000"/>
                        </w:tcBorders>
                      </w:tcPr>
                      <w:p>
                        <w:pPr>
                          <w:pStyle w:val="TableParagraph"/>
                          <w:spacing w:before="10"/>
                          <w:ind w:left="159" w:right="159"/>
                          <w:rPr>
                            <w:b/>
                            <w:i/>
                            <w:sz w:val="22"/>
                          </w:rPr>
                        </w:pPr>
                        <w:r>
                          <w:rPr>
                            <w:b/>
                            <w:i/>
                            <w:sz w:val="22"/>
                          </w:rPr>
                          <w:t>f-Ge</w:t>
                        </w:r>
                      </w:p>
                    </w:tc>
                    <w:tc>
                      <w:tcPr>
                        <w:tcW w:w="905" w:type="dxa"/>
                        <w:tcBorders>
                          <w:bottom w:val="single" w:sz="12" w:space="0" w:color="000000"/>
                        </w:tcBorders>
                      </w:tcPr>
                      <w:p>
                        <w:pPr>
                          <w:pStyle w:val="TableParagraph"/>
                          <w:spacing w:before="44"/>
                          <w:ind w:left="184" w:right="184"/>
                          <w:rPr>
                            <w:sz w:val="22"/>
                          </w:rPr>
                        </w:pPr>
                        <w:r>
                          <w:rPr>
                            <w:sz w:val="22"/>
                          </w:rPr>
                          <w:t>0.403</w:t>
                        </w:r>
                      </w:p>
                    </w:tc>
                    <w:tc>
                      <w:tcPr>
                        <w:tcW w:w="905" w:type="dxa"/>
                        <w:tcBorders>
                          <w:bottom w:val="single" w:sz="12" w:space="0" w:color="000000"/>
                        </w:tcBorders>
                      </w:tcPr>
                      <w:p>
                        <w:pPr>
                          <w:pStyle w:val="TableParagraph"/>
                          <w:spacing w:before="44"/>
                          <w:ind w:left="185" w:right="185"/>
                          <w:rPr>
                            <w:sz w:val="22"/>
                          </w:rPr>
                        </w:pPr>
                        <w:r>
                          <w:rPr>
                            <w:sz w:val="22"/>
                          </w:rPr>
                          <w:t>0.417</w:t>
                        </w:r>
                      </w:p>
                    </w:tc>
                    <w:tc>
                      <w:tcPr>
                        <w:tcW w:w="932" w:type="dxa"/>
                        <w:tcBorders>
                          <w:bottom w:val="single" w:sz="12" w:space="0" w:color="000000"/>
                        </w:tcBorders>
                      </w:tcPr>
                      <w:p>
                        <w:pPr>
                          <w:pStyle w:val="TableParagraph"/>
                          <w:spacing w:before="44"/>
                          <w:ind w:left="186" w:right="211"/>
                          <w:rPr>
                            <w:sz w:val="22"/>
                          </w:rPr>
                        </w:pPr>
                        <w:r>
                          <w:rPr>
                            <w:sz w:val="22"/>
                          </w:rPr>
                          <w:t>0.431</w:t>
                        </w:r>
                      </w:p>
                    </w:tc>
                    <w:tc>
                      <w:tcPr>
                        <w:tcW w:w="877" w:type="dxa"/>
                        <w:tcBorders>
                          <w:bottom w:val="single" w:sz="12" w:space="0" w:color="000000"/>
                        </w:tcBorders>
                      </w:tcPr>
                      <w:p>
                        <w:pPr>
                          <w:pStyle w:val="TableParagraph"/>
                          <w:spacing w:before="44"/>
                          <w:ind w:left="231"/>
                          <w:jc w:val="left"/>
                          <w:rPr>
                            <w:sz w:val="22"/>
                          </w:rPr>
                        </w:pPr>
                        <w:r>
                          <w:rPr>
                            <w:sz w:val="22"/>
                          </w:rPr>
                          <w:t>6.29</w:t>
                        </w:r>
                      </w:p>
                    </w:tc>
                    <w:tc>
                      <w:tcPr>
                        <w:tcW w:w="905" w:type="dxa"/>
                        <w:tcBorders>
                          <w:bottom w:val="single" w:sz="12" w:space="0" w:color="000000"/>
                        </w:tcBorders>
                      </w:tcPr>
                      <w:p>
                        <w:pPr>
                          <w:pStyle w:val="TableParagraph"/>
                          <w:spacing w:before="44"/>
                          <w:ind w:left="185" w:right="185"/>
                          <w:rPr>
                            <w:sz w:val="22"/>
                          </w:rPr>
                        </w:pPr>
                        <w:r>
                          <w:rPr>
                            <w:sz w:val="22"/>
                          </w:rPr>
                          <w:t>5.67</w:t>
                        </w:r>
                      </w:p>
                    </w:tc>
                    <w:tc>
                      <w:tcPr>
                        <w:tcW w:w="872" w:type="dxa"/>
                        <w:tcBorders>
                          <w:bottom w:val="single" w:sz="12" w:space="0" w:color="000000"/>
                        </w:tcBorders>
                      </w:tcPr>
                      <w:p>
                        <w:pPr>
                          <w:pStyle w:val="TableParagraph"/>
                          <w:spacing w:before="44"/>
                          <w:ind w:left="239" w:right="207"/>
                          <w:rPr>
                            <w:sz w:val="22"/>
                          </w:rPr>
                        </w:pPr>
                        <w:r>
                          <w:rPr>
                            <w:sz w:val="22"/>
                          </w:rPr>
                          <w:t>5.76</w:t>
                        </w:r>
                      </w:p>
                    </w:tc>
                    <w:tc>
                      <w:tcPr>
                        <w:tcW w:w="804" w:type="dxa"/>
                        <w:tcBorders>
                          <w:bottom w:val="single" w:sz="12" w:space="0" w:color="000000"/>
                        </w:tcBorders>
                      </w:tcPr>
                      <w:p>
                        <w:pPr>
                          <w:pStyle w:val="TableParagraph"/>
                          <w:spacing w:before="44"/>
                          <w:ind w:left="226"/>
                          <w:jc w:val="left"/>
                          <w:rPr>
                            <w:sz w:val="22"/>
                          </w:rPr>
                        </w:pPr>
                        <w:r>
                          <w:rPr>
                            <w:sz w:val="22"/>
                          </w:rPr>
                          <w:t>2.97</w:t>
                        </w:r>
                      </w:p>
                    </w:tc>
                    <w:tc>
                      <w:tcPr>
                        <w:tcW w:w="769" w:type="dxa"/>
                        <w:tcBorders>
                          <w:bottom w:val="single" w:sz="12" w:space="0" w:color="000000"/>
                        </w:tcBorders>
                      </w:tcPr>
                      <w:p>
                        <w:pPr>
                          <w:pStyle w:val="TableParagraph"/>
                          <w:spacing w:before="44"/>
                          <w:ind w:left="190"/>
                          <w:jc w:val="left"/>
                          <w:rPr>
                            <w:sz w:val="22"/>
                          </w:rPr>
                        </w:pPr>
                        <w:r>
                          <w:rPr>
                            <w:sz w:val="22"/>
                          </w:rPr>
                          <w:t>3.19</w:t>
                        </w:r>
                      </w:p>
                    </w:tc>
                    <w:tc>
                      <w:tcPr>
                        <w:tcW w:w="771" w:type="dxa"/>
                        <w:tcBorders>
                          <w:bottom w:val="single" w:sz="12" w:space="0" w:color="000000"/>
                        </w:tcBorders>
                      </w:tcPr>
                      <w:p>
                        <w:pPr>
                          <w:pStyle w:val="TableParagraph"/>
                          <w:spacing w:before="44"/>
                          <w:ind w:left="172" w:right="172"/>
                          <w:rPr>
                            <w:sz w:val="22"/>
                          </w:rPr>
                        </w:pPr>
                        <w:r>
                          <w:rPr>
                            <w:sz w:val="22"/>
                          </w:rPr>
                          <w:t>2.85</w:t>
                        </w:r>
                      </w:p>
                    </w:tc>
                  </w:tr>
                </w:tbl>
                <w:p>
                  <w:pPr>
                    <w:pStyle w:val="BodyText"/>
                  </w:pPr>
                </w:p>
              </w:txbxContent>
            </v:textbox>
            <w10:wrap type="none"/>
          </v:shape>
        </w:pict>
      </w:r>
      <w:r>
        <w:rPr>
          <w:b/>
          <w:sz w:val="22"/>
        </w:rPr>
        <w:t>Tabla 4.2 </w:t>
      </w:r>
      <w:r>
        <w:rPr>
          <w:sz w:val="22"/>
        </w:rPr>
        <w:t>Resultados de WAXD de los nanocompositos obtenidos por </w:t>
      </w:r>
      <w:r>
        <w:rPr>
          <w:i/>
          <w:sz w:val="22"/>
        </w:rPr>
        <w:t>electrospinning</w:t>
      </w:r>
    </w:p>
    <w:p>
      <w:pPr>
        <w:pStyle w:val="BodyText"/>
        <w:spacing w:before="5"/>
        <w:rPr>
          <w:i/>
          <w:sz w:val="25"/>
        </w:rPr>
      </w:pPr>
      <w:r>
        <w:rPr/>
        <w:pict>
          <v:group style="position:absolute;margin-left:80.899002pt;margin-top:16.575594pt;width:450.45pt;height:1.45pt;mso-position-horizontal-relative:page;mso-position-vertical-relative:paragraph;z-index:2656;mso-wrap-distance-left:0;mso-wrap-distance-right:0" coordorigin="1618,332" coordsize="9009,29">
            <v:line style="position:absolute" from="1632,346" to="2871,346" stroked="true" strokeweight="1.44pt" strokecolor="#000000"/>
            <v:line style="position:absolute" from="2871,346" to="2900,346" stroked="true" strokeweight="1.44pt" strokecolor="#000000"/>
            <v:line style="position:absolute" from="2900,346" to="5586,346" stroked="true" strokeweight="1.44pt" strokecolor="#000000"/>
            <v:line style="position:absolute" from="5586,346" to="5615,346" stroked="true" strokeweight="1.44pt" strokecolor="#000000"/>
            <v:line style="position:absolute" from="5615,346" to="8303,346" stroked="true" strokeweight="1.44pt" strokecolor="#000000"/>
            <v:line style="position:absolute" from="8303,346" to="8332,346" stroked="true" strokeweight="1.44pt" strokecolor="#000000"/>
            <v:line style="position:absolute" from="8332,346" to="10612,346" stroked="true" strokeweight="1.44pt" strokecolor="#000000"/>
            <w10:wrap type="topAndBottom"/>
          </v:group>
        </w:pict>
      </w:r>
    </w:p>
    <w:p>
      <w:pPr>
        <w:tabs>
          <w:tab w:pos="5031" w:val="left" w:leader="none"/>
          <w:tab w:pos="7422" w:val="left" w:leader="none"/>
        </w:tabs>
        <w:spacing w:before="5"/>
        <w:ind w:left="2612" w:right="0" w:firstLine="0"/>
        <w:jc w:val="left"/>
        <w:rPr>
          <w:b/>
          <w:i/>
          <w:sz w:val="22"/>
        </w:rPr>
      </w:pPr>
      <w:r>
        <w:rPr>
          <w:b/>
          <w:i/>
          <w:position w:val="6"/>
          <w:sz w:val="22"/>
        </w:rPr>
        <w:t>CI</w:t>
        <w:tab/>
      </w:r>
      <w:r>
        <w:rPr>
          <w:b/>
          <w:i/>
          <w:position w:val="3"/>
          <w:sz w:val="22"/>
        </w:rPr>
        <w:t>L</w:t>
      </w:r>
      <w:r>
        <w:rPr>
          <w:b/>
          <w:i/>
          <w:sz w:val="14"/>
        </w:rPr>
        <w:t>(100),</w:t>
      </w:r>
      <w:r>
        <w:rPr>
          <w:b/>
          <w:i/>
          <w:spacing w:val="19"/>
          <w:sz w:val="14"/>
        </w:rPr>
        <w:t> </w:t>
      </w:r>
      <w:r>
        <w:rPr>
          <w:b/>
          <w:i/>
          <w:position w:val="3"/>
          <w:sz w:val="22"/>
        </w:rPr>
        <w:t>nm</w:t>
        <w:tab/>
        <w:t>L</w:t>
      </w:r>
      <w:r>
        <w:rPr>
          <w:b/>
          <w:i/>
          <w:sz w:val="14"/>
        </w:rPr>
        <w:t>(010/110),</w:t>
      </w:r>
      <w:r>
        <w:rPr>
          <w:b/>
          <w:i/>
          <w:spacing w:val="16"/>
          <w:sz w:val="14"/>
        </w:rPr>
        <w:t> </w:t>
      </w:r>
      <w:r>
        <w:rPr>
          <w:b/>
          <w:i/>
          <w:position w:val="3"/>
          <w:sz w:val="22"/>
        </w:rPr>
        <w:t>nm</w:t>
      </w:r>
    </w:p>
    <w:p>
      <w:pPr>
        <w:pStyle w:val="BodyText"/>
        <w:rPr>
          <w:b/>
          <w:i/>
          <w:sz w:val="20"/>
        </w:rPr>
      </w:pPr>
    </w:p>
    <w:p>
      <w:pPr>
        <w:pStyle w:val="BodyText"/>
        <w:spacing w:before="9"/>
        <w:rPr>
          <w:b/>
          <w:i/>
          <w:sz w:val="19"/>
        </w:rPr>
      </w:pPr>
    </w:p>
    <w:p>
      <w:pPr>
        <w:pStyle w:val="Heading5"/>
        <w:spacing w:before="73"/>
        <w:rPr>
          <w:i/>
        </w:rPr>
      </w:pPr>
      <w:r>
        <w:rPr>
          <w:i/>
        </w:rPr>
        <w:t>Refuerzo</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9"/>
        <w:rPr>
          <w:b/>
          <w:i/>
          <w:sz w:val="21"/>
        </w:rPr>
      </w:pPr>
    </w:p>
    <w:p>
      <w:pPr>
        <w:spacing w:before="72"/>
        <w:ind w:left="202" w:right="0" w:firstLine="0"/>
        <w:jc w:val="left"/>
        <w:rPr>
          <w:b/>
          <w:sz w:val="22"/>
        </w:rPr>
      </w:pPr>
      <w:r>
        <w:rPr>
          <w:b/>
          <w:sz w:val="22"/>
        </w:rPr>
        <w:t>4.4.2 Propiedades termo-mecánicas</w:t>
      </w:r>
    </w:p>
    <w:p>
      <w:pPr>
        <w:pStyle w:val="BodyText"/>
        <w:spacing w:line="357" w:lineRule="auto" w:before="121"/>
        <w:ind w:left="202" w:right="196" w:firstLine="283"/>
        <w:jc w:val="both"/>
      </w:pPr>
      <w:r>
        <w:rPr/>
        <w:t>En la Tabla 4.3 se incluyen los valores de la T</w:t>
      </w:r>
      <w:r>
        <w:rPr>
          <w:position w:val="-2"/>
          <w:sz w:val="14"/>
        </w:rPr>
        <w:t>g</w:t>
      </w:r>
      <w:r>
        <w:rPr/>
        <w:t>, en donde se puede apreciar el efecto favorable de la adición de los nanomateriales de carbono en esta propiedad. Estos refuerzos también mejoraron el módulo de almacenamiento del polímero, en estos nanocompositos se obtuvo un comportamiento similar al de la cristalinidad en relación al contenido de los nanomateriales de carbono. En general se observa que los refuerzos con grupos carboxílicos o grupos amino proporcionaron mejor respuesta en esta propiedad. Este comportamiento fue de esperarse debido a que</w:t>
      </w:r>
      <w:r>
        <w:rPr>
          <w:spacing w:val="19"/>
        </w:rPr>
        <w:t> </w:t>
      </w:r>
      <w:r>
        <w:rPr/>
        <w:t>estos</w:t>
      </w:r>
      <w:r>
        <w:rPr>
          <w:spacing w:val="20"/>
        </w:rPr>
        <w:t> </w:t>
      </w:r>
      <w:r>
        <w:rPr/>
        <w:t>grupos</w:t>
      </w:r>
      <w:r>
        <w:rPr>
          <w:spacing w:val="17"/>
        </w:rPr>
        <w:t> </w:t>
      </w:r>
      <w:r>
        <w:rPr/>
        <w:t>funcionales</w:t>
      </w:r>
      <w:r>
        <w:rPr>
          <w:spacing w:val="17"/>
        </w:rPr>
        <w:t> </w:t>
      </w:r>
      <w:r>
        <w:rPr/>
        <w:t>favorecen</w:t>
      </w:r>
      <w:r>
        <w:rPr>
          <w:spacing w:val="17"/>
        </w:rPr>
        <w:t> </w:t>
      </w:r>
      <w:r>
        <w:rPr/>
        <w:t>a</w:t>
      </w:r>
      <w:r>
        <w:rPr>
          <w:spacing w:val="17"/>
        </w:rPr>
        <w:t> </w:t>
      </w:r>
      <w:r>
        <w:rPr/>
        <w:t>la</w:t>
      </w:r>
      <w:r>
        <w:rPr>
          <w:spacing w:val="19"/>
        </w:rPr>
        <w:t> </w:t>
      </w:r>
      <w:r>
        <w:rPr/>
        <w:t>dispersión</w:t>
      </w:r>
      <w:r>
        <w:rPr>
          <w:spacing w:val="19"/>
        </w:rPr>
        <w:t> </w:t>
      </w:r>
      <w:r>
        <w:rPr/>
        <w:t>del</w:t>
      </w:r>
      <w:r>
        <w:rPr>
          <w:spacing w:val="20"/>
        </w:rPr>
        <w:t> </w:t>
      </w:r>
      <w:r>
        <w:rPr/>
        <w:t>nanomaterial</w:t>
      </w:r>
      <w:r>
        <w:rPr>
          <w:spacing w:val="20"/>
        </w:rPr>
        <w:t> </w:t>
      </w:r>
      <w:r>
        <w:rPr/>
        <w:t>en</w:t>
      </w:r>
      <w:r>
        <w:rPr>
          <w:spacing w:val="17"/>
        </w:rPr>
        <w:t> </w:t>
      </w:r>
      <w:r>
        <w:rPr/>
        <w:t>la</w:t>
      </w:r>
      <w:r>
        <w:rPr>
          <w:spacing w:val="19"/>
        </w:rPr>
        <w:t> </w:t>
      </w:r>
      <w:r>
        <w:rPr/>
        <w:t>matriz.</w:t>
      </w:r>
      <w:r>
        <w:rPr>
          <w:spacing w:val="26"/>
        </w:rPr>
        <w:t> </w:t>
      </w:r>
      <w:r>
        <w:rPr/>
        <w:t>En</w:t>
      </w:r>
      <w:r>
        <w:rPr>
          <w:spacing w:val="16"/>
        </w:rPr>
        <w:t> </w:t>
      </w:r>
      <w:r>
        <w:rPr/>
        <w:t>la</w:t>
      </w:r>
      <w:r>
        <w:rPr>
          <w:spacing w:val="15"/>
        </w:rPr>
        <w:t> </w:t>
      </w:r>
      <w:r>
        <w:rPr/>
        <w:t>Tabla</w:t>
      </w:r>
    </w:p>
    <w:p>
      <w:pPr>
        <w:pStyle w:val="ListParagraph"/>
        <w:numPr>
          <w:ilvl w:val="1"/>
          <w:numId w:val="26"/>
        </w:numPr>
        <w:tabs>
          <w:tab w:pos="550" w:val="left" w:leader="none"/>
        </w:tabs>
        <w:spacing w:line="360" w:lineRule="auto" w:before="7" w:after="0"/>
        <w:ind w:left="202" w:right="197" w:firstLine="0"/>
        <w:jc w:val="left"/>
        <w:rPr>
          <w:sz w:val="22"/>
        </w:rPr>
      </w:pPr>
      <w:r>
        <w:rPr>
          <w:sz w:val="22"/>
        </w:rPr>
        <w:t>se muestra la estabilidad térmica de los compositos investigada mediante TGA. En la mayoría de los nanocompositos las T</w:t>
      </w:r>
      <w:r>
        <w:rPr>
          <w:position w:val="-2"/>
          <w:sz w:val="14"/>
        </w:rPr>
        <w:t>d  </w:t>
      </w:r>
      <w:r>
        <w:rPr>
          <w:sz w:val="22"/>
        </w:rPr>
        <w:t>fueron similares o inferiores a las del nylon</w:t>
      </w:r>
      <w:r>
        <w:rPr>
          <w:spacing w:val="-35"/>
          <w:sz w:val="22"/>
        </w:rPr>
        <w:t> </w:t>
      </w:r>
      <w:r>
        <w:rPr>
          <w:sz w:val="22"/>
        </w:rPr>
        <w:t>puro.</w:t>
      </w:r>
    </w:p>
    <w:p>
      <w:pPr>
        <w:pStyle w:val="BodyText"/>
        <w:spacing w:before="1"/>
        <w:rPr>
          <w:sz w:val="32"/>
        </w:rPr>
      </w:pPr>
    </w:p>
    <w:p>
      <w:pPr>
        <w:pStyle w:val="Heading4"/>
        <w:numPr>
          <w:ilvl w:val="1"/>
          <w:numId w:val="26"/>
        </w:numPr>
        <w:tabs>
          <w:tab w:pos="589" w:val="left" w:leader="none"/>
        </w:tabs>
        <w:spacing w:line="240" w:lineRule="auto" w:before="0" w:after="0"/>
        <w:ind w:left="588" w:right="0" w:hanging="386"/>
        <w:jc w:val="left"/>
      </w:pPr>
      <w:r>
        <w:rPr/>
        <w:t>Nanocompositos obtenidos mediante moldeo por</w:t>
      </w:r>
      <w:r>
        <w:rPr>
          <w:spacing w:val="-17"/>
        </w:rPr>
        <w:t> </w:t>
      </w:r>
      <w:r>
        <w:rPr/>
        <w:t>inyección</w:t>
      </w:r>
    </w:p>
    <w:p>
      <w:pPr>
        <w:pStyle w:val="BodyText"/>
        <w:spacing w:line="360" w:lineRule="auto" w:before="121"/>
        <w:ind w:left="202" w:right="198" w:firstLine="283"/>
        <w:jc w:val="both"/>
      </w:pPr>
      <w:r>
        <w:rPr/>
        <w:t>El otro proceso empleado para la obtención de los nanocompositos fue el de moldeo por inyección, el cual es un método por fundido y representa un proceso muy utilizado a escala industrial. Por lo anterior se obtuvieron en algunos casos resultados similares en la cristalización de los nanocompositos, pero características diferentes correspondientes a los cristales de nylon 6,6 que resultan muy interesantes y serán discutidos más adelante.</w:t>
      </w:r>
    </w:p>
    <w:p>
      <w:pPr>
        <w:spacing w:after="0" w:line="360" w:lineRule="auto"/>
        <w:jc w:val="both"/>
        <w:sectPr>
          <w:pgSz w:w="12240" w:h="15840"/>
          <w:pgMar w:header="730" w:footer="1060" w:top="1160" w:bottom="1260" w:left="1500" w:right="1500"/>
        </w:sectPr>
      </w:pPr>
    </w:p>
    <w:p>
      <w:pPr>
        <w:pStyle w:val="BodyText"/>
        <w:rPr>
          <w:sz w:val="14"/>
        </w:rPr>
      </w:pPr>
    </w:p>
    <w:p>
      <w:pPr>
        <w:spacing w:before="73"/>
        <w:ind w:left="861" w:right="0" w:firstLine="0"/>
        <w:jc w:val="left"/>
        <w:rPr>
          <w:i/>
          <w:sz w:val="22"/>
        </w:rPr>
      </w:pPr>
      <w:r>
        <w:rPr>
          <w:b/>
          <w:sz w:val="22"/>
        </w:rPr>
        <w:t>Tabla 4.3 </w:t>
      </w:r>
      <w:r>
        <w:rPr>
          <w:sz w:val="22"/>
        </w:rPr>
        <w:t>Resultados de DMA de los nanocompositos obtenidos por </w:t>
      </w:r>
      <w:r>
        <w:rPr>
          <w:i/>
          <w:sz w:val="22"/>
        </w:rPr>
        <w:t>electrospinning</w:t>
      </w:r>
    </w:p>
    <w:p>
      <w:pPr>
        <w:pStyle w:val="BodyText"/>
        <w:rPr>
          <w:i/>
          <w:sz w:val="20"/>
        </w:rPr>
      </w:pPr>
    </w:p>
    <w:p>
      <w:pPr>
        <w:pStyle w:val="BodyText"/>
        <w:spacing w:before="3"/>
        <w:rPr>
          <w:i/>
          <w:sz w:val="10"/>
        </w:rPr>
      </w:pPr>
    </w:p>
    <w:tbl>
      <w:tblPr>
        <w:tblW w:w="0" w:type="auto"/>
        <w:jc w:val="left"/>
        <w:tblInd w:w="11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666"/>
        <w:gridCol w:w="1221"/>
        <w:gridCol w:w="1259"/>
        <w:gridCol w:w="1120"/>
        <w:gridCol w:w="1279"/>
        <w:gridCol w:w="1218"/>
        <w:gridCol w:w="1217"/>
      </w:tblGrid>
      <w:tr>
        <w:trPr>
          <w:trHeight w:val="334" w:hRule="exact"/>
        </w:trPr>
        <w:tc>
          <w:tcPr>
            <w:tcW w:w="1666" w:type="dxa"/>
            <w:tcBorders>
              <w:left w:val="nil"/>
              <w:bottom w:val="nil"/>
              <w:right w:val="nil"/>
            </w:tcBorders>
          </w:tcPr>
          <w:p>
            <w:pPr/>
          </w:p>
        </w:tc>
        <w:tc>
          <w:tcPr>
            <w:tcW w:w="2480" w:type="dxa"/>
            <w:gridSpan w:val="2"/>
            <w:tcBorders>
              <w:left w:val="nil"/>
              <w:bottom w:val="single" w:sz="2" w:space="0" w:color="000000"/>
              <w:right w:val="nil"/>
            </w:tcBorders>
          </w:tcPr>
          <w:p>
            <w:pPr>
              <w:pStyle w:val="TableParagraph"/>
              <w:spacing w:before="30"/>
              <w:ind w:left="1553"/>
              <w:jc w:val="left"/>
              <w:rPr>
                <w:b/>
                <w:i/>
                <w:sz w:val="22"/>
              </w:rPr>
            </w:pPr>
            <w:r>
              <w:rPr>
                <w:b/>
                <w:i/>
                <w:sz w:val="22"/>
              </w:rPr>
              <w:t>T</w:t>
            </w:r>
            <w:r>
              <w:rPr>
                <w:b/>
                <w:i/>
                <w:position w:val="-2"/>
                <w:sz w:val="14"/>
              </w:rPr>
              <w:t>g</w:t>
            </w:r>
            <w:r>
              <w:rPr>
                <w:b/>
                <w:i/>
                <w:sz w:val="22"/>
              </w:rPr>
              <w:t>, °C</w:t>
            </w:r>
          </w:p>
        </w:tc>
        <w:tc>
          <w:tcPr>
            <w:tcW w:w="4834" w:type="dxa"/>
            <w:gridSpan w:val="4"/>
            <w:tcBorders>
              <w:left w:val="nil"/>
              <w:bottom w:val="single" w:sz="2" w:space="0" w:color="000000"/>
              <w:right w:val="nil"/>
            </w:tcBorders>
          </w:tcPr>
          <w:p>
            <w:pPr>
              <w:pStyle w:val="TableParagraph"/>
              <w:spacing w:before="61"/>
              <w:ind w:left="1476"/>
              <w:jc w:val="left"/>
              <w:rPr>
                <w:b/>
                <w:i/>
                <w:sz w:val="22"/>
              </w:rPr>
            </w:pPr>
            <w:r>
              <w:rPr>
                <w:b/>
                <w:i/>
                <w:sz w:val="22"/>
              </w:rPr>
              <w:t>Módulo de almacenamiento, Mpa</w:t>
            </w:r>
          </w:p>
        </w:tc>
      </w:tr>
      <w:tr>
        <w:trPr>
          <w:trHeight w:val="334" w:hRule="exact"/>
        </w:trPr>
        <w:tc>
          <w:tcPr>
            <w:tcW w:w="1666" w:type="dxa"/>
            <w:tcBorders>
              <w:top w:val="nil"/>
              <w:left w:val="nil"/>
              <w:bottom w:val="nil"/>
              <w:right w:val="nil"/>
            </w:tcBorders>
          </w:tcPr>
          <w:p>
            <w:pPr>
              <w:pStyle w:val="TableParagraph"/>
              <w:spacing w:before="39"/>
              <w:ind w:left="372" w:right="372"/>
              <w:rPr>
                <w:b/>
                <w:i/>
                <w:sz w:val="22"/>
              </w:rPr>
            </w:pPr>
            <w:r>
              <w:rPr>
                <w:b/>
                <w:i/>
                <w:sz w:val="22"/>
              </w:rPr>
              <w:t>Nylon 6,6</w:t>
            </w:r>
          </w:p>
        </w:tc>
        <w:tc>
          <w:tcPr>
            <w:tcW w:w="2480" w:type="dxa"/>
            <w:gridSpan w:val="2"/>
            <w:tcBorders>
              <w:top w:val="single" w:sz="2" w:space="0" w:color="000000"/>
              <w:left w:val="nil"/>
              <w:bottom w:val="single" w:sz="2" w:space="0" w:color="000000"/>
              <w:right w:val="nil"/>
            </w:tcBorders>
          </w:tcPr>
          <w:p>
            <w:pPr>
              <w:pStyle w:val="TableParagraph"/>
              <w:spacing w:before="32"/>
              <w:ind w:left="1635"/>
              <w:jc w:val="left"/>
              <w:rPr>
                <w:sz w:val="22"/>
              </w:rPr>
            </w:pPr>
            <w:r>
              <w:rPr>
                <w:sz w:val="22"/>
              </w:rPr>
              <w:t>79.0</w:t>
            </w:r>
          </w:p>
        </w:tc>
        <w:tc>
          <w:tcPr>
            <w:tcW w:w="4834" w:type="dxa"/>
            <w:gridSpan w:val="4"/>
            <w:tcBorders>
              <w:top w:val="single" w:sz="2" w:space="0" w:color="000000"/>
              <w:left w:val="nil"/>
              <w:bottom w:val="single" w:sz="2" w:space="0" w:color="000000"/>
              <w:right w:val="nil"/>
            </w:tcBorders>
          </w:tcPr>
          <w:p>
            <w:pPr>
              <w:pStyle w:val="TableParagraph"/>
              <w:spacing w:before="32"/>
              <w:ind w:left="2793" w:right="1615"/>
              <w:rPr>
                <w:sz w:val="22"/>
              </w:rPr>
            </w:pPr>
            <w:r>
              <w:rPr>
                <w:sz w:val="22"/>
              </w:rPr>
              <w:t>61.1</w:t>
            </w:r>
          </w:p>
        </w:tc>
      </w:tr>
      <w:tr>
        <w:trPr>
          <w:trHeight w:val="677" w:hRule="exact"/>
        </w:trPr>
        <w:tc>
          <w:tcPr>
            <w:tcW w:w="1666" w:type="dxa"/>
            <w:tcBorders>
              <w:top w:val="nil"/>
              <w:left w:val="nil"/>
              <w:right w:val="nil"/>
            </w:tcBorders>
          </w:tcPr>
          <w:p>
            <w:pPr>
              <w:pStyle w:val="TableParagraph"/>
              <w:spacing w:before="9"/>
              <w:jc w:val="left"/>
              <w:rPr>
                <w:i/>
                <w:sz w:val="17"/>
              </w:rPr>
            </w:pPr>
          </w:p>
          <w:p>
            <w:pPr>
              <w:pStyle w:val="TableParagraph"/>
              <w:ind w:left="372" w:right="372"/>
              <w:rPr>
                <w:b/>
                <w:i/>
                <w:sz w:val="22"/>
              </w:rPr>
            </w:pPr>
            <w:r>
              <w:rPr>
                <w:b/>
                <w:i/>
                <w:sz w:val="22"/>
              </w:rPr>
              <w:t>Refuerzo</w:t>
            </w:r>
          </w:p>
        </w:tc>
        <w:tc>
          <w:tcPr>
            <w:tcW w:w="1221" w:type="dxa"/>
            <w:tcBorders>
              <w:top w:val="nil"/>
              <w:left w:val="nil"/>
              <w:right w:val="nil"/>
            </w:tcBorders>
          </w:tcPr>
          <w:p>
            <w:pPr>
              <w:pStyle w:val="TableParagraph"/>
              <w:spacing w:before="5"/>
              <w:jc w:val="left"/>
              <w:rPr>
                <w:i/>
                <w:sz w:val="32"/>
              </w:rPr>
            </w:pPr>
          </w:p>
          <w:p>
            <w:pPr>
              <w:pStyle w:val="TableParagraph"/>
              <w:ind w:left="396" w:right="397"/>
              <w:rPr>
                <w:i/>
                <w:sz w:val="22"/>
              </w:rPr>
            </w:pPr>
            <w:r>
              <w:rPr>
                <w:i/>
                <w:sz w:val="22"/>
              </w:rPr>
              <w:t>0.1</w:t>
            </w:r>
          </w:p>
        </w:tc>
        <w:tc>
          <w:tcPr>
            <w:tcW w:w="1259" w:type="dxa"/>
            <w:tcBorders>
              <w:top w:val="nil"/>
              <w:left w:val="nil"/>
              <w:right w:val="nil"/>
            </w:tcBorders>
          </w:tcPr>
          <w:p>
            <w:pPr>
              <w:pStyle w:val="TableParagraph"/>
              <w:spacing w:before="32"/>
              <w:ind w:left="268" w:right="308"/>
              <w:rPr>
                <w:b/>
                <w:i/>
                <w:sz w:val="22"/>
              </w:rPr>
            </w:pPr>
            <w:r>
              <w:rPr>
                <w:b/>
                <w:i/>
                <w:sz w:val="22"/>
              </w:rPr>
              <w:t>% peso</w:t>
            </w:r>
          </w:p>
          <w:p>
            <w:pPr>
              <w:pStyle w:val="TableParagraph"/>
              <w:spacing w:before="88"/>
              <w:ind w:left="266" w:right="308"/>
              <w:rPr>
                <w:i/>
                <w:sz w:val="22"/>
              </w:rPr>
            </w:pPr>
            <w:r>
              <w:rPr>
                <w:i/>
                <w:sz w:val="22"/>
              </w:rPr>
              <w:t>0.5</w:t>
            </w:r>
          </w:p>
        </w:tc>
        <w:tc>
          <w:tcPr>
            <w:tcW w:w="1120" w:type="dxa"/>
            <w:tcBorders>
              <w:top w:val="nil"/>
              <w:left w:val="nil"/>
              <w:right w:val="nil"/>
            </w:tcBorders>
          </w:tcPr>
          <w:p>
            <w:pPr>
              <w:pStyle w:val="TableParagraph"/>
              <w:spacing w:before="5"/>
              <w:jc w:val="left"/>
              <w:rPr>
                <w:i/>
                <w:sz w:val="32"/>
              </w:rPr>
            </w:pPr>
          </w:p>
          <w:p>
            <w:pPr>
              <w:pStyle w:val="TableParagraph"/>
              <w:ind w:left="17"/>
              <w:rPr>
                <w:i/>
                <w:sz w:val="22"/>
              </w:rPr>
            </w:pPr>
            <w:r>
              <w:rPr>
                <w:i/>
                <w:w w:val="100"/>
                <w:sz w:val="22"/>
              </w:rPr>
              <w:t>1</w:t>
            </w:r>
          </w:p>
        </w:tc>
        <w:tc>
          <w:tcPr>
            <w:tcW w:w="1279" w:type="dxa"/>
            <w:tcBorders>
              <w:top w:val="nil"/>
              <w:left w:val="nil"/>
              <w:right w:val="nil"/>
            </w:tcBorders>
          </w:tcPr>
          <w:p>
            <w:pPr>
              <w:pStyle w:val="TableParagraph"/>
              <w:jc w:val="left"/>
              <w:rPr>
                <w:i/>
                <w:sz w:val="22"/>
              </w:rPr>
            </w:pPr>
          </w:p>
          <w:p>
            <w:pPr>
              <w:pStyle w:val="TableParagraph"/>
              <w:spacing w:before="151"/>
              <w:ind w:left="342" w:right="287"/>
              <w:rPr>
                <w:i/>
                <w:sz w:val="22"/>
              </w:rPr>
            </w:pPr>
            <w:r>
              <w:rPr>
                <w:i/>
                <w:sz w:val="22"/>
              </w:rPr>
              <w:t>0.1</w:t>
            </w:r>
          </w:p>
        </w:tc>
        <w:tc>
          <w:tcPr>
            <w:tcW w:w="1218" w:type="dxa"/>
            <w:tcBorders>
              <w:top w:val="nil"/>
              <w:left w:val="nil"/>
              <w:right w:val="nil"/>
            </w:tcBorders>
          </w:tcPr>
          <w:p>
            <w:pPr>
              <w:pStyle w:val="TableParagraph"/>
              <w:spacing w:before="32"/>
              <w:ind w:left="266" w:right="270"/>
              <w:rPr>
                <w:b/>
                <w:i/>
                <w:sz w:val="22"/>
              </w:rPr>
            </w:pPr>
            <w:r>
              <w:rPr>
                <w:b/>
                <w:i/>
                <w:sz w:val="22"/>
              </w:rPr>
              <w:t>% peso</w:t>
            </w:r>
          </w:p>
          <w:p>
            <w:pPr>
              <w:pStyle w:val="TableParagraph"/>
              <w:spacing w:before="119"/>
              <w:ind w:left="266" w:right="267"/>
              <w:rPr>
                <w:i/>
                <w:sz w:val="22"/>
              </w:rPr>
            </w:pPr>
            <w:r>
              <w:rPr>
                <w:i/>
                <w:sz w:val="22"/>
              </w:rPr>
              <w:t>0.5</w:t>
            </w:r>
          </w:p>
        </w:tc>
        <w:tc>
          <w:tcPr>
            <w:tcW w:w="1217" w:type="dxa"/>
            <w:tcBorders>
              <w:top w:val="nil"/>
              <w:left w:val="nil"/>
              <w:right w:val="nil"/>
            </w:tcBorders>
          </w:tcPr>
          <w:p>
            <w:pPr>
              <w:pStyle w:val="TableParagraph"/>
              <w:jc w:val="left"/>
              <w:rPr>
                <w:i/>
                <w:sz w:val="22"/>
              </w:rPr>
            </w:pPr>
          </w:p>
          <w:p>
            <w:pPr>
              <w:pStyle w:val="TableParagraph"/>
              <w:spacing w:before="151"/>
              <w:rPr>
                <w:i/>
                <w:sz w:val="22"/>
              </w:rPr>
            </w:pPr>
            <w:r>
              <w:rPr>
                <w:i/>
                <w:w w:val="100"/>
                <w:sz w:val="22"/>
              </w:rPr>
              <w:t>1</w:t>
            </w:r>
          </w:p>
        </w:tc>
      </w:tr>
      <w:tr>
        <w:trPr>
          <w:trHeight w:val="373" w:hRule="exact"/>
        </w:trPr>
        <w:tc>
          <w:tcPr>
            <w:tcW w:w="1666" w:type="dxa"/>
            <w:tcBorders>
              <w:left w:val="nil"/>
              <w:bottom w:val="nil"/>
              <w:right w:val="nil"/>
            </w:tcBorders>
          </w:tcPr>
          <w:p>
            <w:pPr>
              <w:pStyle w:val="TableParagraph"/>
              <w:spacing w:before="39"/>
              <w:ind w:left="372" w:right="372"/>
              <w:rPr>
                <w:b/>
                <w:i/>
                <w:sz w:val="22"/>
              </w:rPr>
            </w:pPr>
            <w:r>
              <w:rPr>
                <w:b/>
                <w:i/>
                <w:sz w:val="22"/>
              </w:rPr>
              <w:t>p-CNT</w:t>
            </w:r>
          </w:p>
        </w:tc>
        <w:tc>
          <w:tcPr>
            <w:tcW w:w="1221" w:type="dxa"/>
            <w:tcBorders>
              <w:left w:val="nil"/>
              <w:bottom w:val="nil"/>
              <w:right w:val="nil"/>
            </w:tcBorders>
          </w:tcPr>
          <w:p>
            <w:pPr>
              <w:pStyle w:val="TableParagraph"/>
              <w:spacing w:before="73"/>
              <w:ind w:left="397" w:right="397"/>
              <w:rPr>
                <w:sz w:val="22"/>
              </w:rPr>
            </w:pPr>
            <w:r>
              <w:rPr>
                <w:sz w:val="22"/>
              </w:rPr>
              <w:t>81.9</w:t>
            </w:r>
          </w:p>
        </w:tc>
        <w:tc>
          <w:tcPr>
            <w:tcW w:w="1259" w:type="dxa"/>
            <w:tcBorders>
              <w:left w:val="nil"/>
              <w:bottom w:val="nil"/>
              <w:right w:val="nil"/>
            </w:tcBorders>
          </w:tcPr>
          <w:p>
            <w:pPr>
              <w:pStyle w:val="TableParagraph"/>
              <w:spacing w:before="73"/>
              <w:ind w:right="454"/>
              <w:jc w:val="right"/>
              <w:rPr>
                <w:sz w:val="22"/>
              </w:rPr>
            </w:pPr>
            <w:r>
              <w:rPr>
                <w:sz w:val="22"/>
              </w:rPr>
              <w:t>84.1</w:t>
            </w:r>
          </w:p>
        </w:tc>
        <w:tc>
          <w:tcPr>
            <w:tcW w:w="1120" w:type="dxa"/>
            <w:tcBorders>
              <w:left w:val="nil"/>
              <w:bottom w:val="nil"/>
              <w:right w:val="nil"/>
            </w:tcBorders>
          </w:tcPr>
          <w:p>
            <w:pPr>
              <w:pStyle w:val="TableParagraph"/>
              <w:spacing w:before="73"/>
              <w:ind w:left="357" w:right="337"/>
              <w:rPr>
                <w:sz w:val="22"/>
              </w:rPr>
            </w:pPr>
            <w:r>
              <w:rPr>
                <w:sz w:val="22"/>
              </w:rPr>
              <w:t>82.6</w:t>
            </w:r>
          </w:p>
        </w:tc>
        <w:tc>
          <w:tcPr>
            <w:tcW w:w="1279" w:type="dxa"/>
            <w:tcBorders>
              <w:left w:val="nil"/>
              <w:bottom w:val="nil"/>
              <w:right w:val="nil"/>
            </w:tcBorders>
          </w:tcPr>
          <w:p>
            <w:pPr>
              <w:pStyle w:val="TableParagraph"/>
              <w:spacing w:before="73"/>
              <w:ind w:left="347" w:right="287"/>
              <w:rPr>
                <w:sz w:val="22"/>
              </w:rPr>
            </w:pPr>
            <w:r>
              <w:rPr>
                <w:sz w:val="22"/>
              </w:rPr>
              <w:t>81.9</w:t>
            </w:r>
          </w:p>
        </w:tc>
        <w:tc>
          <w:tcPr>
            <w:tcW w:w="1218" w:type="dxa"/>
            <w:tcBorders>
              <w:left w:val="nil"/>
              <w:bottom w:val="nil"/>
              <w:right w:val="nil"/>
            </w:tcBorders>
          </w:tcPr>
          <w:p>
            <w:pPr>
              <w:pStyle w:val="TableParagraph"/>
              <w:spacing w:before="73"/>
              <w:ind w:left="266" w:right="266"/>
              <w:rPr>
                <w:sz w:val="22"/>
              </w:rPr>
            </w:pPr>
            <w:r>
              <w:rPr>
                <w:sz w:val="22"/>
              </w:rPr>
              <w:t>88.2</w:t>
            </w:r>
          </w:p>
        </w:tc>
        <w:tc>
          <w:tcPr>
            <w:tcW w:w="1217" w:type="dxa"/>
            <w:tcBorders>
              <w:left w:val="nil"/>
              <w:bottom w:val="nil"/>
              <w:right w:val="nil"/>
            </w:tcBorders>
          </w:tcPr>
          <w:p>
            <w:pPr>
              <w:pStyle w:val="TableParagraph"/>
              <w:spacing w:before="73"/>
              <w:ind w:left="286" w:right="286"/>
              <w:rPr>
                <w:sz w:val="22"/>
              </w:rPr>
            </w:pPr>
            <w:r>
              <w:rPr>
                <w:sz w:val="22"/>
              </w:rPr>
              <w:t>91.9</w:t>
            </w:r>
          </w:p>
        </w:tc>
      </w:tr>
      <w:tr>
        <w:trPr>
          <w:trHeight w:val="330" w:hRule="exact"/>
        </w:trPr>
        <w:tc>
          <w:tcPr>
            <w:tcW w:w="1666" w:type="dxa"/>
            <w:tcBorders>
              <w:top w:val="nil"/>
              <w:left w:val="nil"/>
              <w:bottom w:val="nil"/>
              <w:right w:val="nil"/>
            </w:tcBorders>
          </w:tcPr>
          <w:p>
            <w:pPr>
              <w:pStyle w:val="TableParagraph"/>
              <w:spacing w:before="9"/>
              <w:ind w:left="371" w:right="372"/>
              <w:rPr>
                <w:b/>
                <w:i/>
                <w:sz w:val="22"/>
              </w:rPr>
            </w:pPr>
            <w:r>
              <w:rPr>
                <w:b/>
                <w:i/>
                <w:sz w:val="22"/>
              </w:rPr>
              <w:t>OCNT</w:t>
            </w:r>
          </w:p>
        </w:tc>
        <w:tc>
          <w:tcPr>
            <w:tcW w:w="1221" w:type="dxa"/>
            <w:tcBorders>
              <w:top w:val="nil"/>
              <w:left w:val="nil"/>
              <w:bottom w:val="nil"/>
              <w:right w:val="nil"/>
            </w:tcBorders>
          </w:tcPr>
          <w:p>
            <w:pPr>
              <w:pStyle w:val="TableParagraph"/>
              <w:spacing w:before="43"/>
              <w:ind w:left="397" w:right="397"/>
              <w:rPr>
                <w:sz w:val="22"/>
              </w:rPr>
            </w:pPr>
            <w:r>
              <w:rPr>
                <w:sz w:val="22"/>
              </w:rPr>
              <w:t>81.8</w:t>
            </w:r>
          </w:p>
        </w:tc>
        <w:tc>
          <w:tcPr>
            <w:tcW w:w="1259" w:type="dxa"/>
            <w:tcBorders>
              <w:top w:val="nil"/>
              <w:left w:val="nil"/>
              <w:bottom w:val="nil"/>
              <w:right w:val="nil"/>
            </w:tcBorders>
          </w:tcPr>
          <w:p>
            <w:pPr>
              <w:pStyle w:val="TableParagraph"/>
              <w:spacing w:before="43"/>
              <w:ind w:right="454"/>
              <w:jc w:val="right"/>
              <w:rPr>
                <w:sz w:val="22"/>
              </w:rPr>
            </w:pPr>
            <w:r>
              <w:rPr>
                <w:sz w:val="22"/>
              </w:rPr>
              <w:t>83.1</w:t>
            </w:r>
          </w:p>
        </w:tc>
        <w:tc>
          <w:tcPr>
            <w:tcW w:w="1120" w:type="dxa"/>
            <w:tcBorders>
              <w:top w:val="nil"/>
              <w:left w:val="nil"/>
              <w:bottom w:val="nil"/>
              <w:right w:val="nil"/>
            </w:tcBorders>
          </w:tcPr>
          <w:p>
            <w:pPr>
              <w:pStyle w:val="TableParagraph"/>
              <w:spacing w:before="43"/>
              <w:ind w:left="357" w:right="337"/>
              <w:rPr>
                <w:sz w:val="22"/>
              </w:rPr>
            </w:pPr>
            <w:r>
              <w:rPr>
                <w:sz w:val="22"/>
              </w:rPr>
              <w:t>85.8</w:t>
            </w:r>
          </w:p>
        </w:tc>
        <w:tc>
          <w:tcPr>
            <w:tcW w:w="1279" w:type="dxa"/>
            <w:tcBorders>
              <w:top w:val="nil"/>
              <w:left w:val="nil"/>
              <w:bottom w:val="nil"/>
              <w:right w:val="nil"/>
            </w:tcBorders>
          </w:tcPr>
          <w:p>
            <w:pPr>
              <w:pStyle w:val="TableParagraph"/>
              <w:spacing w:before="43"/>
              <w:ind w:left="347" w:right="287"/>
              <w:rPr>
                <w:sz w:val="22"/>
              </w:rPr>
            </w:pPr>
            <w:r>
              <w:rPr>
                <w:sz w:val="22"/>
              </w:rPr>
              <w:t>97.9</w:t>
            </w:r>
          </w:p>
        </w:tc>
        <w:tc>
          <w:tcPr>
            <w:tcW w:w="1218" w:type="dxa"/>
            <w:tcBorders>
              <w:top w:val="nil"/>
              <w:left w:val="nil"/>
              <w:bottom w:val="nil"/>
              <w:right w:val="nil"/>
            </w:tcBorders>
          </w:tcPr>
          <w:p>
            <w:pPr>
              <w:pStyle w:val="TableParagraph"/>
              <w:spacing w:before="43"/>
              <w:ind w:left="266" w:right="266"/>
              <w:rPr>
                <w:sz w:val="22"/>
              </w:rPr>
            </w:pPr>
            <w:r>
              <w:rPr>
                <w:sz w:val="22"/>
              </w:rPr>
              <w:t>110.5</w:t>
            </w:r>
          </w:p>
        </w:tc>
        <w:tc>
          <w:tcPr>
            <w:tcW w:w="1217" w:type="dxa"/>
            <w:tcBorders>
              <w:top w:val="nil"/>
              <w:left w:val="nil"/>
              <w:bottom w:val="nil"/>
              <w:right w:val="nil"/>
            </w:tcBorders>
          </w:tcPr>
          <w:p>
            <w:pPr>
              <w:pStyle w:val="TableParagraph"/>
              <w:spacing w:before="43"/>
              <w:ind w:left="286" w:right="286"/>
              <w:rPr>
                <w:sz w:val="22"/>
              </w:rPr>
            </w:pPr>
            <w:r>
              <w:rPr>
                <w:sz w:val="22"/>
              </w:rPr>
              <w:t>120.3</w:t>
            </w:r>
          </w:p>
        </w:tc>
      </w:tr>
      <w:tr>
        <w:trPr>
          <w:trHeight w:val="330" w:hRule="exact"/>
        </w:trPr>
        <w:tc>
          <w:tcPr>
            <w:tcW w:w="1666" w:type="dxa"/>
            <w:tcBorders>
              <w:top w:val="nil"/>
              <w:left w:val="nil"/>
              <w:bottom w:val="nil"/>
              <w:right w:val="nil"/>
            </w:tcBorders>
          </w:tcPr>
          <w:p>
            <w:pPr>
              <w:pStyle w:val="TableParagraph"/>
              <w:spacing w:before="10"/>
              <w:ind w:left="372" w:right="370"/>
              <w:rPr>
                <w:b/>
                <w:i/>
                <w:sz w:val="22"/>
              </w:rPr>
            </w:pPr>
            <w:r>
              <w:rPr>
                <w:b/>
                <w:i/>
                <w:sz w:val="22"/>
              </w:rPr>
              <w:t>f-CNT</w:t>
            </w:r>
          </w:p>
        </w:tc>
        <w:tc>
          <w:tcPr>
            <w:tcW w:w="1221" w:type="dxa"/>
            <w:tcBorders>
              <w:top w:val="nil"/>
              <w:left w:val="nil"/>
              <w:bottom w:val="nil"/>
              <w:right w:val="nil"/>
            </w:tcBorders>
          </w:tcPr>
          <w:p>
            <w:pPr>
              <w:pStyle w:val="TableParagraph"/>
              <w:spacing w:before="44"/>
              <w:ind w:left="397" w:right="397"/>
              <w:rPr>
                <w:sz w:val="22"/>
              </w:rPr>
            </w:pPr>
            <w:r>
              <w:rPr>
                <w:sz w:val="22"/>
              </w:rPr>
              <w:t>83.0</w:t>
            </w:r>
          </w:p>
        </w:tc>
        <w:tc>
          <w:tcPr>
            <w:tcW w:w="1259" w:type="dxa"/>
            <w:tcBorders>
              <w:top w:val="nil"/>
              <w:left w:val="nil"/>
              <w:bottom w:val="nil"/>
              <w:right w:val="nil"/>
            </w:tcBorders>
          </w:tcPr>
          <w:p>
            <w:pPr>
              <w:pStyle w:val="TableParagraph"/>
              <w:spacing w:before="44"/>
              <w:ind w:right="454"/>
              <w:jc w:val="right"/>
              <w:rPr>
                <w:sz w:val="22"/>
              </w:rPr>
            </w:pPr>
            <w:r>
              <w:rPr>
                <w:sz w:val="22"/>
              </w:rPr>
              <w:t>85.0</w:t>
            </w:r>
          </w:p>
        </w:tc>
        <w:tc>
          <w:tcPr>
            <w:tcW w:w="1120" w:type="dxa"/>
            <w:tcBorders>
              <w:top w:val="nil"/>
              <w:left w:val="nil"/>
              <w:bottom w:val="nil"/>
              <w:right w:val="nil"/>
            </w:tcBorders>
          </w:tcPr>
          <w:p>
            <w:pPr>
              <w:pStyle w:val="TableParagraph"/>
              <w:spacing w:before="44"/>
              <w:ind w:left="357" w:right="337"/>
              <w:rPr>
                <w:sz w:val="22"/>
              </w:rPr>
            </w:pPr>
            <w:r>
              <w:rPr>
                <w:sz w:val="22"/>
              </w:rPr>
              <w:t>86.1</w:t>
            </w:r>
          </w:p>
        </w:tc>
        <w:tc>
          <w:tcPr>
            <w:tcW w:w="1279" w:type="dxa"/>
            <w:tcBorders>
              <w:top w:val="nil"/>
              <w:left w:val="nil"/>
              <w:bottom w:val="nil"/>
              <w:right w:val="nil"/>
            </w:tcBorders>
          </w:tcPr>
          <w:p>
            <w:pPr>
              <w:pStyle w:val="TableParagraph"/>
              <w:spacing w:before="44"/>
              <w:ind w:left="347" w:right="287"/>
              <w:rPr>
                <w:sz w:val="22"/>
              </w:rPr>
            </w:pPr>
            <w:r>
              <w:rPr>
                <w:sz w:val="22"/>
              </w:rPr>
              <w:t>133.0</w:t>
            </w:r>
          </w:p>
        </w:tc>
        <w:tc>
          <w:tcPr>
            <w:tcW w:w="1218" w:type="dxa"/>
            <w:tcBorders>
              <w:top w:val="nil"/>
              <w:left w:val="nil"/>
              <w:bottom w:val="nil"/>
              <w:right w:val="nil"/>
            </w:tcBorders>
          </w:tcPr>
          <w:p>
            <w:pPr>
              <w:pStyle w:val="TableParagraph"/>
              <w:spacing w:before="44"/>
              <w:ind w:left="266" w:right="266"/>
              <w:rPr>
                <w:sz w:val="22"/>
              </w:rPr>
            </w:pPr>
            <w:r>
              <w:rPr>
                <w:sz w:val="22"/>
              </w:rPr>
              <w:t>108.2</w:t>
            </w:r>
          </w:p>
        </w:tc>
        <w:tc>
          <w:tcPr>
            <w:tcW w:w="1217" w:type="dxa"/>
            <w:tcBorders>
              <w:top w:val="nil"/>
              <w:left w:val="nil"/>
              <w:bottom w:val="nil"/>
              <w:right w:val="nil"/>
            </w:tcBorders>
          </w:tcPr>
          <w:p>
            <w:pPr>
              <w:pStyle w:val="TableParagraph"/>
              <w:spacing w:before="44"/>
              <w:ind w:left="286" w:right="286"/>
              <w:rPr>
                <w:sz w:val="22"/>
              </w:rPr>
            </w:pPr>
            <w:r>
              <w:rPr>
                <w:sz w:val="22"/>
              </w:rPr>
              <w:t>99.4</w:t>
            </w:r>
          </w:p>
        </w:tc>
      </w:tr>
      <w:tr>
        <w:trPr>
          <w:trHeight w:val="330" w:hRule="exact"/>
        </w:trPr>
        <w:tc>
          <w:tcPr>
            <w:tcW w:w="1666" w:type="dxa"/>
            <w:tcBorders>
              <w:top w:val="nil"/>
              <w:left w:val="nil"/>
              <w:bottom w:val="nil"/>
              <w:right w:val="nil"/>
            </w:tcBorders>
          </w:tcPr>
          <w:p>
            <w:pPr>
              <w:pStyle w:val="TableParagraph"/>
              <w:spacing w:before="9"/>
              <w:ind w:left="372" w:right="372"/>
              <w:rPr>
                <w:b/>
                <w:i/>
                <w:sz w:val="22"/>
              </w:rPr>
            </w:pPr>
            <w:r>
              <w:rPr>
                <w:b/>
                <w:i/>
                <w:sz w:val="22"/>
              </w:rPr>
              <w:t>RGO</w:t>
            </w:r>
          </w:p>
        </w:tc>
        <w:tc>
          <w:tcPr>
            <w:tcW w:w="1221" w:type="dxa"/>
            <w:tcBorders>
              <w:top w:val="nil"/>
              <w:left w:val="nil"/>
              <w:bottom w:val="nil"/>
              <w:right w:val="nil"/>
            </w:tcBorders>
          </w:tcPr>
          <w:p>
            <w:pPr>
              <w:pStyle w:val="TableParagraph"/>
              <w:spacing w:before="43"/>
              <w:ind w:left="397" w:right="397"/>
              <w:rPr>
                <w:sz w:val="22"/>
              </w:rPr>
            </w:pPr>
            <w:r>
              <w:rPr>
                <w:sz w:val="22"/>
              </w:rPr>
              <w:t>84.1</w:t>
            </w:r>
          </w:p>
        </w:tc>
        <w:tc>
          <w:tcPr>
            <w:tcW w:w="1259" w:type="dxa"/>
            <w:tcBorders>
              <w:top w:val="nil"/>
              <w:left w:val="nil"/>
              <w:bottom w:val="nil"/>
              <w:right w:val="nil"/>
            </w:tcBorders>
          </w:tcPr>
          <w:p>
            <w:pPr>
              <w:pStyle w:val="TableParagraph"/>
              <w:spacing w:before="43"/>
              <w:ind w:right="454"/>
              <w:jc w:val="right"/>
              <w:rPr>
                <w:sz w:val="22"/>
              </w:rPr>
            </w:pPr>
            <w:r>
              <w:rPr>
                <w:sz w:val="22"/>
              </w:rPr>
              <w:t>83.9</w:t>
            </w:r>
          </w:p>
        </w:tc>
        <w:tc>
          <w:tcPr>
            <w:tcW w:w="1120" w:type="dxa"/>
            <w:tcBorders>
              <w:top w:val="nil"/>
              <w:left w:val="nil"/>
              <w:bottom w:val="nil"/>
              <w:right w:val="nil"/>
            </w:tcBorders>
          </w:tcPr>
          <w:p>
            <w:pPr>
              <w:pStyle w:val="TableParagraph"/>
              <w:spacing w:before="43"/>
              <w:ind w:left="357" w:right="337"/>
              <w:rPr>
                <w:sz w:val="22"/>
              </w:rPr>
            </w:pPr>
            <w:r>
              <w:rPr>
                <w:sz w:val="22"/>
              </w:rPr>
              <w:t>82.6</w:t>
            </w:r>
          </w:p>
        </w:tc>
        <w:tc>
          <w:tcPr>
            <w:tcW w:w="1279" w:type="dxa"/>
            <w:tcBorders>
              <w:top w:val="nil"/>
              <w:left w:val="nil"/>
              <w:bottom w:val="nil"/>
              <w:right w:val="nil"/>
            </w:tcBorders>
          </w:tcPr>
          <w:p>
            <w:pPr>
              <w:pStyle w:val="TableParagraph"/>
              <w:spacing w:before="43"/>
              <w:ind w:left="347" w:right="287"/>
              <w:rPr>
                <w:sz w:val="22"/>
              </w:rPr>
            </w:pPr>
            <w:r>
              <w:rPr>
                <w:sz w:val="22"/>
              </w:rPr>
              <w:t>104.9</w:t>
            </w:r>
          </w:p>
        </w:tc>
        <w:tc>
          <w:tcPr>
            <w:tcW w:w="1218" w:type="dxa"/>
            <w:tcBorders>
              <w:top w:val="nil"/>
              <w:left w:val="nil"/>
              <w:bottom w:val="nil"/>
              <w:right w:val="nil"/>
            </w:tcBorders>
          </w:tcPr>
          <w:p>
            <w:pPr>
              <w:pStyle w:val="TableParagraph"/>
              <w:spacing w:before="43"/>
              <w:ind w:left="266" w:right="266"/>
              <w:rPr>
                <w:sz w:val="22"/>
              </w:rPr>
            </w:pPr>
            <w:r>
              <w:rPr>
                <w:sz w:val="22"/>
              </w:rPr>
              <w:t>111.8</w:t>
            </w:r>
          </w:p>
        </w:tc>
        <w:tc>
          <w:tcPr>
            <w:tcW w:w="1217" w:type="dxa"/>
            <w:tcBorders>
              <w:top w:val="nil"/>
              <w:left w:val="nil"/>
              <w:bottom w:val="nil"/>
              <w:right w:val="nil"/>
            </w:tcBorders>
          </w:tcPr>
          <w:p>
            <w:pPr>
              <w:pStyle w:val="TableParagraph"/>
              <w:spacing w:before="43"/>
              <w:ind w:left="286" w:right="286"/>
              <w:rPr>
                <w:sz w:val="22"/>
              </w:rPr>
            </w:pPr>
            <w:r>
              <w:rPr>
                <w:sz w:val="22"/>
              </w:rPr>
              <w:t>115.9</w:t>
            </w:r>
          </w:p>
        </w:tc>
      </w:tr>
      <w:tr>
        <w:trPr>
          <w:trHeight w:val="330" w:hRule="exact"/>
        </w:trPr>
        <w:tc>
          <w:tcPr>
            <w:tcW w:w="1666" w:type="dxa"/>
            <w:tcBorders>
              <w:top w:val="nil"/>
              <w:left w:val="nil"/>
              <w:bottom w:val="nil"/>
              <w:right w:val="nil"/>
            </w:tcBorders>
          </w:tcPr>
          <w:p>
            <w:pPr>
              <w:pStyle w:val="TableParagraph"/>
              <w:spacing w:before="11"/>
              <w:ind w:left="372" w:right="372"/>
              <w:rPr>
                <w:b/>
                <w:i/>
                <w:sz w:val="22"/>
              </w:rPr>
            </w:pPr>
            <w:r>
              <w:rPr>
                <w:b/>
                <w:i/>
                <w:sz w:val="22"/>
              </w:rPr>
              <w:t>GO</w:t>
            </w:r>
          </w:p>
        </w:tc>
        <w:tc>
          <w:tcPr>
            <w:tcW w:w="1221" w:type="dxa"/>
            <w:tcBorders>
              <w:top w:val="nil"/>
              <w:left w:val="nil"/>
              <w:bottom w:val="nil"/>
              <w:right w:val="nil"/>
            </w:tcBorders>
          </w:tcPr>
          <w:p>
            <w:pPr>
              <w:pStyle w:val="TableParagraph"/>
              <w:spacing w:before="44"/>
              <w:ind w:left="397" w:right="397"/>
              <w:rPr>
                <w:sz w:val="22"/>
              </w:rPr>
            </w:pPr>
            <w:r>
              <w:rPr>
                <w:sz w:val="22"/>
              </w:rPr>
              <w:t>80.4</w:t>
            </w:r>
          </w:p>
        </w:tc>
        <w:tc>
          <w:tcPr>
            <w:tcW w:w="1259" w:type="dxa"/>
            <w:tcBorders>
              <w:top w:val="nil"/>
              <w:left w:val="nil"/>
              <w:bottom w:val="nil"/>
              <w:right w:val="nil"/>
            </w:tcBorders>
          </w:tcPr>
          <w:p>
            <w:pPr>
              <w:pStyle w:val="TableParagraph"/>
              <w:spacing w:before="44"/>
              <w:ind w:right="454"/>
              <w:jc w:val="right"/>
              <w:rPr>
                <w:sz w:val="22"/>
              </w:rPr>
            </w:pPr>
            <w:r>
              <w:rPr>
                <w:sz w:val="22"/>
              </w:rPr>
              <w:t>83.0</w:t>
            </w:r>
          </w:p>
        </w:tc>
        <w:tc>
          <w:tcPr>
            <w:tcW w:w="1120" w:type="dxa"/>
            <w:tcBorders>
              <w:top w:val="nil"/>
              <w:left w:val="nil"/>
              <w:bottom w:val="nil"/>
              <w:right w:val="nil"/>
            </w:tcBorders>
          </w:tcPr>
          <w:p>
            <w:pPr>
              <w:pStyle w:val="TableParagraph"/>
              <w:spacing w:before="44"/>
              <w:ind w:left="357" w:right="337"/>
              <w:rPr>
                <w:sz w:val="22"/>
              </w:rPr>
            </w:pPr>
            <w:r>
              <w:rPr>
                <w:sz w:val="22"/>
              </w:rPr>
              <w:t>84.9</w:t>
            </w:r>
          </w:p>
        </w:tc>
        <w:tc>
          <w:tcPr>
            <w:tcW w:w="1279" w:type="dxa"/>
            <w:tcBorders>
              <w:top w:val="nil"/>
              <w:left w:val="nil"/>
              <w:bottom w:val="nil"/>
              <w:right w:val="nil"/>
            </w:tcBorders>
          </w:tcPr>
          <w:p>
            <w:pPr>
              <w:pStyle w:val="TableParagraph"/>
              <w:spacing w:before="44"/>
              <w:ind w:left="347" w:right="287"/>
              <w:rPr>
                <w:sz w:val="22"/>
              </w:rPr>
            </w:pPr>
            <w:r>
              <w:rPr>
                <w:sz w:val="22"/>
              </w:rPr>
              <w:t>107.2</w:t>
            </w:r>
          </w:p>
        </w:tc>
        <w:tc>
          <w:tcPr>
            <w:tcW w:w="1218" w:type="dxa"/>
            <w:tcBorders>
              <w:top w:val="nil"/>
              <w:left w:val="nil"/>
              <w:bottom w:val="nil"/>
              <w:right w:val="nil"/>
            </w:tcBorders>
          </w:tcPr>
          <w:p>
            <w:pPr>
              <w:pStyle w:val="TableParagraph"/>
              <w:spacing w:before="44"/>
              <w:ind w:left="266" w:right="266"/>
              <w:rPr>
                <w:sz w:val="22"/>
              </w:rPr>
            </w:pPr>
            <w:r>
              <w:rPr>
                <w:sz w:val="22"/>
              </w:rPr>
              <w:t>124.8</w:t>
            </w:r>
          </w:p>
        </w:tc>
        <w:tc>
          <w:tcPr>
            <w:tcW w:w="1217" w:type="dxa"/>
            <w:tcBorders>
              <w:top w:val="nil"/>
              <w:left w:val="nil"/>
              <w:bottom w:val="nil"/>
              <w:right w:val="nil"/>
            </w:tcBorders>
          </w:tcPr>
          <w:p>
            <w:pPr>
              <w:pStyle w:val="TableParagraph"/>
              <w:spacing w:before="44"/>
              <w:ind w:left="286" w:right="286"/>
              <w:rPr>
                <w:sz w:val="22"/>
              </w:rPr>
            </w:pPr>
            <w:r>
              <w:rPr>
                <w:sz w:val="22"/>
              </w:rPr>
              <w:t>145.7</w:t>
            </w:r>
          </w:p>
        </w:tc>
      </w:tr>
      <w:tr>
        <w:trPr>
          <w:trHeight w:val="318" w:hRule="exact"/>
        </w:trPr>
        <w:tc>
          <w:tcPr>
            <w:tcW w:w="1666" w:type="dxa"/>
            <w:tcBorders>
              <w:top w:val="nil"/>
              <w:left w:val="nil"/>
              <w:right w:val="nil"/>
            </w:tcBorders>
          </w:tcPr>
          <w:p>
            <w:pPr>
              <w:pStyle w:val="TableParagraph"/>
              <w:spacing w:before="9"/>
              <w:ind w:left="372" w:right="372"/>
              <w:rPr>
                <w:b/>
                <w:i/>
                <w:sz w:val="22"/>
              </w:rPr>
            </w:pPr>
            <w:r>
              <w:rPr>
                <w:b/>
                <w:i/>
                <w:sz w:val="22"/>
              </w:rPr>
              <w:t>f-Ge</w:t>
            </w:r>
          </w:p>
        </w:tc>
        <w:tc>
          <w:tcPr>
            <w:tcW w:w="1221" w:type="dxa"/>
            <w:tcBorders>
              <w:top w:val="nil"/>
              <w:left w:val="nil"/>
              <w:right w:val="nil"/>
            </w:tcBorders>
          </w:tcPr>
          <w:p>
            <w:pPr>
              <w:pStyle w:val="TableParagraph"/>
              <w:spacing w:before="43"/>
              <w:ind w:left="397" w:right="397"/>
              <w:rPr>
                <w:sz w:val="22"/>
              </w:rPr>
            </w:pPr>
            <w:r>
              <w:rPr>
                <w:sz w:val="22"/>
              </w:rPr>
              <w:t>83.6</w:t>
            </w:r>
          </w:p>
        </w:tc>
        <w:tc>
          <w:tcPr>
            <w:tcW w:w="1259" w:type="dxa"/>
            <w:tcBorders>
              <w:top w:val="nil"/>
              <w:left w:val="nil"/>
              <w:right w:val="nil"/>
            </w:tcBorders>
          </w:tcPr>
          <w:p>
            <w:pPr>
              <w:pStyle w:val="TableParagraph"/>
              <w:spacing w:before="43"/>
              <w:ind w:right="454"/>
              <w:jc w:val="right"/>
              <w:rPr>
                <w:sz w:val="22"/>
              </w:rPr>
            </w:pPr>
            <w:r>
              <w:rPr>
                <w:sz w:val="22"/>
              </w:rPr>
              <w:t>84.4</w:t>
            </w:r>
          </w:p>
        </w:tc>
        <w:tc>
          <w:tcPr>
            <w:tcW w:w="1120" w:type="dxa"/>
            <w:tcBorders>
              <w:top w:val="nil"/>
              <w:left w:val="nil"/>
              <w:right w:val="nil"/>
            </w:tcBorders>
          </w:tcPr>
          <w:p>
            <w:pPr>
              <w:pStyle w:val="TableParagraph"/>
              <w:spacing w:before="43"/>
              <w:ind w:left="357" w:right="337"/>
              <w:rPr>
                <w:sz w:val="22"/>
              </w:rPr>
            </w:pPr>
            <w:r>
              <w:rPr>
                <w:sz w:val="22"/>
              </w:rPr>
              <w:t>84.1</w:t>
            </w:r>
          </w:p>
        </w:tc>
        <w:tc>
          <w:tcPr>
            <w:tcW w:w="1279" w:type="dxa"/>
            <w:tcBorders>
              <w:top w:val="nil"/>
              <w:left w:val="nil"/>
              <w:right w:val="nil"/>
            </w:tcBorders>
          </w:tcPr>
          <w:p>
            <w:pPr>
              <w:pStyle w:val="TableParagraph"/>
              <w:spacing w:before="43"/>
              <w:ind w:left="347" w:right="287"/>
              <w:rPr>
                <w:sz w:val="22"/>
              </w:rPr>
            </w:pPr>
            <w:r>
              <w:rPr>
                <w:sz w:val="22"/>
              </w:rPr>
              <w:t>103.5</w:t>
            </w:r>
          </w:p>
        </w:tc>
        <w:tc>
          <w:tcPr>
            <w:tcW w:w="1218" w:type="dxa"/>
            <w:tcBorders>
              <w:top w:val="nil"/>
              <w:left w:val="nil"/>
              <w:right w:val="nil"/>
            </w:tcBorders>
          </w:tcPr>
          <w:p>
            <w:pPr>
              <w:pStyle w:val="TableParagraph"/>
              <w:spacing w:before="43"/>
              <w:ind w:left="266" w:right="266"/>
              <w:rPr>
                <w:sz w:val="22"/>
              </w:rPr>
            </w:pPr>
            <w:r>
              <w:rPr>
                <w:sz w:val="22"/>
              </w:rPr>
              <w:t>116.3</w:t>
            </w:r>
          </w:p>
        </w:tc>
        <w:tc>
          <w:tcPr>
            <w:tcW w:w="1217" w:type="dxa"/>
            <w:tcBorders>
              <w:top w:val="nil"/>
              <w:left w:val="nil"/>
              <w:right w:val="nil"/>
            </w:tcBorders>
          </w:tcPr>
          <w:p>
            <w:pPr>
              <w:pStyle w:val="TableParagraph"/>
              <w:spacing w:before="43"/>
              <w:ind w:left="286" w:right="286"/>
              <w:rPr>
                <w:sz w:val="22"/>
              </w:rPr>
            </w:pPr>
            <w:r>
              <w:rPr>
                <w:sz w:val="22"/>
              </w:rPr>
              <w:t>132.0</w:t>
            </w:r>
          </w:p>
        </w:tc>
      </w:tr>
    </w:tbl>
    <w:p>
      <w:pPr>
        <w:pStyle w:val="BodyText"/>
        <w:spacing w:before="10"/>
        <w:rPr>
          <w:i/>
          <w:sz w:val="24"/>
        </w:rPr>
      </w:pPr>
    </w:p>
    <w:p>
      <w:pPr>
        <w:spacing w:before="72"/>
        <w:ind w:left="465" w:right="0" w:firstLine="0"/>
        <w:jc w:val="left"/>
        <w:rPr>
          <w:i/>
          <w:sz w:val="22"/>
        </w:rPr>
      </w:pPr>
      <w:r>
        <w:rPr>
          <w:b/>
          <w:sz w:val="22"/>
        </w:rPr>
        <w:t>Tabla 4.4 </w:t>
      </w:r>
      <w:r>
        <w:rPr>
          <w:sz w:val="22"/>
        </w:rPr>
        <w:t>Resultados de TGA de los nanocompositos obtenidos mediante </w:t>
      </w:r>
      <w:r>
        <w:rPr>
          <w:i/>
          <w:sz w:val="22"/>
        </w:rPr>
        <w:t>electrospinning</w:t>
      </w:r>
    </w:p>
    <w:p>
      <w:pPr>
        <w:pStyle w:val="BodyText"/>
        <w:rPr>
          <w:i/>
          <w:sz w:val="29"/>
        </w:rPr>
      </w:pPr>
    </w:p>
    <w:p>
      <w:pPr>
        <w:pStyle w:val="BodyText"/>
        <w:spacing w:line="29" w:lineRule="exact"/>
        <w:ind w:left="789"/>
        <w:rPr>
          <w:sz w:val="2"/>
        </w:rPr>
      </w:pPr>
      <w:r>
        <w:rPr>
          <w:position w:val="0"/>
          <w:sz w:val="2"/>
        </w:rPr>
        <w:pict>
          <v:group style="width:381.2pt;height:1.45pt;mso-position-horizontal-relative:char;mso-position-vertical-relative:line" coordorigin="0,0" coordsize="7624,29">
            <v:line style="position:absolute" from="15,15" to="1359,15" stroked="true" strokeweight="1.44pt" strokecolor="#000000"/>
            <v:line style="position:absolute" from="1359,15" to="1387,15" stroked="true" strokeweight="1.44pt" strokecolor="#000000"/>
            <v:line style="position:absolute" from="1387,15" to="4513,15" stroked="true" strokeweight="1.44pt" strokecolor="#000000"/>
            <v:line style="position:absolute" from="4513,15" to="4542,15" stroked="true" strokeweight="1.44pt" strokecolor="#000000"/>
            <v:line style="position:absolute" from="4542,15" to="7610,15" stroked="true" strokeweight="1.44pt" strokecolor="#000000"/>
          </v:group>
        </w:pict>
      </w:r>
      <w:r>
        <w:rPr>
          <w:position w:val="0"/>
          <w:sz w:val="2"/>
        </w:rPr>
      </w:r>
    </w:p>
    <w:p>
      <w:pPr>
        <w:spacing w:after="0" w:line="29" w:lineRule="exact"/>
        <w:rPr>
          <w:sz w:val="2"/>
        </w:rPr>
        <w:sectPr>
          <w:pgSz w:w="12240" w:h="15840"/>
          <w:pgMar w:header="730" w:footer="1060" w:top="1160" w:bottom="1260" w:left="1520" w:right="1520"/>
        </w:sectPr>
      </w:pPr>
    </w:p>
    <w:p>
      <w:pPr>
        <w:pStyle w:val="Heading5"/>
        <w:spacing w:line="264" w:lineRule="exact"/>
        <w:ind w:left="2587" w:right="-14"/>
        <w:rPr>
          <w:i/>
        </w:rPr>
      </w:pPr>
      <w:r>
        <w:rPr>
          <w:i/>
        </w:rPr>
        <w:t>T</w:t>
      </w:r>
      <w:r>
        <w:rPr>
          <w:i/>
          <w:position w:val="-2"/>
          <w:sz w:val="14"/>
        </w:rPr>
        <w:t>d  </w:t>
      </w:r>
      <w:r>
        <w:rPr>
          <w:i/>
        </w:rPr>
        <w:t>,°C  al 10% de pérdida</w:t>
      </w:r>
      <w:r>
        <w:rPr>
          <w:i/>
          <w:spacing w:val="-21"/>
        </w:rPr>
        <w:t> </w:t>
      </w:r>
      <w:r>
        <w:rPr>
          <w:i/>
        </w:rPr>
        <w:t>de</w:t>
      </w:r>
    </w:p>
    <w:p>
      <w:pPr>
        <w:spacing w:before="113"/>
        <w:ind w:left="0" w:right="1211" w:firstLine="0"/>
        <w:jc w:val="right"/>
        <w:rPr>
          <w:b/>
          <w:i/>
          <w:sz w:val="22"/>
        </w:rPr>
      </w:pPr>
      <w:r>
        <w:rPr>
          <w:b/>
          <w:i/>
          <w:sz w:val="22"/>
        </w:rPr>
        <w:t>peso</w:t>
      </w:r>
    </w:p>
    <w:p>
      <w:pPr>
        <w:spacing w:line="264" w:lineRule="exact" w:before="0"/>
        <w:ind w:left="558" w:right="0" w:firstLine="0"/>
        <w:jc w:val="left"/>
        <w:rPr>
          <w:b/>
          <w:i/>
          <w:sz w:val="22"/>
        </w:rPr>
      </w:pPr>
      <w:r>
        <w:rPr/>
        <w:br w:type="column"/>
      </w:r>
      <w:r>
        <w:rPr>
          <w:b/>
          <w:i/>
          <w:sz w:val="22"/>
        </w:rPr>
        <w:t>T</w:t>
      </w:r>
      <w:r>
        <w:rPr>
          <w:b/>
          <w:i/>
          <w:position w:val="-2"/>
          <w:sz w:val="14"/>
        </w:rPr>
        <w:t>d</w:t>
      </w:r>
      <w:r>
        <w:rPr>
          <w:b/>
          <w:i/>
          <w:sz w:val="22"/>
        </w:rPr>
        <w:t>, °C al 50% de pérdida de</w:t>
      </w:r>
    </w:p>
    <w:p>
      <w:pPr>
        <w:spacing w:before="113"/>
        <w:ind w:left="1447" w:right="2127" w:firstLine="0"/>
        <w:jc w:val="center"/>
        <w:rPr>
          <w:b/>
          <w:i/>
          <w:sz w:val="22"/>
        </w:rPr>
      </w:pPr>
      <w:r>
        <w:rPr>
          <w:b/>
          <w:i/>
          <w:sz w:val="22"/>
        </w:rPr>
        <w:t>peso</w:t>
      </w:r>
    </w:p>
    <w:p>
      <w:pPr>
        <w:spacing w:after="0"/>
        <w:jc w:val="center"/>
        <w:rPr>
          <w:sz w:val="22"/>
        </w:rPr>
        <w:sectPr>
          <w:type w:val="continuous"/>
          <w:pgSz w:w="12240" w:h="15840"/>
          <w:pgMar w:top="1420" w:bottom="280" w:left="1520" w:right="1520"/>
          <w:cols w:num="2" w:equalWidth="0">
            <w:col w:w="5141" w:space="40"/>
            <w:col w:w="4019"/>
          </w:cols>
        </w:sectPr>
      </w:pPr>
    </w:p>
    <w:p>
      <w:pPr>
        <w:pStyle w:val="BodyText"/>
        <w:spacing w:before="5" w:after="1"/>
        <w:rPr>
          <w:b/>
          <w:i/>
          <w:sz w:val="11"/>
        </w:rPr>
      </w:pPr>
    </w:p>
    <w:tbl>
      <w:tblPr>
        <w:tblW w:w="0" w:type="auto"/>
        <w:jc w:val="left"/>
        <w:tblInd w:w="79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1"/>
        <w:gridCol w:w="1197"/>
        <w:gridCol w:w="882"/>
        <w:gridCol w:w="1082"/>
        <w:gridCol w:w="1169"/>
        <w:gridCol w:w="866"/>
        <w:gridCol w:w="1056"/>
      </w:tblGrid>
      <w:tr>
        <w:trPr>
          <w:trHeight w:val="384" w:hRule="exact"/>
        </w:trPr>
        <w:tc>
          <w:tcPr>
            <w:tcW w:w="1351" w:type="dxa"/>
          </w:tcPr>
          <w:p>
            <w:pPr>
              <w:pStyle w:val="TableParagraph"/>
              <w:spacing w:before="1"/>
              <w:ind w:left="219" w:right="212"/>
              <w:rPr>
                <w:b/>
                <w:i/>
                <w:sz w:val="22"/>
              </w:rPr>
            </w:pPr>
            <w:r>
              <w:rPr>
                <w:b/>
                <w:i/>
                <w:sz w:val="22"/>
              </w:rPr>
              <w:t>Nylon 6,6</w:t>
            </w:r>
          </w:p>
        </w:tc>
        <w:tc>
          <w:tcPr>
            <w:tcW w:w="1197" w:type="dxa"/>
            <w:tcBorders>
              <w:top w:val="single" w:sz="2" w:space="0" w:color="000000"/>
              <w:bottom w:val="single" w:sz="2" w:space="0" w:color="000000"/>
            </w:tcBorders>
          </w:tcPr>
          <w:p>
            <w:pPr/>
          </w:p>
        </w:tc>
        <w:tc>
          <w:tcPr>
            <w:tcW w:w="882" w:type="dxa"/>
            <w:tcBorders>
              <w:top w:val="single" w:sz="2" w:space="0" w:color="000000"/>
              <w:bottom w:val="single" w:sz="2" w:space="0" w:color="000000"/>
            </w:tcBorders>
          </w:tcPr>
          <w:p>
            <w:pPr>
              <w:pStyle w:val="TableParagraph"/>
              <w:spacing w:before="56"/>
              <w:ind w:left="130"/>
              <w:jc w:val="left"/>
              <w:rPr>
                <w:sz w:val="22"/>
              </w:rPr>
            </w:pPr>
            <w:r>
              <w:rPr>
                <w:sz w:val="22"/>
              </w:rPr>
              <w:t>356.7</w:t>
            </w:r>
          </w:p>
        </w:tc>
        <w:tc>
          <w:tcPr>
            <w:tcW w:w="1082" w:type="dxa"/>
            <w:tcBorders>
              <w:top w:val="single" w:sz="2" w:space="0" w:color="000000"/>
              <w:bottom w:val="single" w:sz="2" w:space="0" w:color="000000"/>
            </w:tcBorders>
          </w:tcPr>
          <w:p>
            <w:pPr/>
          </w:p>
        </w:tc>
        <w:tc>
          <w:tcPr>
            <w:tcW w:w="1169" w:type="dxa"/>
            <w:tcBorders>
              <w:top w:val="single" w:sz="2" w:space="0" w:color="000000"/>
              <w:bottom w:val="single" w:sz="2" w:space="0" w:color="000000"/>
            </w:tcBorders>
          </w:tcPr>
          <w:p>
            <w:pPr/>
          </w:p>
        </w:tc>
        <w:tc>
          <w:tcPr>
            <w:tcW w:w="866" w:type="dxa"/>
            <w:tcBorders>
              <w:top w:val="single" w:sz="2" w:space="0" w:color="000000"/>
              <w:bottom w:val="single" w:sz="2" w:space="0" w:color="000000"/>
            </w:tcBorders>
          </w:tcPr>
          <w:p>
            <w:pPr>
              <w:pStyle w:val="TableParagraph"/>
              <w:spacing w:before="56"/>
              <w:ind w:left="123"/>
              <w:jc w:val="left"/>
              <w:rPr>
                <w:sz w:val="22"/>
              </w:rPr>
            </w:pPr>
            <w:r>
              <w:rPr>
                <w:sz w:val="22"/>
              </w:rPr>
              <w:t>416.9</w:t>
            </w:r>
          </w:p>
        </w:tc>
        <w:tc>
          <w:tcPr>
            <w:tcW w:w="1056" w:type="dxa"/>
            <w:tcBorders>
              <w:top w:val="single" w:sz="2" w:space="0" w:color="000000"/>
              <w:bottom w:val="single" w:sz="2" w:space="0" w:color="000000"/>
            </w:tcBorders>
          </w:tcPr>
          <w:p>
            <w:pPr/>
          </w:p>
        </w:tc>
      </w:tr>
      <w:tr>
        <w:trPr>
          <w:trHeight w:val="776" w:hRule="exact"/>
        </w:trPr>
        <w:tc>
          <w:tcPr>
            <w:tcW w:w="1351" w:type="dxa"/>
            <w:tcBorders>
              <w:bottom w:val="single" w:sz="12" w:space="0" w:color="000000"/>
            </w:tcBorders>
          </w:tcPr>
          <w:p>
            <w:pPr>
              <w:pStyle w:val="TableParagraph"/>
              <w:spacing w:before="191"/>
              <w:ind w:left="218" w:right="212"/>
              <w:rPr>
                <w:b/>
                <w:i/>
                <w:sz w:val="22"/>
              </w:rPr>
            </w:pPr>
            <w:r>
              <w:rPr>
                <w:b/>
                <w:i/>
                <w:sz w:val="22"/>
              </w:rPr>
              <w:t>Refuerzo</w:t>
            </w:r>
          </w:p>
        </w:tc>
        <w:tc>
          <w:tcPr>
            <w:tcW w:w="1197" w:type="dxa"/>
            <w:tcBorders>
              <w:top w:val="single" w:sz="2" w:space="0" w:color="000000"/>
              <w:bottom w:val="single" w:sz="12" w:space="0" w:color="000000"/>
            </w:tcBorders>
          </w:tcPr>
          <w:p>
            <w:pPr>
              <w:pStyle w:val="TableParagraph"/>
              <w:spacing w:before="5"/>
              <w:jc w:val="left"/>
              <w:rPr>
                <w:b/>
                <w:i/>
                <w:sz w:val="32"/>
              </w:rPr>
            </w:pPr>
          </w:p>
          <w:p>
            <w:pPr>
              <w:pStyle w:val="TableParagraph"/>
              <w:ind w:right="128"/>
              <w:jc w:val="right"/>
              <w:rPr>
                <w:i/>
                <w:sz w:val="22"/>
              </w:rPr>
            </w:pPr>
            <w:r>
              <w:rPr>
                <w:i/>
                <w:sz w:val="22"/>
              </w:rPr>
              <w:t>0.1</w:t>
            </w:r>
          </w:p>
        </w:tc>
        <w:tc>
          <w:tcPr>
            <w:tcW w:w="882" w:type="dxa"/>
            <w:tcBorders>
              <w:top w:val="single" w:sz="2" w:space="0" w:color="000000"/>
              <w:bottom w:val="single" w:sz="12" w:space="0" w:color="000000"/>
            </w:tcBorders>
          </w:tcPr>
          <w:p>
            <w:pPr>
              <w:pStyle w:val="TableParagraph"/>
              <w:spacing w:line="252" w:lineRule="exact"/>
              <w:ind w:left="200"/>
              <w:jc w:val="left"/>
              <w:rPr>
                <w:b/>
                <w:i/>
                <w:sz w:val="22"/>
              </w:rPr>
            </w:pPr>
            <w:r>
              <w:rPr>
                <w:b/>
                <w:i/>
                <w:sz w:val="22"/>
              </w:rPr>
              <w:t>% peso</w:t>
            </w:r>
          </w:p>
        </w:tc>
        <w:tc>
          <w:tcPr>
            <w:tcW w:w="1082" w:type="dxa"/>
            <w:tcBorders>
              <w:top w:val="single" w:sz="2" w:space="0" w:color="000000"/>
              <w:bottom w:val="single" w:sz="12" w:space="0" w:color="000000"/>
            </w:tcBorders>
          </w:tcPr>
          <w:p>
            <w:pPr>
              <w:pStyle w:val="TableParagraph"/>
              <w:spacing w:before="5"/>
              <w:jc w:val="left"/>
              <w:rPr>
                <w:b/>
                <w:i/>
                <w:sz w:val="32"/>
              </w:rPr>
            </w:pPr>
          </w:p>
          <w:p>
            <w:pPr>
              <w:pStyle w:val="TableParagraph"/>
              <w:ind w:right="515"/>
              <w:jc w:val="right"/>
              <w:rPr>
                <w:i/>
                <w:sz w:val="22"/>
              </w:rPr>
            </w:pPr>
            <w:r>
              <w:rPr>
                <w:i/>
                <w:sz w:val="22"/>
              </w:rPr>
              <w:t>0.5</w:t>
            </w:r>
          </w:p>
        </w:tc>
        <w:tc>
          <w:tcPr>
            <w:tcW w:w="1169" w:type="dxa"/>
            <w:tcBorders>
              <w:top w:val="single" w:sz="2" w:space="0" w:color="000000"/>
              <w:bottom w:val="single" w:sz="12" w:space="0" w:color="000000"/>
            </w:tcBorders>
          </w:tcPr>
          <w:p>
            <w:pPr>
              <w:pStyle w:val="TableParagraph"/>
              <w:spacing w:before="5"/>
              <w:jc w:val="left"/>
              <w:rPr>
                <w:b/>
                <w:i/>
                <w:sz w:val="32"/>
              </w:rPr>
            </w:pPr>
          </w:p>
          <w:p>
            <w:pPr>
              <w:pStyle w:val="TableParagraph"/>
              <w:ind w:right="121"/>
              <w:jc w:val="right"/>
              <w:rPr>
                <w:i/>
                <w:sz w:val="22"/>
              </w:rPr>
            </w:pPr>
            <w:r>
              <w:rPr>
                <w:i/>
                <w:sz w:val="22"/>
              </w:rPr>
              <w:t>0.1</w:t>
            </w:r>
          </w:p>
        </w:tc>
        <w:tc>
          <w:tcPr>
            <w:tcW w:w="866" w:type="dxa"/>
            <w:tcBorders>
              <w:top w:val="single" w:sz="2" w:space="0" w:color="000000"/>
              <w:bottom w:val="single" w:sz="12" w:space="0" w:color="000000"/>
            </w:tcBorders>
          </w:tcPr>
          <w:p>
            <w:pPr>
              <w:pStyle w:val="TableParagraph"/>
              <w:spacing w:line="252" w:lineRule="exact"/>
              <w:ind w:left="190"/>
              <w:jc w:val="left"/>
              <w:rPr>
                <w:b/>
                <w:i/>
                <w:sz w:val="22"/>
              </w:rPr>
            </w:pPr>
            <w:r>
              <w:rPr>
                <w:b/>
                <w:i/>
                <w:sz w:val="22"/>
              </w:rPr>
              <w:t>% peso</w:t>
            </w:r>
          </w:p>
        </w:tc>
        <w:tc>
          <w:tcPr>
            <w:tcW w:w="1056" w:type="dxa"/>
            <w:tcBorders>
              <w:top w:val="single" w:sz="2" w:space="0" w:color="000000"/>
              <w:bottom w:val="single" w:sz="12" w:space="0" w:color="000000"/>
            </w:tcBorders>
          </w:tcPr>
          <w:p>
            <w:pPr>
              <w:pStyle w:val="TableParagraph"/>
              <w:spacing w:before="5"/>
              <w:jc w:val="left"/>
              <w:rPr>
                <w:b/>
                <w:i/>
                <w:sz w:val="32"/>
              </w:rPr>
            </w:pPr>
          </w:p>
          <w:p>
            <w:pPr>
              <w:pStyle w:val="TableParagraph"/>
              <w:ind w:right="492"/>
              <w:jc w:val="right"/>
              <w:rPr>
                <w:i/>
                <w:sz w:val="22"/>
              </w:rPr>
            </w:pPr>
            <w:r>
              <w:rPr>
                <w:i/>
                <w:sz w:val="22"/>
              </w:rPr>
              <w:t>0.5</w:t>
            </w:r>
          </w:p>
        </w:tc>
      </w:tr>
      <w:tr>
        <w:trPr>
          <w:trHeight w:val="401" w:hRule="exact"/>
        </w:trPr>
        <w:tc>
          <w:tcPr>
            <w:tcW w:w="1351" w:type="dxa"/>
            <w:tcBorders>
              <w:top w:val="single" w:sz="12" w:space="0" w:color="000000"/>
            </w:tcBorders>
          </w:tcPr>
          <w:p>
            <w:pPr>
              <w:pStyle w:val="TableParagraph"/>
              <w:spacing w:before="1"/>
              <w:ind w:left="218" w:right="212"/>
              <w:rPr>
                <w:b/>
                <w:i/>
                <w:sz w:val="22"/>
              </w:rPr>
            </w:pPr>
            <w:r>
              <w:rPr>
                <w:b/>
                <w:i/>
                <w:sz w:val="22"/>
              </w:rPr>
              <w:t>p-CNT</w:t>
            </w:r>
          </w:p>
        </w:tc>
        <w:tc>
          <w:tcPr>
            <w:tcW w:w="1197" w:type="dxa"/>
            <w:tcBorders>
              <w:top w:val="single" w:sz="12" w:space="0" w:color="000000"/>
            </w:tcBorders>
          </w:tcPr>
          <w:p>
            <w:pPr>
              <w:pStyle w:val="TableParagraph"/>
              <w:spacing w:before="58"/>
              <w:ind w:right="157"/>
              <w:jc w:val="right"/>
              <w:rPr>
                <w:sz w:val="22"/>
              </w:rPr>
            </w:pPr>
            <w:r>
              <w:rPr>
                <w:sz w:val="22"/>
              </w:rPr>
              <w:t>353.5</w:t>
            </w:r>
          </w:p>
        </w:tc>
        <w:tc>
          <w:tcPr>
            <w:tcW w:w="882" w:type="dxa"/>
            <w:tcBorders>
              <w:top w:val="single" w:sz="12" w:space="0" w:color="000000"/>
            </w:tcBorders>
          </w:tcPr>
          <w:p>
            <w:pPr/>
          </w:p>
        </w:tc>
        <w:tc>
          <w:tcPr>
            <w:tcW w:w="1082" w:type="dxa"/>
            <w:tcBorders>
              <w:top w:val="single" w:sz="12" w:space="0" w:color="000000"/>
            </w:tcBorders>
          </w:tcPr>
          <w:p>
            <w:pPr>
              <w:pStyle w:val="TableParagraph"/>
              <w:spacing w:before="58"/>
              <w:ind w:right="544"/>
              <w:jc w:val="right"/>
              <w:rPr>
                <w:sz w:val="22"/>
              </w:rPr>
            </w:pPr>
            <w:r>
              <w:rPr>
                <w:sz w:val="22"/>
              </w:rPr>
              <w:t>357.4</w:t>
            </w:r>
          </w:p>
        </w:tc>
        <w:tc>
          <w:tcPr>
            <w:tcW w:w="1169" w:type="dxa"/>
            <w:tcBorders>
              <w:top w:val="single" w:sz="12" w:space="0" w:color="000000"/>
            </w:tcBorders>
          </w:tcPr>
          <w:p>
            <w:pPr>
              <w:pStyle w:val="TableParagraph"/>
              <w:spacing w:before="58"/>
              <w:ind w:right="152"/>
              <w:jc w:val="right"/>
              <w:rPr>
                <w:sz w:val="22"/>
              </w:rPr>
            </w:pPr>
            <w:r>
              <w:rPr>
                <w:sz w:val="22"/>
              </w:rPr>
              <w:t>409.9</w:t>
            </w:r>
          </w:p>
        </w:tc>
        <w:tc>
          <w:tcPr>
            <w:tcW w:w="866" w:type="dxa"/>
            <w:tcBorders>
              <w:top w:val="single" w:sz="12" w:space="0" w:color="000000"/>
            </w:tcBorders>
          </w:tcPr>
          <w:p>
            <w:pPr/>
          </w:p>
        </w:tc>
        <w:tc>
          <w:tcPr>
            <w:tcW w:w="1056" w:type="dxa"/>
            <w:tcBorders>
              <w:top w:val="single" w:sz="12" w:space="0" w:color="000000"/>
            </w:tcBorders>
          </w:tcPr>
          <w:p>
            <w:pPr>
              <w:pStyle w:val="TableParagraph"/>
              <w:spacing w:before="58"/>
              <w:ind w:right="525"/>
              <w:jc w:val="right"/>
              <w:rPr>
                <w:sz w:val="22"/>
              </w:rPr>
            </w:pPr>
            <w:r>
              <w:rPr>
                <w:sz w:val="22"/>
              </w:rPr>
              <w:t>414.9</w:t>
            </w:r>
          </w:p>
        </w:tc>
      </w:tr>
      <w:tr>
        <w:trPr>
          <w:trHeight w:val="379" w:hRule="exact"/>
        </w:trPr>
        <w:tc>
          <w:tcPr>
            <w:tcW w:w="1351" w:type="dxa"/>
          </w:tcPr>
          <w:p>
            <w:pPr>
              <w:pStyle w:val="TableParagraph"/>
              <w:spacing w:line="247" w:lineRule="exact"/>
              <w:ind w:left="216" w:right="212"/>
              <w:rPr>
                <w:b/>
                <w:i/>
                <w:sz w:val="22"/>
              </w:rPr>
            </w:pPr>
            <w:r>
              <w:rPr>
                <w:b/>
                <w:i/>
                <w:sz w:val="22"/>
              </w:rPr>
              <w:t>OCNT</w:t>
            </w:r>
          </w:p>
        </w:tc>
        <w:tc>
          <w:tcPr>
            <w:tcW w:w="1197" w:type="dxa"/>
          </w:tcPr>
          <w:p>
            <w:pPr>
              <w:pStyle w:val="TableParagraph"/>
              <w:spacing w:before="51"/>
              <w:ind w:right="157"/>
              <w:jc w:val="right"/>
              <w:rPr>
                <w:sz w:val="22"/>
              </w:rPr>
            </w:pPr>
            <w:r>
              <w:rPr>
                <w:sz w:val="22"/>
              </w:rPr>
              <w:t>359.2</w:t>
            </w:r>
          </w:p>
        </w:tc>
        <w:tc>
          <w:tcPr>
            <w:tcW w:w="882" w:type="dxa"/>
          </w:tcPr>
          <w:p>
            <w:pPr/>
          </w:p>
        </w:tc>
        <w:tc>
          <w:tcPr>
            <w:tcW w:w="1082" w:type="dxa"/>
          </w:tcPr>
          <w:p>
            <w:pPr>
              <w:pStyle w:val="TableParagraph"/>
              <w:spacing w:before="51"/>
              <w:ind w:right="544"/>
              <w:jc w:val="right"/>
              <w:rPr>
                <w:sz w:val="22"/>
              </w:rPr>
            </w:pPr>
            <w:r>
              <w:rPr>
                <w:sz w:val="22"/>
              </w:rPr>
              <w:t>360.6</w:t>
            </w:r>
          </w:p>
        </w:tc>
        <w:tc>
          <w:tcPr>
            <w:tcW w:w="1169" w:type="dxa"/>
          </w:tcPr>
          <w:p>
            <w:pPr>
              <w:pStyle w:val="TableParagraph"/>
              <w:spacing w:before="51"/>
              <w:ind w:right="152"/>
              <w:jc w:val="right"/>
              <w:rPr>
                <w:sz w:val="22"/>
              </w:rPr>
            </w:pPr>
            <w:r>
              <w:rPr>
                <w:sz w:val="22"/>
              </w:rPr>
              <w:t>416.9</w:t>
            </w:r>
          </w:p>
        </w:tc>
        <w:tc>
          <w:tcPr>
            <w:tcW w:w="866" w:type="dxa"/>
          </w:tcPr>
          <w:p>
            <w:pPr/>
          </w:p>
        </w:tc>
        <w:tc>
          <w:tcPr>
            <w:tcW w:w="1056" w:type="dxa"/>
          </w:tcPr>
          <w:p>
            <w:pPr>
              <w:pStyle w:val="TableParagraph"/>
              <w:spacing w:before="51"/>
              <w:ind w:right="525"/>
              <w:jc w:val="right"/>
              <w:rPr>
                <w:sz w:val="22"/>
              </w:rPr>
            </w:pPr>
            <w:r>
              <w:rPr>
                <w:sz w:val="22"/>
              </w:rPr>
              <w:t>414.8</w:t>
            </w:r>
          </w:p>
        </w:tc>
      </w:tr>
      <w:tr>
        <w:trPr>
          <w:trHeight w:val="379" w:hRule="exact"/>
        </w:trPr>
        <w:tc>
          <w:tcPr>
            <w:tcW w:w="1351" w:type="dxa"/>
          </w:tcPr>
          <w:p>
            <w:pPr>
              <w:pStyle w:val="TableParagraph"/>
              <w:spacing w:line="247" w:lineRule="exact"/>
              <w:ind w:left="219" w:right="210"/>
              <w:rPr>
                <w:b/>
                <w:i/>
                <w:sz w:val="22"/>
              </w:rPr>
            </w:pPr>
            <w:r>
              <w:rPr>
                <w:b/>
                <w:i/>
                <w:sz w:val="22"/>
              </w:rPr>
              <w:t>f-CNT</w:t>
            </w:r>
          </w:p>
        </w:tc>
        <w:tc>
          <w:tcPr>
            <w:tcW w:w="1197" w:type="dxa"/>
          </w:tcPr>
          <w:p>
            <w:pPr>
              <w:pStyle w:val="TableParagraph"/>
              <w:spacing w:before="51"/>
              <w:ind w:right="157"/>
              <w:jc w:val="right"/>
              <w:rPr>
                <w:sz w:val="22"/>
              </w:rPr>
            </w:pPr>
            <w:r>
              <w:rPr>
                <w:sz w:val="22"/>
              </w:rPr>
              <w:t>356.3</w:t>
            </w:r>
          </w:p>
        </w:tc>
        <w:tc>
          <w:tcPr>
            <w:tcW w:w="882" w:type="dxa"/>
          </w:tcPr>
          <w:p>
            <w:pPr/>
          </w:p>
        </w:tc>
        <w:tc>
          <w:tcPr>
            <w:tcW w:w="1082" w:type="dxa"/>
          </w:tcPr>
          <w:p>
            <w:pPr>
              <w:pStyle w:val="TableParagraph"/>
              <w:spacing w:before="51"/>
              <w:ind w:right="544"/>
              <w:jc w:val="right"/>
              <w:rPr>
                <w:sz w:val="22"/>
              </w:rPr>
            </w:pPr>
            <w:r>
              <w:rPr>
                <w:sz w:val="22"/>
              </w:rPr>
              <w:t>356.1</w:t>
            </w:r>
          </w:p>
        </w:tc>
        <w:tc>
          <w:tcPr>
            <w:tcW w:w="1169" w:type="dxa"/>
          </w:tcPr>
          <w:p>
            <w:pPr>
              <w:pStyle w:val="TableParagraph"/>
              <w:spacing w:before="51"/>
              <w:ind w:right="152"/>
              <w:jc w:val="right"/>
              <w:rPr>
                <w:sz w:val="22"/>
              </w:rPr>
            </w:pPr>
            <w:r>
              <w:rPr>
                <w:sz w:val="22"/>
              </w:rPr>
              <w:t>409.3</w:t>
            </w:r>
          </w:p>
        </w:tc>
        <w:tc>
          <w:tcPr>
            <w:tcW w:w="866" w:type="dxa"/>
          </w:tcPr>
          <w:p>
            <w:pPr/>
          </w:p>
        </w:tc>
        <w:tc>
          <w:tcPr>
            <w:tcW w:w="1056" w:type="dxa"/>
          </w:tcPr>
          <w:p>
            <w:pPr>
              <w:pStyle w:val="TableParagraph"/>
              <w:spacing w:before="51"/>
              <w:ind w:right="525"/>
              <w:jc w:val="right"/>
              <w:rPr>
                <w:sz w:val="22"/>
              </w:rPr>
            </w:pPr>
            <w:r>
              <w:rPr>
                <w:sz w:val="22"/>
              </w:rPr>
              <w:t>402.1</w:t>
            </w:r>
          </w:p>
        </w:tc>
      </w:tr>
      <w:tr>
        <w:trPr>
          <w:trHeight w:val="379" w:hRule="exact"/>
        </w:trPr>
        <w:tc>
          <w:tcPr>
            <w:tcW w:w="1351" w:type="dxa"/>
          </w:tcPr>
          <w:p>
            <w:pPr>
              <w:pStyle w:val="TableParagraph"/>
              <w:spacing w:line="247" w:lineRule="exact"/>
              <w:ind w:left="217" w:right="212"/>
              <w:rPr>
                <w:b/>
                <w:i/>
                <w:sz w:val="22"/>
              </w:rPr>
            </w:pPr>
            <w:r>
              <w:rPr>
                <w:b/>
                <w:i/>
                <w:sz w:val="22"/>
              </w:rPr>
              <w:t>RGO</w:t>
            </w:r>
          </w:p>
        </w:tc>
        <w:tc>
          <w:tcPr>
            <w:tcW w:w="1197" w:type="dxa"/>
          </w:tcPr>
          <w:p>
            <w:pPr>
              <w:pStyle w:val="TableParagraph"/>
              <w:spacing w:before="51"/>
              <w:ind w:right="157"/>
              <w:jc w:val="right"/>
              <w:rPr>
                <w:sz w:val="22"/>
              </w:rPr>
            </w:pPr>
            <w:r>
              <w:rPr>
                <w:sz w:val="22"/>
              </w:rPr>
              <w:t>357.0</w:t>
            </w:r>
          </w:p>
        </w:tc>
        <w:tc>
          <w:tcPr>
            <w:tcW w:w="882" w:type="dxa"/>
          </w:tcPr>
          <w:p>
            <w:pPr/>
          </w:p>
        </w:tc>
        <w:tc>
          <w:tcPr>
            <w:tcW w:w="1082" w:type="dxa"/>
          </w:tcPr>
          <w:p>
            <w:pPr>
              <w:pStyle w:val="TableParagraph"/>
              <w:spacing w:before="51"/>
              <w:ind w:right="544"/>
              <w:jc w:val="right"/>
              <w:rPr>
                <w:sz w:val="22"/>
              </w:rPr>
            </w:pPr>
            <w:r>
              <w:rPr>
                <w:sz w:val="22"/>
              </w:rPr>
              <w:t>354.2</w:t>
            </w:r>
          </w:p>
        </w:tc>
        <w:tc>
          <w:tcPr>
            <w:tcW w:w="1169" w:type="dxa"/>
          </w:tcPr>
          <w:p>
            <w:pPr>
              <w:pStyle w:val="TableParagraph"/>
              <w:spacing w:before="51"/>
              <w:ind w:right="152"/>
              <w:jc w:val="right"/>
              <w:rPr>
                <w:sz w:val="22"/>
              </w:rPr>
            </w:pPr>
            <w:r>
              <w:rPr>
                <w:sz w:val="22"/>
              </w:rPr>
              <w:t>408.4</w:t>
            </w:r>
          </w:p>
        </w:tc>
        <w:tc>
          <w:tcPr>
            <w:tcW w:w="866" w:type="dxa"/>
          </w:tcPr>
          <w:p>
            <w:pPr/>
          </w:p>
        </w:tc>
        <w:tc>
          <w:tcPr>
            <w:tcW w:w="1056" w:type="dxa"/>
          </w:tcPr>
          <w:p>
            <w:pPr>
              <w:pStyle w:val="TableParagraph"/>
              <w:spacing w:before="51"/>
              <w:ind w:right="525"/>
              <w:jc w:val="right"/>
              <w:rPr>
                <w:sz w:val="22"/>
              </w:rPr>
            </w:pPr>
            <w:r>
              <w:rPr>
                <w:sz w:val="22"/>
              </w:rPr>
              <w:t>409.2</w:t>
            </w:r>
          </w:p>
        </w:tc>
      </w:tr>
      <w:tr>
        <w:trPr>
          <w:trHeight w:val="379" w:hRule="exact"/>
        </w:trPr>
        <w:tc>
          <w:tcPr>
            <w:tcW w:w="1351" w:type="dxa"/>
          </w:tcPr>
          <w:p>
            <w:pPr>
              <w:pStyle w:val="TableParagraph"/>
              <w:spacing w:line="247" w:lineRule="exact"/>
              <w:ind w:left="219" w:right="212"/>
              <w:rPr>
                <w:b/>
                <w:i/>
                <w:sz w:val="22"/>
              </w:rPr>
            </w:pPr>
            <w:r>
              <w:rPr>
                <w:b/>
                <w:i/>
                <w:sz w:val="22"/>
              </w:rPr>
              <w:t>GO</w:t>
            </w:r>
          </w:p>
        </w:tc>
        <w:tc>
          <w:tcPr>
            <w:tcW w:w="1197" w:type="dxa"/>
          </w:tcPr>
          <w:p>
            <w:pPr>
              <w:pStyle w:val="TableParagraph"/>
              <w:spacing w:before="51"/>
              <w:ind w:right="157"/>
              <w:jc w:val="right"/>
              <w:rPr>
                <w:sz w:val="22"/>
              </w:rPr>
            </w:pPr>
            <w:r>
              <w:rPr>
                <w:sz w:val="22"/>
              </w:rPr>
              <w:t>361.0</w:t>
            </w:r>
          </w:p>
        </w:tc>
        <w:tc>
          <w:tcPr>
            <w:tcW w:w="882" w:type="dxa"/>
          </w:tcPr>
          <w:p>
            <w:pPr/>
          </w:p>
        </w:tc>
        <w:tc>
          <w:tcPr>
            <w:tcW w:w="1082" w:type="dxa"/>
          </w:tcPr>
          <w:p>
            <w:pPr>
              <w:pStyle w:val="TableParagraph"/>
              <w:spacing w:before="51"/>
              <w:ind w:right="544"/>
              <w:jc w:val="right"/>
              <w:rPr>
                <w:sz w:val="22"/>
              </w:rPr>
            </w:pPr>
            <w:r>
              <w:rPr>
                <w:sz w:val="22"/>
              </w:rPr>
              <w:t>362.5</w:t>
            </w:r>
          </w:p>
        </w:tc>
        <w:tc>
          <w:tcPr>
            <w:tcW w:w="1169" w:type="dxa"/>
          </w:tcPr>
          <w:p>
            <w:pPr>
              <w:pStyle w:val="TableParagraph"/>
              <w:spacing w:before="51"/>
              <w:ind w:right="152"/>
              <w:jc w:val="right"/>
              <w:rPr>
                <w:sz w:val="22"/>
              </w:rPr>
            </w:pPr>
            <w:r>
              <w:rPr>
                <w:sz w:val="22"/>
              </w:rPr>
              <w:t>415.7</w:t>
            </w:r>
          </w:p>
        </w:tc>
        <w:tc>
          <w:tcPr>
            <w:tcW w:w="866" w:type="dxa"/>
          </w:tcPr>
          <w:p>
            <w:pPr/>
          </w:p>
        </w:tc>
        <w:tc>
          <w:tcPr>
            <w:tcW w:w="1056" w:type="dxa"/>
          </w:tcPr>
          <w:p>
            <w:pPr>
              <w:pStyle w:val="TableParagraph"/>
              <w:spacing w:before="51"/>
              <w:ind w:right="525"/>
              <w:jc w:val="right"/>
              <w:rPr>
                <w:sz w:val="22"/>
              </w:rPr>
            </w:pPr>
            <w:r>
              <w:rPr>
                <w:sz w:val="22"/>
              </w:rPr>
              <w:t>410.0</w:t>
            </w:r>
          </w:p>
        </w:tc>
      </w:tr>
      <w:tr>
        <w:trPr>
          <w:trHeight w:val="391" w:hRule="exact"/>
        </w:trPr>
        <w:tc>
          <w:tcPr>
            <w:tcW w:w="1351" w:type="dxa"/>
            <w:tcBorders>
              <w:bottom w:val="single" w:sz="12" w:space="0" w:color="000000"/>
            </w:tcBorders>
          </w:tcPr>
          <w:p>
            <w:pPr>
              <w:pStyle w:val="TableParagraph"/>
              <w:spacing w:line="247" w:lineRule="exact"/>
              <w:ind w:left="219" w:right="211"/>
              <w:rPr>
                <w:b/>
                <w:i/>
                <w:sz w:val="22"/>
              </w:rPr>
            </w:pPr>
            <w:r>
              <w:rPr>
                <w:b/>
                <w:i/>
                <w:sz w:val="22"/>
              </w:rPr>
              <w:t>f-Ge</w:t>
            </w:r>
          </w:p>
        </w:tc>
        <w:tc>
          <w:tcPr>
            <w:tcW w:w="1197" w:type="dxa"/>
            <w:tcBorders>
              <w:bottom w:val="single" w:sz="12" w:space="0" w:color="000000"/>
            </w:tcBorders>
          </w:tcPr>
          <w:p>
            <w:pPr>
              <w:pStyle w:val="TableParagraph"/>
              <w:spacing w:before="51"/>
              <w:ind w:right="157"/>
              <w:jc w:val="right"/>
              <w:rPr>
                <w:sz w:val="22"/>
              </w:rPr>
            </w:pPr>
            <w:r>
              <w:rPr>
                <w:sz w:val="22"/>
              </w:rPr>
              <w:t>361.7</w:t>
            </w:r>
          </w:p>
        </w:tc>
        <w:tc>
          <w:tcPr>
            <w:tcW w:w="882" w:type="dxa"/>
            <w:tcBorders>
              <w:bottom w:val="single" w:sz="12" w:space="0" w:color="000000"/>
            </w:tcBorders>
          </w:tcPr>
          <w:p>
            <w:pPr/>
          </w:p>
        </w:tc>
        <w:tc>
          <w:tcPr>
            <w:tcW w:w="1082" w:type="dxa"/>
            <w:tcBorders>
              <w:bottom w:val="single" w:sz="12" w:space="0" w:color="000000"/>
            </w:tcBorders>
          </w:tcPr>
          <w:p>
            <w:pPr>
              <w:pStyle w:val="TableParagraph"/>
              <w:spacing w:before="51"/>
              <w:ind w:right="544"/>
              <w:jc w:val="right"/>
              <w:rPr>
                <w:sz w:val="22"/>
              </w:rPr>
            </w:pPr>
            <w:r>
              <w:rPr>
                <w:sz w:val="22"/>
              </w:rPr>
              <w:t>350.1</w:t>
            </w:r>
          </w:p>
        </w:tc>
        <w:tc>
          <w:tcPr>
            <w:tcW w:w="1169" w:type="dxa"/>
            <w:tcBorders>
              <w:bottom w:val="single" w:sz="12" w:space="0" w:color="000000"/>
            </w:tcBorders>
          </w:tcPr>
          <w:p>
            <w:pPr>
              <w:pStyle w:val="TableParagraph"/>
              <w:spacing w:before="51"/>
              <w:ind w:right="152"/>
              <w:jc w:val="right"/>
              <w:rPr>
                <w:sz w:val="22"/>
              </w:rPr>
            </w:pPr>
            <w:r>
              <w:rPr>
                <w:sz w:val="22"/>
              </w:rPr>
              <w:t>407.9</w:t>
            </w:r>
          </w:p>
        </w:tc>
        <w:tc>
          <w:tcPr>
            <w:tcW w:w="866" w:type="dxa"/>
            <w:tcBorders>
              <w:bottom w:val="single" w:sz="12" w:space="0" w:color="000000"/>
            </w:tcBorders>
          </w:tcPr>
          <w:p>
            <w:pPr/>
          </w:p>
        </w:tc>
        <w:tc>
          <w:tcPr>
            <w:tcW w:w="1056" w:type="dxa"/>
            <w:tcBorders>
              <w:bottom w:val="single" w:sz="12" w:space="0" w:color="000000"/>
            </w:tcBorders>
          </w:tcPr>
          <w:p>
            <w:pPr>
              <w:pStyle w:val="TableParagraph"/>
              <w:spacing w:before="51"/>
              <w:ind w:right="525"/>
              <w:jc w:val="right"/>
              <w:rPr>
                <w:sz w:val="22"/>
              </w:rPr>
            </w:pPr>
            <w:r>
              <w:rPr>
                <w:sz w:val="22"/>
              </w:rPr>
              <w:t>411.9</w:t>
            </w:r>
          </w:p>
        </w:tc>
      </w:tr>
    </w:tbl>
    <w:p>
      <w:pPr>
        <w:pStyle w:val="BodyText"/>
        <w:spacing w:before="4"/>
        <w:rPr>
          <w:b/>
          <w:i/>
          <w:sz w:val="25"/>
        </w:rPr>
      </w:pPr>
    </w:p>
    <w:p>
      <w:pPr>
        <w:pStyle w:val="ListParagraph"/>
        <w:numPr>
          <w:ilvl w:val="2"/>
          <w:numId w:val="26"/>
        </w:numPr>
        <w:tabs>
          <w:tab w:pos="677" w:val="left" w:leader="none"/>
        </w:tabs>
        <w:spacing w:line="240" w:lineRule="auto" w:before="72" w:after="0"/>
        <w:ind w:left="676" w:right="0" w:hanging="494"/>
        <w:jc w:val="left"/>
        <w:rPr>
          <w:b/>
          <w:sz w:val="22"/>
        </w:rPr>
      </w:pPr>
      <w:r>
        <w:rPr>
          <w:b/>
          <w:sz w:val="22"/>
        </w:rPr>
        <w:t>Propiedades de</w:t>
      </w:r>
      <w:r>
        <w:rPr>
          <w:b/>
          <w:spacing w:val="-6"/>
          <w:sz w:val="22"/>
        </w:rPr>
        <w:t> </w:t>
      </w:r>
      <w:r>
        <w:rPr>
          <w:b/>
          <w:sz w:val="22"/>
        </w:rPr>
        <w:t>cristalinidad</w:t>
      </w:r>
    </w:p>
    <w:p>
      <w:pPr>
        <w:pStyle w:val="BodyText"/>
        <w:spacing w:line="355" w:lineRule="auto" w:before="121"/>
        <w:ind w:left="182" w:right="176" w:firstLine="283"/>
        <w:jc w:val="both"/>
      </w:pPr>
      <w:r>
        <w:rPr/>
        <w:t>En la Tabla 4.5 se presentan los valores de T</w:t>
      </w:r>
      <w:r>
        <w:rPr>
          <w:i/>
          <w:position w:val="-2"/>
          <w:sz w:val="14"/>
        </w:rPr>
        <w:t>f </w:t>
      </w:r>
      <w:r>
        <w:rPr/>
        <w:t>de los nanocompositos obtenidos por inyección, cuyos resultados son muy similares a los del polímero puro. Además se incluyen las T</w:t>
      </w:r>
      <w:r>
        <w:rPr>
          <w:position w:val="-2"/>
          <w:sz w:val="14"/>
        </w:rPr>
        <w:t>c </w:t>
      </w:r>
      <w:r>
        <w:rPr/>
        <w:t>de los mismos, las cuales son superiores en los nanocompositos cuando son comparadas a la del nylon puro. En estas también se puede observar que la nucleación es más retardada en los nanocompositos en base a grafeno que en los nanocompositos en base a nanotubos de carbono. Sin embargo, de acuerdo a los valores de cristalinidad, se observa que en los nanocompositos en base a un refuerzo bidimensional se obtuvo el mayor grado de cristalinidad.</w:t>
      </w:r>
    </w:p>
    <w:p>
      <w:pPr>
        <w:spacing w:after="0" w:line="355" w:lineRule="auto"/>
        <w:jc w:val="both"/>
        <w:sectPr>
          <w:type w:val="continuous"/>
          <w:pgSz w:w="12240" w:h="15840"/>
          <w:pgMar w:top="1420" w:bottom="280" w:left="1520" w:right="1520"/>
        </w:sectPr>
      </w:pPr>
    </w:p>
    <w:p>
      <w:pPr>
        <w:pStyle w:val="BodyText"/>
        <w:rPr>
          <w:sz w:val="14"/>
        </w:rPr>
      </w:pPr>
    </w:p>
    <w:p>
      <w:pPr>
        <w:pStyle w:val="BodyText"/>
        <w:spacing w:before="73"/>
        <w:ind w:left="394"/>
      </w:pPr>
      <w:r>
        <w:rPr>
          <w:b/>
        </w:rPr>
        <w:t>Tabla 4.5 </w:t>
      </w:r>
      <w:r>
        <w:rPr/>
        <w:t>Resultados de DSC de los nanocompositos obtenidos mediante moldeo por inyección</w:t>
      </w:r>
    </w:p>
    <w:p>
      <w:pPr>
        <w:pStyle w:val="BodyText"/>
        <w:rPr>
          <w:sz w:val="29"/>
        </w:rPr>
      </w:pPr>
    </w:p>
    <w:tbl>
      <w:tblPr>
        <w:tblW w:w="0" w:type="auto"/>
        <w:jc w:val="left"/>
        <w:tblInd w:w="11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253"/>
        <w:gridCol w:w="905"/>
        <w:gridCol w:w="942"/>
        <w:gridCol w:w="868"/>
        <w:gridCol w:w="905"/>
        <w:gridCol w:w="942"/>
        <w:gridCol w:w="863"/>
        <w:gridCol w:w="776"/>
        <w:gridCol w:w="769"/>
        <w:gridCol w:w="771"/>
      </w:tblGrid>
      <w:tr>
        <w:trPr>
          <w:trHeight w:val="334" w:hRule="exact"/>
        </w:trPr>
        <w:tc>
          <w:tcPr>
            <w:tcW w:w="1253" w:type="dxa"/>
            <w:tcBorders>
              <w:left w:val="nil"/>
              <w:bottom w:val="nil"/>
              <w:right w:val="nil"/>
            </w:tcBorders>
          </w:tcPr>
          <w:p>
            <w:pPr/>
          </w:p>
        </w:tc>
        <w:tc>
          <w:tcPr>
            <w:tcW w:w="905" w:type="dxa"/>
            <w:tcBorders>
              <w:left w:val="nil"/>
              <w:bottom w:val="single" w:sz="2" w:space="0" w:color="000000"/>
              <w:right w:val="nil"/>
            </w:tcBorders>
          </w:tcPr>
          <w:p>
            <w:pPr/>
          </w:p>
        </w:tc>
        <w:tc>
          <w:tcPr>
            <w:tcW w:w="942" w:type="dxa"/>
            <w:tcBorders>
              <w:left w:val="nil"/>
              <w:bottom w:val="single" w:sz="2" w:space="0" w:color="000000"/>
              <w:right w:val="nil"/>
            </w:tcBorders>
          </w:tcPr>
          <w:p>
            <w:pPr>
              <w:pStyle w:val="TableParagraph"/>
              <w:spacing w:before="30"/>
              <w:ind w:right="223"/>
              <w:jc w:val="right"/>
              <w:rPr>
                <w:b/>
                <w:i/>
                <w:sz w:val="22"/>
              </w:rPr>
            </w:pPr>
            <w:r>
              <w:rPr>
                <w:b/>
                <w:i/>
                <w:sz w:val="22"/>
              </w:rPr>
              <w:t>T</w:t>
            </w:r>
            <w:r>
              <w:rPr>
                <w:b/>
                <w:i/>
                <w:position w:val="-2"/>
                <w:sz w:val="14"/>
              </w:rPr>
              <w:t>f</w:t>
            </w:r>
            <w:r>
              <w:rPr>
                <w:b/>
                <w:i/>
                <w:sz w:val="22"/>
              </w:rPr>
              <w:t>, °C</w:t>
            </w:r>
          </w:p>
        </w:tc>
        <w:tc>
          <w:tcPr>
            <w:tcW w:w="868" w:type="dxa"/>
            <w:tcBorders>
              <w:left w:val="nil"/>
              <w:bottom w:val="single" w:sz="2" w:space="0" w:color="000000"/>
              <w:right w:val="nil"/>
            </w:tcBorders>
          </w:tcPr>
          <w:p>
            <w:pPr/>
          </w:p>
        </w:tc>
        <w:tc>
          <w:tcPr>
            <w:tcW w:w="905" w:type="dxa"/>
            <w:tcBorders>
              <w:left w:val="nil"/>
              <w:bottom w:val="single" w:sz="2" w:space="0" w:color="000000"/>
              <w:right w:val="nil"/>
            </w:tcBorders>
          </w:tcPr>
          <w:p>
            <w:pPr/>
          </w:p>
        </w:tc>
        <w:tc>
          <w:tcPr>
            <w:tcW w:w="942" w:type="dxa"/>
            <w:tcBorders>
              <w:left w:val="nil"/>
              <w:bottom w:val="single" w:sz="2" w:space="0" w:color="000000"/>
              <w:right w:val="nil"/>
            </w:tcBorders>
          </w:tcPr>
          <w:p>
            <w:pPr>
              <w:pStyle w:val="TableParagraph"/>
              <w:spacing w:before="30"/>
              <w:ind w:left="110" w:right="146"/>
              <w:rPr>
                <w:b/>
                <w:i/>
                <w:sz w:val="22"/>
              </w:rPr>
            </w:pPr>
            <w:r>
              <w:rPr>
                <w:b/>
                <w:i/>
                <w:sz w:val="22"/>
              </w:rPr>
              <w:t>T</w:t>
            </w:r>
            <w:r>
              <w:rPr>
                <w:b/>
                <w:i/>
                <w:position w:val="-2"/>
                <w:sz w:val="14"/>
              </w:rPr>
              <w:t>c</w:t>
            </w:r>
            <w:r>
              <w:rPr>
                <w:b/>
                <w:i/>
                <w:sz w:val="22"/>
              </w:rPr>
              <w:t>, °C</w:t>
            </w:r>
          </w:p>
        </w:tc>
        <w:tc>
          <w:tcPr>
            <w:tcW w:w="863" w:type="dxa"/>
            <w:tcBorders>
              <w:left w:val="nil"/>
              <w:bottom w:val="single" w:sz="2" w:space="0" w:color="000000"/>
              <w:right w:val="nil"/>
            </w:tcBorders>
          </w:tcPr>
          <w:p>
            <w:pPr/>
          </w:p>
        </w:tc>
        <w:tc>
          <w:tcPr>
            <w:tcW w:w="776" w:type="dxa"/>
            <w:tcBorders>
              <w:left w:val="nil"/>
              <w:bottom w:val="single" w:sz="2" w:space="0" w:color="000000"/>
              <w:right w:val="nil"/>
            </w:tcBorders>
          </w:tcPr>
          <w:p>
            <w:pPr/>
          </w:p>
        </w:tc>
        <w:tc>
          <w:tcPr>
            <w:tcW w:w="769" w:type="dxa"/>
            <w:tcBorders>
              <w:left w:val="nil"/>
              <w:bottom w:val="single" w:sz="2" w:space="0" w:color="000000"/>
              <w:right w:val="nil"/>
            </w:tcBorders>
          </w:tcPr>
          <w:p>
            <w:pPr>
              <w:pStyle w:val="TableParagraph"/>
              <w:spacing w:before="30"/>
              <w:ind w:left="44" w:right="44"/>
              <w:rPr>
                <w:b/>
                <w:i/>
                <w:sz w:val="14"/>
              </w:rPr>
            </w:pPr>
            <w:r>
              <w:rPr>
                <w:b/>
                <w:i/>
                <w:sz w:val="22"/>
              </w:rPr>
              <w:t>X</w:t>
            </w:r>
            <w:r>
              <w:rPr>
                <w:b/>
                <w:i/>
                <w:position w:val="-2"/>
                <w:sz w:val="14"/>
              </w:rPr>
              <w:t>c</w:t>
            </w:r>
          </w:p>
        </w:tc>
        <w:tc>
          <w:tcPr>
            <w:tcW w:w="771" w:type="dxa"/>
            <w:tcBorders>
              <w:left w:val="nil"/>
              <w:bottom w:val="single" w:sz="2" w:space="0" w:color="000000"/>
              <w:right w:val="nil"/>
            </w:tcBorders>
          </w:tcPr>
          <w:p>
            <w:pPr/>
          </w:p>
        </w:tc>
      </w:tr>
      <w:tr>
        <w:trPr>
          <w:trHeight w:val="334" w:hRule="exact"/>
        </w:trPr>
        <w:tc>
          <w:tcPr>
            <w:tcW w:w="1253" w:type="dxa"/>
            <w:tcBorders>
              <w:top w:val="nil"/>
              <w:left w:val="nil"/>
              <w:bottom w:val="nil"/>
              <w:right w:val="nil"/>
            </w:tcBorders>
          </w:tcPr>
          <w:p>
            <w:pPr>
              <w:pStyle w:val="TableParagraph"/>
              <w:spacing w:before="39"/>
              <w:ind w:left="173" w:right="159"/>
              <w:rPr>
                <w:b/>
                <w:i/>
                <w:sz w:val="22"/>
              </w:rPr>
            </w:pPr>
            <w:r>
              <w:rPr>
                <w:b/>
                <w:i/>
                <w:sz w:val="22"/>
              </w:rPr>
              <w:t>Nylon 6,6</w:t>
            </w:r>
          </w:p>
        </w:tc>
        <w:tc>
          <w:tcPr>
            <w:tcW w:w="905" w:type="dxa"/>
            <w:tcBorders>
              <w:top w:val="single" w:sz="2" w:space="0" w:color="000000"/>
              <w:left w:val="nil"/>
              <w:bottom w:val="single" w:sz="2" w:space="0" w:color="000000"/>
              <w:right w:val="nil"/>
            </w:tcBorders>
          </w:tcPr>
          <w:p>
            <w:pPr/>
          </w:p>
        </w:tc>
        <w:tc>
          <w:tcPr>
            <w:tcW w:w="942" w:type="dxa"/>
            <w:tcBorders>
              <w:top w:val="single" w:sz="2" w:space="0" w:color="000000"/>
              <w:left w:val="nil"/>
              <w:bottom w:val="single" w:sz="2" w:space="0" w:color="000000"/>
              <w:right w:val="nil"/>
            </w:tcBorders>
          </w:tcPr>
          <w:p>
            <w:pPr>
              <w:pStyle w:val="TableParagraph"/>
              <w:spacing w:before="32"/>
              <w:ind w:right="239"/>
              <w:jc w:val="right"/>
              <w:rPr>
                <w:sz w:val="22"/>
              </w:rPr>
            </w:pPr>
            <w:r>
              <w:rPr>
                <w:sz w:val="22"/>
              </w:rPr>
              <w:t>263.8</w:t>
            </w:r>
          </w:p>
        </w:tc>
        <w:tc>
          <w:tcPr>
            <w:tcW w:w="868" w:type="dxa"/>
            <w:tcBorders>
              <w:top w:val="single" w:sz="2" w:space="0" w:color="000000"/>
              <w:left w:val="nil"/>
              <w:bottom w:val="single" w:sz="2" w:space="0" w:color="000000"/>
              <w:right w:val="nil"/>
            </w:tcBorders>
          </w:tcPr>
          <w:p>
            <w:pPr/>
          </w:p>
        </w:tc>
        <w:tc>
          <w:tcPr>
            <w:tcW w:w="905" w:type="dxa"/>
            <w:tcBorders>
              <w:top w:val="single" w:sz="2" w:space="0" w:color="000000"/>
              <w:left w:val="nil"/>
              <w:bottom w:val="single" w:sz="2" w:space="0" w:color="000000"/>
              <w:right w:val="nil"/>
            </w:tcBorders>
          </w:tcPr>
          <w:p>
            <w:pPr/>
          </w:p>
        </w:tc>
        <w:tc>
          <w:tcPr>
            <w:tcW w:w="942" w:type="dxa"/>
            <w:tcBorders>
              <w:top w:val="single" w:sz="2" w:space="0" w:color="000000"/>
              <w:left w:val="nil"/>
              <w:bottom w:val="single" w:sz="2" w:space="0" w:color="000000"/>
              <w:right w:val="nil"/>
            </w:tcBorders>
          </w:tcPr>
          <w:p>
            <w:pPr>
              <w:pStyle w:val="TableParagraph"/>
              <w:spacing w:before="32"/>
              <w:ind w:left="112" w:right="146"/>
              <w:rPr>
                <w:sz w:val="22"/>
              </w:rPr>
            </w:pPr>
            <w:r>
              <w:rPr>
                <w:sz w:val="22"/>
              </w:rPr>
              <w:t>231.8</w:t>
            </w:r>
          </w:p>
        </w:tc>
        <w:tc>
          <w:tcPr>
            <w:tcW w:w="863" w:type="dxa"/>
            <w:tcBorders>
              <w:top w:val="single" w:sz="2" w:space="0" w:color="000000"/>
              <w:left w:val="nil"/>
              <w:bottom w:val="single" w:sz="2" w:space="0" w:color="000000"/>
              <w:right w:val="nil"/>
            </w:tcBorders>
          </w:tcPr>
          <w:p>
            <w:pPr/>
          </w:p>
        </w:tc>
        <w:tc>
          <w:tcPr>
            <w:tcW w:w="776" w:type="dxa"/>
            <w:tcBorders>
              <w:top w:val="single" w:sz="2" w:space="0" w:color="000000"/>
              <w:left w:val="nil"/>
              <w:bottom w:val="single" w:sz="2" w:space="0" w:color="000000"/>
              <w:right w:val="nil"/>
            </w:tcBorders>
          </w:tcPr>
          <w:p>
            <w:pPr/>
          </w:p>
        </w:tc>
        <w:tc>
          <w:tcPr>
            <w:tcW w:w="769" w:type="dxa"/>
            <w:tcBorders>
              <w:top w:val="single" w:sz="2" w:space="0" w:color="000000"/>
              <w:left w:val="nil"/>
              <w:bottom w:val="single" w:sz="2" w:space="0" w:color="000000"/>
              <w:right w:val="nil"/>
            </w:tcBorders>
          </w:tcPr>
          <w:p>
            <w:pPr>
              <w:pStyle w:val="TableParagraph"/>
              <w:spacing w:before="32"/>
              <w:ind w:left="44" w:right="41"/>
              <w:rPr>
                <w:sz w:val="22"/>
              </w:rPr>
            </w:pPr>
            <w:r>
              <w:rPr>
                <w:sz w:val="22"/>
              </w:rPr>
              <w:t>37.7</w:t>
            </w:r>
          </w:p>
        </w:tc>
        <w:tc>
          <w:tcPr>
            <w:tcW w:w="771" w:type="dxa"/>
            <w:tcBorders>
              <w:top w:val="single" w:sz="2" w:space="0" w:color="000000"/>
              <w:left w:val="nil"/>
              <w:bottom w:val="single" w:sz="2" w:space="0" w:color="000000"/>
              <w:right w:val="nil"/>
            </w:tcBorders>
          </w:tcPr>
          <w:p>
            <w:pPr/>
          </w:p>
        </w:tc>
      </w:tr>
      <w:tr>
        <w:trPr>
          <w:trHeight w:val="325" w:hRule="exact"/>
        </w:trPr>
        <w:tc>
          <w:tcPr>
            <w:tcW w:w="1253" w:type="dxa"/>
            <w:vMerge w:val="restart"/>
            <w:tcBorders>
              <w:top w:val="nil"/>
              <w:left w:val="nil"/>
              <w:right w:val="nil"/>
            </w:tcBorders>
          </w:tcPr>
          <w:p>
            <w:pPr>
              <w:pStyle w:val="TableParagraph"/>
              <w:spacing w:before="190"/>
              <w:ind w:left="223"/>
              <w:jc w:val="left"/>
              <w:rPr>
                <w:b/>
                <w:i/>
                <w:sz w:val="22"/>
              </w:rPr>
            </w:pPr>
            <w:r>
              <w:rPr>
                <w:b/>
                <w:i/>
                <w:sz w:val="22"/>
              </w:rPr>
              <w:t>Refuerzo</w:t>
            </w:r>
          </w:p>
        </w:tc>
        <w:tc>
          <w:tcPr>
            <w:tcW w:w="905" w:type="dxa"/>
            <w:tcBorders>
              <w:top w:val="single" w:sz="2" w:space="0" w:color="000000"/>
              <w:left w:val="nil"/>
              <w:bottom w:val="nil"/>
              <w:right w:val="nil"/>
            </w:tcBorders>
          </w:tcPr>
          <w:p>
            <w:pPr/>
          </w:p>
        </w:tc>
        <w:tc>
          <w:tcPr>
            <w:tcW w:w="942" w:type="dxa"/>
            <w:tcBorders>
              <w:top w:val="single" w:sz="2" w:space="0" w:color="000000"/>
              <w:left w:val="nil"/>
              <w:bottom w:val="nil"/>
              <w:right w:val="nil"/>
            </w:tcBorders>
          </w:tcPr>
          <w:p>
            <w:pPr>
              <w:pStyle w:val="TableParagraph"/>
              <w:spacing w:before="30"/>
              <w:ind w:right="165"/>
              <w:jc w:val="right"/>
              <w:rPr>
                <w:b/>
                <w:i/>
                <w:sz w:val="22"/>
              </w:rPr>
            </w:pPr>
            <w:r>
              <w:rPr>
                <w:b/>
                <w:i/>
                <w:sz w:val="22"/>
              </w:rPr>
              <w:t>% peso</w:t>
            </w:r>
          </w:p>
        </w:tc>
        <w:tc>
          <w:tcPr>
            <w:tcW w:w="868" w:type="dxa"/>
            <w:tcBorders>
              <w:top w:val="single" w:sz="2" w:space="0" w:color="000000"/>
              <w:left w:val="nil"/>
              <w:bottom w:val="nil"/>
              <w:right w:val="nil"/>
            </w:tcBorders>
          </w:tcPr>
          <w:p>
            <w:pPr/>
          </w:p>
        </w:tc>
        <w:tc>
          <w:tcPr>
            <w:tcW w:w="905" w:type="dxa"/>
            <w:tcBorders>
              <w:top w:val="single" w:sz="2" w:space="0" w:color="000000"/>
              <w:left w:val="nil"/>
              <w:bottom w:val="nil"/>
              <w:right w:val="nil"/>
            </w:tcBorders>
          </w:tcPr>
          <w:p>
            <w:pPr/>
          </w:p>
        </w:tc>
        <w:tc>
          <w:tcPr>
            <w:tcW w:w="942" w:type="dxa"/>
            <w:tcBorders>
              <w:top w:val="single" w:sz="2" w:space="0" w:color="000000"/>
              <w:left w:val="nil"/>
              <w:bottom w:val="nil"/>
              <w:right w:val="nil"/>
            </w:tcBorders>
          </w:tcPr>
          <w:p>
            <w:pPr>
              <w:pStyle w:val="TableParagraph"/>
              <w:spacing w:before="30"/>
              <w:ind w:left="113" w:right="146"/>
              <w:rPr>
                <w:b/>
                <w:i/>
                <w:sz w:val="22"/>
              </w:rPr>
            </w:pPr>
            <w:r>
              <w:rPr>
                <w:b/>
                <w:i/>
                <w:sz w:val="22"/>
              </w:rPr>
              <w:t>% peso</w:t>
            </w:r>
          </w:p>
        </w:tc>
        <w:tc>
          <w:tcPr>
            <w:tcW w:w="863" w:type="dxa"/>
            <w:tcBorders>
              <w:top w:val="single" w:sz="2" w:space="0" w:color="000000"/>
              <w:left w:val="nil"/>
              <w:bottom w:val="nil"/>
              <w:right w:val="nil"/>
            </w:tcBorders>
          </w:tcPr>
          <w:p>
            <w:pPr/>
          </w:p>
        </w:tc>
        <w:tc>
          <w:tcPr>
            <w:tcW w:w="776" w:type="dxa"/>
            <w:tcBorders>
              <w:top w:val="single" w:sz="2" w:space="0" w:color="000000"/>
              <w:left w:val="nil"/>
              <w:bottom w:val="nil"/>
              <w:right w:val="nil"/>
            </w:tcBorders>
          </w:tcPr>
          <w:p>
            <w:pPr/>
          </w:p>
        </w:tc>
        <w:tc>
          <w:tcPr>
            <w:tcW w:w="769" w:type="dxa"/>
            <w:tcBorders>
              <w:top w:val="single" w:sz="2" w:space="0" w:color="000000"/>
              <w:left w:val="nil"/>
              <w:bottom w:val="nil"/>
              <w:right w:val="nil"/>
            </w:tcBorders>
          </w:tcPr>
          <w:p>
            <w:pPr>
              <w:pStyle w:val="TableParagraph"/>
              <w:spacing w:before="30"/>
              <w:ind w:left="44" w:right="44"/>
              <w:rPr>
                <w:b/>
                <w:i/>
                <w:sz w:val="22"/>
              </w:rPr>
            </w:pPr>
            <w:r>
              <w:rPr>
                <w:b/>
                <w:i/>
                <w:sz w:val="22"/>
              </w:rPr>
              <w:t>% peso</w:t>
            </w:r>
          </w:p>
        </w:tc>
        <w:tc>
          <w:tcPr>
            <w:tcW w:w="771" w:type="dxa"/>
            <w:tcBorders>
              <w:top w:val="single" w:sz="2" w:space="0" w:color="000000"/>
              <w:left w:val="nil"/>
              <w:bottom w:val="nil"/>
              <w:right w:val="nil"/>
            </w:tcBorders>
          </w:tcPr>
          <w:p>
            <w:pPr/>
          </w:p>
        </w:tc>
      </w:tr>
      <w:tr>
        <w:trPr>
          <w:trHeight w:val="319" w:hRule="exact"/>
        </w:trPr>
        <w:tc>
          <w:tcPr>
            <w:tcW w:w="1253" w:type="dxa"/>
            <w:vMerge/>
            <w:tcBorders>
              <w:left w:val="nil"/>
              <w:bottom w:val="nil"/>
              <w:right w:val="nil"/>
            </w:tcBorders>
          </w:tcPr>
          <w:p>
            <w:pPr/>
          </w:p>
        </w:tc>
        <w:tc>
          <w:tcPr>
            <w:tcW w:w="905" w:type="dxa"/>
            <w:tcBorders>
              <w:top w:val="nil"/>
              <w:left w:val="nil"/>
              <w:bottom w:val="nil"/>
              <w:right w:val="nil"/>
            </w:tcBorders>
          </w:tcPr>
          <w:p>
            <w:pPr>
              <w:pStyle w:val="TableParagraph"/>
              <w:spacing w:before="16"/>
              <w:ind w:left="184" w:right="184"/>
              <w:rPr>
                <w:i/>
                <w:sz w:val="22"/>
              </w:rPr>
            </w:pPr>
            <w:r>
              <w:rPr>
                <w:i/>
                <w:sz w:val="22"/>
              </w:rPr>
              <w:t>0.1</w:t>
            </w:r>
          </w:p>
        </w:tc>
        <w:tc>
          <w:tcPr>
            <w:tcW w:w="942" w:type="dxa"/>
            <w:tcBorders>
              <w:top w:val="nil"/>
              <w:left w:val="nil"/>
              <w:bottom w:val="nil"/>
              <w:right w:val="nil"/>
            </w:tcBorders>
          </w:tcPr>
          <w:p>
            <w:pPr>
              <w:pStyle w:val="TableParagraph"/>
              <w:spacing w:before="16"/>
              <w:ind w:left="297" w:right="330"/>
              <w:rPr>
                <w:i/>
                <w:sz w:val="22"/>
              </w:rPr>
            </w:pPr>
            <w:r>
              <w:rPr>
                <w:i/>
                <w:sz w:val="22"/>
              </w:rPr>
              <w:t>0.3</w:t>
            </w:r>
          </w:p>
        </w:tc>
        <w:tc>
          <w:tcPr>
            <w:tcW w:w="868" w:type="dxa"/>
            <w:tcBorders>
              <w:top w:val="nil"/>
              <w:left w:val="nil"/>
              <w:bottom w:val="nil"/>
              <w:right w:val="nil"/>
            </w:tcBorders>
          </w:tcPr>
          <w:p>
            <w:pPr>
              <w:pStyle w:val="TableParagraph"/>
              <w:spacing w:before="16"/>
              <w:ind w:left="149" w:right="183"/>
              <w:rPr>
                <w:i/>
                <w:sz w:val="22"/>
              </w:rPr>
            </w:pPr>
            <w:r>
              <w:rPr>
                <w:i/>
                <w:sz w:val="22"/>
              </w:rPr>
              <w:t>0.5</w:t>
            </w:r>
          </w:p>
        </w:tc>
        <w:tc>
          <w:tcPr>
            <w:tcW w:w="905" w:type="dxa"/>
            <w:tcBorders>
              <w:top w:val="nil"/>
              <w:left w:val="nil"/>
              <w:bottom w:val="nil"/>
              <w:right w:val="nil"/>
            </w:tcBorders>
          </w:tcPr>
          <w:p>
            <w:pPr>
              <w:pStyle w:val="TableParagraph"/>
              <w:spacing w:before="16"/>
              <w:ind w:left="185" w:right="185"/>
              <w:rPr>
                <w:i/>
                <w:sz w:val="22"/>
              </w:rPr>
            </w:pPr>
            <w:r>
              <w:rPr>
                <w:i/>
                <w:sz w:val="22"/>
              </w:rPr>
              <w:t>0.1</w:t>
            </w:r>
          </w:p>
        </w:tc>
        <w:tc>
          <w:tcPr>
            <w:tcW w:w="942" w:type="dxa"/>
            <w:tcBorders>
              <w:top w:val="nil"/>
              <w:left w:val="nil"/>
              <w:bottom w:val="nil"/>
              <w:right w:val="nil"/>
            </w:tcBorders>
          </w:tcPr>
          <w:p>
            <w:pPr>
              <w:pStyle w:val="TableParagraph"/>
              <w:spacing w:before="16"/>
              <w:ind w:left="112" w:right="146"/>
              <w:rPr>
                <w:i/>
                <w:sz w:val="22"/>
              </w:rPr>
            </w:pPr>
            <w:r>
              <w:rPr>
                <w:i/>
                <w:sz w:val="22"/>
              </w:rPr>
              <w:t>0.3</w:t>
            </w:r>
          </w:p>
        </w:tc>
        <w:tc>
          <w:tcPr>
            <w:tcW w:w="863" w:type="dxa"/>
            <w:tcBorders>
              <w:top w:val="nil"/>
              <w:left w:val="nil"/>
              <w:bottom w:val="nil"/>
              <w:right w:val="nil"/>
            </w:tcBorders>
          </w:tcPr>
          <w:p>
            <w:pPr>
              <w:pStyle w:val="TableParagraph"/>
              <w:spacing w:before="16"/>
              <w:ind w:left="149" w:right="178"/>
              <w:rPr>
                <w:i/>
                <w:sz w:val="22"/>
              </w:rPr>
            </w:pPr>
            <w:r>
              <w:rPr>
                <w:i/>
                <w:sz w:val="22"/>
              </w:rPr>
              <w:t>0.5</w:t>
            </w:r>
          </w:p>
        </w:tc>
        <w:tc>
          <w:tcPr>
            <w:tcW w:w="776" w:type="dxa"/>
            <w:tcBorders>
              <w:top w:val="nil"/>
              <w:left w:val="nil"/>
              <w:bottom w:val="nil"/>
              <w:right w:val="nil"/>
            </w:tcBorders>
          </w:tcPr>
          <w:p>
            <w:pPr>
              <w:pStyle w:val="TableParagraph"/>
              <w:spacing w:before="16"/>
              <w:ind w:left="179" w:right="171"/>
              <w:rPr>
                <w:i/>
                <w:sz w:val="22"/>
              </w:rPr>
            </w:pPr>
            <w:r>
              <w:rPr>
                <w:i/>
                <w:sz w:val="22"/>
              </w:rPr>
              <w:t>0.1</w:t>
            </w:r>
          </w:p>
        </w:tc>
        <w:tc>
          <w:tcPr>
            <w:tcW w:w="769" w:type="dxa"/>
            <w:tcBorders>
              <w:top w:val="nil"/>
              <w:left w:val="nil"/>
              <w:bottom w:val="nil"/>
              <w:right w:val="nil"/>
            </w:tcBorders>
          </w:tcPr>
          <w:p>
            <w:pPr>
              <w:pStyle w:val="TableParagraph"/>
              <w:spacing w:before="16"/>
              <w:ind w:left="43" w:right="44"/>
              <w:rPr>
                <w:i/>
                <w:sz w:val="22"/>
              </w:rPr>
            </w:pPr>
            <w:r>
              <w:rPr>
                <w:i/>
                <w:sz w:val="22"/>
              </w:rPr>
              <w:t>0.3</w:t>
            </w:r>
          </w:p>
        </w:tc>
        <w:tc>
          <w:tcPr>
            <w:tcW w:w="771" w:type="dxa"/>
            <w:tcBorders>
              <w:top w:val="nil"/>
              <w:left w:val="nil"/>
              <w:bottom w:val="nil"/>
              <w:right w:val="nil"/>
            </w:tcBorders>
          </w:tcPr>
          <w:p>
            <w:pPr>
              <w:pStyle w:val="TableParagraph"/>
              <w:spacing w:before="16"/>
              <w:ind w:right="247"/>
              <w:jc w:val="right"/>
              <w:rPr>
                <w:i/>
                <w:sz w:val="22"/>
              </w:rPr>
            </w:pPr>
            <w:r>
              <w:rPr>
                <w:i/>
                <w:sz w:val="22"/>
              </w:rPr>
              <w:t>0.5</w:t>
            </w:r>
          </w:p>
        </w:tc>
      </w:tr>
      <w:tr>
        <w:trPr>
          <w:trHeight w:val="346" w:hRule="exact"/>
        </w:trPr>
        <w:tc>
          <w:tcPr>
            <w:tcW w:w="1253" w:type="dxa"/>
            <w:tcBorders>
              <w:top w:val="nil"/>
              <w:left w:val="nil"/>
              <w:bottom w:val="nil"/>
              <w:right w:val="nil"/>
            </w:tcBorders>
          </w:tcPr>
          <w:p>
            <w:pPr>
              <w:pStyle w:val="TableParagraph"/>
              <w:spacing w:before="26"/>
              <w:ind w:left="173" w:right="159"/>
              <w:rPr>
                <w:b/>
                <w:i/>
                <w:sz w:val="22"/>
              </w:rPr>
            </w:pPr>
            <w:r>
              <w:rPr>
                <w:b/>
                <w:i/>
                <w:sz w:val="22"/>
              </w:rPr>
              <w:t>p-CNT</w:t>
            </w:r>
          </w:p>
        </w:tc>
        <w:tc>
          <w:tcPr>
            <w:tcW w:w="905" w:type="dxa"/>
            <w:tcBorders>
              <w:top w:val="nil"/>
              <w:left w:val="nil"/>
              <w:bottom w:val="nil"/>
              <w:right w:val="nil"/>
            </w:tcBorders>
          </w:tcPr>
          <w:p>
            <w:pPr>
              <w:pStyle w:val="TableParagraph"/>
              <w:spacing w:before="60"/>
              <w:ind w:left="184" w:right="184"/>
              <w:rPr>
                <w:sz w:val="22"/>
              </w:rPr>
            </w:pPr>
            <w:r>
              <w:rPr>
                <w:sz w:val="22"/>
              </w:rPr>
              <w:t>263.8</w:t>
            </w:r>
          </w:p>
        </w:tc>
        <w:tc>
          <w:tcPr>
            <w:tcW w:w="942" w:type="dxa"/>
            <w:tcBorders>
              <w:top w:val="nil"/>
              <w:left w:val="nil"/>
              <w:bottom w:val="nil"/>
              <w:right w:val="nil"/>
            </w:tcBorders>
          </w:tcPr>
          <w:p>
            <w:pPr>
              <w:pStyle w:val="TableParagraph"/>
              <w:spacing w:before="60"/>
              <w:ind w:right="239"/>
              <w:jc w:val="right"/>
              <w:rPr>
                <w:sz w:val="22"/>
              </w:rPr>
            </w:pPr>
            <w:r>
              <w:rPr>
                <w:sz w:val="22"/>
              </w:rPr>
              <w:t>264.9</w:t>
            </w:r>
          </w:p>
        </w:tc>
        <w:tc>
          <w:tcPr>
            <w:tcW w:w="868" w:type="dxa"/>
            <w:tcBorders>
              <w:top w:val="nil"/>
              <w:left w:val="nil"/>
              <w:bottom w:val="nil"/>
              <w:right w:val="nil"/>
            </w:tcBorders>
          </w:tcPr>
          <w:p>
            <w:pPr>
              <w:pStyle w:val="TableParagraph"/>
              <w:spacing w:before="60"/>
              <w:ind w:left="149" w:right="183"/>
              <w:rPr>
                <w:sz w:val="22"/>
              </w:rPr>
            </w:pPr>
            <w:r>
              <w:rPr>
                <w:sz w:val="22"/>
              </w:rPr>
              <w:t>263.2</w:t>
            </w:r>
          </w:p>
        </w:tc>
        <w:tc>
          <w:tcPr>
            <w:tcW w:w="905" w:type="dxa"/>
            <w:tcBorders>
              <w:top w:val="nil"/>
              <w:left w:val="nil"/>
              <w:bottom w:val="nil"/>
              <w:right w:val="nil"/>
            </w:tcBorders>
          </w:tcPr>
          <w:p>
            <w:pPr>
              <w:pStyle w:val="TableParagraph"/>
              <w:spacing w:before="60"/>
              <w:ind w:left="185" w:right="185"/>
              <w:rPr>
                <w:sz w:val="22"/>
              </w:rPr>
            </w:pPr>
            <w:r>
              <w:rPr>
                <w:sz w:val="22"/>
              </w:rPr>
              <w:t>235.2</w:t>
            </w:r>
          </w:p>
        </w:tc>
        <w:tc>
          <w:tcPr>
            <w:tcW w:w="942" w:type="dxa"/>
            <w:tcBorders>
              <w:top w:val="nil"/>
              <w:left w:val="nil"/>
              <w:bottom w:val="nil"/>
              <w:right w:val="nil"/>
            </w:tcBorders>
          </w:tcPr>
          <w:p>
            <w:pPr>
              <w:pStyle w:val="TableParagraph"/>
              <w:spacing w:before="60"/>
              <w:ind w:left="112" w:right="146"/>
              <w:rPr>
                <w:sz w:val="22"/>
              </w:rPr>
            </w:pPr>
            <w:r>
              <w:rPr>
                <w:sz w:val="22"/>
              </w:rPr>
              <w:t>234.6</w:t>
            </w:r>
          </w:p>
        </w:tc>
        <w:tc>
          <w:tcPr>
            <w:tcW w:w="863" w:type="dxa"/>
            <w:tcBorders>
              <w:top w:val="nil"/>
              <w:left w:val="nil"/>
              <w:bottom w:val="nil"/>
              <w:right w:val="nil"/>
            </w:tcBorders>
          </w:tcPr>
          <w:p>
            <w:pPr>
              <w:pStyle w:val="TableParagraph"/>
              <w:spacing w:before="60"/>
              <w:ind w:left="149" w:right="178"/>
              <w:rPr>
                <w:sz w:val="22"/>
              </w:rPr>
            </w:pPr>
            <w:r>
              <w:rPr>
                <w:sz w:val="22"/>
              </w:rPr>
              <w:t>235.7</w:t>
            </w:r>
          </w:p>
        </w:tc>
        <w:tc>
          <w:tcPr>
            <w:tcW w:w="776" w:type="dxa"/>
            <w:tcBorders>
              <w:top w:val="nil"/>
              <w:left w:val="nil"/>
              <w:bottom w:val="nil"/>
              <w:right w:val="nil"/>
            </w:tcBorders>
          </w:tcPr>
          <w:p>
            <w:pPr>
              <w:pStyle w:val="TableParagraph"/>
              <w:spacing w:before="60"/>
              <w:ind w:left="179" w:right="171"/>
              <w:rPr>
                <w:sz w:val="22"/>
              </w:rPr>
            </w:pPr>
            <w:r>
              <w:rPr>
                <w:sz w:val="22"/>
              </w:rPr>
              <w:t>37.8</w:t>
            </w:r>
          </w:p>
        </w:tc>
        <w:tc>
          <w:tcPr>
            <w:tcW w:w="769" w:type="dxa"/>
            <w:tcBorders>
              <w:top w:val="nil"/>
              <w:left w:val="nil"/>
              <w:bottom w:val="nil"/>
              <w:right w:val="nil"/>
            </w:tcBorders>
          </w:tcPr>
          <w:p>
            <w:pPr>
              <w:pStyle w:val="TableParagraph"/>
              <w:spacing w:before="60"/>
              <w:ind w:left="43" w:right="44"/>
              <w:rPr>
                <w:sz w:val="22"/>
              </w:rPr>
            </w:pPr>
            <w:r>
              <w:rPr>
                <w:sz w:val="22"/>
              </w:rPr>
              <w:t>38.1</w:t>
            </w:r>
          </w:p>
        </w:tc>
        <w:tc>
          <w:tcPr>
            <w:tcW w:w="771" w:type="dxa"/>
            <w:tcBorders>
              <w:top w:val="nil"/>
              <w:left w:val="nil"/>
              <w:bottom w:val="nil"/>
              <w:right w:val="nil"/>
            </w:tcBorders>
          </w:tcPr>
          <w:p>
            <w:pPr>
              <w:pStyle w:val="TableParagraph"/>
              <w:spacing w:before="60"/>
              <w:ind w:right="191"/>
              <w:jc w:val="right"/>
              <w:rPr>
                <w:sz w:val="22"/>
              </w:rPr>
            </w:pPr>
            <w:r>
              <w:rPr>
                <w:sz w:val="22"/>
              </w:rPr>
              <w:t>38.1</w:t>
            </w:r>
          </w:p>
        </w:tc>
      </w:tr>
      <w:tr>
        <w:trPr>
          <w:trHeight w:val="330" w:hRule="exact"/>
        </w:trPr>
        <w:tc>
          <w:tcPr>
            <w:tcW w:w="1253" w:type="dxa"/>
            <w:tcBorders>
              <w:top w:val="nil"/>
              <w:left w:val="nil"/>
              <w:bottom w:val="nil"/>
              <w:right w:val="nil"/>
            </w:tcBorders>
          </w:tcPr>
          <w:p>
            <w:pPr>
              <w:pStyle w:val="TableParagraph"/>
              <w:spacing w:before="9"/>
              <w:ind w:left="170" w:right="159"/>
              <w:rPr>
                <w:b/>
                <w:i/>
                <w:sz w:val="22"/>
              </w:rPr>
            </w:pPr>
            <w:r>
              <w:rPr>
                <w:b/>
                <w:i/>
                <w:sz w:val="22"/>
              </w:rPr>
              <w:t>OCNT</w:t>
            </w:r>
          </w:p>
        </w:tc>
        <w:tc>
          <w:tcPr>
            <w:tcW w:w="905" w:type="dxa"/>
            <w:tcBorders>
              <w:top w:val="nil"/>
              <w:left w:val="nil"/>
              <w:bottom w:val="nil"/>
              <w:right w:val="nil"/>
            </w:tcBorders>
          </w:tcPr>
          <w:p>
            <w:pPr>
              <w:pStyle w:val="TableParagraph"/>
              <w:spacing w:before="43"/>
              <w:ind w:left="184" w:right="184"/>
              <w:rPr>
                <w:sz w:val="22"/>
              </w:rPr>
            </w:pPr>
            <w:r>
              <w:rPr>
                <w:sz w:val="22"/>
              </w:rPr>
              <w:t>263.8</w:t>
            </w:r>
          </w:p>
        </w:tc>
        <w:tc>
          <w:tcPr>
            <w:tcW w:w="942" w:type="dxa"/>
            <w:tcBorders>
              <w:top w:val="nil"/>
              <w:left w:val="nil"/>
              <w:bottom w:val="nil"/>
              <w:right w:val="nil"/>
            </w:tcBorders>
          </w:tcPr>
          <w:p>
            <w:pPr>
              <w:pStyle w:val="TableParagraph"/>
              <w:spacing w:before="43"/>
              <w:ind w:right="239"/>
              <w:jc w:val="right"/>
              <w:rPr>
                <w:sz w:val="22"/>
              </w:rPr>
            </w:pPr>
            <w:r>
              <w:rPr>
                <w:sz w:val="22"/>
              </w:rPr>
              <w:t>263.8</w:t>
            </w:r>
          </w:p>
        </w:tc>
        <w:tc>
          <w:tcPr>
            <w:tcW w:w="868" w:type="dxa"/>
            <w:tcBorders>
              <w:top w:val="nil"/>
              <w:left w:val="nil"/>
              <w:bottom w:val="nil"/>
              <w:right w:val="nil"/>
            </w:tcBorders>
          </w:tcPr>
          <w:p>
            <w:pPr>
              <w:pStyle w:val="TableParagraph"/>
              <w:spacing w:before="43"/>
              <w:ind w:left="149" w:right="183"/>
              <w:rPr>
                <w:sz w:val="22"/>
              </w:rPr>
            </w:pPr>
            <w:r>
              <w:rPr>
                <w:sz w:val="22"/>
              </w:rPr>
              <w:t>263.2</w:t>
            </w:r>
          </w:p>
        </w:tc>
        <w:tc>
          <w:tcPr>
            <w:tcW w:w="905" w:type="dxa"/>
            <w:tcBorders>
              <w:top w:val="nil"/>
              <w:left w:val="nil"/>
              <w:bottom w:val="nil"/>
              <w:right w:val="nil"/>
            </w:tcBorders>
          </w:tcPr>
          <w:p>
            <w:pPr>
              <w:pStyle w:val="TableParagraph"/>
              <w:spacing w:before="43"/>
              <w:ind w:left="185" w:right="185"/>
              <w:rPr>
                <w:sz w:val="22"/>
              </w:rPr>
            </w:pPr>
            <w:r>
              <w:rPr>
                <w:sz w:val="22"/>
              </w:rPr>
              <w:t>235.2</w:t>
            </w:r>
          </w:p>
        </w:tc>
        <w:tc>
          <w:tcPr>
            <w:tcW w:w="942" w:type="dxa"/>
            <w:tcBorders>
              <w:top w:val="nil"/>
              <w:left w:val="nil"/>
              <w:bottom w:val="nil"/>
              <w:right w:val="nil"/>
            </w:tcBorders>
          </w:tcPr>
          <w:p>
            <w:pPr>
              <w:pStyle w:val="TableParagraph"/>
              <w:spacing w:before="43"/>
              <w:ind w:left="112" w:right="146"/>
              <w:rPr>
                <w:sz w:val="22"/>
              </w:rPr>
            </w:pPr>
            <w:r>
              <w:rPr>
                <w:sz w:val="22"/>
              </w:rPr>
              <w:t>234.6</w:t>
            </w:r>
          </w:p>
        </w:tc>
        <w:tc>
          <w:tcPr>
            <w:tcW w:w="863" w:type="dxa"/>
            <w:tcBorders>
              <w:top w:val="nil"/>
              <w:left w:val="nil"/>
              <w:bottom w:val="nil"/>
              <w:right w:val="nil"/>
            </w:tcBorders>
          </w:tcPr>
          <w:p>
            <w:pPr>
              <w:pStyle w:val="TableParagraph"/>
              <w:spacing w:before="43"/>
              <w:ind w:left="149" w:right="178"/>
              <w:rPr>
                <w:sz w:val="22"/>
              </w:rPr>
            </w:pPr>
            <w:r>
              <w:rPr>
                <w:sz w:val="22"/>
              </w:rPr>
              <w:t>235.7</w:t>
            </w:r>
          </w:p>
        </w:tc>
        <w:tc>
          <w:tcPr>
            <w:tcW w:w="776" w:type="dxa"/>
            <w:tcBorders>
              <w:top w:val="nil"/>
              <w:left w:val="nil"/>
              <w:bottom w:val="nil"/>
              <w:right w:val="nil"/>
            </w:tcBorders>
          </w:tcPr>
          <w:p>
            <w:pPr>
              <w:pStyle w:val="TableParagraph"/>
              <w:spacing w:before="43"/>
              <w:ind w:left="179" w:right="171"/>
              <w:rPr>
                <w:sz w:val="22"/>
              </w:rPr>
            </w:pPr>
            <w:r>
              <w:rPr>
                <w:sz w:val="22"/>
              </w:rPr>
              <w:t>38.8</w:t>
            </w:r>
          </w:p>
        </w:tc>
        <w:tc>
          <w:tcPr>
            <w:tcW w:w="769" w:type="dxa"/>
            <w:tcBorders>
              <w:top w:val="nil"/>
              <w:left w:val="nil"/>
              <w:bottom w:val="nil"/>
              <w:right w:val="nil"/>
            </w:tcBorders>
          </w:tcPr>
          <w:p>
            <w:pPr>
              <w:pStyle w:val="TableParagraph"/>
              <w:spacing w:before="43"/>
              <w:ind w:left="43" w:right="44"/>
              <w:rPr>
                <w:sz w:val="22"/>
              </w:rPr>
            </w:pPr>
            <w:r>
              <w:rPr>
                <w:sz w:val="22"/>
              </w:rPr>
              <w:t>39.1</w:t>
            </w:r>
          </w:p>
        </w:tc>
        <w:tc>
          <w:tcPr>
            <w:tcW w:w="771" w:type="dxa"/>
            <w:tcBorders>
              <w:top w:val="nil"/>
              <w:left w:val="nil"/>
              <w:bottom w:val="nil"/>
              <w:right w:val="nil"/>
            </w:tcBorders>
          </w:tcPr>
          <w:p>
            <w:pPr>
              <w:pStyle w:val="TableParagraph"/>
              <w:spacing w:before="43"/>
              <w:ind w:right="191"/>
              <w:jc w:val="right"/>
              <w:rPr>
                <w:sz w:val="22"/>
              </w:rPr>
            </w:pPr>
            <w:r>
              <w:rPr>
                <w:sz w:val="22"/>
              </w:rPr>
              <w:t>39.3</w:t>
            </w:r>
          </w:p>
        </w:tc>
      </w:tr>
      <w:tr>
        <w:trPr>
          <w:trHeight w:val="330" w:hRule="exact"/>
        </w:trPr>
        <w:tc>
          <w:tcPr>
            <w:tcW w:w="1253" w:type="dxa"/>
            <w:tcBorders>
              <w:top w:val="nil"/>
              <w:left w:val="nil"/>
              <w:bottom w:val="nil"/>
              <w:right w:val="nil"/>
            </w:tcBorders>
          </w:tcPr>
          <w:p>
            <w:pPr>
              <w:pStyle w:val="TableParagraph"/>
              <w:spacing w:before="10"/>
              <w:ind w:left="173" w:right="157"/>
              <w:rPr>
                <w:b/>
                <w:i/>
                <w:sz w:val="22"/>
              </w:rPr>
            </w:pPr>
            <w:r>
              <w:rPr>
                <w:b/>
                <w:i/>
                <w:sz w:val="22"/>
              </w:rPr>
              <w:t>f-CNT</w:t>
            </w:r>
          </w:p>
        </w:tc>
        <w:tc>
          <w:tcPr>
            <w:tcW w:w="905" w:type="dxa"/>
            <w:tcBorders>
              <w:top w:val="nil"/>
              <w:left w:val="nil"/>
              <w:bottom w:val="nil"/>
              <w:right w:val="nil"/>
            </w:tcBorders>
          </w:tcPr>
          <w:p>
            <w:pPr>
              <w:pStyle w:val="TableParagraph"/>
              <w:spacing w:before="44"/>
              <w:ind w:left="184" w:right="184"/>
              <w:rPr>
                <w:sz w:val="22"/>
              </w:rPr>
            </w:pPr>
            <w:r>
              <w:rPr>
                <w:sz w:val="22"/>
              </w:rPr>
              <w:t>262.6</w:t>
            </w:r>
          </w:p>
        </w:tc>
        <w:tc>
          <w:tcPr>
            <w:tcW w:w="942" w:type="dxa"/>
            <w:tcBorders>
              <w:top w:val="nil"/>
              <w:left w:val="nil"/>
              <w:bottom w:val="nil"/>
              <w:right w:val="nil"/>
            </w:tcBorders>
          </w:tcPr>
          <w:p>
            <w:pPr>
              <w:pStyle w:val="TableParagraph"/>
              <w:spacing w:before="44"/>
              <w:ind w:right="239"/>
              <w:jc w:val="right"/>
              <w:rPr>
                <w:sz w:val="22"/>
              </w:rPr>
            </w:pPr>
            <w:r>
              <w:rPr>
                <w:sz w:val="22"/>
              </w:rPr>
              <w:t>263.8</w:t>
            </w:r>
          </w:p>
        </w:tc>
        <w:tc>
          <w:tcPr>
            <w:tcW w:w="868" w:type="dxa"/>
            <w:tcBorders>
              <w:top w:val="nil"/>
              <w:left w:val="nil"/>
              <w:bottom w:val="nil"/>
              <w:right w:val="nil"/>
            </w:tcBorders>
          </w:tcPr>
          <w:p>
            <w:pPr>
              <w:pStyle w:val="TableParagraph"/>
              <w:spacing w:before="44"/>
              <w:ind w:left="149" w:right="183"/>
              <w:rPr>
                <w:sz w:val="22"/>
              </w:rPr>
            </w:pPr>
            <w:r>
              <w:rPr>
                <w:sz w:val="22"/>
              </w:rPr>
              <w:t>263.8</w:t>
            </w:r>
          </w:p>
        </w:tc>
        <w:tc>
          <w:tcPr>
            <w:tcW w:w="905" w:type="dxa"/>
            <w:tcBorders>
              <w:top w:val="nil"/>
              <w:left w:val="nil"/>
              <w:bottom w:val="nil"/>
              <w:right w:val="nil"/>
            </w:tcBorders>
          </w:tcPr>
          <w:p>
            <w:pPr>
              <w:pStyle w:val="TableParagraph"/>
              <w:spacing w:before="44"/>
              <w:ind w:left="185" w:right="185"/>
              <w:rPr>
                <w:sz w:val="22"/>
              </w:rPr>
            </w:pPr>
            <w:r>
              <w:rPr>
                <w:sz w:val="22"/>
              </w:rPr>
              <w:t>234.0</w:t>
            </w:r>
          </w:p>
        </w:tc>
        <w:tc>
          <w:tcPr>
            <w:tcW w:w="942" w:type="dxa"/>
            <w:tcBorders>
              <w:top w:val="nil"/>
              <w:left w:val="nil"/>
              <w:bottom w:val="nil"/>
              <w:right w:val="nil"/>
            </w:tcBorders>
          </w:tcPr>
          <w:p>
            <w:pPr>
              <w:pStyle w:val="TableParagraph"/>
              <w:spacing w:before="44"/>
              <w:ind w:left="112" w:right="146"/>
              <w:rPr>
                <w:sz w:val="22"/>
              </w:rPr>
            </w:pPr>
            <w:r>
              <w:rPr>
                <w:sz w:val="22"/>
              </w:rPr>
              <w:t>234.0</w:t>
            </w:r>
          </w:p>
        </w:tc>
        <w:tc>
          <w:tcPr>
            <w:tcW w:w="863" w:type="dxa"/>
            <w:tcBorders>
              <w:top w:val="nil"/>
              <w:left w:val="nil"/>
              <w:bottom w:val="nil"/>
              <w:right w:val="nil"/>
            </w:tcBorders>
          </w:tcPr>
          <w:p>
            <w:pPr>
              <w:pStyle w:val="TableParagraph"/>
              <w:spacing w:before="44"/>
              <w:ind w:left="149" w:right="178"/>
              <w:rPr>
                <w:sz w:val="22"/>
              </w:rPr>
            </w:pPr>
            <w:r>
              <w:rPr>
                <w:sz w:val="22"/>
              </w:rPr>
              <w:t>234.6</w:t>
            </w:r>
          </w:p>
        </w:tc>
        <w:tc>
          <w:tcPr>
            <w:tcW w:w="776" w:type="dxa"/>
            <w:tcBorders>
              <w:top w:val="nil"/>
              <w:left w:val="nil"/>
              <w:bottom w:val="nil"/>
              <w:right w:val="nil"/>
            </w:tcBorders>
          </w:tcPr>
          <w:p>
            <w:pPr>
              <w:pStyle w:val="TableParagraph"/>
              <w:spacing w:before="44"/>
              <w:ind w:left="179" w:right="171"/>
              <w:rPr>
                <w:sz w:val="22"/>
              </w:rPr>
            </w:pPr>
            <w:r>
              <w:rPr>
                <w:sz w:val="22"/>
              </w:rPr>
              <w:t>42.0</w:t>
            </w:r>
          </w:p>
        </w:tc>
        <w:tc>
          <w:tcPr>
            <w:tcW w:w="769" w:type="dxa"/>
            <w:tcBorders>
              <w:top w:val="nil"/>
              <w:left w:val="nil"/>
              <w:bottom w:val="nil"/>
              <w:right w:val="nil"/>
            </w:tcBorders>
          </w:tcPr>
          <w:p>
            <w:pPr>
              <w:pStyle w:val="TableParagraph"/>
              <w:spacing w:before="44"/>
              <w:ind w:left="43" w:right="44"/>
              <w:rPr>
                <w:sz w:val="22"/>
              </w:rPr>
            </w:pPr>
            <w:r>
              <w:rPr>
                <w:sz w:val="22"/>
              </w:rPr>
              <w:t>38.5</w:t>
            </w:r>
          </w:p>
        </w:tc>
        <w:tc>
          <w:tcPr>
            <w:tcW w:w="771" w:type="dxa"/>
            <w:tcBorders>
              <w:top w:val="nil"/>
              <w:left w:val="nil"/>
              <w:bottom w:val="nil"/>
              <w:right w:val="nil"/>
            </w:tcBorders>
          </w:tcPr>
          <w:p>
            <w:pPr>
              <w:pStyle w:val="TableParagraph"/>
              <w:spacing w:before="44"/>
              <w:ind w:right="191"/>
              <w:jc w:val="right"/>
              <w:rPr>
                <w:sz w:val="22"/>
              </w:rPr>
            </w:pPr>
            <w:r>
              <w:rPr>
                <w:sz w:val="22"/>
              </w:rPr>
              <w:t>38.1</w:t>
            </w:r>
          </w:p>
        </w:tc>
      </w:tr>
      <w:tr>
        <w:trPr>
          <w:trHeight w:val="330" w:hRule="exact"/>
        </w:trPr>
        <w:tc>
          <w:tcPr>
            <w:tcW w:w="1253" w:type="dxa"/>
            <w:tcBorders>
              <w:top w:val="nil"/>
              <w:left w:val="nil"/>
              <w:bottom w:val="nil"/>
              <w:right w:val="nil"/>
            </w:tcBorders>
          </w:tcPr>
          <w:p>
            <w:pPr>
              <w:pStyle w:val="TableParagraph"/>
              <w:spacing w:before="9"/>
              <w:ind w:left="171" w:right="159"/>
              <w:rPr>
                <w:b/>
                <w:i/>
                <w:sz w:val="22"/>
              </w:rPr>
            </w:pPr>
            <w:r>
              <w:rPr>
                <w:b/>
                <w:i/>
                <w:sz w:val="22"/>
              </w:rPr>
              <w:t>RGO</w:t>
            </w:r>
          </w:p>
        </w:tc>
        <w:tc>
          <w:tcPr>
            <w:tcW w:w="905" w:type="dxa"/>
            <w:tcBorders>
              <w:top w:val="nil"/>
              <w:left w:val="nil"/>
              <w:bottom w:val="nil"/>
              <w:right w:val="nil"/>
            </w:tcBorders>
          </w:tcPr>
          <w:p>
            <w:pPr>
              <w:pStyle w:val="TableParagraph"/>
              <w:spacing w:before="43"/>
              <w:ind w:left="184" w:right="184"/>
              <w:rPr>
                <w:sz w:val="22"/>
              </w:rPr>
            </w:pPr>
            <w:r>
              <w:rPr>
                <w:sz w:val="22"/>
              </w:rPr>
              <w:t>264.3</w:t>
            </w:r>
          </w:p>
        </w:tc>
        <w:tc>
          <w:tcPr>
            <w:tcW w:w="942" w:type="dxa"/>
            <w:tcBorders>
              <w:top w:val="nil"/>
              <w:left w:val="nil"/>
              <w:bottom w:val="nil"/>
              <w:right w:val="nil"/>
            </w:tcBorders>
          </w:tcPr>
          <w:p>
            <w:pPr>
              <w:pStyle w:val="TableParagraph"/>
              <w:spacing w:before="43"/>
              <w:ind w:right="239"/>
              <w:jc w:val="right"/>
              <w:rPr>
                <w:sz w:val="22"/>
              </w:rPr>
            </w:pPr>
            <w:r>
              <w:rPr>
                <w:sz w:val="22"/>
              </w:rPr>
              <w:t>264.4</w:t>
            </w:r>
          </w:p>
        </w:tc>
        <w:tc>
          <w:tcPr>
            <w:tcW w:w="868" w:type="dxa"/>
            <w:tcBorders>
              <w:top w:val="nil"/>
              <w:left w:val="nil"/>
              <w:bottom w:val="nil"/>
              <w:right w:val="nil"/>
            </w:tcBorders>
          </w:tcPr>
          <w:p>
            <w:pPr>
              <w:pStyle w:val="TableParagraph"/>
              <w:spacing w:before="43"/>
              <w:ind w:left="149" w:right="183"/>
              <w:rPr>
                <w:sz w:val="22"/>
              </w:rPr>
            </w:pPr>
            <w:r>
              <w:rPr>
                <w:sz w:val="22"/>
              </w:rPr>
              <w:t>264.3</w:t>
            </w:r>
          </w:p>
        </w:tc>
        <w:tc>
          <w:tcPr>
            <w:tcW w:w="905" w:type="dxa"/>
            <w:tcBorders>
              <w:top w:val="nil"/>
              <w:left w:val="nil"/>
              <w:bottom w:val="nil"/>
              <w:right w:val="nil"/>
            </w:tcBorders>
          </w:tcPr>
          <w:p>
            <w:pPr>
              <w:pStyle w:val="TableParagraph"/>
              <w:spacing w:before="43"/>
              <w:ind w:left="185" w:right="185"/>
              <w:rPr>
                <w:sz w:val="22"/>
              </w:rPr>
            </w:pPr>
            <w:r>
              <w:rPr>
                <w:sz w:val="22"/>
              </w:rPr>
              <w:t>234.0</w:t>
            </w:r>
          </w:p>
        </w:tc>
        <w:tc>
          <w:tcPr>
            <w:tcW w:w="942" w:type="dxa"/>
            <w:tcBorders>
              <w:top w:val="nil"/>
              <w:left w:val="nil"/>
              <w:bottom w:val="nil"/>
              <w:right w:val="nil"/>
            </w:tcBorders>
          </w:tcPr>
          <w:p>
            <w:pPr>
              <w:pStyle w:val="TableParagraph"/>
              <w:spacing w:before="43"/>
              <w:ind w:left="112" w:right="146"/>
              <w:rPr>
                <w:sz w:val="22"/>
              </w:rPr>
            </w:pPr>
            <w:r>
              <w:rPr>
                <w:sz w:val="22"/>
              </w:rPr>
              <w:t>234.0</w:t>
            </w:r>
          </w:p>
        </w:tc>
        <w:tc>
          <w:tcPr>
            <w:tcW w:w="863" w:type="dxa"/>
            <w:tcBorders>
              <w:top w:val="nil"/>
              <w:left w:val="nil"/>
              <w:bottom w:val="nil"/>
              <w:right w:val="nil"/>
            </w:tcBorders>
          </w:tcPr>
          <w:p>
            <w:pPr>
              <w:pStyle w:val="TableParagraph"/>
              <w:spacing w:before="43"/>
              <w:ind w:left="149" w:right="178"/>
              <w:rPr>
                <w:sz w:val="22"/>
              </w:rPr>
            </w:pPr>
            <w:r>
              <w:rPr>
                <w:sz w:val="22"/>
              </w:rPr>
              <w:t>234.0</w:t>
            </w:r>
          </w:p>
        </w:tc>
        <w:tc>
          <w:tcPr>
            <w:tcW w:w="776" w:type="dxa"/>
            <w:tcBorders>
              <w:top w:val="nil"/>
              <w:left w:val="nil"/>
              <w:bottom w:val="nil"/>
              <w:right w:val="nil"/>
            </w:tcBorders>
          </w:tcPr>
          <w:p>
            <w:pPr>
              <w:pStyle w:val="TableParagraph"/>
              <w:spacing w:before="43"/>
              <w:ind w:left="179" w:right="171"/>
              <w:rPr>
                <w:sz w:val="22"/>
              </w:rPr>
            </w:pPr>
            <w:r>
              <w:rPr>
                <w:sz w:val="22"/>
              </w:rPr>
              <w:t>38.0</w:t>
            </w:r>
          </w:p>
        </w:tc>
        <w:tc>
          <w:tcPr>
            <w:tcW w:w="769" w:type="dxa"/>
            <w:tcBorders>
              <w:top w:val="nil"/>
              <w:left w:val="nil"/>
              <w:bottom w:val="nil"/>
              <w:right w:val="nil"/>
            </w:tcBorders>
          </w:tcPr>
          <w:p>
            <w:pPr>
              <w:pStyle w:val="TableParagraph"/>
              <w:spacing w:before="43"/>
              <w:ind w:left="43" w:right="44"/>
              <w:rPr>
                <w:sz w:val="22"/>
              </w:rPr>
            </w:pPr>
            <w:r>
              <w:rPr>
                <w:sz w:val="22"/>
              </w:rPr>
              <w:t>38.8</w:t>
            </w:r>
          </w:p>
        </w:tc>
        <w:tc>
          <w:tcPr>
            <w:tcW w:w="771" w:type="dxa"/>
            <w:tcBorders>
              <w:top w:val="nil"/>
              <w:left w:val="nil"/>
              <w:bottom w:val="nil"/>
              <w:right w:val="nil"/>
            </w:tcBorders>
          </w:tcPr>
          <w:p>
            <w:pPr>
              <w:pStyle w:val="TableParagraph"/>
              <w:spacing w:before="43"/>
              <w:ind w:right="191"/>
              <w:jc w:val="right"/>
              <w:rPr>
                <w:sz w:val="22"/>
              </w:rPr>
            </w:pPr>
            <w:r>
              <w:rPr>
                <w:sz w:val="22"/>
              </w:rPr>
              <w:t>38.9</w:t>
            </w:r>
          </w:p>
        </w:tc>
      </w:tr>
      <w:tr>
        <w:trPr>
          <w:trHeight w:val="330" w:hRule="exact"/>
        </w:trPr>
        <w:tc>
          <w:tcPr>
            <w:tcW w:w="1253" w:type="dxa"/>
            <w:tcBorders>
              <w:top w:val="nil"/>
              <w:left w:val="nil"/>
              <w:bottom w:val="nil"/>
              <w:right w:val="nil"/>
            </w:tcBorders>
          </w:tcPr>
          <w:p>
            <w:pPr>
              <w:pStyle w:val="TableParagraph"/>
              <w:spacing w:before="11"/>
              <w:ind w:left="173" w:right="159"/>
              <w:rPr>
                <w:b/>
                <w:i/>
                <w:sz w:val="22"/>
              </w:rPr>
            </w:pPr>
            <w:r>
              <w:rPr>
                <w:b/>
                <w:i/>
                <w:sz w:val="22"/>
              </w:rPr>
              <w:t>GO</w:t>
            </w:r>
          </w:p>
        </w:tc>
        <w:tc>
          <w:tcPr>
            <w:tcW w:w="905" w:type="dxa"/>
            <w:tcBorders>
              <w:top w:val="nil"/>
              <w:left w:val="nil"/>
              <w:bottom w:val="nil"/>
              <w:right w:val="nil"/>
            </w:tcBorders>
          </w:tcPr>
          <w:p>
            <w:pPr>
              <w:pStyle w:val="TableParagraph"/>
              <w:spacing w:before="44"/>
              <w:ind w:left="184" w:right="184"/>
              <w:rPr>
                <w:sz w:val="22"/>
              </w:rPr>
            </w:pPr>
            <w:r>
              <w:rPr>
                <w:sz w:val="22"/>
              </w:rPr>
              <w:t>263.2</w:t>
            </w:r>
          </w:p>
        </w:tc>
        <w:tc>
          <w:tcPr>
            <w:tcW w:w="942" w:type="dxa"/>
            <w:tcBorders>
              <w:top w:val="nil"/>
              <w:left w:val="nil"/>
              <w:bottom w:val="nil"/>
              <w:right w:val="nil"/>
            </w:tcBorders>
          </w:tcPr>
          <w:p>
            <w:pPr>
              <w:pStyle w:val="TableParagraph"/>
              <w:spacing w:before="44"/>
              <w:ind w:right="239"/>
              <w:jc w:val="right"/>
              <w:rPr>
                <w:sz w:val="22"/>
              </w:rPr>
            </w:pPr>
            <w:r>
              <w:rPr>
                <w:sz w:val="22"/>
              </w:rPr>
              <w:t>263.2</w:t>
            </w:r>
          </w:p>
        </w:tc>
        <w:tc>
          <w:tcPr>
            <w:tcW w:w="868" w:type="dxa"/>
            <w:tcBorders>
              <w:top w:val="nil"/>
              <w:left w:val="nil"/>
              <w:bottom w:val="nil"/>
              <w:right w:val="nil"/>
            </w:tcBorders>
          </w:tcPr>
          <w:p>
            <w:pPr>
              <w:pStyle w:val="TableParagraph"/>
              <w:spacing w:before="44"/>
              <w:ind w:left="149" w:right="183"/>
              <w:rPr>
                <w:sz w:val="22"/>
              </w:rPr>
            </w:pPr>
            <w:r>
              <w:rPr>
                <w:sz w:val="22"/>
              </w:rPr>
              <w:t>263.2</w:t>
            </w:r>
          </w:p>
        </w:tc>
        <w:tc>
          <w:tcPr>
            <w:tcW w:w="905" w:type="dxa"/>
            <w:tcBorders>
              <w:top w:val="nil"/>
              <w:left w:val="nil"/>
              <w:bottom w:val="nil"/>
              <w:right w:val="nil"/>
            </w:tcBorders>
          </w:tcPr>
          <w:p>
            <w:pPr>
              <w:pStyle w:val="TableParagraph"/>
              <w:spacing w:before="44"/>
              <w:ind w:left="185" w:right="185"/>
              <w:rPr>
                <w:sz w:val="22"/>
              </w:rPr>
            </w:pPr>
            <w:r>
              <w:rPr>
                <w:sz w:val="22"/>
              </w:rPr>
              <w:t>233.5</w:t>
            </w:r>
          </w:p>
        </w:tc>
        <w:tc>
          <w:tcPr>
            <w:tcW w:w="942" w:type="dxa"/>
            <w:tcBorders>
              <w:top w:val="nil"/>
              <w:left w:val="nil"/>
              <w:bottom w:val="nil"/>
              <w:right w:val="nil"/>
            </w:tcBorders>
          </w:tcPr>
          <w:p>
            <w:pPr>
              <w:pStyle w:val="TableParagraph"/>
              <w:spacing w:before="44"/>
              <w:ind w:left="112" w:right="146"/>
              <w:rPr>
                <w:sz w:val="22"/>
              </w:rPr>
            </w:pPr>
            <w:r>
              <w:rPr>
                <w:sz w:val="22"/>
              </w:rPr>
              <w:t>233.5</w:t>
            </w:r>
          </w:p>
        </w:tc>
        <w:tc>
          <w:tcPr>
            <w:tcW w:w="863" w:type="dxa"/>
            <w:tcBorders>
              <w:top w:val="nil"/>
              <w:left w:val="nil"/>
              <w:bottom w:val="nil"/>
              <w:right w:val="nil"/>
            </w:tcBorders>
          </w:tcPr>
          <w:p>
            <w:pPr>
              <w:pStyle w:val="TableParagraph"/>
              <w:spacing w:before="44"/>
              <w:ind w:left="149" w:right="178"/>
              <w:rPr>
                <w:sz w:val="22"/>
              </w:rPr>
            </w:pPr>
            <w:r>
              <w:rPr>
                <w:sz w:val="22"/>
              </w:rPr>
              <w:t>233.5</w:t>
            </w:r>
          </w:p>
        </w:tc>
        <w:tc>
          <w:tcPr>
            <w:tcW w:w="776" w:type="dxa"/>
            <w:tcBorders>
              <w:top w:val="nil"/>
              <w:left w:val="nil"/>
              <w:bottom w:val="nil"/>
              <w:right w:val="nil"/>
            </w:tcBorders>
          </w:tcPr>
          <w:p>
            <w:pPr>
              <w:pStyle w:val="TableParagraph"/>
              <w:spacing w:before="44"/>
              <w:ind w:left="179" w:right="171"/>
              <w:rPr>
                <w:sz w:val="22"/>
              </w:rPr>
            </w:pPr>
            <w:r>
              <w:rPr>
                <w:sz w:val="22"/>
              </w:rPr>
              <w:t>39.1</w:t>
            </w:r>
          </w:p>
        </w:tc>
        <w:tc>
          <w:tcPr>
            <w:tcW w:w="769" w:type="dxa"/>
            <w:tcBorders>
              <w:top w:val="nil"/>
              <w:left w:val="nil"/>
              <w:bottom w:val="nil"/>
              <w:right w:val="nil"/>
            </w:tcBorders>
          </w:tcPr>
          <w:p>
            <w:pPr>
              <w:pStyle w:val="TableParagraph"/>
              <w:spacing w:before="44"/>
              <w:ind w:left="43" w:right="44"/>
              <w:rPr>
                <w:sz w:val="22"/>
              </w:rPr>
            </w:pPr>
            <w:r>
              <w:rPr>
                <w:sz w:val="22"/>
              </w:rPr>
              <w:t>40.9</w:t>
            </w:r>
          </w:p>
        </w:tc>
        <w:tc>
          <w:tcPr>
            <w:tcW w:w="771" w:type="dxa"/>
            <w:tcBorders>
              <w:top w:val="nil"/>
              <w:left w:val="nil"/>
              <w:bottom w:val="nil"/>
              <w:right w:val="nil"/>
            </w:tcBorders>
          </w:tcPr>
          <w:p>
            <w:pPr>
              <w:pStyle w:val="TableParagraph"/>
              <w:spacing w:before="44"/>
              <w:ind w:right="191"/>
              <w:jc w:val="right"/>
              <w:rPr>
                <w:sz w:val="22"/>
              </w:rPr>
            </w:pPr>
            <w:r>
              <w:rPr>
                <w:sz w:val="22"/>
              </w:rPr>
              <w:t>41.0</w:t>
            </w:r>
          </w:p>
        </w:tc>
      </w:tr>
      <w:tr>
        <w:trPr>
          <w:trHeight w:val="318" w:hRule="exact"/>
        </w:trPr>
        <w:tc>
          <w:tcPr>
            <w:tcW w:w="1253" w:type="dxa"/>
            <w:tcBorders>
              <w:top w:val="nil"/>
              <w:left w:val="nil"/>
              <w:right w:val="nil"/>
            </w:tcBorders>
          </w:tcPr>
          <w:p>
            <w:pPr>
              <w:pStyle w:val="TableParagraph"/>
              <w:spacing w:before="9"/>
              <w:ind w:left="173" w:right="158"/>
              <w:rPr>
                <w:b/>
                <w:i/>
                <w:sz w:val="22"/>
              </w:rPr>
            </w:pPr>
            <w:r>
              <w:rPr>
                <w:b/>
                <w:i/>
                <w:sz w:val="22"/>
              </w:rPr>
              <w:t>f-Ge</w:t>
            </w:r>
          </w:p>
        </w:tc>
        <w:tc>
          <w:tcPr>
            <w:tcW w:w="905" w:type="dxa"/>
            <w:tcBorders>
              <w:top w:val="nil"/>
              <w:left w:val="nil"/>
              <w:right w:val="nil"/>
            </w:tcBorders>
          </w:tcPr>
          <w:p>
            <w:pPr>
              <w:pStyle w:val="TableParagraph"/>
              <w:spacing w:before="43"/>
              <w:ind w:left="184" w:right="184"/>
              <w:rPr>
                <w:sz w:val="22"/>
              </w:rPr>
            </w:pPr>
            <w:r>
              <w:rPr>
                <w:sz w:val="22"/>
              </w:rPr>
              <w:t>264.3</w:t>
            </w:r>
          </w:p>
        </w:tc>
        <w:tc>
          <w:tcPr>
            <w:tcW w:w="942" w:type="dxa"/>
            <w:tcBorders>
              <w:top w:val="nil"/>
              <w:left w:val="nil"/>
              <w:right w:val="nil"/>
            </w:tcBorders>
          </w:tcPr>
          <w:p>
            <w:pPr>
              <w:pStyle w:val="TableParagraph"/>
              <w:spacing w:before="43"/>
              <w:ind w:right="239"/>
              <w:jc w:val="right"/>
              <w:rPr>
                <w:sz w:val="22"/>
              </w:rPr>
            </w:pPr>
            <w:r>
              <w:rPr>
                <w:sz w:val="22"/>
              </w:rPr>
              <w:t>263.2</w:t>
            </w:r>
          </w:p>
        </w:tc>
        <w:tc>
          <w:tcPr>
            <w:tcW w:w="868" w:type="dxa"/>
            <w:tcBorders>
              <w:top w:val="nil"/>
              <w:left w:val="nil"/>
              <w:right w:val="nil"/>
            </w:tcBorders>
          </w:tcPr>
          <w:p>
            <w:pPr>
              <w:pStyle w:val="TableParagraph"/>
              <w:spacing w:before="43"/>
              <w:ind w:left="149" w:right="183"/>
              <w:rPr>
                <w:sz w:val="22"/>
              </w:rPr>
            </w:pPr>
            <w:r>
              <w:rPr>
                <w:sz w:val="22"/>
              </w:rPr>
              <w:t>263.2</w:t>
            </w:r>
          </w:p>
        </w:tc>
        <w:tc>
          <w:tcPr>
            <w:tcW w:w="905" w:type="dxa"/>
            <w:tcBorders>
              <w:top w:val="nil"/>
              <w:left w:val="nil"/>
              <w:right w:val="nil"/>
            </w:tcBorders>
          </w:tcPr>
          <w:p>
            <w:pPr>
              <w:pStyle w:val="TableParagraph"/>
              <w:spacing w:before="43"/>
              <w:ind w:left="185" w:right="185"/>
              <w:rPr>
                <w:sz w:val="22"/>
              </w:rPr>
            </w:pPr>
            <w:r>
              <w:rPr>
                <w:sz w:val="22"/>
              </w:rPr>
              <w:t>233.5</w:t>
            </w:r>
          </w:p>
        </w:tc>
        <w:tc>
          <w:tcPr>
            <w:tcW w:w="942" w:type="dxa"/>
            <w:tcBorders>
              <w:top w:val="nil"/>
              <w:left w:val="nil"/>
              <w:right w:val="nil"/>
            </w:tcBorders>
          </w:tcPr>
          <w:p>
            <w:pPr>
              <w:pStyle w:val="TableParagraph"/>
              <w:spacing w:before="43"/>
              <w:ind w:left="112" w:right="146"/>
              <w:rPr>
                <w:sz w:val="22"/>
              </w:rPr>
            </w:pPr>
            <w:r>
              <w:rPr>
                <w:sz w:val="22"/>
              </w:rPr>
              <w:t>233.5</w:t>
            </w:r>
          </w:p>
        </w:tc>
        <w:tc>
          <w:tcPr>
            <w:tcW w:w="863" w:type="dxa"/>
            <w:tcBorders>
              <w:top w:val="nil"/>
              <w:left w:val="nil"/>
              <w:right w:val="nil"/>
            </w:tcBorders>
          </w:tcPr>
          <w:p>
            <w:pPr>
              <w:pStyle w:val="TableParagraph"/>
              <w:spacing w:before="43"/>
              <w:ind w:left="149" w:right="178"/>
              <w:rPr>
                <w:sz w:val="22"/>
              </w:rPr>
            </w:pPr>
            <w:r>
              <w:rPr>
                <w:sz w:val="22"/>
              </w:rPr>
              <w:t>232.9</w:t>
            </w:r>
          </w:p>
        </w:tc>
        <w:tc>
          <w:tcPr>
            <w:tcW w:w="776" w:type="dxa"/>
            <w:tcBorders>
              <w:top w:val="nil"/>
              <w:left w:val="nil"/>
              <w:right w:val="nil"/>
            </w:tcBorders>
          </w:tcPr>
          <w:p>
            <w:pPr>
              <w:pStyle w:val="TableParagraph"/>
              <w:spacing w:before="43"/>
              <w:ind w:left="179" w:right="171"/>
              <w:rPr>
                <w:sz w:val="22"/>
              </w:rPr>
            </w:pPr>
            <w:r>
              <w:rPr>
                <w:sz w:val="22"/>
              </w:rPr>
              <w:t>38.1</w:t>
            </w:r>
          </w:p>
        </w:tc>
        <w:tc>
          <w:tcPr>
            <w:tcW w:w="769" w:type="dxa"/>
            <w:tcBorders>
              <w:top w:val="nil"/>
              <w:left w:val="nil"/>
              <w:right w:val="nil"/>
            </w:tcBorders>
          </w:tcPr>
          <w:p>
            <w:pPr>
              <w:pStyle w:val="TableParagraph"/>
              <w:spacing w:before="43"/>
              <w:ind w:left="43" w:right="44"/>
              <w:rPr>
                <w:sz w:val="22"/>
              </w:rPr>
            </w:pPr>
            <w:r>
              <w:rPr>
                <w:sz w:val="22"/>
              </w:rPr>
              <w:t>40.8</w:t>
            </w:r>
          </w:p>
        </w:tc>
        <w:tc>
          <w:tcPr>
            <w:tcW w:w="771" w:type="dxa"/>
            <w:tcBorders>
              <w:top w:val="nil"/>
              <w:left w:val="nil"/>
              <w:right w:val="nil"/>
            </w:tcBorders>
          </w:tcPr>
          <w:p>
            <w:pPr>
              <w:pStyle w:val="TableParagraph"/>
              <w:spacing w:before="43"/>
              <w:ind w:right="191"/>
              <w:jc w:val="right"/>
              <w:rPr>
                <w:sz w:val="22"/>
              </w:rPr>
            </w:pPr>
            <w:r>
              <w:rPr>
                <w:sz w:val="22"/>
              </w:rPr>
              <w:t>41.0</w:t>
            </w:r>
          </w:p>
        </w:tc>
      </w:tr>
    </w:tbl>
    <w:p>
      <w:pPr>
        <w:pStyle w:val="BodyText"/>
        <w:spacing w:before="1"/>
        <w:rPr>
          <w:sz w:val="26"/>
        </w:rPr>
      </w:pPr>
    </w:p>
    <w:p>
      <w:pPr>
        <w:pStyle w:val="BodyText"/>
        <w:spacing w:line="360" w:lineRule="auto" w:before="73"/>
        <w:ind w:left="202" w:right="195" w:firstLine="283"/>
        <w:jc w:val="both"/>
      </w:pPr>
      <w:r>
        <w:rPr/>
        <w:t>Los resultados anteriormente mencionados coinciden con el índice de cristalinidad obtenido por WAXD, como se observa en la Tabla 4.6. De acuerdo a los tamaños de cristal calculados, se presentó un crecimiento del cristal al incorporar los nanomateriales, en polímeros esto es indicativo de cristales más perfectos. Lo anterior demuestra que el proceso de obtención de  los nanocompositos tiene marcada influencia en las características del cristal.</w:t>
      </w:r>
    </w:p>
    <w:p>
      <w:pPr>
        <w:pStyle w:val="BodyText"/>
      </w:pPr>
    </w:p>
    <w:p>
      <w:pPr>
        <w:pStyle w:val="BodyText"/>
        <w:spacing w:before="131"/>
        <w:ind w:left="266"/>
      </w:pPr>
      <w:r>
        <w:rPr/>
        <w:pict>
          <v:shape style="position:absolute;margin-left:81.624001pt;margin-top:53.179531pt;width:449pt;height:152.7pt;mso-position-horizontal-relative:page;mso-position-vertical-relative:paragraph;z-index:275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38"/>
                    <w:gridCol w:w="905"/>
                    <w:gridCol w:w="905"/>
                    <w:gridCol w:w="932"/>
                    <w:gridCol w:w="877"/>
                    <w:gridCol w:w="905"/>
                    <w:gridCol w:w="872"/>
                    <w:gridCol w:w="804"/>
                    <w:gridCol w:w="769"/>
                    <w:gridCol w:w="771"/>
                  </w:tblGrid>
                  <w:tr>
                    <w:trPr>
                      <w:trHeight w:val="336" w:hRule="exact"/>
                    </w:trPr>
                    <w:tc>
                      <w:tcPr>
                        <w:tcW w:w="1238" w:type="dxa"/>
                      </w:tcPr>
                      <w:p>
                        <w:pPr>
                          <w:pStyle w:val="TableParagraph"/>
                          <w:spacing w:before="39"/>
                          <w:ind w:left="159" w:right="159"/>
                          <w:rPr>
                            <w:b/>
                            <w:i/>
                            <w:sz w:val="22"/>
                          </w:rPr>
                        </w:pPr>
                        <w:r>
                          <w:rPr>
                            <w:b/>
                            <w:i/>
                            <w:sz w:val="22"/>
                          </w:rPr>
                          <w:t>Nylon 6,6</w:t>
                        </w:r>
                      </w:p>
                    </w:tc>
                    <w:tc>
                      <w:tcPr>
                        <w:tcW w:w="1810" w:type="dxa"/>
                        <w:gridSpan w:val="2"/>
                        <w:tcBorders>
                          <w:top w:val="single" w:sz="2" w:space="0" w:color="000000"/>
                          <w:bottom w:val="single" w:sz="2" w:space="0" w:color="000000"/>
                        </w:tcBorders>
                      </w:tcPr>
                      <w:p>
                        <w:pPr>
                          <w:pStyle w:val="TableParagraph"/>
                          <w:spacing w:before="32"/>
                          <w:ind w:left="1108"/>
                          <w:jc w:val="left"/>
                          <w:rPr>
                            <w:sz w:val="22"/>
                          </w:rPr>
                        </w:pPr>
                        <w:r>
                          <w:rPr>
                            <w:sz w:val="22"/>
                          </w:rPr>
                          <w:t>0.367</w:t>
                        </w:r>
                      </w:p>
                    </w:tc>
                    <w:tc>
                      <w:tcPr>
                        <w:tcW w:w="2715" w:type="dxa"/>
                        <w:gridSpan w:val="3"/>
                        <w:tcBorders>
                          <w:top w:val="single" w:sz="2" w:space="0" w:color="000000"/>
                          <w:bottom w:val="single" w:sz="2" w:space="0" w:color="000000"/>
                        </w:tcBorders>
                      </w:tcPr>
                      <w:p>
                        <w:pPr>
                          <w:pStyle w:val="TableParagraph"/>
                          <w:spacing w:before="70"/>
                          <w:ind w:right="257"/>
                          <w:jc w:val="right"/>
                          <w:rPr>
                            <w:sz w:val="22"/>
                          </w:rPr>
                        </w:pPr>
                        <w:r>
                          <w:rPr>
                            <w:sz w:val="22"/>
                          </w:rPr>
                          <w:t>4.46</w:t>
                        </w:r>
                      </w:p>
                    </w:tc>
                    <w:tc>
                      <w:tcPr>
                        <w:tcW w:w="3217" w:type="dxa"/>
                        <w:gridSpan w:val="4"/>
                        <w:tcBorders>
                          <w:top w:val="single" w:sz="2" w:space="0" w:color="000000"/>
                          <w:bottom w:val="single" w:sz="2" w:space="0" w:color="000000"/>
                        </w:tcBorders>
                      </w:tcPr>
                      <w:p>
                        <w:pPr>
                          <w:pStyle w:val="TableParagraph"/>
                          <w:spacing w:before="70"/>
                          <w:ind w:left="1869"/>
                          <w:jc w:val="left"/>
                          <w:rPr>
                            <w:sz w:val="22"/>
                          </w:rPr>
                        </w:pPr>
                        <w:r>
                          <w:rPr>
                            <w:sz w:val="22"/>
                          </w:rPr>
                          <w:t>4.01</w:t>
                        </w:r>
                      </w:p>
                    </w:tc>
                  </w:tr>
                  <w:tr>
                    <w:trPr>
                      <w:trHeight w:val="443" w:hRule="exact"/>
                    </w:trPr>
                    <w:tc>
                      <w:tcPr>
                        <w:tcW w:w="8980" w:type="dxa"/>
                        <w:gridSpan w:val="10"/>
                      </w:tcPr>
                      <w:p>
                        <w:pPr>
                          <w:pStyle w:val="TableParagraph"/>
                          <w:tabs>
                            <w:tab w:pos="4990" w:val="left" w:leader="none"/>
                            <w:tab w:pos="7503" w:val="left" w:leader="none"/>
                          </w:tabs>
                          <w:spacing w:before="32"/>
                          <w:ind w:left="2275"/>
                          <w:jc w:val="left"/>
                          <w:rPr>
                            <w:b/>
                            <w:i/>
                            <w:sz w:val="22"/>
                          </w:rPr>
                        </w:pPr>
                        <w:r>
                          <w:rPr>
                            <w:b/>
                            <w:i/>
                            <w:sz w:val="22"/>
                          </w:rPr>
                          <w:t>% peso</w:t>
                          <w:tab/>
                          <w:t>% peso</w:t>
                          <w:tab/>
                          <w:t>% peso</w:t>
                        </w:r>
                      </w:p>
                    </w:tc>
                  </w:tr>
                  <w:tr>
                    <w:trPr>
                      <w:trHeight w:val="234" w:hRule="exact"/>
                    </w:trPr>
                    <w:tc>
                      <w:tcPr>
                        <w:tcW w:w="1238" w:type="dxa"/>
                        <w:tcBorders>
                          <w:bottom w:val="single" w:sz="12" w:space="0" w:color="000000"/>
                        </w:tcBorders>
                      </w:tcPr>
                      <w:p>
                        <w:pPr/>
                      </w:p>
                    </w:tc>
                    <w:tc>
                      <w:tcPr>
                        <w:tcW w:w="905" w:type="dxa"/>
                        <w:tcBorders>
                          <w:bottom w:val="single" w:sz="12" w:space="0" w:color="000000"/>
                        </w:tcBorders>
                      </w:tcPr>
                      <w:p>
                        <w:pPr>
                          <w:pStyle w:val="TableParagraph"/>
                          <w:spacing w:line="225" w:lineRule="exact"/>
                          <w:ind w:left="184" w:right="184"/>
                          <w:rPr>
                            <w:i/>
                            <w:sz w:val="22"/>
                          </w:rPr>
                        </w:pPr>
                        <w:r>
                          <w:rPr>
                            <w:i/>
                            <w:sz w:val="22"/>
                          </w:rPr>
                          <w:t>0.1</w:t>
                        </w:r>
                      </w:p>
                    </w:tc>
                    <w:tc>
                      <w:tcPr>
                        <w:tcW w:w="905" w:type="dxa"/>
                        <w:tcBorders>
                          <w:bottom w:val="single" w:sz="12" w:space="0" w:color="000000"/>
                        </w:tcBorders>
                      </w:tcPr>
                      <w:p>
                        <w:pPr>
                          <w:pStyle w:val="TableParagraph"/>
                          <w:spacing w:line="225" w:lineRule="exact"/>
                          <w:ind w:left="185" w:right="185"/>
                          <w:rPr>
                            <w:i/>
                            <w:sz w:val="22"/>
                          </w:rPr>
                        </w:pPr>
                        <w:r>
                          <w:rPr>
                            <w:i/>
                            <w:sz w:val="22"/>
                          </w:rPr>
                          <w:t>0.3</w:t>
                        </w:r>
                      </w:p>
                    </w:tc>
                    <w:tc>
                      <w:tcPr>
                        <w:tcW w:w="932" w:type="dxa"/>
                        <w:tcBorders>
                          <w:bottom w:val="single" w:sz="12" w:space="0" w:color="000000"/>
                        </w:tcBorders>
                      </w:tcPr>
                      <w:p>
                        <w:pPr>
                          <w:pStyle w:val="TableParagraph"/>
                          <w:spacing w:line="225" w:lineRule="exact"/>
                          <w:ind w:left="186" w:right="211"/>
                          <w:rPr>
                            <w:i/>
                            <w:sz w:val="22"/>
                          </w:rPr>
                        </w:pPr>
                        <w:r>
                          <w:rPr>
                            <w:i/>
                            <w:sz w:val="22"/>
                          </w:rPr>
                          <w:t>0.5</w:t>
                        </w:r>
                      </w:p>
                    </w:tc>
                    <w:tc>
                      <w:tcPr>
                        <w:tcW w:w="877" w:type="dxa"/>
                        <w:tcBorders>
                          <w:bottom w:val="single" w:sz="12" w:space="0" w:color="000000"/>
                        </w:tcBorders>
                      </w:tcPr>
                      <w:p>
                        <w:pPr>
                          <w:pStyle w:val="TableParagraph"/>
                          <w:spacing w:line="225" w:lineRule="exact"/>
                          <w:ind w:left="286"/>
                          <w:jc w:val="left"/>
                          <w:rPr>
                            <w:i/>
                            <w:sz w:val="22"/>
                          </w:rPr>
                        </w:pPr>
                        <w:r>
                          <w:rPr>
                            <w:i/>
                            <w:sz w:val="22"/>
                          </w:rPr>
                          <w:t>0.1</w:t>
                        </w:r>
                      </w:p>
                    </w:tc>
                    <w:tc>
                      <w:tcPr>
                        <w:tcW w:w="905" w:type="dxa"/>
                        <w:tcBorders>
                          <w:bottom w:val="single" w:sz="12" w:space="0" w:color="000000"/>
                        </w:tcBorders>
                      </w:tcPr>
                      <w:p>
                        <w:pPr>
                          <w:pStyle w:val="TableParagraph"/>
                          <w:spacing w:line="225" w:lineRule="exact"/>
                          <w:ind w:left="185" w:right="185"/>
                          <w:rPr>
                            <w:i/>
                            <w:sz w:val="22"/>
                          </w:rPr>
                        </w:pPr>
                        <w:r>
                          <w:rPr>
                            <w:i/>
                            <w:sz w:val="22"/>
                          </w:rPr>
                          <w:t>0.3</w:t>
                        </w:r>
                      </w:p>
                    </w:tc>
                    <w:tc>
                      <w:tcPr>
                        <w:tcW w:w="872" w:type="dxa"/>
                        <w:tcBorders>
                          <w:bottom w:val="single" w:sz="12" w:space="0" w:color="000000"/>
                        </w:tcBorders>
                      </w:tcPr>
                      <w:p>
                        <w:pPr>
                          <w:pStyle w:val="TableParagraph"/>
                          <w:spacing w:line="225" w:lineRule="exact"/>
                          <w:ind w:left="314"/>
                          <w:jc w:val="left"/>
                          <w:rPr>
                            <w:i/>
                            <w:sz w:val="22"/>
                          </w:rPr>
                        </w:pPr>
                        <w:r>
                          <w:rPr>
                            <w:i/>
                            <w:sz w:val="22"/>
                          </w:rPr>
                          <w:t>0.5</w:t>
                        </w:r>
                      </w:p>
                    </w:tc>
                    <w:tc>
                      <w:tcPr>
                        <w:tcW w:w="804" w:type="dxa"/>
                        <w:tcBorders>
                          <w:bottom w:val="single" w:sz="12" w:space="0" w:color="000000"/>
                        </w:tcBorders>
                      </w:tcPr>
                      <w:p>
                        <w:pPr>
                          <w:pStyle w:val="TableParagraph"/>
                          <w:spacing w:line="225" w:lineRule="exact"/>
                          <w:ind w:left="281"/>
                          <w:jc w:val="left"/>
                          <w:rPr>
                            <w:i/>
                            <w:sz w:val="22"/>
                          </w:rPr>
                        </w:pPr>
                        <w:r>
                          <w:rPr>
                            <w:i/>
                            <w:sz w:val="22"/>
                          </w:rPr>
                          <w:t>0.1</w:t>
                        </w:r>
                      </w:p>
                    </w:tc>
                    <w:tc>
                      <w:tcPr>
                        <w:tcW w:w="769" w:type="dxa"/>
                        <w:tcBorders>
                          <w:bottom w:val="single" w:sz="12" w:space="0" w:color="000000"/>
                        </w:tcBorders>
                      </w:tcPr>
                      <w:p>
                        <w:pPr>
                          <w:pStyle w:val="TableParagraph"/>
                          <w:spacing w:line="225" w:lineRule="exact"/>
                          <w:ind w:left="245"/>
                          <w:jc w:val="left"/>
                          <w:rPr>
                            <w:i/>
                            <w:sz w:val="22"/>
                          </w:rPr>
                        </w:pPr>
                        <w:r>
                          <w:rPr>
                            <w:i/>
                            <w:sz w:val="22"/>
                          </w:rPr>
                          <w:t>0.3</w:t>
                        </w:r>
                      </w:p>
                    </w:tc>
                    <w:tc>
                      <w:tcPr>
                        <w:tcW w:w="771" w:type="dxa"/>
                        <w:tcBorders>
                          <w:bottom w:val="single" w:sz="12" w:space="0" w:color="000000"/>
                        </w:tcBorders>
                      </w:tcPr>
                      <w:p>
                        <w:pPr>
                          <w:pStyle w:val="TableParagraph"/>
                          <w:spacing w:line="225" w:lineRule="exact"/>
                          <w:ind w:right="247"/>
                          <w:jc w:val="right"/>
                          <w:rPr>
                            <w:i/>
                            <w:sz w:val="22"/>
                          </w:rPr>
                        </w:pPr>
                        <w:r>
                          <w:rPr>
                            <w:i/>
                            <w:sz w:val="22"/>
                          </w:rPr>
                          <w:t>0.5</w:t>
                        </w:r>
                      </w:p>
                    </w:tc>
                  </w:tr>
                  <w:tr>
                    <w:trPr>
                      <w:trHeight w:val="373" w:hRule="exact"/>
                    </w:trPr>
                    <w:tc>
                      <w:tcPr>
                        <w:tcW w:w="1238" w:type="dxa"/>
                        <w:tcBorders>
                          <w:top w:val="single" w:sz="12" w:space="0" w:color="000000"/>
                        </w:tcBorders>
                      </w:tcPr>
                      <w:p>
                        <w:pPr>
                          <w:pStyle w:val="TableParagraph"/>
                          <w:spacing w:before="37"/>
                          <w:ind w:left="159" w:right="159"/>
                          <w:rPr>
                            <w:b/>
                            <w:i/>
                            <w:sz w:val="22"/>
                          </w:rPr>
                        </w:pPr>
                        <w:r>
                          <w:rPr>
                            <w:b/>
                            <w:i/>
                            <w:sz w:val="22"/>
                          </w:rPr>
                          <w:t>p-CNT</w:t>
                        </w:r>
                      </w:p>
                    </w:tc>
                    <w:tc>
                      <w:tcPr>
                        <w:tcW w:w="905" w:type="dxa"/>
                        <w:tcBorders>
                          <w:top w:val="single" w:sz="12" w:space="0" w:color="000000"/>
                        </w:tcBorders>
                      </w:tcPr>
                      <w:p>
                        <w:pPr>
                          <w:pStyle w:val="TableParagraph"/>
                          <w:spacing w:before="73"/>
                          <w:ind w:left="184" w:right="184"/>
                          <w:rPr>
                            <w:sz w:val="22"/>
                          </w:rPr>
                        </w:pPr>
                        <w:r>
                          <w:rPr>
                            <w:sz w:val="22"/>
                          </w:rPr>
                          <w:t>0.378</w:t>
                        </w:r>
                      </w:p>
                    </w:tc>
                    <w:tc>
                      <w:tcPr>
                        <w:tcW w:w="905" w:type="dxa"/>
                        <w:tcBorders>
                          <w:top w:val="single" w:sz="12" w:space="0" w:color="000000"/>
                        </w:tcBorders>
                      </w:tcPr>
                      <w:p>
                        <w:pPr>
                          <w:pStyle w:val="TableParagraph"/>
                          <w:spacing w:before="73"/>
                          <w:ind w:left="185" w:right="185"/>
                          <w:rPr>
                            <w:sz w:val="22"/>
                          </w:rPr>
                        </w:pPr>
                        <w:r>
                          <w:rPr>
                            <w:sz w:val="22"/>
                          </w:rPr>
                          <w:t>0.387</w:t>
                        </w:r>
                      </w:p>
                    </w:tc>
                    <w:tc>
                      <w:tcPr>
                        <w:tcW w:w="932" w:type="dxa"/>
                        <w:tcBorders>
                          <w:top w:val="single" w:sz="12" w:space="0" w:color="000000"/>
                        </w:tcBorders>
                      </w:tcPr>
                      <w:p>
                        <w:pPr>
                          <w:pStyle w:val="TableParagraph"/>
                          <w:spacing w:before="73"/>
                          <w:ind w:left="186" w:right="211"/>
                          <w:rPr>
                            <w:sz w:val="22"/>
                          </w:rPr>
                        </w:pPr>
                        <w:r>
                          <w:rPr>
                            <w:sz w:val="22"/>
                          </w:rPr>
                          <w:t>0.388</w:t>
                        </w:r>
                      </w:p>
                    </w:tc>
                    <w:tc>
                      <w:tcPr>
                        <w:tcW w:w="877" w:type="dxa"/>
                        <w:tcBorders>
                          <w:top w:val="single" w:sz="12" w:space="0" w:color="000000"/>
                        </w:tcBorders>
                      </w:tcPr>
                      <w:p>
                        <w:pPr>
                          <w:pStyle w:val="TableParagraph"/>
                          <w:spacing w:before="73"/>
                          <w:ind w:left="231"/>
                          <w:jc w:val="left"/>
                          <w:rPr>
                            <w:sz w:val="22"/>
                          </w:rPr>
                        </w:pPr>
                        <w:r>
                          <w:rPr>
                            <w:sz w:val="22"/>
                          </w:rPr>
                          <w:t>5.08</w:t>
                        </w:r>
                      </w:p>
                    </w:tc>
                    <w:tc>
                      <w:tcPr>
                        <w:tcW w:w="905" w:type="dxa"/>
                        <w:tcBorders>
                          <w:top w:val="single" w:sz="12" w:space="0" w:color="000000"/>
                        </w:tcBorders>
                      </w:tcPr>
                      <w:p>
                        <w:pPr>
                          <w:pStyle w:val="TableParagraph"/>
                          <w:spacing w:before="73"/>
                          <w:ind w:left="185" w:right="185"/>
                          <w:rPr>
                            <w:sz w:val="22"/>
                          </w:rPr>
                        </w:pPr>
                        <w:r>
                          <w:rPr>
                            <w:sz w:val="22"/>
                          </w:rPr>
                          <w:t>5.28</w:t>
                        </w:r>
                      </w:p>
                    </w:tc>
                    <w:tc>
                      <w:tcPr>
                        <w:tcW w:w="872" w:type="dxa"/>
                        <w:tcBorders>
                          <w:top w:val="single" w:sz="12" w:space="0" w:color="000000"/>
                        </w:tcBorders>
                      </w:tcPr>
                      <w:p>
                        <w:pPr>
                          <w:pStyle w:val="TableParagraph"/>
                          <w:spacing w:before="73"/>
                          <w:ind w:left="259"/>
                          <w:jc w:val="left"/>
                          <w:rPr>
                            <w:sz w:val="22"/>
                          </w:rPr>
                        </w:pPr>
                        <w:r>
                          <w:rPr>
                            <w:sz w:val="22"/>
                          </w:rPr>
                          <w:t>5.37</w:t>
                        </w:r>
                      </w:p>
                    </w:tc>
                    <w:tc>
                      <w:tcPr>
                        <w:tcW w:w="804" w:type="dxa"/>
                        <w:tcBorders>
                          <w:top w:val="single" w:sz="12" w:space="0" w:color="000000"/>
                        </w:tcBorders>
                      </w:tcPr>
                      <w:p>
                        <w:pPr>
                          <w:pStyle w:val="TableParagraph"/>
                          <w:spacing w:before="73"/>
                          <w:ind w:left="226"/>
                          <w:jc w:val="left"/>
                          <w:rPr>
                            <w:sz w:val="22"/>
                          </w:rPr>
                        </w:pPr>
                        <w:r>
                          <w:rPr>
                            <w:sz w:val="22"/>
                          </w:rPr>
                          <w:t>4.10</w:t>
                        </w:r>
                      </w:p>
                    </w:tc>
                    <w:tc>
                      <w:tcPr>
                        <w:tcW w:w="769" w:type="dxa"/>
                        <w:tcBorders>
                          <w:top w:val="single" w:sz="12" w:space="0" w:color="000000"/>
                        </w:tcBorders>
                      </w:tcPr>
                      <w:p>
                        <w:pPr>
                          <w:pStyle w:val="TableParagraph"/>
                          <w:spacing w:before="73"/>
                          <w:ind w:left="190"/>
                          <w:jc w:val="left"/>
                          <w:rPr>
                            <w:sz w:val="22"/>
                          </w:rPr>
                        </w:pPr>
                        <w:r>
                          <w:rPr>
                            <w:sz w:val="22"/>
                          </w:rPr>
                          <w:t>3.75</w:t>
                        </w:r>
                      </w:p>
                    </w:tc>
                    <w:tc>
                      <w:tcPr>
                        <w:tcW w:w="771" w:type="dxa"/>
                        <w:tcBorders>
                          <w:top w:val="single" w:sz="12" w:space="0" w:color="000000"/>
                        </w:tcBorders>
                      </w:tcPr>
                      <w:p>
                        <w:pPr>
                          <w:pStyle w:val="TableParagraph"/>
                          <w:spacing w:before="73"/>
                          <w:ind w:right="191"/>
                          <w:jc w:val="right"/>
                          <w:rPr>
                            <w:sz w:val="22"/>
                          </w:rPr>
                        </w:pPr>
                        <w:r>
                          <w:rPr>
                            <w:sz w:val="22"/>
                          </w:rPr>
                          <w:t>4.15</w:t>
                        </w:r>
                      </w:p>
                    </w:tc>
                  </w:tr>
                  <w:tr>
                    <w:trPr>
                      <w:trHeight w:val="329" w:hRule="exact"/>
                    </w:trPr>
                    <w:tc>
                      <w:tcPr>
                        <w:tcW w:w="1238" w:type="dxa"/>
                      </w:tcPr>
                      <w:p>
                        <w:pPr>
                          <w:pStyle w:val="TableParagraph"/>
                          <w:spacing w:before="9"/>
                          <w:ind w:left="158" w:right="159"/>
                          <w:rPr>
                            <w:b/>
                            <w:i/>
                            <w:sz w:val="22"/>
                          </w:rPr>
                        </w:pPr>
                        <w:r>
                          <w:rPr>
                            <w:b/>
                            <w:i/>
                            <w:sz w:val="22"/>
                          </w:rPr>
                          <w:t>OCNT</w:t>
                        </w:r>
                      </w:p>
                    </w:tc>
                    <w:tc>
                      <w:tcPr>
                        <w:tcW w:w="905" w:type="dxa"/>
                      </w:tcPr>
                      <w:p>
                        <w:pPr>
                          <w:pStyle w:val="TableParagraph"/>
                          <w:spacing w:before="43"/>
                          <w:ind w:left="184" w:right="184"/>
                          <w:rPr>
                            <w:sz w:val="22"/>
                          </w:rPr>
                        </w:pPr>
                        <w:r>
                          <w:rPr>
                            <w:sz w:val="22"/>
                          </w:rPr>
                          <w:t>0.375</w:t>
                        </w:r>
                      </w:p>
                    </w:tc>
                    <w:tc>
                      <w:tcPr>
                        <w:tcW w:w="905" w:type="dxa"/>
                      </w:tcPr>
                      <w:p>
                        <w:pPr>
                          <w:pStyle w:val="TableParagraph"/>
                          <w:spacing w:before="43"/>
                          <w:ind w:left="185" w:right="185"/>
                          <w:rPr>
                            <w:sz w:val="22"/>
                          </w:rPr>
                        </w:pPr>
                        <w:r>
                          <w:rPr>
                            <w:sz w:val="22"/>
                          </w:rPr>
                          <w:t>0.390</w:t>
                        </w:r>
                      </w:p>
                    </w:tc>
                    <w:tc>
                      <w:tcPr>
                        <w:tcW w:w="932" w:type="dxa"/>
                      </w:tcPr>
                      <w:p>
                        <w:pPr>
                          <w:pStyle w:val="TableParagraph"/>
                          <w:spacing w:before="43"/>
                          <w:ind w:left="186" w:right="211"/>
                          <w:rPr>
                            <w:sz w:val="22"/>
                          </w:rPr>
                        </w:pPr>
                        <w:r>
                          <w:rPr>
                            <w:sz w:val="22"/>
                          </w:rPr>
                          <w:t>0.397</w:t>
                        </w:r>
                      </w:p>
                    </w:tc>
                    <w:tc>
                      <w:tcPr>
                        <w:tcW w:w="877" w:type="dxa"/>
                      </w:tcPr>
                      <w:p>
                        <w:pPr>
                          <w:pStyle w:val="TableParagraph"/>
                          <w:spacing w:before="43"/>
                          <w:ind w:left="231"/>
                          <w:jc w:val="left"/>
                          <w:rPr>
                            <w:sz w:val="22"/>
                          </w:rPr>
                        </w:pPr>
                        <w:r>
                          <w:rPr>
                            <w:sz w:val="22"/>
                          </w:rPr>
                          <w:t>4.99</w:t>
                        </w:r>
                      </w:p>
                    </w:tc>
                    <w:tc>
                      <w:tcPr>
                        <w:tcW w:w="905" w:type="dxa"/>
                      </w:tcPr>
                      <w:p>
                        <w:pPr>
                          <w:pStyle w:val="TableParagraph"/>
                          <w:spacing w:before="43"/>
                          <w:ind w:left="185" w:right="185"/>
                          <w:rPr>
                            <w:sz w:val="22"/>
                          </w:rPr>
                        </w:pPr>
                        <w:r>
                          <w:rPr>
                            <w:sz w:val="22"/>
                          </w:rPr>
                          <w:t>4.91</w:t>
                        </w:r>
                      </w:p>
                    </w:tc>
                    <w:tc>
                      <w:tcPr>
                        <w:tcW w:w="872" w:type="dxa"/>
                      </w:tcPr>
                      <w:p>
                        <w:pPr>
                          <w:pStyle w:val="TableParagraph"/>
                          <w:spacing w:before="43"/>
                          <w:ind w:left="259"/>
                          <w:jc w:val="left"/>
                          <w:rPr>
                            <w:sz w:val="22"/>
                          </w:rPr>
                        </w:pPr>
                        <w:r>
                          <w:rPr>
                            <w:sz w:val="22"/>
                          </w:rPr>
                          <w:t>5.10</w:t>
                        </w:r>
                      </w:p>
                    </w:tc>
                    <w:tc>
                      <w:tcPr>
                        <w:tcW w:w="804" w:type="dxa"/>
                      </w:tcPr>
                      <w:p>
                        <w:pPr>
                          <w:pStyle w:val="TableParagraph"/>
                          <w:spacing w:before="43"/>
                          <w:ind w:left="226"/>
                          <w:jc w:val="left"/>
                          <w:rPr>
                            <w:sz w:val="22"/>
                          </w:rPr>
                        </w:pPr>
                        <w:r>
                          <w:rPr>
                            <w:sz w:val="22"/>
                          </w:rPr>
                          <w:t>4.16</w:t>
                        </w:r>
                      </w:p>
                    </w:tc>
                    <w:tc>
                      <w:tcPr>
                        <w:tcW w:w="769" w:type="dxa"/>
                      </w:tcPr>
                      <w:p>
                        <w:pPr>
                          <w:pStyle w:val="TableParagraph"/>
                          <w:spacing w:before="43"/>
                          <w:ind w:left="190"/>
                          <w:jc w:val="left"/>
                          <w:rPr>
                            <w:sz w:val="22"/>
                          </w:rPr>
                        </w:pPr>
                        <w:r>
                          <w:rPr>
                            <w:sz w:val="22"/>
                          </w:rPr>
                          <w:t>4.18</w:t>
                        </w:r>
                      </w:p>
                    </w:tc>
                    <w:tc>
                      <w:tcPr>
                        <w:tcW w:w="771" w:type="dxa"/>
                      </w:tcPr>
                      <w:p>
                        <w:pPr>
                          <w:pStyle w:val="TableParagraph"/>
                          <w:spacing w:before="43"/>
                          <w:ind w:right="191"/>
                          <w:jc w:val="right"/>
                          <w:rPr>
                            <w:sz w:val="22"/>
                          </w:rPr>
                        </w:pPr>
                        <w:r>
                          <w:rPr>
                            <w:sz w:val="22"/>
                          </w:rPr>
                          <w:t>4.01</w:t>
                        </w:r>
                      </w:p>
                    </w:tc>
                  </w:tr>
                  <w:tr>
                    <w:trPr>
                      <w:trHeight w:val="332" w:hRule="exact"/>
                    </w:trPr>
                    <w:tc>
                      <w:tcPr>
                        <w:tcW w:w="1238" w:type="dxa"/>
                      </w:tcPr>
                      <w:p>
                        <w:pPr>
                          <w:pStyle w:val="TableParagraph"/>
                          <w:spacing w:before="9"/>
                          <w:ind w:left="159" w:right="157"/>
                          <w:rPr>
                            <w:b/>
                            <w:i/>
                            <w:sz w:val="22"/>
                          </w:rPr>
                        </w:pPr>
                        <w:r>
                          <w:rPr>
                            <w:b/>
                            <w:i/>
                            <w:sz w:val="22"/>
                          </w:rPr>
                          <w:t>f-CNT</w:t>
                        </w:r>
                      </w:p>
                    </w:tc>
                    <w:tc>
                      <w:tcPr>
                        <w:tcW w:w="905" w:type="dxa"/>
                      </w:tcPr>
                      <w:p>
                        <w:pPr>
                          <w:pStyle w:val="TableParagraph"/>
                          <w:spacing w:before="45"/>
                          <w:ind w:left="184" w:right="184"/>
                          <w:rPr>
                            <w:sz w:val="22"/>
                          </w:rPr>
                        </w:pPr>
                        <w:r>
                          <w:rPr>
                            <w:sz w:val="22"/>
                          </w:rPr>
                          <w:t>0.414</w:t>
                        </w:r>
                      </w:p>
                    </w:tc>
                    <w:tc>
                      <w:tcPr>
                        <w:tcW w:w="905" w:type="dxa"/>
                      </w:tcPr>
                      <w:p>
                        <w:pPr>
                          <w:pStyle w:val="TableParagraph"/>
                          <w:spacing w:before="45"/>
                          <w:ind w:left="185" w:right="185"/>
                          <w:rPr>
                            <w:sz w:val="22"/>
                          </w:rPr>
                        </w:pPr>
                        <w:r>
                          <w:rPr>
                            <w:sz w:val="22"/>
                          </w:rPr>
                          <w:t>0.408</w:t>
                        </w:r>
                      </w:p>
                    </w:tc>
                    <w:tc>
                      <w:tcPr>
                        <w:tcW w:w="932" w:type="dxa"/>
                      </w:tcPr>
                      <w:p>
                        <w:pPr>
                          <w:pStyle w:val="TableParagraph"/>
                          <w:spacing w:before="45"/>
                          <w:ind w:left="186" w:right="211"/>
                          <w:rPr>
                            <w:sz w:val="22"/>
                          </w:rPr>
                        </w:pPr>
                        <w:r>
                          <w:rPr>
                            <w:sz w:val="22"/>
                          </w:rPr>
                          <w:t>0.403</w:t>
                        </w:r>
                      </w:p>
                    </w:tc>
                    <w:tc>
                      <w:tcPr>
                        <w:tcW w:w="877" w:type="dxa"/>
                      </w:tcPr>
                      <w:p>
                        <w:pPr>
                          <w:pStyle w:val="TableParagraph"/>
                          <w:spacing w:before="45"/>
                          <w:ind w:left="231"/>
                          <w:jc w:val="left"/>
                          <w:rPr>
                            <w:sz w:val="22"/>
                          </w:rPr>
                        </w:pPr>
                        <w:r>
                          <w:rPr>
                            <w:sz w:val="22"/>
                          </w:rPr>
                          <w:t>5.07</w:t>
                        </w:r>
                      </w:p>
                    </w:tc>
                    <w:tc>
                      <w:tcPr>
                        <w:tcW w:w="905" w:type="dxa"/>
                      </w:tcPr>
                      <w:p>
                        <w:pPr>
                          <w:pStyle w:val="TableParagraph"/>
                          <w:spacing w:before="45"/>
                          <w:ind w:left="185" w:right="185"/>
                          <w:rPr>
                            <w:sz w:val="22"/>
                          </w:rPr>
                        </w:pPr>
                        <w:r>
                          <w:rPr>
                            <w:sz w:val="22"/>
                          </w:rPr>
                          <w:t>5.06</w:t>
                        </w:r>
                      </w:p>
                    </w:tc>
                    <w:tc>
                      <w:tcPr>
                        <w:tcW w:w="872" w:type="dxa"/>
                      </w:tcPr>
                      <w:p>
                        <w:pPr>
                          <w:pStyle w:val="TableParagraph"/>
                          <w:spacing w:before="45"/>
                          <w:ind w:left="259"/>
                          <w:jc w:val="left"/>
                          <w:rPr>
                            <w:sz w:val="22"/>
                          </w:rPr>
                        </w:pPr>
                        <w:r>
                          <w:rPr>
                            <w:sz w:val="22"/>
                          </w:rPr>
                          <w:t>4.87</w:t>
                        </w:r>
                      </w:p>
                    </w:tc>
                    <w:tc>
                      <w:tcPr>
                        <w:tcW w:w="804" w:type="dxa"/>
                      </w:tcPr>
                      <w:p>
                        <w:pPr>
                          <w:pStyle w:val="TableParagraph"/>
                          <w:spacing w:before="45"/>
                          <w:ind w:left="226"/>
                          <w:jc w:val="left"/>
                          <w:rPr>
                            <w:sz w:val="22"/>
                          </w:rPr>
                        </w:pPr>
                        <w:r>
                          <w:rPr>
                            <w:sz w:val="22"/>
                          </w:rPr>
                          <w:t>3.83</w:t>
                        </w:r>
                      </w:p>
                    </w:tc>
                    <w:tc>
                      <w:tcPr>
                        <w:tcW w:w="769" w:type="dxa"/>
                      </w:tcPr>
                      <w:p>
                        <w:pPr>
                          <w:pStyle w:val="TableParagraph"/>
                          <w:spacing w:before="45"/>
                          <w:ind w:left="190"/>
                          <w:jc w:val="left"/>
                          <w:rPr>
                            <w:sz w:val="22"/>
                          </w:rPr>
                        </w:pPr>
                        <w:r>
                          <w:rPr>
                            <w:sz w:val="22"/>
                          </w:rPr>
                          <w:t>3.97</w:t>
                        </w:r>
                      </w:p>
                    </w:tc>
                    <w:tc>
                      <w:tcPr>
                        <w:tcW w:w="771" w:type="dxa"/>
                      </w:tcPr>
                      <w:p>
                        <w:pPr>
                          <w:pStyle w:val="TableParagraph"/>
                          <w:spacing w:before="45"/>
                          <w:ind w:right="191"/>
                          <w:jc w:val="right"/>
                          <w:rPr>
                            <w:sz w:val="22"/>
                          </w:rPr>
                        </w:pPr>
                        <w:r>
                          <w:rPr>
                            <w:sz w:val="22"/>
                          </w:rPr>
                          <w:t>3.94</w:t>
                        </w:r>
                      </w:p>
                    </w:tc>
                  </w:tr>
                  <w:tr>
                    <w:trPr>
                      <w:trHeight w:val="329" w:hRule="exact"/>
                    </w:trPr>
                    <w:tc>
                      <w:tcPr>
                        <w:tcW w:w="1238" w:type="dxa"/>
                      </w:tcPr>
                      <w:p>
                        <w:pPr>
                          <w:pStyle w:val="TableParagraph"/>
                          <w:spacing w:before="9"/>
                          <w:ind w:left="159" w:right="159"/>
                          <w:rPr>
                            <w:b/>
                            <w:i/>
                            <w:sz w:val="22"/>
                          </w:rPr>
                        </w:pPr>
                        <w:r>
                          <w:rPr>
                            <w:b/>
                            <w:i/>
                            <w:sz w:val="22"/>
                          </w:rPr>
                          <w:t>RGO</w:t>
                        </w:r>
                      </w:p>
                    </w:tc>
                    <w:tc>
                      <w:tcPr>
                        <w:tcW w:w="905" w:type="dxa"/>
                      </w:tcPr>
                      <w:p>
                        <w:pPr>
                          <w:pStyle w:val="TableParagraph"/>
                          <w:spacing w:before="43"/>
                          <w:ind w:left="184" w:right="184"/>
                          <w:rPr>
                            <w:sz w:val="22"/>
                          </w:rPr>
                        </w:pPr>
                        <w:r>
                          <w:rPr>
                            <w:sz w:val="22"/>
                          </w:rPr>
                          <w:t>0.383</w:t>
                        </w:r>
                      </w:p>
                    </w:tc>
                    <w:tc>
                      <w:tcPr>
                        <w:tcW w:w="905" w:type="dxa"/>
                      </w:tcPr>
                      <w:p>
                        <w:pPr>
                          <w:pStyle w:val="TableParagraph"/>
                          <w:spacing w:before="43"/>
                          <w:ind w:left="185" w:right="185"/>
                          <w:rPr>
                            <w:sz w:val="22"/>
                          </w:rPr>
                        </w:pPr>
                        <w:r>
                          <w:rPr>
                            <w:sz w:val="22"/>
                          </w:rPr>
                          <w:t>0.388</w:t>
                        </w:r>
                      </w:p>
                    </w:tc>
                    <w:tc>
                      <w:tcPr>
                        <w:tcW w:w="932" w:type="dxa"/>
                      </w:tcPr>
                      <w:p>
                        <w:pPr>
                          <w:pStyle w:val="TableParagraph"/>
                          <w:spacing w:before="43"/>
                          <w:ind w:left="186" w:right="211"/>
                          <w:rPr>
                            <w:sz w:val="22"/>
                          </w:rPr>
                        </w:pPr>
                        <w:r>
                          <w:rPr>
                            <w:sz w:val="22"/>
                          </w:rPr>
                          <w:t>0.390</w:t>
                        </w:r>
                      </w:p>
                    </w:tc>
                    <w:tc>
                      <w:tcPr>
                        <w:tcW w:w="877" w:type="dxa"/>
                      </w:tcPr>
                      <w:p>
                        <w:pPr>
                          <w:pStyle w:val="TableParagraph"/>
                          <w:spacing w:before="43"/>
                          <w:ind w:left="231"/>
                          <w:jc w:val="left"/>
                          <w:rPr>
                            <w:sz w:val="22"/>
                          </w:rPr>
                        </w:pPr>
                        <w:r>
                          <w:rPr>
                            <w:sz w:val="22"/>
                          </w:rPr>
                          <w:t>4.86</w:t>
                        </w:r>
                      </w:p>
                    </w:tc>
                    <w:tc>
                      <w:tcPr>
                        <w:tcW w:w="905" w:type="dxa"/>
                      </w:tcPr>
                      <w:p>
                        <w:pPr>
                          <w:pStyle w:val="TableParagraph"/>
                          <w:spacing w:before="43"/>
                          <w:ind w:left="185" w:right="185"/>
                          <w:rPr>
                            <w:sz w:val="22"/>
                          </w:rPr>
                        </w:pPr>
                        <w:r>
                          <w:rPr>
                            <w:sz w:val="22"/>
                          </w:rPr>
                          <w:t>4.92</w:t>
                        </w:r>
                      </w:p>
                    </w:tc>
                    <w:tc>
                      <w:tcPr>
                        <w:tcW w:w="872" w:type="dxa"/>
                      </w:tcPr>
                      <w:p>
                        <w:pPr>
                          <w:pStyle w:val="TableParagraph"/>
                          <w:spacing w:before="43"/>
                          <w:ind w:left="259"/>
                          <w:jc w:val="left"/>
                          <w:rPr>
                            <w:sz w:val="22"/>
                          </w:rPr>
                        </w:pPr>
                        <w:r>
                          <w:rPr>
                            <w:sz w:val="22"/>
                          </w:rPr>
                          <w:t>5.03</w:t>
                        </w:r>
                      </w:p>
                    </w:tc>
                    <w:tc>
                      <w:tcPr>
                        <w:tcW w:w="804" w:type="dxa"/>
                      </w:tcPr>
                      <w:p>
                        <w:pPr>
                          <w:pStyle w:val="TableParagraph"/>
                          <w:spacing w:before="43"/>
                          <w:ind w:left="226"/>
                          <w:jc w:val="left"/>
                          <w:rPr>
                            <w:sz w:val="22"/>
                          </w:rPr>
                        </w:pPr>
                        <w:r>
                          <w:rPr>
                            <w:sz w:val="22"/>
                          </w:rPr>
                          <w:t>4.34</w:t>
                        </w:r>
                      </w:p>
                    </w:tc>
                    <w:tc>
                      <w:tcPr>
                        <w:tcW w:w="769" w:type="dxa"/>
                      </w:tcPr>
                      <w:p>
                        <w:pPr>
                          <w:pStyle w:val="TableParagraph"/>
                          <w:spacing w:before="43"/>
                          <w:ind w:left="190"/>
                          <w:jc w:val="left"/>
                          <w:rPr>
                            <w:sz w:val="22"/>
                          </w:rPr>
                        </w:pPr>
                        <w:r>
                          <w:rPr>
                            <w:sz w:val="22"/>
                          </w:rPr>
                          <w:t>4.30</w:t>
                        </w:r>
                      </w:p>
                    </w:tc>
                    <w:tc>
                      <w:tcPr>
                        <w:tcW w:w="771" w:type="dxa"/>
                      </w:tcPr>
                      <w:p>
                        <w:pPr>
                          <w:pStyle w:val="TableParagraph"/>
                          <w:spacing w:before="43"/>
                          <w:ind w:right="191"/>
                          <w:jc w:val="right"/>
                          <w:rPr>
                            <w:sz w:val="22"/>
                          </w:rPr>
                        </w:pPr>
                        <w:r>
                          <w:rPr>
                            <w:sz w:val="22"/>
                          </w:rPr>
                          <w:t>4.05</w:t>
                        </w:r>
                      </w:p>
                    </w:tc>
                  </w:tr>
                  <w:tr>
                    <w:trPr>
                      <w:trHeight w:val="331" w:hRule="exact"/>
                    </w:trPr>
                    <w:tc>
                      <w:tcPr>
                        <w:tcW w:w="1238" w:type="dxa"/>
                      </w:tcPr>
                      <w:p>
                        <w:pPr>
                          <w:pStyle w:val="TableParagraph"/>
                          <w:spacing w:before="9"/>
                          <w:ind w:left="159" w:right="159"/>
                          <w:rPr>
                            <w:b/>
                            <w:i/>
                            <w:sz w:val="22"/>
                          </w:rPr>
                        </w:pPr>
                        <w:r>
                          <w:rPr>
                            <w:b/>
                            <w:i/>
                            <w:sz w:val="22"/>
                          </w:rPr>
                          <w:t>GO</w:t>
                        </w:r>
                      </w:p>
                    </w:tc>
                    <w:tc>
                      <w:tcPr>
                        <w:tcW w:w="905" w:type="dxa"/>
                      </w:tcPr>
                      <w:p>
                        <w:pPr>
                          <w:pStyle w:val="TableParagraph"/>
                          <w:spacing w:before="45"/>
                          <w:ind w:left="184" w:right="184"/>
                          <w:rPr>
                            <w:sz w:val="22"/>
                          </w:rPr>
                        </w:pPr>
                        <w:r>
                          <w:rPr>
                            <w:sz w:val="22"/>
                          </w:rPr>
                          <w:t>0.387</w:t>
                        </w:r>
                      </w:p>
                    </w:tc>
                    <w:tc>
                      <w:tcPr>
                        <w:tcW w:w="905" w:type="dxa"/>
                      </w:tcPr>
                      <w:p>
                        <w:pPr>
                          <w:pStyle w:val="TableParagraph"/>
                          <w:spacing w:before="45"/>
                          <w:ind w:left="185" w:right="185"/>
                          <w:rPr>
                            <w:sz w:val="22"/>
                          </w:rPr>
                        </w:pPr>
                        <w:r>
                          <w:rPr>
                            <w:sz w:val="22"/>
                          </w:rPr>
                          <w:t>0.396</w:t>
                        </w:r>
                      </w:p>
                    </w:tc>
                    <w:tc>
                      <w:tcPr>
                        <w:tcW w:w="932" w:type="dxa"/>
                      </w:tcPr>
                      <w:p>
                        <w:pPr>
                          <w:pStyle w:val="TableParagraph"/>
                          <w:spacing w:before="45"/>
                          <w:ind w:left="186" w:right="211"/>
                          <w:rPr>
                            <w:sz w:val="22"/>
                          </w:rPr>
                        </w:pPr>
                        <w:r>
                          <w:rPr>
                            <w:sz w:val="22"/>
                          </w:rPr>
                          <w:t>0.400</w:t>
                        </w:r>
                      </w:p>
                    </w:tc>
                    <w:tc>
                      <w:tcPr>
                        <w:tcW w:w="877" w:type="dxa"/>
                      </w:tcPr>
                      <w:p>
                        <w:pPr>
                          <w:pStyle w:val="TableParagraph"/>
                          <w:spacing w:before="45"/>
                          <w:ind w:left="231"/>
                          <w:jc w:val="left"/>
                          <w:rPr>
                            <w:sz w:val="22"/>
                          </w:rPr>
                        </w:pPr>
                        <w:r>
                          <w:rPr>
                            <w:sz w:val="22"/>
                          </w:rPr>
                          <w:t>4.88</w:t>
                        </w:r>
                      </w:p>
                    </w:tc>
                    <w:tc>
                      <w:tcPr>
                        <w:tcW w:w="905" w:type="dxa"/>
                      </w:tcPr>
                      <w:p>
                        <w:pPr>
                          <w:pStyle w:val="TableParagraph"/>
                          <w:spacing w:before="45"/>
                          <w:ind w:left="185" w:right="185"/>
                          <w:rPr>
                            <w:sz w:val="22"/>
                          </w:rPr>
                        </w:pPr>
                        <w:r>
                          <w:rPr>
                            <w:sz w:val="22"/>
                          </w:rPr>
                          <w:t>4.75</w:t>
                        </w:r>
                      </w:p>
                    </w:tc>
                    <w:tc>
                      <w:tcPr>
                        <w:tcW w:w="872" w:type="dxa"/>
                      </w:tcPr>
                      <w:p>
                        <w:pPr>
                          <w:pStyle w:val="TableParagraph"/>
                          <w:spacing w:before="45"/>
                          <w:ind w:left="259"/>
                          <w:jc w:val="left"/>
                          <w:rPr>
                            <w:sz w:val="22"/>
                          </w:rPr>
                        </w:pPr>
                        <w:r>
                          <w:rPr>
                            <w:sz w:val="22"/>
                          </w:rPr>
                          <w:t>4.82</w:t>
                        </w:r>
                      </w:p>
                    </w:tc>
                    <w:tc>
                      <w:tcPr>
                        <w:tcW w:w="804" w:type="dxa"/>
                      </w:tcPr>
                      <w:p>
                        <w:pPr>
                          <w:pStyle w:val="TableParagraph"/>
                          <w:spacing w:before="45"/>
                          <w:ind w:left="226"/>
                          <w:jc w:val="left"/>
                          <w:rPr>
                            <w:sz w:val="22"/>
                          </w:rPr>
                        </w:pPr>
                        <w:r>
                          <w:rPr>
                            <w:sz w:val="22"/>
                          </w:rPr>
                          <w:t>4.25</w:t>
                        </w:r>
                      </w:p>
                    </w:tc>
                    <w:tc>
                      <w:tcPr>
                        <w:tcW w:w="769" w:type="dxa"/>
                      </w:tcPr>
                      <w:p>
                        <w:pPr>
                          <w:pStyle w:val="TableParagraph"/>
                          <w:spacing w:before="45"/>
                          <w:ind w:left="190"/>
                          <w:jc w:val="left"/>
                          <w:rPr>
                            <w:sz w:val="22"/>
                          </w:rPr>
                        </w:pPr>
                        <w:r>
                          <w:rPr>
                            <w:sz w:val="22"/>
                          </w:rPr>
                          <w:t>4.21</w:t>
                        </w:r>
                      </w:p>
                    </w:tc>
                    <w:tc>
                      <w:tcPr>
                        <w:tcW w:w="771" w:type="dxa"/>
                      </w:tcPr>
                      <w:p>
                        <w:pPr>
                          <w:pStyle w:val="TableParagraph"/>
                          <w:spacing w:before="45"/>
                          <w:ind w:right="191"/>
                          <w:jc w:val="right"/>
                          <w:rPr>
                            <w:sz w:val="22"/>
                          </w:rPr>
                        </w:pPr>
                        <w:r>
                          <w:rPr>
                            <w:sz w:val="22"/>
                          </w:rPr>
                          <w:t>4.22</w:t>
                        </w:r>
                      </w:p>
                    </w:tc>
                  </w:tr>
                  <w:tr>
                    <w:trPr>
                      <w:trHeight w:val="318" w:hRule="exact"/>
                    </w:trPr>
                    <w:tc>
                      <w:tcPr>
                        <w:tcW w:w="1238" w:type="dxa"/>
                        <w:tcBorders>
                          <w:bottom w:val="single" w:sz="12" w:space="0" w:color="000000"/>
                        </w:tcBorders>
                      </w:tcPr>
                      <w:p>
                        <w:pPr>
                          <w:pStyle w:val="TableParagraph"/>
                          <w:spacing w:before="9"/>
                          <w:ind w:left="159" w:right="159"/>
                          <w:rPr>
                            <w:b/>
                            <w:i/>
                            <w:sz w:val="22"/>
                          </w:rPr>
                        </w:pPr>
                        <w:r>
                          <w:rPr>
                            <w:b/>
                            <w:i/>
                            <w:sz w:val="22"/>
                          </w:rPr>
                          <w:t>f-Ge</w:t>
                        </w:r>
                      </w:p>
                    </w:tc>
                    <w:tc>
                      <w:tcPr>
                        <w:tcW w:w="905" w:type="dxa"/>
                        <w:tcBorders>
                          <w:bottom w:val="single" w:sz="12" w:space="0" w:color="000000"/>
                        </w:tcBorders>
                      </w:tcPr>
                      <w:p>
                        <w:pPr>
                          <w:pStyle w:val="TableParagraph"/>
                          <w:spacing w:before="43"/>
                          <w:ind w:left="184" w:right="184"/>
                          <w:rPr>
                            <w:sz w:val="22"/>
                          </w:rPr>
                        </w:pPr>
                        <w:r>
                          <w:rPr>
                            <w:sz w:val="22"/>
                          </w:rPr>
                          <w:t>0.389</w:t>
                        </w:r>
                      </w:p>
                    </w:tc>
                    <w:tc>
                      <w:tcPr>
                        <w:tcW w:w="905" w:type="dxa"/>
                        <w:tcBorders>
                          <w:bottom w:val="single" w:sz="12" w:space="0" w:color="000000"/>
                        </w:tcBorders>
                      </w:tcPr>
                      <w:p>
                        <w:pPr>
                          <w:pStyle w:val="TableParagraph"/>
                          <w:spacing w:before="43"/>
                          <w:ind w:left="185" w:right="185"/>
                          <w:rPr>
                            <w:sz w:val="22"/>
                          </w:rPr>
                        </w:pPr>
                        <w:r>
                          <w:rPr>
                            <w:sz w:val="22"/>
                          </w:rPr>
                          <w:t>0.399</w:t>
                        </w:r>
                      </w:p>
                    </w:tc>
                    <w:tc>
                      <w:tcPr>
                        <w:tcW w:w="932" w:type="dxa"/>
                        <w:tcBorders>
                          <w:bottom w:val="single" w:sz="12" w:space="0" w:color="000000"/>
                        </w:tcBorders>
                      </w:tcPr>
                      <w:p>
                        <w:pPr>
                          <w:pStyle w:val="TableParagraph"/>
                          <w:spacing w:before="43"/>
                          <w:ind w:left="186" w:right="211"/>
                          <w:rPr>
                            <w:sz w:val="22"/>
                          </w:rPr>
                        </w:pPr>
                        <w:r>
                          <w:rPr>
                            <w:sz w:val="22"/>
                          </w:rPr>
                          <w:t>0.400</w:t>
                        </w:r>
                      </w:p>
                    </w:tc>
                    <w:tc>
                      <w:tcPr>
                        <w:tcW w:w="877" w:type="dxa"/>
                        <w:tcBorders>
                          <w:bottom w:val="single" w:sz="12" w:space="0" w:color="000000"/>
                        </w:tcBorders>
                      </w:tcPr>
                      <w:p>
                        <w:pPr>
                          <w:pStyle w:val="TableParagraph"/>
                          <w:spacing w:before="43"/>
                          <w:ind w:left="231"/>
                          <w:jc w:val="left"/>
                          <w:rPr>
                            <w:sz w:val="22"/>
                          </w:rPr>
                        </w:pPr>
                        <w:r>
                          <w:rPr>
                            <w:sz w:val="22"/>
                          </w:rPr>
                          <w:t>4.78</w:t>
                        </w:r>
                      </w:p>
                    </w:tc>
                    <w:tc>
                      <w:tcPr>
                        <w:tcW w:w="905" w:type="dxa"/>
                        <w:tcBorders>
                          <w:bottom w:val="single" w:sz="12" w:space="0" w:color="000000"/>
                        </w:tcBorders>
                      </w:tcPr>
                      <w:p>
                        <w:pPr>
                          <w:pStyle w:val="TableParagraph"/>
                          <w:spacing w:before="43"/>
                          <w:ind w:left="185" w:right="185"/>
                          <w:rPr>
                            <w:sz w:val="22"/>
                          </w:rPr>
                        </w:pPr>
                        <w:r>
                          <w:rPr>
                            <w:sz w:val="22"/>
                          </w:rPr>
                          <w:t>4.91</w:t>
                        </w:r>
                      </w:p>
                    </w:tc>
                    <w:tc>
                      <w:tcPr>
                        <w:tcW w:w="872" w:type="dxa"/>
                        <w:tcBorders>
                          <w:bottom w:val="single" w:sz="12" w:space="0" w:color="000000"/>
                        </w:tcBorders>
                      </w:tcPr>
                      <w:p>
                        <w:pPr>
                          <w:pStyle w:val="TableParagraph"/>
                          <w:spacing w:before="43"/>
                          <w:ind w:left="259"/>
                          <w:jc w:val="left"/>
                          <w:rPr>
                            <w:sz w:val="22"/>
                          </w:rPr>
                        </w:pPr>
                        <w:r>
                          <w:rPr>
                            <w:sz w:val="22"/>
                          </w:rPr>
                          <w:t>4.56</w:t>
                        </w:r>
                      </w:p>
                    </w:tc>
                    <w:tc>
                      <w:tcPr>
                        <w:tcW w:w="804" w:type="dxa"/>
                        <w:tcBorders>
                          <w:bottom w:val="single" w:sz="12" w:space="0" w:color="000000"/>
                        </w:tcBorders>
                      </w:tcPr>
                      <w:p>
                        <w:pPr>
                          <w:pStyle w:val="TableParagraph"/>
                          <w:spacing w:before="43"/>
                          <w:ind w:left="226"/>
                          <w:jc w:val="left"/>
                          <w:rPr>
                            <w:sz w:val="22"/>
                          </w:rPr>
                        </w:pPr>
                        <w:r>
                          <w:rPr>
                            <w:sz w:val="22"/>
                          </w:rPr>
                          <w:t>4.01</w:t>
                        </w:r>
                      </w:p>
                    </w:tc>
                    <w:tc>
                      <w:tcPr>
                        <w:tcW w:w="769" w:type="dxa"/>
                        <w:tcBorders>
                          <w:bottom w:val="single" w:sz="12" w:space="0" w:color="000000"/>
                        </w:tcBorders>
                      </w:tcPr>
                      <w:p>
                        <w:pPr>
                          <w:pStyle w:val="TableParagraph"/>
                          <w:spacing w:before="43"/>
                          <w:ind w:left="190"/>
                          <w:jc w:val="left"/>
                          <w:rPr>
                            <w:sz w:val="22"/>
                          </w:rPr>
                        </w:pPr>
                        <w:r>
                          <w:rPr>
                            <w:sz w:val="22"/>
                          </w:rPr>
                          <w:t>4.20</w:t>
                        </w:r>
                      </w:p>
                    </w:tc>
                    <w:tc>
                      <w:tcPr>
                        <w:tcW w:w="771" w:type="dxa"/>
                        <w:tcBorders>
                          <w:bottom w:val="single" w:sz="12" w:space="0" w:color="000000"/>
                        </w:tcBorders>
                      </w:tcPr>
                      <w:p>
                        <w:pPr>
                          <w:pStyle w:val="TableParagraph"/>
                          <w:spacing w:before="43"/>
                          <w:ind w:right="191"/>
                          <w:jc w:val="right"/>
                          <w:rPr>
                            <w:sz w:val="22"/>
                          </w:rPr>
                        </w:pPr>
                        <w:r>
                          <w:rPr>
                            <w:sz w:val="22"/>
                          </w:rPr>
                          <w:t>4.24</w:t>
                        </w:r>
                      </w:p>
                    </w:tc>
                  </w:tr>
                </w:tbl>
                <w:p>
                  <w:pPr>
                    <w:pStyle w:val="BodyText"/>
                  </w:pPr>
                </w:p>
              </w:txbxContent>
            </v:textbox>
            <w10:wrap type="none"/>
          </v:shape>
        </w:pict>
      </w:r>
      <w:r>
        <w:rPr>
          <w:b/>
        </w:rPr>
        <w:t>Tabla 4.6 </w:t>
      </w:r>
      <w:r>
        <w:rPr/>
        <w:t>Resultados de WAXD de los nanocompositos obtenidos mediante moldeo por inyección</w:t>
      </w:r>
    </w:p>
    <w:p>
      <w:pPr>
        <w:pStyle w:val="BodyText"/>
        <w:spacing w:before="7"/>
        <w:rPr>
          <w:sz w:val="25"/>
        </w:rPr>
      </w:pPr>
      <w:r>
        <w:rPr/>
        <w:pict>
          <v:group style="position:absolute;margin-left:80.899002pt;margin-top:16.695602pt;width:450.45pt;height:1.45pt;mso-position-horizontal-relative:page;mso-position-vertical-relative:paragraph;z-index:2728;mso-wrap-distance-left:0;mso-wrap-distance-right:0" coordorigin="1618,334" coordsize="9009,29">
            <v:line style="position:absolute" from="1632,348" to="2871,348" stroked="true" strokeweight="1.44pt" strokecolor="#000000"/>
            <v:line style="position:absolute" from="2871,348" to="2900,348" stroked="true" strokeweight="1.44pt" strokecolor="#000000"/>
            <v:line style="position:absolute" from="2900,348" to="5586,348" stroked="true" strokeweight="1.44pt" strokecolor="#000000"/>
            <v:line style="position:absolute" from="5586,348" to="5615,348" stroked="true" strokeweight="1.44pt" strokecolor="#000000"/>
            <v:line style="position:absolute" from="5615,348" to="8303,348" stroked="true" strokeweight="1.44pt" strokecolor="#000000"/>
            <v:line style="position:absolute" from="8303,348" to="8332,348" stroked="true" strokeweight="1.44pt" strokecolor="#000000"/>
            <v:line style="position:absolute" from="8332,348" to="10612,348" stroked="true" strokeweight="1.44pt" strokecolor="#000000"/>
            <w10:wrap type="topAndBottom"/>
          </v:group>
        </w:pict>
      </w:r>
    </w:p>
    <w:p>
      <w:pPr>
        <w:tabs>
          <w:tab w:pos="5031" w:val="left" w:leader="none"/>
          <w:tab w:pos="7422" w:val="left" w:leader="none"/>
        </w:tabs>
        <w:spacing w:before="3"/>
        <w:ind w:left="2612" w:right="0" w:firstLine="0"/>
        <w:jc w:val="left"/>
        <w:rPr>
          <w:b/>
          <w:i/>
          <w:sz w:val="22"/>
        </w:rPr>
      </w:pPr>
      <w:r>
        <w:rPr>
          <w:b/>
          <w:i/>
          <w:position w:val="6"/>
          <w:sz w:val="22"/>
        </w:rPr>
        <w:t>CI</w:t>
        <w:tab/>
      </w:r>
      <w:r>
        <w:rPr>
          <w:b/>
          <w:i/>
          <w:position w:val="3"/>
          <w:sz w:val="22"/>
        </w:rPr>
        <w:t>L</w:t>
      </w:r>
      <w:r>
        <w:rPr>
          <w:b/>
          <w:i/>
          <w:sz w:val="14"/>
        </w:rPr>
        <w:t>(100),</w:t>
      </w:r>
      <w:r>
        <w:rPr>
          <w:b/>
          <w:i/>
          <w:spacing w:val="19"/>
          <w:sz w:val="14"/>
        </w:rPr>
        <w:t> </w:t>
      </w:r>
      <w:r>
        <w:rPr>
          <w:b/>
          <w:i/>
          <w:position w:val="3"/>
          <w:sz w:val="22"/>
        </w:rPr>
        <w:t>nm</w:t>
        <w:tab/>
        <w:t>L</w:t>
      </w:r>
      <w:r>
        <w:rPr>
          <w:b/>
          <w:i/>
          <w:sz w:val="14"/>
        </w:rPr>
        <w:t>(010/110),</w:t>
      </w:r>
      <w:r>
        <w:rPr>
          <w:b/>
          <w:i/>
          <w:spacing w:val="16"/>
          <w:sz w:val="14"/>
        </w:rPr>
        <w:t> </w:t>
      </w:r>
      <w:r>
        <w:rPr>
          <w:b/>
          <w:i/>
          <w:position w:val="3"/>
          <w:sz w:val="22"/>
        </w:rPr>
        <w:t>nm</w:t>
      </w:r>
    </w:p>
    <w:p>
      <w:pPr>
        <w:pStyle w:val="BodyText"/>
        <w:rPr>
          <w:b/>
          <w:i/>
          <w:sz w:val="20"/>
        </w:rPr>
      </w:pPr>
    </w:p>
    <w:p>
      <w:pPr>
        <w:pStyle w:val="BodyText"/>
        <w:spacing w:before="9"/>
        <w:rPr>
          <w:b/>
          <w:i/>
          <w:sz w:val="19"/>
        </w:rPr>
      </w:pPr>
    </w:p>
    <w:p>
      <w:pPr>
        <w:pStyle w:val="Heading5"/>
        <w:spacing w:before="72"/>
        <w:rPr>
          <w:i/>
        </w:rPr>
      </w:pPr>
      <w:r>
        <w:rPr>
          <w:i/>
        </w:rPr>
        <w:t>Refuerzo</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9"/>
        <w:rPr>
          <w:b/>
          <w:i/>
          <w:sz w:val="21"/>
        </w:rPr>
      </w:pPr>
    </w:p>
    <w:p>
      <w:pPr>
        <w:pStyle w:val="ListParagraph"/>
        <w:numPr>
          <w:ilvl w:val="2"/>
          <w:numId w:val="26"/>
        </w:numPr>
        <w:tabs>
          <w:tab w:pos="697" w:val="left" w:leader="none"/>
        </w:tabs>
        <w:spacing w:line="240" w:lineRule="auto" w:before="72" w:after="0"/>
        <w:ind w:left="696" w:right="0" w:hanging="494"/>
        <w:jc w:val="left"/>
        <w:rPr>
          <w:b/>
          <w:sz w:val="22"/>
        </w:rPr>
      </w:pPr>
      <w:r>
        <w:rPr>
          <w:b/>
          <w:sz w:val="22"/>
        </w:rPr>
        <w:t>Propiedades</w:t>
      </w:r>
      <w:r>
        <w:rPr>
          <w:b/>
          <w:spacing w:val="-6"/>
          <w:sz w:val="22"/>
        </w:rPr>
        <w:t> </w:t>
      </w:r>
      <w:r>
        <w:rPr>
          <w:b/>
          <w:sz w:val="22"/>
        </w:rPr>
        <w:t>termo-mecánicas</w:t>
      </w:r>
    </w:p>
    <w:p>
      <w:pPr>
        <w:pStyle w:val="BodyText"/>
        <w:spacing w:line="360" w:lineRule="auto" w:before="121"/>
        <w:ind w:left="202" w:right="195" w:firstLine="283"/>
        <w:jc w:val="both"/>
      </w:pPr>
      <w:r>
        <w:rPr/>
        <w:t>El DMA de los nanocompositos reveló temperaturas de transición vítrea superiores a las del polímero puro en todos los casos, como se indica en la Tabla 4.7. Además, los valores del módulo de almacenamiento confirman la buena adhesión entre el refuerzo y la matriz, lo cual proporcionó valores</w:t>
      </w:r>
      <w:r>
        <w:rPr>
          <w:spacing w:val="13"/>
        </w:rPr>
        <w:t> </w:t>
      </w:r>
      <w:r>
        <w:rPr/>
        <w:t>superiores</w:t>
      </w:r>
      <w:r>
        <w:rPr>
          <w:spacing w:val="13"/>
        </w:rPr>
        <w:t> </w:t>
      </w:r>
      <w:r>
        <w:rPr/>
        <w:t>en</w:t>
      </w:r>
      <w:r>
        <w:rPr>
          <w:spacing w:val="15"/>
        </w:rPr>
        <w:t> </w:t>
      </w:r>
      <w:r>
        <w:rPr/>
        <w:t>esta</w:t>
      </w:r>
      <w:r>
        <w:rPr>
          <w:spacing w:val="12"/>
        </w:rPr>
        <w:t> </w:t>
      </w:r>
      <w:r>
        <w:rPr/>
        <w:t>propiedad.</w:t>
      </w:r>
      <w:r>
        <w:rPr>
          <w:spacing w:val="14"/>
        </w:rPr>
        <w:t> </w:t>
      </w:r>
      <w:r>
        <w:rPr/>
        <w:t>De</w:t>
      </w:r>
      <w:r>
        <w:rPr>
          <w:spacing w:val="15"/>
        </w:rPr>
        <w:t> </w:t>
      </w:r>
      <w:r>
        <w:rPr/>
        <w:t>manera</w:t>
      </w:r>
      <w:r>
        <w:rPr>
          <w:spacing w:val="15"/>
        </w:rPr>
        <w:t> </w:t>
      </w:r>
      <w:r>
        <w:rPr/>
        <w:t>similar</w:t>
      </w:r>
      <w:r>
        <w:rPr>
          <w:spacing w:val="15"/>
        </w:rPr>
        <w:t> </w:t>
      </w:r>
      <w:r>
        <w:rPr/>
        <w:t>que</w:t>
      </w:r>
      <w:r>
        <w:rPr>
          <w:spacing w:val="15"/>
        </w:rPr>
        <w:t> </w:t>
      </w:r>
      <w:r>
        <w:rPr/>
        <w:t>en</w:t>
      </w:r>
      <w:r>
        <w:rPr>
          <w:spacing w:val="12"/>
        </w:rPr>
        <w:t> </w:t>
      </w:r>
      <w:r>
        <w:rPr/>
        <w:t>los</w:t>
      </w:r>
      <w:r>
        <w:rPr>
          <w:spacing w:val="15"/>
        </w:rPr>
        <w:t> </w:t>
      </w:r>
      <w:r>
        <w:rPr/>
        <w:t>nanocompositos</w:t>
      </w:r>
      <w:r>
        <w:rPr>
          <w:spacing w:val="15"/>
        </w:rPr>
        <w:t> </w:t>
      </w:r>
      <w:r>
        <w:rPr/>
        <w:t>obtenidos</w:t>
      </w:r>
      <w:r>
        <w:rPr>
          <w:spacing w:val="15"/>
        </w:rPr>
        <w:t> </w:t>
      </w:r>
      <w:r>
        <w:rPr/>
        <w:t>por</w:t>
      </w:r>
    </w:p>
    <w:p>
      <w:pPr>
        <w:spacing w:after="0" w:line="360" w:lineRule="auto"/>
        <w:jc w:val="both"/>
        <w:sectPr>
          <w:pgSz w:w="12240" w:h="15840"/>
          <w:pgMar w:header="730" w:footer="1060" w:top="1160" w:bottom="1260" w:left="1500" w:right="1500"/>
        </w:sectPr>
      </w:pPr>
    </w:p>
    <w:p>
      <w:pPr>
        <w:pStyle w:val="BodyText"/>
        <w:rPr>
          <w:sz w:val="14"/>
        </w:rPr>
      </w:pPr>
    </w:p>
    <w:p>
      <w:pPr>
        <w:pStyle w:val="BodyText"/>
        <w:spacing w:line="355" w:lineRule="auto" w:before="73"/>
        <w:ind w:left="182" w:right="175"/>
        <w:jc w:val="both"/>
      </w:pPr>
      <w:r>
        <w:rPr>
          <w:i/>
        </w:rPr>
        <w:t>electrospinning</w:t>
      </w:r>
      <w:r>
        <w:rPr/>
        <w:t>, el refuerzo f-CNT mostró un comportamiento de disminución del módulo de almacenamiento a medida que se incrementó su contenido. Sin embargo a la máxima concentración de este nanomaterial se obtuvo una respuesta mecánica superior a la del nylon 6,6. En la Tabla 4.8  se muestran las T</w:t>
      </w:r>
      <w:r>
        <w:rPr>
          <w:position w:val="-2"/>
          <w:sz w:val="14"/>
        </w:rPr>
        <w:t>d </w:t>
      </w:r>
      <w:r>
        <w:rPr/>
        <w:t>de los nanocompositos , los valores son muy cercanos o ligeramente más altos que las del nylon puro. El GO es el refuerzo que destaca con </w:t>
      </w:r>
      <w:r>
        <w:rPr>
          <w:spacing w:val="4"/>
        </w:rPr>
        <w:t>T</w:t>
      </w:r>
      <w:r>
        <w:rPr>
          <w:spacing w:val="4"/>
          <w:position w:val="-2"/>
          <w:sz w:val="14"/>
        </w:rPr>
        <w:t>d </w:t>
      </w:r>
      <w:r>
        <w:rPr/>
        <w:t>más significativas que el resto de  los nanomateriales de</w:t>
      </w:r>
      <w:r>
        <w:rPr>
          <w:spacing w:val="-8"/>
        </w:rPr>
        <w:t> </w:t>
      </w:r>
      <w:r>
        <w:rPr/>
        <w:t>carbono.</w:t>
      </w:r>
    </w:p>
    <w:p>
      <w:pPr>
        <w:pStyle w:val="BodyText"/>
      </w:pPr>
    </w:p>
    <w:p>
      <w:pPr>
        <w:pStyle w:val="BodyText"/>
        <w:spacing w:before="135"/>
        <w:ind w:left="330"/>
      </w:pPr>
      <w:r>
        <w:rPr>
          <w:b/>
        </w:rPr>
        <w:t>Tabla 4.7 </w:t>
      </w:r>
      <w:r>
        <w:rPr/>
        <w:t>Resultados de DMA de los nanocompositos obtenidos mediante moldeo por inyección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pStyle w:val="Heading5"/>
        <w:spacing w:before="73"/>
        <w:ind w:left="534"/>
        <w:rPr>
          <w:i/>
        </w:rPr>
      </w:pPr>
      <w:r>
        <w:rPr/>
        <w:pict>
          <v:shape style="position:absolute;margin-left:81.624001pt;margin-top:-39.990456pt;width:449pt;height:169.25pt;mso-position-horizontal-relative:page;mso-position-vertical-relative:paragraph;z-index:2776"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666"/>
                    <w:gridCol w:w="1221"/>
                    <w:gridCol w:w="1283"/>
                    <w:gridCol w:w="1096"/>
                    <w:gridCol w:w="1279"/>
                    <w:gridCol w:w="1218"/>
                    <w:gridCol w:w="1217"/>
                  </w:tblGrid>
                  <w:tr>
                    <w:trPr>
                      <w:trHeight w:val="332" w:hRule="exact"/>
                    </w:trPr>
                    <w:tc>
                      <w:tcPr>
                        <w:tcW w:w="1666" w:type="dxa"/>
                        <w:tcBorders>
                          <w:left w:val="nil"/>
                          <w:bottom w:val="nil"/>
                          <w:right w:val="nil"/>
                        </w:tcBorders>
                      </w:tcPr>
                      <w:p>
                        <w:pPr/>
                      </w:p>
                    </w:tc>
                    <w:tc>
                      <w:tcPr>
                        <w:tcW w:w="2503" w:type="dxa"/>
                        <w:gridSpan w:val="2"/>
                        <w:tcBorders>
                          <w:left w:val="nil"/>
                          <w:bottom w:val="single" w:sz="2" w:space="0" w:color="000000"/>
                          <w:right w:val="nil"/>
                        </w:tcBorders>
                      </w:tcPr>
                      <w:p>
                        <w:pPr>
                          <w:pStyle w:val="TableParagraph"/>
                          <w:spacing w:before="30"/>
                          <w:ind w:left="1553"/>
                          <w:jc w:val="left"/>
                          <w:rPr>
                            <w:b/>
                            <w:i/>
                            <w:sz w:val="22"/>
                          </w:rPr>
                        </w:pPr>
                        <w:r>
                          <w:rPr>
                            <w:b/>
                            <w:i/>
                            <w:sz w:val="22"/>
                          </w:rPr>
                          <w:t>T</w:t>
                        </w:r>
                        <w:r>
                          <w:rPr>
                            <w:b/>
                            <w:i/>
                            <w:position w:val="-2"/>
                            <w:sz w:val="14"/>
                          </w:rPr>
                          <w:t>g</w:t>
                        </w:r>
                        <w:r>
                          <w:rPr>
                            <w:b/>
                            <w:i/>
                            <w:sz w:val="22"/>
                          </w:rPr>
                          <w:t>, °C</w:t>
                        </w:r>
                      </w:p>
                    </w:tc>
                    <w:tc>
                      <w:tcPr>
                        <w:tcW w:w="4811" w:type="dxa"/>
                        <w:gridSpan w:val="4"/>
                        <w:tcBorders>
                          <w:left w:val="nil"/>
                          <w:bottom w:val="single" w:sz="2" w:space="0" w:color="000000"/>
                          <w:right w:val="nil"/>
                        </w:tcBorders>
                      </w:tcPr>
                      <w:p>
                        <w:pPr>
                          <w:pStyle w:val="TableParagraph"/>
                          <w:spacing w:before="61"/>
                          <w:ind w:left="1452"/>
                          <w:jc w:val="left"/>
                          <w:rPr>
                            <w:b/>
                            <w:i/>
                            <w:sz w:val="22"/>
                          </w:rPr>
                        </w:pPr>
                        <w:r>
                          <w:rPr>
                            <w:b/>
                            <w:i/>
                            <w:sz w:val="22"/>
                          </w:rPr>
                          <w:t>Módulo de almacenamiento, Mpa</w:t>
                        </w:r>
                      </w:p>
                    </w:tc>
                  </w:tr>
                  <w:tr>
                    <w:trPr>
                      <w:trHeight w:val="336" w:hRule="exact"/>
                    </w:trPr>
                    <w:tc>
                      <w:tcPr>
                        <w:tcW w:w="1666" w:type="dxa"/>
                        <w:tcBorders>
                          <w:top w:val="nil"/>
                          <w:left w:val="nil"/>
                          <w:bottom w:val="nil"/>
                          <w:right w:val="nil"/>
                        </w:tcBorders>
                      </w:tcPr>
                      <w:p>
                        <w:pPr>
                          <w:pStyle w:val="TableParagraph"/>
                          <w:spacing w:before="42"/>
                          <w:ind w:left="372" w:right="372"/>
                          <w:rPr>
                            <w:b/>
                            <w:i/>
                            <w:sz w:val="22"/>
                          </w:rPr>
                        </w:pPr>
                        <w:r>
                          <w:rPr>
                            <w:b/>
                            <w:i/>
                            <w:sz w:val="22"/>
                          </w:rPr>
                          <w:t>Nylon 6,6</w:t>
                        </w:r>
                      </w:p>
                    </w:tc>
                    <w:tc>
                      <w:tcPr>
                        <w:tcW w:w="2503" w:type="dxa"/>
                        <w:gridSpan w:val="2"/>
                        <w:tcBorders>
                          <w:top w:val="single" w:sz="2" w:space="0" w:color="000000"/>
                          <w:left w:val="nil"/>
                          <w:bottom w:val="single" w:sz="2" w:space="0" w:color="000000"/>
                          <w:right w:val="nil"/>
                        </w:tcBorders>
                      </w:tcPr>
                      <w:p>
                        <w:pPr>
                          <w:pStyle w:val="TableParagraph"/>
                          <w:spacing w:before="34"/>
                          <w:ind w:left="1635"/>
                          <w:jc w:val="left"/>
                          <w:rPr>
                            <w:sz w:val="22"/>
                          </w:rPr>
                        </w:pPr>
                        <w:r>
                          <w:rPr>
                            <w:sz w:val="22"/>
                          </w:rPr>
                          <w:t>72.0</w:t>
                        </w:r>
                      </w:p>
                    </w:tc>
                    <w:tc>
                      <w:tcPr>
                        <w:tcW w:w="4811" w:type="dxa"/>
                        <w:gridSpan w:val="4"/>
                        <w:tcBorders>
                          <w:top w:val="single" w:sz="2" w:space="0" w:color="000000"/>
                          <w:left w:val="nil"/>
                          <w:bottom w:val="single" w:sz="2" w:space="0" w:color="000000"/>
                          <w:right w:val="nil"/>
                        </w:tcBorders>
                      </w:tcPr>
                      <w:p>
                        <w:pPr>
                          <w:pStyle w:val="TableParagraph"/>
                          <w:spacing w:before="34"/>
                          <w:ind w:left="2679"/>
                          <w:jc w:val="left"/>
                          <w:rPr>
                            <w:sz w:val="22"/>
                          </w:rPr>
                        </w:pPr>
                        <w:r>
                          <w:rPr>
                            <w:sz w:val="22"/>
                          </w:rPr>
                          <w:t>1731.9</w:t>
                        </w:r>
                      </w:p>
                    </w:tc>
                  </w:tr>
                  <w:tr>
                    <w:trPr>
                      <w:trHeight w:val="341" w:hRule="exact"/>
                    </w:trPr>
                    <w:tc>
                      <w:tcPr>
                        <w:tcW w:w="4169" w:type="dxa"/>
                        <w:gridSpan w:val="3"/>
                        <w:tcBorders>
                          <w:top w:val="nil"/>
                          <w:left w:val="nil"/>
                          <w:bottom w:val="nil"/>
                          <w:right w:val="nil"/>
                        </w:tcBorders>
                      </w:tcPr>
                      <w:p>
                        <w:pPr>
                          <w:pStyle w:val="TableParagraph"/>
                          <w:spacing w:before="30"/>
                          <w:ind w:right="351"/>
                          <w:jc w:val="right"/>
                          <w:rPr>
                            <w:b/>
                            <w:i/>
                            <w:sz w:val="22"/>
                          </w:rPr>
                        </w:pPr>
                        <w:r>
                          <w:rPr>
                            <w:b/>
                            <w:i/>
                            <w:sz w:val="22"/>
                          </w:rPr>
                          <w:t>% peso</w:t>
                        </w:r>
                      </w:p>
                    </w:tc>
                    <w:tc>
                      <w:tcPr>
                        <w:tcW w:w="4811" w:type="dxa"/>
                        <w:gridSpan w:val="4"/>
                        <w:tcBorders>
                          <w:top w:val="nil"/>
                          <w:left w:val="nil"/>
                          <w:bottom w:val="nil"/>
                          <w:right w:val="nil"/>
                        </w:tcBorders>
                      </w:tcPr>
                      <w:p>
                        <w:pPr>
                          <w:pStyle w:val="TableParagraph"/>
                          <w:spacing w:before="30"/>
                          <w:ind w:left="2659"/>
                          <w:jc w:val="left"/>
                          <w:rPr>
                            <w:b/>
                            <w:i/>
                            <w:sz w:val="22"/>
                          </w:rPr>
                        </w:pPr>
                        <w:r>
                          <w:rPr>
                            <w:b/>
                            <w:i/>
                            <w:sz w:val="22"/>
                          </w:rPr>
                          <w:t>% peso</w:t>
                        </w:r>
                      </w:p>
                    </w:tc>
                  </w:tr>
                  <w:tr>
                    <w:trPr>
                      <w:trHeight w:val="336" w:hRule="exact"/>
                    </w:trPr>
                    <w:tc>
                      <w:tcPr>
                        <w:tcW w:w="1666" w:type="dxa"/>
                        <w:tcBorders>
                          <w:top w:val="nil"/>
                          <w:left w:val="nil"/>
                          <w:right w:val="nil"/>
                        </w:tcBorders>
                      </w:tcPr>
                      <w:p>
                        <w:pPr/>
                      </w:p>
                    </w:tc>
                    <w:tc>
                      <w:tcPr>
                        <w:tcW w:w="1221" w:type="dxa"/>
                        <w:tcBorders>
                          <w:top w:val="nil"/>
                          <w:left w:val="nil"/>
                          <w:right w:val="nil"/>
                        </w:tcBorders>
                      </w:tcPr>
                      <w:p>
                        <w:pPr>
                          <w:pStyle w:val="TableParagraph"/>
                          <w:spacing w:before="32"/>
                          <w:ind w:left="396" w:right="397"/>
                          <w:rPr>
                            <w:i/>
                            <w:sz w:val="22"/>
                          </w:rPr>
                        </w:pPr>
                        <w:r>
                          <w:rPr>
                            <w:i/>
                            <w:sz w:val="22"/>
                          </w:rPr>
                          <w:t>0.1</w:t>
                        </w:r>
                      </w:p>
                    </w:tc>
                    <w:tc>
                      <w:tcPr>
                        <w:tcW w:w="1283" w:type="dxa"/>
                        <w:tcBorders>
                          <w:top w:val="nil"/>
                          <w:left w:val="nil"/>
                          <w:right w:val="nil"/>
                        </w:tcBorders>
                      </w:tcPr>
                      <w:p>
                        <w:pPr>
                          <w:pStyle w:val="TableParagraph"/>
                          <w:spacing w:before="32"/>
                          <w:ind w:left="393" w:right="458"/>
                          <w:rPr>
                            <w:i/>
                            <w:sz w:val="22"/>
                          </w:rPr>
                        </w:pPr>
                        <w:r>
                          <w:rPr>
                            <w:i/>
                            <w:sz w:val="22"/>
                          </w:rPr>
                          <w:t>0.3</w:t>
                        </w:r>
                      </w:p>
                    </w:tc>
                    <w:tc>
                      <w:tcPr>
                        <w:tcW w:w="1096" w:type="dxa"/>
                        <w:tcBorders>
                          <w:top w:val="nil"/>
                          <w:left w:val="nil"/>
                          <w:right w:val="nil"/>
                        </w:tcBorders>
                      </w:tcPr>
                      <w:p>
                        <w:pPr>
                          <w:pStyle w:val="TableParagraph"/>
                          <w:spacing w:before="32"/>
                          <w:ind w:right="412"/>
                          <w:jc w:val="right"/>
                          <w:rPr>
                            <w:i/>
                            <w:sz w:val="22"/>
                          </w:rPr>
                        </w:pPr>
                        <w:r>
                          <w:rPr>
                            <w:i/>
                            <w:sz w:val="22"/>
                          </w:rPr>
                          <w:t>0.5</w:t>
                        </w:r>
                      </w:p>
                    </w:tc>
                    <w:tc>
                      <w:tcPr>
                        <w:tcW w:w="1279" w:type="dxa"/>
                        <w:tcBorders>
                          <w:top w:val="nil"/>
                          <w:left w:val="nil"/>
                          <w:right w:val="nil"/>
                        </w:tcBorders>
                      </w:tcPr>
                      <w:p>
                        <w:pPr>
                          <w:pStyle w:val="TableParagraph"/>
                          <w:spacing w:before="63"/>
                          <w:ind w:left="342" w:right="287"/>
                          <w:rPr>
                            <w:i/>
                            <w:sz w:val="22"/>
                          </w:rPr>
                        </w:pPr>
                        <w:r>
                          <w:rPr>
                            <w:i/>
                            <w:sz w:val="22"/>
                          </w:rPr>
                          <w:t>0.1</w:t>
                        </w:r>
                      </w:p>
                    </w:tc>
                    <w:tc>
                      <w:tcPr>
                        <w:tcW w:w="1218" w:type="dxa"/>
                        <w:tcBorders>
                          <w:top w:val="nil"/>
                          <w:left w:val="nil"/>
                          <w:right w:val="nil"/>
                        </w:tcBorders>
                      </w:tcPr>
                      <w:p>
                        <w:pPr>
                          <w:pStyle w:val="TableParagraph"/>
                          <w:spacing w:before="63"/>
                          <w:ind w:left="266" w:right="267"/>
                          <w:rPr>
                            <w:i/>
                            <w:sz w:val="22"/>
                          </w:rPr>
                        </w:pPr>
                        <w:r>
                          <w:rPr>
                            <w:i/>
                            <w:sz w:val="22"/>
                          </w:rPr>
                          <w:t>0.3</w:t>
                        </w:r>
                      </w:p>
                    </w:tc>
                    <w:tc>
                      <w:tcPr>
                        <w:tcW w:w="1217" w:type="dxa"/>
                        <w:tcBorders>
                          <w:top w:val="nil"/>
                          <w:left w:val="nil"/>
                          <w:right w:val="nil"/>
                        </w:tcBorders>
                      </w:tcPr>
                      <w:p>
                        <w:pPr>
                          <w:pStyle w:val="TableParagraph"/>
                          <w:spacing w:before="63"/>
                          <w:ind w:left="284" w:right="286"/>
                          <w:rPr>
                            <w:i/>
                            <w:sz w:val="22"/>
                          </w:rPr>
                        </w:pPr>
                        <w:r>
                          <w:rPr>
                            <w:i/>
                            <w:sz w:val="22"/>
                          </w:rPr>
                          <w:t>0.5</w:t>
                        </w:r>
                      </w:p>
                    </w:tc>
                  </w:tr>
                  <w:tr>
                    <w:trPr>
                      <w:trHeight w:val="373" w:hRule="exact"/>
                    </w:trPr>
                    <w:tc>
                      <w:tcPr>
                        <w:tcW w:w="1666" w:type="dxa"/>
                        <w:tcBorders>
                          <w:left w:val="nil"/>
                          <w:bottom w:val="nil"/>
                          <w:right w:val="nil"/>
                        </w:tcBorders>
                      </w:tcPr>
                      <w:p>
                        <w:pPr>
                          <w:pStyle w:val="TableParagraph"/>
                          <w:spacing w:before="39"/>
                          <w:ind w:left="372" w:right="372"/>
                          <w:rPr>
                            <w:b/>
                            <w:i/>
                            <w:sz w:val="22"/>
                          </w:rPr>
                        </w:pPr>
                        <w:r>
                          <w:rPr>
                            <w:b/>
                            <w:i/>
                            <w:sz w:val="22"/>
                          </w:rPr>
                          <w:t>p-CNT</w:t>
                        </w:r>
                      </w:p>
                    </w:tc>
                    <w:tc>
                      <w:tcPr>
                        <w:tcW w:w="1221" w:type="dxa"/>
                        <w:tcBorders>
                          <w:left w:val="nil"/>
                          <w:bottom w:val="nil"/>
                          <w:right w:val="nil"/>
                        </w:tcBorders>
                      </w:tcPr>
                      <w:p>
                        <w:pPr>
                          <w:pStyle w:val="TableParagraph"/>
                          <w:spacing w:before="73"/>
                          <w:ind w:left="397" w:right="397"/>
                          <w:rPr>
                            <w:sz w:val="22"/>
                          </w:rPr>
                        </w:pPr>
                        <w:r>
                          <w:rPr>
                            <w:sz w:val="22"/>
                          </w:rPr>
                          <w:t>78.3</w:t>
                        </w:r>
                      </w:p>
                    </w:tc>
                    <w:tc>
                      <w:tcPr>
                        <w:tcW w:w="1283" w:type="dxa"/>
                        <w:tcBorders>
                          <w:left w:val="nil"/>
                          <w:bottom w:val="nil"/>
                          <w:right w:val="nil"/>
                        </w:tcBorders>
                      </w:tcPr>
                      <w:p>
                        <w:pPr>
                          <w:pStyle w:val="TableParagraph"/>
                          <w:spacing w:before="73"/>
                          <w:ind w:left="398" w:right="458"/>
                          <w:rPr>
                            <w:sz w:val="22"/>
                          </w:rPr>
                        </w:pPr>
                        <w:r>
                          <w:rPr>
                            <w:sz w:val="22"/>
                          </w:rPr>
                          <w:t>78.0</w:t>
                        </w:r>
                      </w:p>
                    </w:tc>
                    <w:tc>
                      <w:tcPr>
                        <w:tcW w:w="1096" w:type="dxa"/>
                        <w:tcBorders>
                          <w:left w:val="nil"/>
                          <w:bottom w:val="nil"/>
                          <w:right w:val="nil"/>
                        </w:tcBorders>
                      </w:tcPr>
                      <w:p>
                        <w:pPr>
                          <w:pStyle w:val="TableParagraph"/>
                          <w:spacing w:before="73"/>
                          <w:ind w:right="354"/>
                          <w:jc w:val="right"/>
                          <w:rPr>
                            <w:sz w:val="22"/>
                          </w:rPr>
                        </w:pPr>
                        <w:r>
                          <w:rPr>
                            <w:sz w:val="22"/>
                          </w:rPr>
                          <w:t>76.4</w:t>
                        </w:r>
                      </w:p>
                    </w:tc>
                    <w:tc>
                      <w:tcPr>
                        <w:tcW w:w="1279" w:type="dxa"/>
                        <w:tcBorders>
                          <w:left w:val="nil"/>
                          <w:bottom w:val="nil"/>
                          <w:right w:val="nil"/>
                        </w:tcBorders>
                      </w:tcPr>
                      <w:p>
                        <w:pPr>
                          <w:pStyle w:val="TableParagraph"/>
                          <w:spacing w:before="73"/>
                          <w:ind w:left="347" w:right="287"/>
                          <w:rPr>
                            <w:sz w:val="22"/>
                          </w:rPr>
                        </w:pPr>
                        <w:r>
                          <w:rPr>
                            <w:sz w:val="22"/>
                          </w:rPr>
                          <w:t>1891.4</w:t>
                        </w:r>
                      </w:p>
                    </w:tc>
                    <w:tc>
                      <w:tcPr>
                        <w:tcW w:w="1218" w:type="dxa"/>
                        <w:tcBorders>
                          <w:left w:val="nil"/>
                          <w:bottom w:val="nil"/>
                          <w:right w:val="nil"/>
                        </w:tcBorders>
                      </w:tcPr>
                      <w:p>
                        <w:pPr>
                          <w:pStyle w:val="TableParagraph"/>
                          <w:spacing w:before="73"/>
                          <w:ind w:left="266" w:right="266"/>
                          <w:rPr>
                            <w:sz w:val="22"/>
                          </w:rPr>
                        </w:pPr>
                        <w:r>
                          <w:rPr>
                            <w:sz w:val="22"/>
                          </w:rPr>
                          <w:t>1941.6</w:t>
                        </w:r>
                      </w:p>
                    </w:tc>
                    <w:tc>
                      <w:tcPr>
                        <w:tcW w:w="1217" w:type="dxa"/>
                        <w:tcBorders>
                          <w:left w:val="nil"/>
                          <w:bottom w:val="nil"/>
                          <w:right w:val="nil"/>
                        </w:tcBorders>
                      </w:tcPr>
                      <w:p>
                        <w:pPr>
                          <w:pStyle w:val="TableParagraph"/>
                          <w:spacing w:before="73"/>
                          <w:ind w:left="286" w:right="286"/>
                          <w:rPr>
                            <w:sz w:val="22"/>
                          </w:rPr>
                        </w:pPr>
                        <w:r>
                          <w:rPr>
                            <w:sz w:val="22"/>
                          </w:rPr>
                          <w:t>2025.1</w:t>
                        </w:r>
                      </w:p>
                    </w:tc>
                  </w:tr>
                  <w:tr>
                    <w:trPr>
                      <w:trHeight w:val="330" w:hRule="exact"/>
                    </w:trPr>
                    <w:tc>
                      <w:tcPr>
                        <w:tcW w:w="1666" w:type="dxa"/>
                        <w:tcBorders>
                          <w:top w:val="nil"/>
                          <w:left w:val="nil"/>
                          <w:bottom w:val="nil"/>
                          <w:right w:val="nil"/>
                        </w:tcBorders>
                      </w:tcPr>
                      <w:p>
                        <w:pPr>
                          <w:pStyle w:val="TableParagraph"/>
                          <w:spacing w:before="9"/>
                          <w:ind w:left="371" w:right="372"/>
                          <w:rPr>
                            <w:b/>
                            <w:i/>
                            <w:sz w:val="22"/>
                          </w:rPr>
                        </w:pPr>
                        <w:r>
                          <w:rPr>
                            <w:b/>
                            <w:i/>
                            <w:sz w:val="22"/>
                          </w:rPr>
                          <w:t>OCNT</w:t>
                        </w:r>
                      </w:p>
                    </w:tc>
                    <w:tc>
                      <w:tcPr>
                        <w:tcW w:w="1221" w:type="dxa"/>
                        <w:tcBorders>
                          <w:top w:val="nil"/>
                          <w:left w:val="nil"/>
                          <w:bottom w:val="nil"/>
                          <w:right w:val="nil"/>
                        </w:tcBorders>
                      </w:tcPr>
                      <w:p>
                        <w:pPr>
                          <w:pStyle w:val="TableParagraph"/>
                          <w:spacing w:before="43"/>
                          <w:ind w:left="397" w:right="397"/>
                          <w:rPr>
                            <w:sz w:val="22"/>
                          </w:rPr>
                        </w:pPr>
                        <w:r>
                          <w:rPr>
                            <w:sz w:val="22"/>
                          </w:rPr>
                          <w:t>77.7</w:t>
                        </w:r>
                      </w:p>
                    </w:tc>
                    <w:tc>
                      <w:tcPr>
                        <w:tcW w:w="1283" w:type="dxa"/>
                        <w:tcBorders>
                          <w:top w:val="nil"/>
                          <w:left w:val="nil"/>
                          <w:bottom w:val="nil"/>
                          <w:right w:val="nil"/>
                        </w:tcBorders>
                      </w:tcPr>
                      <w:p>
                        <w:pPr>
                          <w:pStyle w:val="TableParagraph"/>
                          <w:spacing w:before="43"/>
                          <w:ind w:left="398" w:right="458"/>
                          <w:rPr>
                            <w:sz w:val="22"/>
                          </w:rPr>
                        </w:pPr>
                        <w:r>
                          <w:rPr>
                            <w:sz w:val="22"/>
                          </w:rPr>
                          <w:t>79.3</w:t>
                        </w:r>
                      </w:p>
                    </w:tc>
                    <w:tc>
                      <w:tcPr>
                        <w:tcW w:w="1096" w:type="dxa"/>
                        <w:tcBorders>
                          <w:top w:val="nil"/>
                          <w:left w:val="nil"/>
                          <w:bottom w:val="nil"/>
                          <w:right w:val="nil"/>
                        </w:tcBorders>
                      </w:tcPr>
                      <w:p>
                        <w:pPr>
                          <w:pStyle w:val="TableParagraph"/>
                          <w:spacing w:before="43"/>
                          <w:ind w:right="354"/>
                          <w:jc w:val="right"/>
                          <w:rPr>
                            <w:sz w:val="22"/>
                          </w:rPr>
                        </w:pPr>
                        <w:r>
                          <w:rPr>
                            <w:sz w:val="22"/>
                          </w:rPr>
                          <w:t>80.0</w:t>
                        </w:r>
                      </w:p>
                    </w:tc>
                    <w:tc>
                      <w:tcPr>
                        <w:tcW w:w="1279" w:type="dxa"/>
                        <w:tcBorders>
                          <w:top w:val="nil"/>
                          <w:left w:val="nil"/>
                          <w:bottom w:val="nil"/>
                          <w:right w:val="nil"/>
                        </w:tcBorders>
                      </w:tcPr>
                      <w:p>
                        <w:pPr>
                          <w:pStyle w:val="TableParagraph"/>
                          <w:spacing w:before="43"/>
                          <w:ind w:left="347" w:right="287"/>
                          <w:rPr>
                            <w:sz w:val="22"/>
                          </w:rPr>
                        </w:pPr>
                        <w:r>
                          <w:rPr>
                            <w:sz w:val="22"/>
                          </w:rPr>
                          <w:t>2035.3</w:t>
                        </w:r>
                      </w:p>
                    </w:tc>
                    <w:tc>
                      <w:tcPr>
                        <w:tcW w:w="1218" w:type="dxa"/>
                        <w:tcBorders>
                          <w:top w:val="nil"/>
                          <w:left w:val="nil"/>
                          <w:bottom w:val="nil"/>
                          <w:right w:val="nil"/>
                        </w:tcBorders>
                      </w:tcPr>
                      <w:p>
                        <w:pPr>
                          <w:pStyle w:val="TableParagraph"/>
                          <w:spacing w:before="43"/>
                          <w:ind w:left="266" w:right="266"/>
                          <w:rPr>
                            <w:sz w:val="22"/>
                          </w:rPr>
                        </w:pPr>
                        <w:r>
                          <w:rPr>
                            <w:sz w:val="22"/>
                          </w:rPr>
                          <w:t>2115.8</w:t>
                        </w:r>
                      </w:p>
                    </w:tc>
                    <w:tc>
                      <w:tcPr>
                        <w:tcW w:w="1217" w:type="dxa"/>
                        <w:tcBorders>
                          <w:top w:val="nil"/>
                          <w:left w:val="nil"/>
                          <w:bottom w:val="nil"/>
                          <w:right w:val="nil"/>
                        </w:tcBorders>
                      </w:tcPr>
                      <w:p>
                        <w:pPr>
                          <w:pStyle w:val="TableParagraph"/>
                          <w:spacing w:before="43"/>
                          <w:ind w:left="286" w:right="286"/>
                          <w:rPr>
                            <w:sz w:val="22"/>
                          </w:rPr>
                        </w:pPr>
                        <w:r>
                          <w:rPr>
                            <w:sz w:val="22"/>
                          </w:rPr>
                          <w:t>2196.3</w:t>
                        </w:r>
                      </w:p>
                    </w:tc>
                  </w:tr>
                  <w:tr>
                    <w:trPr>
                      <w:trHeight w:val="330" w:hRule="exact"/>
                    </w:trPr>
                    <w:tc>
                      <w:tcPr>
                        <w:tcW w:w="1666" w:type="dxa"/>
                        <w:tcBorders>
                          <w:top w:val="nil"/>
                          <w:left w:val="nil"/>
                          <w:bottom w:val="nil"/>
                          <w:right w:val="nil"/>
                        </w:tcBorders>
                      </w:tcPr>
                      <w:p>
                        <w:pPr>
                          <w:pStyle w:val="TableParagraph"/>
                          <w:spacing w:before="10"/>
                          <w:ind w:left="372" w:right="370"/>
                          <w:rPr>
                            <w:b/>
                            <w:i/>
                            <w:sz w:val="22"/>
                          </w:rPr>
                        </w:pPr>
                        <w:r>
                          <w:rPr>
                            <w:b/>
                            <w:i/>
                            <w:sz w:val="22"/>
                          </w:rPr>
                          <w:t>f-CNT</w:t>
                        </w:r>
                      </w:p>
                    </w:tc>
                    <w:tc>
                      <w:tcPr>
                        <w:tcW w:w="1221" w:type="dxa"/>
                        <w:tcBorders>
                          <w:top w:val="nil"/>
                          <w:left w:val="nil"/>
                          <w:bottom w:val="nil"/>
                          <w:right w:val="nil"/>
                        </w:tcBorders>
                      </w:tcPr>
                      <w:p>
                        <w:pPr>
                          <w:pStyle w:val="TableParagraph"/>
                          <w:spacing w:before="44"/>
                          <w:ind w:left="397" w:right="397"/>
                          <w:rPr>
                            <w:sz w:val="22"/>
                          </w:rPr>
                        </w:pPr>
                        <w:r>
                          <w:rPr>
                            <w:sz w:val="22"/>
                          </w:rPr>
                          <w:t>81.4</w:t>
                        </w:r>
                      </w:p>
                    </w:tc>
                    <w:tc>
                      <w:tcPr>
                        <w:tcW w:w="1283" w:type="dxa"/>
                        <w:tcBorders>
                          <w:top w:val="nil"/>
                          <w:left w:val="nil"/>
                          <w:bottom w:val="nil"/>
                          <w:right w:val="nil"/>
                        </w:tcBorders>
                      </w:tcPr>
                      <w:p>
                        <w:pPr>
                          <w:pStyle w:val="TableParagraph"/>
                          <w:spacing w:before="44"/>
                          <w:ind w:left="398" w:right="458"/>
                          <w:rPr>
                            <w:sz w:val="22"/>
                          </w:rPr>
                        </w:pPr>
                        <w:r>
                          <w:rPr>
                            <w:sz w:val="22"/>
                          </w:rPr>
                          <w:t>78.7</w:t>
                        </w:r>
                      </w:p>
                    </w:tc>
                    <w:tc>
                      <w:tcPr>
                        <w:tcW w:w="1096" w:type="dxa"/>
                        <w:tcBorders>
                          <w:top w:val="nil"/>
                          <w:left w:val="nil"/>
                          <w:bottom w:val="nil"/>
                          <w:right w:val="nil"/>
                        </w:tcBorders>
                      </w:tcPr>
                      <w:p>
                        <w:pPr>
                          <w:pStyle w:val="TableParagraph"/>
                          <w:spacing w:before="44"/>
                          <w:ind w:right="354"/>
                          <w:jc w:val="right"/>
                          <w:rPr>
                            <w:sz w:val="22"/>
                          </w:rPr>
                        </w:pPr>
                        <w:r>
                          <w:rPr>
                            <w:sz w:val="22"/>
                          </w:rPr>
                          <w:t>77.7</w:t>
                        </w:r>
                      </w:p>
                    </w:tc>
                    <w:tc>
                      <w:tcPr>
                        <w:tcW w:w="1279" w:type="dxa"/>
                        <w:tcBorders>
                          <w:top w:val="nil"/>
                          <w:left w:val="nil"/>
                          <w:bottom w:val="nil"/>
                          <w:right w:val="nil"/>
                        </w:tcBorders>
                      </w:tcPr>
                      <w:p>
                        <w:pPr>
                          <w:pStyle w:val="TableParagraph"/>
                          <w:spacing w:before="44"/>
                          <w:ind w:left="347" w:right="287"/>
                          <w:rPr>
                            <w:sz w:val="22"/>
                          </w:rPr>
                        </w:pPr>
                        <w:r>
                          <w:rPr>
                            <w:sz w:val="22"/>
                          </w:rPr>
                          <w:t>2249.7</w:t>
                        </w:r>
                      </w:p>
                    </w:tc>
                    <w:tc>
                      <w:tcPr>
                        <w:tcW w:w="1218" w:type="dxa"/>
                        <w:tcBorders>
                          <w:top w:val="nil"/>
                          <w:left w:val="nil"/>
                          <w:bottom w:val="nil"/>
                          <w:right w:val="nil"/>
                        </w:tcBorders>
                      </w:tcPr>
                      <w:p>
                        <w:pPr>
                          <w:pStyle w:val="TableParagraph"/>
                          <w:spacing w:before="44"/>
                          <w:ind w:left="266" w:right="266"/>
                          <w:rPr>
                            <w:sz w:val="22"/>
                          </w:rPr>
                        </w:pPr>
                        <w:r>
                          <w:rPr>
                            <w:sz w:val="22"/>
                          </w:rPr>
                          <w:t>2096.2</w:t>
                        </w:r>
                      </w:p>
                    </w:tc>
                    <w:tc>
                      <w:tcPr>
                        <w:tcW w:w="1217" w:type="dxa"/>
                        <w:tcBorders>
                          <w:top w:val="nil"/>
                          <w:left w:val="nil"/>
                          <w:bottom w:val="nil"/>
                          <w:right w:val="nil"/>
                        </w:tcBorders>
                      </w:tcPr>
                      <w:p>
                        <w:pPr>
                          <w:pStyle w:val="TableParagraph"/>
                          <w:spacing w:before="44"/>
                          <w:ind w:left="286" w:right="286"/>
                          <w:rPr>
                            <w:sz w:val="22"/>
                          </w:rPr>
                        </w:pPr>
                        <w:r>
                          <w:rPr>
                            <w:sz w:val="22"/>
                          </w:rPr>
                          <w:t>2021.0</w:t>
                        </w:r>
                      </w:p>
                    </w:tc>
                  </w:tr>
                  <w:tr>
                    <w:trPr>
                      <w:trHeight w:val="330" w:hRule="exact"/>
                    </w:trPr>
                    <w:tc>
                      <w:tcPr>
                        <w:tcW w:w="1666" w:type="dxa"/>
                        <w:tcBorders>
                          <w:top w:val="nil"/>
                          <w:left w:val="nil"/>
                          <w:bottom w:val="nil"/>
                          <w:right w:val="nil"/>
                        </w:tcBorders>
                      </w:tcPr>
                      <w:p>
                        <w:pPr>
                          <w:pStyle w:val="TableParagraph"/>
                          <w:spacing w:before="9"/>
                          <w:ind w:left="372" w:right="372"/>
                          <w:rPr>
                            <w:b/>
                            <w:i/>
                            <w:sz w:val="22"/>
                          </w:rPr>
                        </w:pPr>
                        <w:r>
                          <w:rPr>
                            <w:b/>
                            <w:i/>
                            <w:sz w:val="22"/>
                          </w:rPr>
                          <w:t>RGO</w:t>
                        </w:r>
                      </w:p>
                    </w:tc>
                    <w:tc>
                      <w:tcPr>
                        <w:tcW w:w="1221" w:type="dxa"/>
                        <w:tcBorders>
                          <w:top w:val="nil"/>
                          <w:left w:val="nil"/>
                          <w:bottom w:val="nil"/>
                          <w:right w:val="nil"/>
                        </w:tcBorders>
                      </w:tcPr>
                      <w:p>
                        <w:pPr>
                          <w:pStyle w:val="TableParagraph"/>
                          <w:spacing w:before="43"/>
                          <w:ind w:left="397" w:right="397"/>
                          <w:rPr>
                            <w:sz w:val="22"/>
                          </w:rPr>
                        </w:pPr>
                        <w:r>
                          <w:rPr>
                            <w:sz w:val="22"/>
                          </w:rPr>
                          <w:t>76.9</w:t>
                        </w:r>
                      </w:p>
                    </w:tc>
                    <w:tc>
                      <w:tcPr>
                        <w:tcW w:w="1283" w:type="dxa"/>
                        <w:tcBorders>
                          <w:top w:val="nil"/>
                          <w:left w:val="nil"/>
                          <w:bottom w:val="nil"/>
                          <w:right w:val="nil"/>
                        </w:tcBorders>
                      </w:tcPr>
                      <w:p>
                        <w:pPr>
                          <w:pStyle w:val="TableParagraph"/>
                          <w:spacing w:before="43"/>
                          <w:ind w:left="398" w:right="458"/>
                          <w:rPr>
                            <w:sz w:val="22"/>
                          </w:rPr>
                        </w:pPr>
                        <w:r>
                          <w:rPr>
                            <w:sz w:val="22"/>
                          </w:rPr>
                          <w:t>80.9</w:t>
                        </w:r>
                      </w:p>
                    </w:tc>
                    <w:tc>
                      <w:tcPr>
                        <w:tcW w:w="1096" w:type="dxa"/>
                        <w:tcBorders>
                          <w:top w:val="nil"/>
                          <w:left w:val="nil"/>
                          <w:bottom w:val="nil"/>
                          <w:right w:val="nil"/>
                        </w:tcBorders>
                      </w:tcPr>
                      <w:p>
                        <w:pPr>
                          <w:pStyle w:val="TableParagraph"/>
                          <w:spacing w:before="43"/>
                          <w:ind w:right="354"/>
                          <w:jc w:val="right"/>
                          <w:rPr>
                            <w:sz w:val="22"/>
                          </w:rPr>
                        </w:pPr>
                        <w:r>
                          <w:rPr>
                            <w:sz w:val="22"/>
                          </w:rPr>
                          <w:t>79.9</w:t>
                        </w:r>
                      </w:p>
                    </w:tc>
                    <w:tc>
                      <w:tcPr>
                        <w:tcW w:w="1279" w:type="dxa"/>
                        <w:tcBorders>
                          <w:top w:val="nil"/>
                          <w:left w:val="nil"/>
                          <w:bottom w:val="nil"/>
                          <w:right w:val="nil"/>
                        </w:tcBorders>
                      </w:tcPr>
                      <w:p>
                        <w:pPr>
                          <w:pStyle w:val="TableParagraph"/>
                          <w:spacing w:before="43"/>
                          <w:ind w:left="347" w:right="287"/>
                          <w:rPr>
                            <w:sz w:val="22"/>
                          </w:rPr>
                        </w:pPr>
                        <w:r>
                          <w:rPr>
                            <w:sz w:val="22"/>
                          </w:rPr>
                          <w:t>2026.5</w:t>
                        </w:r>
                      </w:p>
                    </w:tc>
                    <w:tc>
                      <w:tcPr>
                        <w:tcW w:w="1218" w:type="dxa"/>
                        <w:tcBorders>
                          <w:top w:val="nil"/>
                          <w:left w:val="nil"/>
                          <w:bottom w:val="nil"/>
                          <w:right w:val="nil"/>
                        </w:tcBorders>
                      </w:tcPr>
                      <w:p>
                        <w:pPr>
                          <w:pStyle w:val="TableParagraph"/>
                          <w:spacing w:before="43"/>
                          <w:ind w:left="266" w:right="266"/>
                          <w:rPr>
                            <w:sz w:val="22"/>
                          </w:rPr>
                        </w:pPr>
                        <w:r>
                          <w:rPr>
                            <w:sz w:val="22"/>
                          </w:rPr>
                          <w:t>2261.0</w:t>
                        </w:r>
                      </w:p>
                    </w:tc>
                    <w:tc>
                      <w:tcPr>
                        <w:tcW w:w="1217" w:type="dxa"/>
                        <w:tcBorders>
                          <w:top w:val="nil"/>
                          <w:left w:val="nil"/>
                          <w:bottom w:val="nil"/>
                          <w:right w:val="nil"/>
                        </w:tcBorders>
                      </w:tcPr>
                      <w:p>
                        <w:pPr>
                          <w:pStyle w:val="TableParagraph"/>
                          <w:spacing w:before="43"/>
                          <w:ind w:left="286" w:right="286"/>
                          <w:rPr>
                            <w:sz w:val="22"/>
                          </w:rPr>
                        </w:pPr>
                        <w:r>
                          <w:rPr>
                            <w:sz w:val="22"/>
                          </w:rPr>
                          <w:t>2320.7</w:t>
                        </w:r>
                      </w:p>
                    </w:tc>
                  </w:tr>
                  <w:tr>
                    <w:trPr>
                      <w:trHeight w:val="330" w:hRule="exact"/>
                    </w:trPr>
                    <w:tc>
                      <w:tcPr>
                        <w:tcW w:w="1666" w:type="dxa"/>
                        <w:tcBorders>
                          <w:top w:val="nil"/>
                          <w:left w:val="nil"/>
                          <w:bottom w:val="nil"/>
                          <w:right w:val="nil"/>
                        </w:tcBorders>
                      </w:tcPr>
                      <w:p>
                        <w:pPr>
                          <w:pStyle w:val="TableParagraph"/>
                          <w:spacing w:before="10"/>
                          <w:ind w:left="372" w:right="372"/>
                          <w:rPr>
                            <w:b/>
                            <w:i/>
                            <w:sz w:val="22"/>
                          </w:rPr>
                        </w:pPr>
                        <w:r>
                          <w:rPr>
                            <w:b/>
                            <w:i/>
                            <w:sz w:val="22"/>
                          </w:rPr>
                          <w:t>GO</w:t>
                        </w:r>
                      </w:p>
                    </w:tc>
                    <w:tc>
                      <w:tcPr>
                        <w:tcW w:w="1221" w:type="dxa"/>
                        <w:tcBorders>
                          <w:top w:val="nil"/>
                          <w:left w:val="nil"/>
                          <w:bottom w:val="nil"/>
                          <w:right w:val="nil"/>
                        </w:tcBorders>
                      </w:tcPr>
                      <w:p>
                        <w:pPr>
                          <w:pStyle w:val="TableParagraph"/>
                          <w:spacing w:before="44"/>
                          <w:ind w:left="397" w:right="397"/>
                          <w:rPr>
                            <w:sz w:val="22"/>
                          </w:rPr>
                        </w:pPr>
                        <w:r>
                          <w:rPr>
                            <w:sz w:val="22"/>
                          </w:rPr>
                          <w:t>78.1</w:t>
                        </w:r>
                      </w:p>
                    </w:tc>
                    <w:tc>
                      <w:tcPr>
                        <w:tcW w:w="1283" w:type="dxa"/>
                        <w:tcBorders>
                          <w:top w:val="nil"/>
                          <w:left w:val="nil"/>
                          <w:bottom w:val="nil"/>
                          <w:right w:val="nil"/>
                        </w:tcBorders>
                      </w:tcPr>
                      <w:p>
                        <w:pPr>
                          <w:pStyle w:val="TableParagraph"/>
                          <w:spacing w:before="44"/>
                          <w:ind w:left="398" w:right="458"/>
                          <w:rPr>
                            <w:sz w:val="22"/>
                          </w:rPr>
                        </w:pPr>
                        <w:r>
                          <w:rPr>
                            <w:sz w:val="22"/>
                          </w:rPr>
                          <w:t>78.2</w:t>
                        </w:r>
                      </w:p>
                    </w:tc>
                    <w:tc>
                      <w:tcPr>
                        <w:tcW w:w="1096" w:type="dxa"/>
                        <w:tcBorders>
                          <w:top w:val="nil"/>
                          <w:left w:val="nil"/>
                          <w:bottom w:val="nil"/>
                          <w:right w:val="nil"/>
                        </w:tcBorders>
                      </w:tcPr>
                      <w:p>
                        <w:pPr>
                          <w:pStyle w:val="TableParagraph"/>
                          <w:spacing w:before="44"/>
                          <w:ind w:right="354"/>
                          <w:jc w:val="right"/>
                          <w:rPr>
                            <w:sz w:val="22"/>
                          </w:rPr>
                        </w:pPr>
                        <w:r>
                          <w:rPr>
                            <w:sz w:val="22"/>
                          </w:rPr>
                          <w:t>78.9</w:t>
                        </w:r>
                      </w:p>
                    </w:tc>
                    <w:tc>
                      <w:tcPr>
                        <w:tcW w:w="1279" w:type="dxa"/>
                        <w:tcBorders>
                          <w:top w:val="nil"/>
                          <w:left w:val="nil"/>
                          <w:bottom w:val="nil"/>
                          <w:right w:val="nil"/>
                        </w:tcBorders>
                      </w:tcPr>
                      <w:p>
                        <w:pPr>
                          <w:pStyle w:val="TableParagraph"/>
                          <w:spacing w:before="44"/>
                          <w:ind w:left="347" w:right="287"/>
                          <w:rPr>
                            <w:sz w:val="22"/>
                          </w:rPr>
                        </w:pPr>
                        <w:r>
                          <w:rPr>
                            <w:sz w:val="22"/>
                          </w:rPr>
                          <w:t>2220.0</w:t>
                        </w:r>
                      </w:p>
                    </w:tc>
                    <w:tc>
                      <w:tcPr>
                        <w:tcW w:w="1218" w:type="dxa"/>
                        <w:tcBorders>
                          <w:top w:val="nil"/>
                          <w:left w:val="nil"/>
                          <w:bottom w:val="nil"/>
                          <w:right w:val="nil"/>
                        </w:tcBorders>
                      </w:tcPr>
                      <w:p>
                        <w:pPr>
                          <w:pStyle w:val="TableParagraph"/>
                          <w:spacing w:before="44"/>
                          <w:ind w:left="266" w:right="266"/>
                          <w:rPr>
                            <w:sz w:val="22"/>
                          </w:rPr>
                        </w:pPr>
                        <w:r>
                          <w:rPr>
                            <w:sz w:val="22"/>
                          </w:rPr>
                          <w:t>2380.2</w:t>
                        </w:r>
                      </w:p>
                    </w:tc>
                    <w:tc>
                      <w:tcPr>
                        <w:tcW w:w="1217" w:type="dxa"/>
                        <w:tcBorders>
                          <w:top w:val="nil"/>
                          <w:left w:val="nil"/>
                          <w:bottom w:val="nil"/>
                          <w:right w:val="nil"/>
                        </w:tcBorders>
                      </w:tcPr>
                      <w:p>
                        <w:pPr>
                          <w:pStyle w:val="TableParagraph"/>
                          <w:spacing w:before="44"/>
                          <w:ind w:left="286" w:right="286"/>
                          <w:rPr>
                            <w:sz w:val="22"/>
                          </w:rPr>
                        </w:pPr>
                        <w:r>
                          <w:rPr>
                            <w:sz w:val="22"/>
                          </w:rPr>
                          <w:t>2492.3</w:t>
                        </w:r>
                      </w:p>
                    </w:tc>
                  </w:tr>
                  <w:tr>
                    <w:trPr>
                      <w:trHeight w:val="318" w:hRule="exact"/>
                    </w:trPr>
                    <w:tc>
                      <w:tcPr>
                        <w:tcW w:w="1666" w:type="dxa"/>
                        <w:tcBorders>
                          <w:top w:val="nil"/>
                          <w:left w:val="nil"/>
                          <w:right w:val="nil"/>
                        </w:tcBorders>
                      </w:tcPr>
                      <w:p>
                        <w:pPr>
                          <w:pStyle w:val="TableParagraph"/>
                          <w:spacing w:before="9"/>
                          <w:ind w:left="372" w:right="372"/>
                          <w:rPr>
                            <w:b/>
                            <w:i/>
                            <w:sz w:val="22"/>
                          </w:rPr>
                        </w:pPr>
                        <w:r>
                          <w:rPr>
                            <w:b/>
                            <w:i/>
                            <w:sz w:val="22"/>
                          </w:rPr>
                          <w:t>f-Ge</w:t>
                        </w:r>
                      </w:p>
                    </w:tc>
                    <w:tc>
                      <w:tcPr>
                        <w:tcW w:w="1221" w:type="dxa"/>
                        <w:tcBorders>
                          <w:top w:val="nil"/>
                          <w:left w:val="nil"/>
                          <w:right w:val="nil"/>
                        </w:tcBorders>
                      </w:tcPr>
                      <w:p>
                        <w:pPr>
                          <w:pStyle w:val="TableParagraph"/>
                          <w:spacing w:before="43"/>
                          <w:ind w:left="397" w:right="397"/>
                          <w:rPr>
                            <w:sz w:val="22"/>
                          </w:rPr>
                        </w:pPr>
                        <w:r>
                          <w:rPr>
                            <w:sz w:val="22"/>
                          </w:rPr>
                          <w:t>78.3</w:t>
                        </w:r>
                      </w:p>
                    </w:tc>
                    <w:tc>
                      <w:tcPr>
                        <w:tcW w:w="1283" w:type="dxa"/>
                        <w:tcBorders>
                          <w:top w:val="nil"/>
                          <w:left w:val="nil"/>
                          <w:right w:val="nil"/>
                        </w:tcBorders>
                      </w:tcPr>
                      <w:p>
                        <w:pPr>
                          <w:pStyle w:val="TableParagraph"/>
                          <w:spacing w:before="43"/>
                          <w:ind w:left="398" w:right="458"/>
                          <w:rPr>
                            <w:sz w:val="22"/>
                          </w:rPr>
                        </w:pPr>
                        <w:r>
                          <w:rPr>
                            <w:sz w:val="22"/>
                          </w:rPr>
                          <w:t>77.7</w:t>
                        </w:r>
                      </w:p>
                    </w:tc>
                    <w:tc>
                      <w:tcPr>
                        <w:tcW w:w="1096" w:type="dxa"/>
                        <w:tcBorders>
                          <w:top w:val="nil"/>
                          <w:left w:val="nil"/>
                          <w:right w:val="nil"/>
                        </w:tcBorders>
                      </w:tcPr>
                      <w:p>
                        <w:pPr>
                          <w:pStyle w:val="TableParagraph"/>
                          <w:spacing w:before="43"/>
                          <w:ind w:right="354"/>
                          <w:jc w:val="right"/>
                          <w:rPr>
                            <w:sz w:val="22"/>
                          </w:rPr>
                        </w:pPr>
                        <w:r>
                          <w:rPr>
                            <w:sz w:val="22"/>
                          </w:rPr>
                          <w:t>79.6</w:t>
                        </w:r>
                      </w:p>
                    </w:tc>
                    <w:tc>
                      <w:tcPr>
                        <w:tcW w:w="1279" w:type="dxa"/>
                        <w:tcBorders>
                          <w:top w:val="nil"/>
                          <w:left w:val="nil"/>
                          <w:right w:val="nil"/>
                        </w:tcBorders>
                      </w:tcPr>
                      <w:p>
                        <w:pPr>
                          <w:pStyle w:val="TableParagraph"/>
                          <w:spacing w:before="43"/>
                          <w:ind w:left="347" w:right="287"/>
                          <w:rPr>
                            <w:sz w:val="22"/>
                          </w:rPr>
                        </w:pPr>
                        <w:r>
                          <w:rPr>
                            <w:sz w:val="22"/>
                          </w:rPr>
                          <w:t>2118.2</w:t>
                        </w:r>
                      </w:p>
                    </w:tc>
                    <w:tc>
                      <w:tcPr>
                        <w:tcW w:w="1218" w:type="dxa"/>
                        <w:tcBorders>
                          <w:top w:val="nil"/>
                          <w:left w:val="nil"/>
                          <w:right w:val="nil"/>
                        </w:tcBorders>
                      </w:tcPr>
                      <w:p>
                        <w:pPr>
                          <w:pStyle w:val="TableParagraph"/>
                          <w:spacing w:before="43"/>
                          <w:ind w:left="266" w:right="266"/>
                          <w:rPr>
                            <w:sz w:val="22"/>
                          </w:rPr>
                        </w:pPr>
                        <w:r>
                          <w:rPr>
                            <w:sz w:val="22"/>
                          </w:rPr>
                          <w:t>2229.5</w:t>
                        </w:r>
                      </w:p>
                    </w:tc>
                    <w:tc>
                      <w:tcPr>
                        <w:tcW w:w="1217" w:type="dxa"/>
                        <w:tcBorders>
                          <w:top w:val="nil"/>
                          <w:left w:val="nil"/>
                          <w:right w:val="nil"/>
                        </w:tcBorders>
                      </w:tcPr>
                      <w:p>
                        <w:pPr>
                          <w:pStyle w:val="TableParagraph"/>
                          <w:spacing w:before="43"/>
                          <w:ind w:left="286" w:right="286"/>
                          <w:rPr>
                            <w:sz w:val="22"/>
                          </w:rPr>
                        </w:pPr>
                        <w:r>
                          <w:rPr>
                            <w:sz w:val="22"/>
                          </w:rPr>
                          <w:t>2265.6</w:t>
                        </w:r>
                      </w:p>
                    </w:tc>
                  </w:tr>
                </w:tbl>
                <w:p>
                  <w:pPr>
                    <w:pStyle w:val="BodyText"/>
                  </w:pPr>
                </w:p>
              </w:txbxContent>
            </v:textbox>
            <w10:wrap type="none"/>
          </v:shape>
        </w:pict>
      </w:r>
      <w:r>
        <w:rPr>
          <w:i/>
        </w:rPr>
        <w:t>Refuerzo</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4"/>
        <w:rPr>
          <w:b/>
          <w:i/>
          <w:sz w:val="21"/>
        </w:rPr>
      </w:pPr>
    </w:p>
    <w:p>
      <w:pPr>
        <w:pStyle w:val="BodyText"/>
        <w:spacing w:before="72"/>
        <w:ind w:left="364"/>
      </w:pPr>
      <w:r>
        <w:rPr>
          <w:b/>
        </w:rPr>
        <w:t>Tabla 4.8 </w:t>
      </w:r>
      <w:r>
        <w:rPr/>
        <w:t>Resultados de TGA de los nanocompositos obtenidos mediante moldeo por inyección</w:t>
      </w:r>
    </w:p>
    <w:p>
      <w:pPr>
        <w:pStyle w:val="BodyText"/>
        <w:rPr>
          <w:sz w:val="29"/>
        </w:rPr>
      </w:pPr>
    </w:p>
    <w:tbl>
      <w:tblPr>
        <w:tblW w:w="0" w:type="auto"/>
        <w:jc w:val="left"/>
        <w:tblInd w:w="95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034"/>
        <w:gridCol w:w="1576"/>
        <w:gridCol w:w="1576"/>
        <w:gridCol w:w="1548"/>
        <w:gridCol w:w="1551"/>
      </w:tblGrid>
      <w:tr>
        <w:trPr>
          <w:trHeight w:val="698" w:hRule="exact"/>
        </w:trPr>
        <w:tc>
          <w:tcPr>
            <w:tcW w:w="4187" w:type="dxa"/>
            <w:gridSpan w:val="3"/>
            <w:tcBorders>
              <w:left w:val="nil"/>
              <w:bottom w:val="nil"/>
              <w:right w:val="nil"/>
            </w:tcBorders>
          </w:tcPr>
          <w:p>
            <w:pPr>
              <w:pStyle w:val="TableParagraph"/>
              <w:spacing w:before="212"/>
              <w:ind w:left="1103"/>
              <w:jc w:val="left"/>
              <w:rPr>
                <w:b/>
                <w:i/>
                <w:sz w:val="22"/>
              </w:rPr>
            </w:pPr>
            <w:r>
              <w:rPr>
                <w:b/>
                <w:i/>
                <w:sz w:val="22"/>
              </w:rPr>
              <w:t>T</w:t>
            </w:r>
            <w:r>
              <w:rPr>
                <w:b/>
                <w:i/>
                <w:position w:val="-2"/>
                <w:sz w:val="14"/>
              </w:rPr>
              <w:t>d  </w:t>
            </w:r>
            <w:r>
              <w:rPr>
                <w:b/>
                <w:i/>
                <w:sz w:val="22"/>
              </w:rPr>
              <w:t>,°C  al 10% de pérdida de peso</w:t>
            </w:r>
          </w:p>
        </w:tc>
        <w:tc>
          <w:tcPr>
            <w:tcW w:w="3099" w:type="dxa"/>
            <w:gridSpan w:val="2"/>
            <w:tcBorders>
              <w:left w:val="nil"/>
              <w:bottom w:val="single" w:sz="2" w:space="0" w:color="000000"/>
              <w:right w:val="nil"/>
            </w:tcBorders>
          </w:tcPr>
          <w:p>
            <w:pPr>
              <w:pStyle w:val="TableParagraph"/>
              <w:spacing w:before="212"/>
              <w:ind w:left="69"/>
              <w:jc w:val="left"/>
              <w:rPr>
                <w:b/>
                <w:i/>
                <w:sz w:val="22"/>
              </w:rPr>
            </w:pPr>
            <w:r>
              <w:rPr>
                <w:b/>
                <w:i/>
                <w:sz w:val="22"/>
              </w:rPr>
              <w:t>T</w:t>
            </w:r>
            <w:r>
              <w:rPr>
                <w:b/>
                <w:i/>
                <w:position w:val="-2"/>
                <w:sz w:val="14"/>
              </w:rPr>
              <w:t>d</w:t>
            </w:r>
            <w:r>
              <w:rPr>
                <w:b/>
                <w:i/>
                <w:sz w:val="22"/>
              </w:rPr>
              <w:t>, °C al 50% de pérdida de peso</w:t>
            </w:r>
          </w:p>
        </w:tc>
      </w:tr>
      <w:tr>
        <w:trPr>
          <w:trHeight w:val="322" w:hRule="exact"/>
        </w:trPr>
        <w:tc>
          <w:tcPr>
            <w:tcW w:w="1034" w:type="dxa"/>
            <w:tcBorders>
              <w:top w:val="nil"/>
              <w:left w:val="nil"/>
              <w:bottom w:val="nil"/>
              <w:right w:val="nil"/>
            </w:tcBorders>
          </w:tcPr>
          <w:p>
            <w:pPr>
              <w:pStyle w:val="TableParagraph"/>
              <w:spacing w:before="32"/>
              <w:ind w:left="65" w:right="49"/>
              <w:rPr>
                <w:b/>
                <w:i/>
                <w:sz w:val="22"/>
              </w:rPr>
            </w:pPr>
            <w:r>
              <w:rPr>
                <w:b/>
                <w:i/>
                <w:sz w:val="22"/>
              </w:rPr>
              <w:t>Nylon 6,6</w:t>
            </w:r>
          </w:p>
        </w:tc>
        <w:tc>
          <w:tcPr>
            <w:tcW w:w="3153" w:type="dxa"/>
            <w:gridSpan w:val="2"/>
            <w:tcBorders>
              <w:top w:val="single" w:sz="2" w:space="0" w:color="000000"/>
              <w:left w:val="nil"/>
              <w:bottom w:val="single" w:sz="2" w:space="0" w:color="000000"/>
              <w:right w:val="nil"/>
            </w:tcBorders>
          </w:tcPr>
          <w:p>
            <w:pPr>
              <w:pStyle w:val="TableParagraph"/>
              <w:spacing w:before="25"/>
              <w:ind w:left="1235" w:right="1235"/>
              <w:rPr>
                <w:sz w:val="22"/>
              </w:rPr>
            </w:pPr>
            <w:r>
              <w:rPr>
                <w:sz w:val="22"/>
              </w:rPr>
              <w:t>387.5</w:t>
            </w:r>
          </w:p>
        </w:tc>
        <w:tc>
          <w:tcPr>
            <w:tcW w:w="3099" w:type="dxa"/>
            <w:gridSpan w:val="2"/>
            <w:tcBorders>
              <w:top w:val="single" w:sz="2" w:space="0" w:color="000000"/>
              <w:left w:val="nil"/>
              <w:bottom w:val="single" w:sz="2" w:space="0" w:color="000000"/>
              <w:right w:val="nil"/>
            </w:tcBorders>
          </w:tcPr>
          <w:p>
            <w:pPr>
              <w:pStyle w:val="TableParagraph"/>
              <w:spacing w:before="25"/>
              <w:ind w:left="1207" w:right="1208"/>
              <w:rPr>
                <w:sz w:val="22"/>
              </w:rPr>
            </w:pPr>
            <w:r>
              <w:rPr>
                <w:sz w:val="22"/>
              </w:rPr>
              <w:t>420.7</w:t>
            </w:r>
          </w:p>
        </w:tc>
      </w:tr>
      <w:tr>
        <w:trPr>
          <w:trHeight w:val="325" w:hRule="exact"/>
        </w:trPr>
        <w:tc>
          <w:tcPr>
            <w:tcW w:w="1034" w:type="dxa"/>
            <w:vMerge w:val="restart"/>
            <w:tcBorders>
              <w:top w:val="nil"/>
              <w:left w:val="nil"/>
              <w:right w:val="nil"/>
            </w:tcBorders>
          </w:tcPr>
          <w:p>
            <w:pPr>
              <w:pStyle w:val="TableParagraph"/>
              <w:spacing w:before="188"/>
              <w:ind w:left="115"/>
              <w:jc w:val="left"/>
              <w:rPr>
                <w:b/>
                <w:i/>
                <w:sz w:val="22"/>
              </w:rPr>
            </w:pPr>
            <w:r>
              <w:rPr>
                <w:b/>
                <w:i/>
                <w:sz w:val="22"/>
              </w:rPr>
              <w:t>Refuerzo</w:t>
            </w:r>
          </w:p>
        </w:tc>
        <w:tc>
          <w:tcPr>
            <w:tcW w:w="3153" w:type="dxa"/>
            <w:gridSpan w:val="2"/>
            <w:tcBorders>
              <w:top w:val="single" w:sz="2" w:space="0" w:color="000000"/>
              <w:left w:val="nil"/>
              <w:bottom w:val="nil"/>
              <w:right w:val="nil"/>
            </w:tcBorders>
          </w:tcPr>
          <w:p>
            <w:pPr>
              <w:pStyle w:val="TableParagraph"/>
              <w:spacing w:before="30"/>
              <w:ind w:left="1236" w:right="1235"/>
              <w:rPr>
                <w:b/>
                <w:i/>
                <w:sz w:val="22"/>
              </w:rPr>
            </w:pPr>
            <w:r>
              <w:rPr>
                <w:b/>
                <w:i/>
                <w:sz w:val="22"/>
              </w:rPr>
              <w:t>% peso</w:t>
            </w:r>
          </w:p>
        </w:tc>
        <w:tc>
          <w:tcPr>
            <w:tcW w:w="3099" w:type="dxa"/>
            <w:gridSpan w:val="2"/>
            <w:tcBorders>
              <w:top w:val="single" w:sz="2" w:space="0" w:color="000000"/>
              <w:left w:val="nil"/>
              <w:bottom w:val="nil"/>
              <w:right w:val="nil"/>
            </w:tcBorders>
          </w:tcPr>
          <w:p>
            <w:pPr>
              <w:pStyle w:val="TableParagraph"/>
              <w:spacing w:before="30"/>
              <w:ind w:left="1207" w:right="1209"/>
              <w:rPr>
                <w:b/>
                <w:i/>
                <w:sz w:val="22"/>
              </w:rPr>
            </w:pPr>
            <w:r>
              <w:rPr>
                <w:b/>
                <w:i/>
                <w:sz w:val="22"/>
              </w:rPr>
              <w:t>% peso</w:t>
            </w:r>
          </w:p>
        </w:tc>
      </w:tr>
      <w:tr>
        <w:trPr>
          <w:trHeight w:val="320" w:hRule="exact"/>
        </w:trPr>
        <w:tc>
          <w:tcPr>
            <w:tcW w:w="1034" w:type="dxa"/>
            <w:vMerge/>
            <w:tcBorders>
              <w:left w:val="nil"/>
              <w:right w:val="nil"/>
            </w:tcBorders>
          </w:tcPr>
          <w:p>
            <w:pPr/>
          </w:p>
        </w:tc>
        <w:tc>
          <w:tcPr>
            <w:tcW w:w="1576" w:type="dxa"/>
            <w:tcBorders>
              <w:top w:val="nil"/>
              <w:left w:val="nil"/>
              <w:right w:val="nil"/>
            </w:tcBorders>
          </w:tcPr>
          <w:p>
            <w:pPr>
              <w:pStyle w:val="TableParagraph"/>
              <w:spacing w:before="16"/>
              <w:ind w:left="518" w:right="520"/>
              <w:rPr>
                <w:i/>
                <w:sz w:val="22"/>
              </w:rPr>
            </w:pPr>
            <w:r>
              <w:rPr>
                <w:i/>
                <w:sz w:val="22"/>
              </w:rPr>
              <w:t>0.1</w:t>
            </w:r>
          </w:p>
        </w:tc>
        <w:tc>
          <w:tcPr>
            <w:tcW w:w="1576" w:type="dxa"/>
            <w:tcBorders>
              <w:top w:val="nil"/>
              <w:left w:val="nil"/>
              <w:right w:val="nil"/>
            </w:tcBorders>
          </w:tcPr>
          <w:p>
            <w:pPr>
              <w:pStyle w:val="TableParagraph"/>
              <w:spacing w:before="16"/>
              <w:ind w:left="516" w:right="520"/>
              <w:rPr>
                <w:i/>
                <w:sz w:val="22"/>
              </w:rPr>
            </w:pPr>
            <w:r>
              <w:rPr>
                <w:i/>
                <w:sz w:val="22"/>
              </w:rPr>
              <w:t>0.5</w:t>
            </w:r>
          </w:p>
        </w:tc>
        <w:tc>
          <w:tcPr>
            <w:tcW w:w="1548" w:type="dxa"/>
            <w:tcBorders>
              <w:top w:val="nil"/>
              <w:left w:val="nil"/>
              <w:right w:val="nil"/>
            </w:tcBorders>
          </w:tcPr>
          <w:p>
            <w:pPr>
              <w:pStyle w:val="TableParagraph"/>
              <w:spacing w:before="16"/>
              <w:ind w:left="506" w:right="506"/>
              <w:rPr>
                <w:i/>
                <w:sz w:val="22"/>
              </w:rPr>
            </w:pPr>
            <w:r>
              <w:rPr>
                <w:i/>
                <w:sz w:val="22"/>
              </w:rPr>
              <w:t>0.1</w:t>
            </w:r>
          </w:p>
        </w:tc>
        <w:tc>
          <w:tcPr>
            <w:tcW w:w="1551" w:type="dxa"/>
            <w:tcBorders>
              <w:top w:val="nil"/>
              <w:left w:val="nil"/>
              <w:right w:val="nil"/>
            </w:tcBorders>
          </w:tcPr>
          <w:p>
            <w:pPr>
              <w:pStyle w:val="TableParagraph"/>
              <w:spacing w:before="16"/>
              <w:ind w:left="507" w:right="509"/>
              <w:rPr>
                <w:i/>
                <w:sz w:val="22"/>
              </w:rPr>
            </w:pPr>
            <w:r>
              <w:rPr>
                <w:i/>
                <w:sz w:val="22"/>
              </w:rPr>
              <w:t>0.5</w:t>
            </w:r>
          </w:p>
        </w:tc>
      </w:tr>
      <w:tr>
        <w:trPr>
          <w:trHeight w:val="355" w:hRule="exact"/>
        </w:trPr>
        <w:tc>
          <w:tcPr>
            <w:tcW w:w="1034" w:type="dxa"/>
            <w:tcBorders>
              <w:left w:val="nil"/>
              <w:bottom w:val="nil"/>
              <w:right w:val="nil"/>
            </w:tcBorders>
          </w:tcPr>
          <w:p>
            <w:pPr>
              <w:pStyle w:val="TableParagraph"/>
              <w:spacing w:before="32"/>
              <w:ind w:left="60" w:right="49"/>
              <w:rPr>
                <w:b/>
                <w:i/>
                <w:sz w:val="22"/>
              </w:rPr>
            </w:pPr>
            <w:r>
              <w:rPr>
                <w:b/>
                <w:i/>
                <w:sz w:val="22"/>
              </w:rPr>
              <w:t>p-CNT</w:t>
            </w:r>
          </w:p>
        </w:tc>
        <w:tc>
          <w:tcPr>
            <w:tcW w:w="1576" w:type="dxa"/>
            <w:tcBorders>
              <w:left w:val="nil"/>
              <w:bottom w:val="nil"/>
              <w:right w:val="nil"/>
            </w:tcBorders>
          </w:tcPr>
          <w:p>
            <w:pPr>
              <w:pStyle w:val="TableParagraph"/>
              <w:spacing w:before="58"/>
              <w:ind w:left="521" w:right="520"/>
              <w:rPr>
                <w:sz w:val="22"/>
              </w:rPr>
            </w:pPr>
            <w:r>
              <w:rPr>
                <w:sz w:val="22"/>
              </w:rPr>
              <w:t>387.5</w:t>
            </w:r>
          </w:p>
        </w:tc>
        <w:tc>
          <w:tcPr>
            <w:tcW w:w="1576" w:type="dxa"/>
            <w:tcBorders>
              <w:left w:val="nil"/>
              <w:bottom w:val="nil"/>
              <w:right w:val="nil"/>
            </w:tcBorders>
          </w:tcPr>
          <w:p>
            <w:pPr>
              <w:pStyle w:val="TableParagraph"/>
              <w:spacing w:before="58"/>
              <w:ind w:left="520" w:right="520"/>
              <w:rPr>
                <w:sz w:val="22"/>
              </w:rPr>
            </w:pPr>
            <w:r>
              <w:rPr>
                <w:sz w:val="22"/>
              </w:rPr>
              <w:t>386.6</w:t>
            </w:r>
          </w:p>
        </w:tc>
        <w:tc>
          <w:tcPr>
            <w:tcW w:w="1548" w:type="dxa"/>
            <w:tcBorders>
              <w:left w:val="nil"/>
              <w:bottom w:val="nil"/>
              <w:right w:val="nil"/>
            </w:tcBorders>
          </w:tcPr>
          <w:p>
            <w:pPr>
              <w:pStyle w:val="TableParagraph"/>
              <w:spacing w:before="58"/>
              <w:ind w:left="506" w:right="506"/>
              <w:rPr>
                <w:sz w:val="22"/>
              </w:rPr>
            </w:pPr>
            <w:r>
              <w:rPr>
                <w:sz w:val="22"/>
              </w:rPr>
              <w:t>418.8</w:t>
            </w:r>
          </w:p>
        </w:tc>
        <w:tc>
          <w:tcPr>
            <w:tcW w:w="1551" w:type="dxa"/>
            <w:tcBorders>
              <w:left w:val="nil"/>
              <w:bottom w:val="nil"/>
              <w:right w:val="nil"/>
            </w:tcBorders>
          </w:tcPr>
          <w:p>
            <w:pPr>
              <w:pStyle w:val="TableParagraph"/>
              <w:spacing w:before="58"/>
              <w:ind w:left="507" w:right="509"/>
              <w:rPr>
                <w:sz w:val="22"/>
              </w:rPr>
            </w:pPr>
            <w:r>
              <w:rPr>
                <w:sz w:val="22"/>
              </w:rPr>
              <w:t>418.7</w:t>
            </w:r>
          </w:p>
        </w:tc>
      </w:tr>
      <w:tr>
        <w:trPr>
          <w:trHeight w:val="315" w:hRule="exact"/>
        </w:trPr>
        <w:tc>
          <w:tcPr>
            <w:tcW w:w="1034" w:type="dxa"/>
            <w:tcBorders>
              <w:top w:val="nil"/>
              <w:left w:val="nil"/>
              <w:bottom w:val="nil"/>
              <w:right w:val="nil"/>
            </w:tcBorders>
          </w:tcPr>
          <w:p>
            <w:pPr>
              <w:pStyle w:val="TableParagraph"/>
              <w:spacing w:before="6"/>
              <w:ind w:left="57" w:right="49"/>
              <w:rPr>
                <w:b/>
                <w:i/>
                <w:sz w:val="22"/>
              </w:rPr>
            </w:pPr>
            <w:r>
              <w:rPr>
                <w:b/>
                <w:i/>
                <w:sz w:val="22"/>
              </w:rPr>
              <w:t>OCNT</w:t>
            </w:r>
          </w:p>
        </w:tc>
        <w:tc>
          <w:tcPr>
            <w:tcW w:w="1576" w:type="dxa"/>
            <w:tcBorders>
              <w:top w:val="nil"/>
              <w:left w:val="nil"/>
              <w:bottom w:val="nil"/>
              <w:right w:val="nil"/>
            </w:tcBorders>
          </w:tcPr>
          <w:p>
            <w:pPr>
              <w:pStyle w:val="TableParagraph"/>
              <w:spacing w:before="32"/>
              <w:ind w:left="521" w:right="520"/>
              <w:rPr>
                <w:sz w:val="22"/>
              </w:rPr>
            </w:pPr>
            <w:r>
              <w:rPr>
                <w:sz w:val="22"/>
              </w:rPr>
              <w:t>389.5</w:t>
            </w:r>
          </w:p>
        </w:tc>
        <w:tc>
          <w:tcPr>
            <w:tcW w:w="1576" w:type="dxa"/>
            <w:tcBorders>
              <w:top w:val="nil"/>
              <w:left w:val="nil"/>
              <w:bottom w:val="nil"/>
              <w:right w:val="nil"/>
            </w:tcBorders>
          </w:tcPr>
          <w:p>
            <w:pPr>
              <w:pStyle w:val="TableParagraph"/>
              <w:spacing w:before="32"/>
              <w:ind w:left="520" w:right="520"/>
              <w:rPr>
                <w:sz w:val="22"/>
              </w:rPr>
            </w:pPr>
            <w:r>
              <w:rPr>
                <w:sz w:val="22"/>
              </w:rPr>
              <w:t>389.2</w:t>
            </w:r>
          </w:p>
        </w:tc>
        <w:tc>
          <w:tcPr>
            <w:tcW w:w="1548" w:type="dxa"/>
            <w:tcBorders>
              <w:top w:val="nil"/>
              <w:left w:val="nil"/>
              <w:bottom w:val="nil"/>
              <w:right w:val="nil"/>
            </w:tcBorders>
          </w:tcPr>
          <w:p>
            <w:pPr>
              <w:pStyle w:val="TableParagraph"/>
              <w:spacing w:before="32"/>
              <w:ind w:left="506" w:right="506"/>
              <w:rPr>
                <w:sz w:val="22"/>
              </w:rPr>
            </w:pPr>
            <w:r>
              <w:rPr>
                <w:sz w:val="22"/>
              </w:rPr>
              <w:t>421.1</w:t>
            </w:r>
          </w:p>
        </w:tc>
        <w:tc>
          <w:tcPr>
            <w:tcW w:w="1551" w:type="dxa"/>
            <w:tcBorders>
              <w:top w:val="nil"/>
              <w:left w:val="nil"/>
              <w:bottom w:val="nil"/>
              <w:right w:val="nil"/>
            </w:tcBorders>
          </w:tcPr>
          <w:p>
            <w:pPr>
              <w:pStyle w:val="TableParagraph"/>
              <w:spacing w:before="32"/>
              <w:ind w:left="507" w:right="509"/>
              <w:rPr>
                <w:sz w:val="22"/>
              </w:rPr>
            </w:pPr>
            <w:r>
              <w:rPr>
                <w:sz w:val="22"/>
              </w:rPr>
              <w:t>421.6</w:t>
            </w:r>
          </w:p>
        </w:tc>
      </w:tr>
      <w:tr>
        <w:trPr>
          <w:trHeight w:val="314" w:hRule="exact"/>
        </w:trPr>
        <w:tc>
          <w:tcPr>
            <w:tcW w:w="1034" w:type="dxa"/>
            <w:tcBorders>
              <w:top w:val="nil"/>
              <w:left w:val="nil"/>
              <w:bottom w:val="nil"/>
              <w:right w:val="nil"/>
            </w:tcBorders>
          </w:tcPr>
          <w:p>
            <w:pPr>
              <w:pStyle w:val="TableParagraph"/>
              <w:spacing w:before="6"/>
              <w:ind w:left="63" w:right="49"/>
              <w:rPr>
                <w:b/>
                <w:i/>
                <w:sz w:val="22"/>
              </w:rPr>
            </w:pPr>
            <w:r>
              <w:rPr>
                <w:b/>
                <w:i/>
                <w:sz w:val="22"/>
              </w:rPr>
              <w:t>f-CNT</w:t>
            </w:r>
          </w:p>
        </w:tc>
        <w:tc>
          <w:tcPr>
            <w:tcW w:w="1576" w:type="dxa"/>
            <w:tcBorders>
              <w:top w:val="nil"/>
              <w:left w:val="nil"/>
              <w:bottom w:val="nil"/>
              <w:right w:val="nil"/>
            </w:tcBorders>
          </w:tcPr>
          <w:p>
            <w:pPr>
              <w:pStyle w:val="TableParagraph"/>
              <w:spacing w:before="32"/>
              <w:ind w:left="521" w:right="520"/>
              <w:rPr>
                <w:sz w:val="22"/>
              </w:rPr>
            </w:pPr>
            <w:r>
              <w:rPr>
                <w:sz w:val="22"/>
              </w:rPr>
              <w:t>388.1</w:t>
            </w:r>
          </w:p>
        </w:tc>
        <w:tc>
          <w:tcPr>
            <w:tcW w:w="1576" w:type="dxa"/>
            <w:tcBorders>
              <w:top w:val="nil"/>
              <w:left w:val="nil"/>
              <w:bottom w:val="nil"/>
              <w:right w:val="nil"/>
            </w:tcBorders>
          </w:tcPr>
          <w:p>
            <w:pPr>
              <w:pStyle w:val="TableParagraph"/>
              <w:spacing w:before="32"/>
              <w:ind w:left="520" w:right="520"/>
              <w:rPr>
                <w:sz w:val="22"/>
              </w:rPr>
            </w:pPr>
            <w:r>
              <w:rPr>
                <w:sz w:val="22"/>
              </w:rPr>
              <w:t>387.6</w:t>
            </w:r>
          </w:p>
        </w:tc>
        <w:tc>
          <w:tcPr>
            <w:tcW w:w="1548" w:type="dxa"/>
            <w:tcBorders>
              <w:top w:val="nil"/>
              <w:left w:val="nil"/>
              <w:bottom w:val="nil"/>
              <w:right w:val="nil"/>
            </w:tcBorders>
          </w:tcPr>
          <w:p>
            <w:pPr>
              <w:pStyle w:val="TableParagraph"/>
              <w:spacing w:before="32"/>
              <w:ind w:left="506" w:right="506"/>
              <w:rPr>
                <w:sz w:val="22"/>
              </w:rPr>
            </w:pPr>
            <w:r>
              <w:rPr>
                <w:sz w:val="22"/>
              </w:rPr>
              <w:t>421.1</w:t>
            </w:r>
          </w:p>
        </w:tc>
        <w:tc>
          <w:tcPr>
            <w:tcW w:w="1551" w:type="dxa"/>
            <w:tcBorders>
              <w:top w:val="nil"/>
              <w:left w:val="nil"/>
              <w:bottom w:val="nil"/>
              <w:right w:val="nil"/>
            </w:tcBorders>
          </w:tcPr>
          <w:p>
            <w:pPr>
              <w:pStyle w:val="TableParagraph"/>
              <w:spacing w:before="32"/>
              <w:ind w:left="507" w:right="509"/>
              <w:rPr>
                <w:sz w:val="22"/>
              </w:rPr>
            </w:pPr>
            <w:r>
              <w:rPr>
                <w:sz w:val="22"/>
              </w:rPr>
              <w:t>421.3</w:t>
            </w:r>
          </w:p>
        </w:tc>
      </w:tr>
      <w:tr>
        <w:trPr>
          <w:trHeight w:val="316" w:hRule="exact"/>
        </w:trPr>
        <w:tc>
          <w:tcPr>
            <w:tcW w:w="1034" w:type="dxa"/>
            <w:tcBorders>
              <w:top w:val="nil"/>
              <w:left w:val="nil"/>
              <w:bottom w:val="nil"/>
              <w:right w:val="nil"/>
            </w:tcBorders>
          </w:tcPr>
          <w:p>
            <w:pPr>
              <w:pStyle w:val="TableParagraph"/>
              <w:spacing w:before="6"/>
              <w:ind w:left="58" w:right="49"/>
              <w:rPr>
                <w:b/>
                <w:i/>
                <w:sz w:val="22"/>
              </w:rPr>
            </w:pPr>
            <w:r>
              <w:rPr>
                <w:b/>
                <w:i/>
                <w:sz w:val="22"/>
              </w:rPr>
              <w:t>RGO</w:t>
            </w:r>
          </w:p>
        </w:tc>
        <w:tc>
          <w:tcPr>
            <w:tcW w:w="1576" w:type="dxa"/>
            <w:tcBorders>
              <w:top w:val="nil"/>
              <w:left w:val="nil"/>
              <w:bottom w:val="nil"/>
              <w:right w:val="nil"/>
            </w:tcBorders>
          </w:tcPr>
          <w:p>
            <w:pPr>
              <w:pStyle w:val="TableParagraph"/>
              <w:spacing w:before="32"/>
              <w:ind w:left="521" w:right="520"/>
              <w:rPr>
                <w:sz w:val="22"/>
              </w:rPr>
            </w:pPr>
            <w:r>
              <w:rPr>
                <w:sz w:val="22"/>
              </w:rPr>
              <w:t>391.4</w:t>
            </w:r>
          </w:p>
        </w:tc>
        <w:tc>
          <w:tcPr>
            <w:tcW w:w="1576" w:type="dxa"/>
            <w:tcBorders>
              <w:top w:val="nil"/>
              <w:left w:val="nil"/>
              <w:bottom w:val="nil"/>
              <w:right w:val="nil"/>
            </w:tcBorders>
          </w:tcPr>
          <w:p>
            <w:pPr>
              <w:pStyle w:val="TableParagraph"/>
              <w:spacing w:before="32"/>
              <w:ind w:left="520" w:right="520"/>
              <w:rPr>
                <w:sz w:val="22"/>
              </w:rPr>
            </w:pPr>
            <w:r>
              <w:rPr>
                <w:sz w:val="22"/>
              </w:rPr>
              <w:t>390.9</w:t>
            </w:r>
          </w:p>
        </w:tc>
        <w:tc>
          <w:tcPr>
            <w:tcW w:w="1548" w:type="dxa"/>
            <w:tcBorders>
              <w:top w:val="nil"/>
              <w:left w:val="nil"/>
              <w:bottom w:val="nil"/>
              <w:right w:val="nil"/>
            </w:tcBorders>
          </w:tcPr>
          <w:p>
            <w:pPr>
              <w:pStyle w:val="TableParagraph"/>
              <w:spacing w:before="32"/>
              <w:ind w:left="506" w:right="506"/>
              <w:rPr>
                <w:sz w:val="22"/>
              </w:rPr>
            </w:pPr>
            <w:r>
              <w:rPr>
                <w:sz w:val="22"/>
              </w:rPr>
              <w:t>422.5</w:t>
            </w:r>
          </w:p>
        </w:tc>
        <w:tc>
          <w:tcPr>
            <w:tcW w:w="1551" w:type="dxa"/>
            <w:tcBorders>
              <w:top w:val="nil"/>
              <w:left w:val="nil"/>
              <w:bottom w:val="nil"/>
              <w:right w:val="nil"/>
            </w:tcBorders>
          </w:tcPr>
          <w:p>
            <w:pPr>
              <w:pStyle w:val="TableParagraph"/>
              <w:spacing w:before="32"/>
              <w:ind w:left="507" w:right="509"/>
              <w:rPr>
                <w:sz w:val="22"/>
              </w:rPr>
            </w:pPr>
            <w:r>
              <w:rPr>
                <w:sz w:val="22"/>
              </w:rPr>
              <w:t>421.5</w:t>
            </w:r>
          </w:p>
        </w:tc>
      </w:tr>
      <w:tr>
        <w:trPr>
          <w:trHeight w:val="316" w:hRule="exact"/>
        </w:trPr>
        <w:tc>
          <w:tcPr>
            <w:tcW w:w="1034" w:type="dxa"/>
            <w:tcBorders>
              <w:top w:val="nil"/>
              <w:left w:val="nil"/>
              <w:bottom w:val="nil"/>
              <w:right w:val="nil"/>
            </w:tcBorders>
          </w:tcPr>
          <w:p>
            <w:pPr>
              <w:pStyle w:val="TableParagraph"/>
              <w:spacing w:before="7"/>
              <w:ind w:left="60" w:right="49"/>
              <w:rPr>
                <w:b/>
                <w:i/>
                <w:sz w:val="22"/>
              </w:rPr>
            </w:pPr>
            <w:r>
              <w:rPr>
                <w:b/>
                <w:i/>
                <w:sz w:val="22"/>
              </w:rPr>
              <w:t>GO</w:t>
            </w:r>
          </w:p>
        </w:tc>
        <w:tc>
          <w:tcPr>
            <w:tcW w:w="1576" w:type="dxa"/>
            <w:tcBorders>
              <w:top w:val="nil"/>
              <w:left w:val="nil"/>
              <w:bottom w:val="nil"/>
              <w:right w:val="nil"/>
            </w:tcBorders>
          </w:tcPr>
          <w:p>
            <w:pPr>
              <w:pStyle w:val="TableParagraph"/>
              <w:spacing w:before="33"/>
              <w:ind w:left="521" w:right="520"/>
              <w:rPr>
                <w:sz w:val="22"/>
              </w:rPr>
            </w:pPr>
            <w:r>
              <w:rPr>
                <w:sz w:val="22"/>
              </w:rPr>
              <w:t>388.7</w:t>
            </w:r>
          </w:p>
        </w:tc>
        <w:tc>
          <w:tcPr>
            <w:tcW w:w="1576" w:type="dxa"/>
            <w:tcBorders>
              <w:top w:val="nil"/>
              <w:left w:val="nil"/>
              <w:bottom w:val="nil"/>
              <w:right w:val="nil"/>
            </w:tcBorders>
          </w:tcPr>
          <w:p>
            <w:pPr>
              <w:pStyle w:val="TableParagraph"/>
              <w:spacing w:before="33"/>
              <w:ind w:left="520" w:right="520"/>
              <w:rPr>
                <w:sz w:val="22"/>
              </w:rPr>
            </w:pPr>
            <w:r>
              <w:rPr>
                <w:sz w:val="22"/>
              </w:rPr>
              <w:t>392.8</w:t>
            </w:r>
          </w:p>
        </w:tc>
        <w:tc>
          <w:tcPr>
            <w:tcW w:w="1548" w:type="dxa"/>
            <w:tcBorders>
              <w:top w:val="nil"/>
              <w:left w:val="nil"/>
              <w:bottom w:val="nil"/>
              <w:right w:val="nil"/>
            </w:tcBorders>
          </w:tcPr>
          <w:p>
            <w:pPr>
              <w:pStyle w:val="TableParagraph"/>
              <w:spacing w:before="33"/>
              <w:ind w:left="506" w:right="506"/>
              <w:rPr>
                <w:sz w:val="22"/>
              </w:rPr>
            </w:pPr>
            <w:r>
              <w:rPr>
                <w:sz w:val="22"/>
              </w:rPr>
              <w:t>418.6</w:t>
            </w:r>
          </w:p>
        </w:tc>
        <w:tc>
          <w:tcPr>
            <w:tcW w:w="1551" w:type="dxa"/>
            <w:tcBorders>
              <w:top w:val="nil"/>
              <w:left w:val="nil"/>
              <w:bottom w:val="nil"/>
              <w:right w:val="nil"/>
            </w:tcBorders>
          </w:tcPr>
          <w:p>
            <w:pPr>
              <w:pStyle w:val="TableParagraph"/>
              <w:spacing w:before="33"/>
              <w:ind w:left="507" w:right="509"/>
              <w:rPr>
                <w:sz w:val="22"/>
              </w:rPr>
            </w:pPr>
            <w:r>
              <w:rPr>
                <w:sz w:val="22"/>
              </w:rPr>
              <w:t>426.0</w:t>
            </w:r>
          </w:p>
        </w:tc>
      </w:tr>
      <w:tr>
        <w:trPr>
          <w:trHeight w:val="307" w:hRule="exact"/>
        </w:trPr>
        <w:tc>
          <w:tcPr>
            <w:tcW w:w="1034" w:type="dxa"/>
            <w:tcBorders>
              <w:top w:val="nil"/>
              <w:left w:val="nil"/>
              <w:right w:val="nil"/>
            </w:tcBorders>
          </w:tcPr>
          <w:p>
            <w:pPr>
              <w:pStyle w:val="TableParagraph"/>
              <w:spacing w:before="6"/>
              <w:ind w:left="61" w:right="49"/>
              <w:rPr>
                <w:b/>
                <w:i/>
                <w:sz w:val="22"/>
              </w:rPr>
            </w:pPr>
            <w:r>
              <w:rPr>
                <w:b/>
                <w:i/>
                <w:sz w:val="22"/>
              </w:rPr>
              <w:t>f-Ge</w:t>
            </w:r>
          </w:p>
        </w:tc>
        <w:tc>
          <w:tcPr>
            <w:tcW w:w="1576" w:type="dxa"/>
            <w:tcBorders>
              <w:top w:val="nil"/>
              <w:left w:val="nil"/>
              <w:right w:val="nil"/>
            </w:tcBorders>
          </w:tcPr>
          <w:p>
            <w:pPr>
              <w:pStyle w:val="TableParagraph"/>
              <w:spacing w:before="32"/>
              <w:ind w:left="521" w:right="520"/>
              <w:rPr>
                <w:sz w:val="22"/>
              </w:rPr>
            </w:pPr>
            <w:r>
              <w:rPr>
                <w:sz w:val="22"/>
              </w:rPr>
              <w:t>390.6</w:t>
            </w:r>
          </w:p>
        </w:tc>
        <w:tc>
          <w:tcPr>
            <w:tcW w:w="1576" w:type="dxa"/>
            <w:tcBorders>
              <w:top w:val="nil"/>
              <w:left w:val="nil"/>
              <w:right w:val="nil"/>
            </w:tcBorders>
          </w:tcPr>
          <w:p>
            <w:pPr>
              <w:pStyle w:val="TableParagraph"/>
              <w:spacing w:before="32"/>
              <w:ind w:left="520" w:right="520"/>
              <w:rPr>
                <w:sz w:val="22"/>
              </w:rPr>
            </w:pPr>
            <w:r>
              <w:rPr>
                <w:sz w:val="22"/>
              </w:rPr>
              <w:t>389.6</w:t>
            </w:r>
          </w:p>
        </w:tc>
        <w:tc>
          <w:tcPr>
            <w:tcW w:w="1548" w:type="dxa"/>
            <w:tcBorders>
              <w:top w:val="nil"/>
              <w:left w:val="nil"/>
              <w:right w:val="nil"/>
            </w:tcBorders>
          </w:tcPr>
          <w:p>
            <w:pPr>
              <w:pStyle w:val="TableParagraph"/>
              <w:spacing w:before="32"/>
              <w:ind w:left="506" w:right="506"/>
              <w:rPr>
                <w:sz w:val="22"/>
              </w:rPr>
            </w:pPr>
            <w:r>
              <w:rPr>
                <w:sz w:val="22"/>
              </w:rPr>
              <w:t>421.7</w:t>
            </w:r>
          </w:p>
        </w:tc>
        <w:tc>
          <w:tcPr>
            <w:tcW w:w="1551" w:type="dxa"/>
            <w:tcBorders>
              <w:top w:val="nil"/>
              <w:left w:val="nil"/>
              <w:right w:val="nil"/>
            </w:tcBorders>
          </w:tcPr>
          <w:p>
            <w:pPr>
              <w:pStyle w:val="TableParagraph"/>
              <w:spacing w:before="32"/>
              <w:ind w:left="507" w:right="509"/>
              <w:rPr>
                <w:sz w:val="22"/>
              </w:rPr>
            </w:pPr>
            <w:r>
              <w:rPr>
                <w:sz w:val="22"/>
              </w:rPr>
              <w:t>422.0</w:t>
            </w:r>
          </w:p>
        </w:tc>
      </w:tr>
    </w:tbl>
    <w:p>
      <w:pPr>
        <w:spacing w:after="0"/>
        <w:rPr>
          <w:sz w:val="22"/>
        </w:rPr>
        <w:sectPr>
          <w:pgSz w:w="12240" w:h="15840"/>
          <w:pgMar w:header="730" w:footer="1060" w:top="1160" w:bottom="1260" w:left="1520" w:right="1520"/>
        </w:sectPr>
      </w:pPr>
    </w:p>
    <w:p>
      <w:pPr>
        <w:pStyle w:val="BodyText"/>
        <w:spacing w:before="5"/>
        <w:rPr>
          <w:sz w:val="14"/>
        </w:rPr>
      </w:pPr>
    </w:p>
    <w:p>
      <w:pPr>
        <w:pStyle w:val="Heading4"/>
        <w:numPr>
          <w:ilvl w:val="1"/>
          <w:numId w:val="26"/>
        </w:numPr>
        <w:tabs>
          <w:tab w:pos="454" w:val="left" w:leader="none"/>
        </w:tabs>
        <w:spacing w:line="240" w:lineRule="auto" w:before="73" w:after="0"/>
        <w:ind w:left="453" w:right="0" w:hanging="331"/>
        <w:jc w:val="both"/>
      </w:pPr>
      <w:r>
        <w:rPr/>
        <w:t>Comparación entre los dos</w:t>
      </w:r>
      <w:r>
        <w:rPr>
          <w:spacing w:val="-7"/>
        </w:rPr>
        <w:t> </w:t>
      </w:r>
      <w:r>
        <w:rPr/>
        <w:t>procesos</w:t>
      </w:r>
    </w:p>
    <w:p>
      <w:pPr>
        <w:pStyle w:val="BodyText"/>
        <w:rPr>
          <w:b/>
        </w:rPr>
      </w:pPr>
    </w:p>
    <w:p>
      <w:pPr>
        <w:pStyle w:val="BodyText"/>
        <w:spacing w:before="1"/>
        <w:rPr>
          <w:b/>
        </w:rPr>
      </w:pPr>
    </w:p>
    <w:p>
      <w:pPr>
        <w:pStyle w:val="ListParagraph"/>
        <w:numPr>
          <w:ilvl w:val="2"/>
          <w:numId w:val="26"/>
        </w:numPr>
        <w:tabs>
          <w:tab w:pos="619" w:val="left" w:leader="none"/>
        </w:tabs>
        <w:spacing w:line="240" w:lineRule="auto" w:before="1" w:after="0"/>
        <w:ind w:left="618" w:right="0" w:hanging="496"/>
        <w:jc w:val="both"/>
        <w:rPr>
          <w:b/>
          <w:sz w:val="22"/>
        </w:rPr>
      </w:pPr>
      <w:r>
        <w:rPr>
          <w:b/>
          <w:sz w:val="22"/>
        </w:rPr>
        <w:t>Comportamiento de</w:t>
      </w:r>
      <w:r>
        <w:rPr>
          <w:b/>
          <w:spacing w:val="-12"/>
          <w:sz w:val="22"/>
        </w:rPr>
        <w:t> </w:t>
      </w:r>
      <w:r>
        <w:rPr>
          <w:b/>
          <w:sz w:val="22"/>
        </w:rPr>
        <w:t>cristalización</w:t>
      </w:r>
    </w:p>
    <w:p>
      <w:pPr>
        <w:pStyle w:val="BodyText"/>
        <w:tabs>
          <w:tab w:pos="4833" w:val="left" w:leader="none"/>
        </w:tabs>
        <w:spacing w:before="121"/>
        <w:ind w:left="405" w:right="41"/>
      </w:pPr>
      <w:r>
        <w:rPr/>
        <w:t>Los  resultados  de  DSC  mostraron  que</w:t>
      </w:r>
      <w:r>
        <w:rPr>
          <w:spacing w:val="15"/>
        </w:rPr>
        <w:t> </w:t>
      </w:r>
      <w:r>
        <w:rPr/>
        <w:t>las</w:t>
      </w:r>
      <w:r>
        <w:rPr>
          <w:spacing w:val="45"/>
        </w:rPr>
        <w:t> </w:t>
      </w:r>
      <w:r>
        <w:rPr>
          <w:spacing w:val="2"/>
        </w:rPr>
        <w:t>T</w:t>
      </w:r>
      <w:r>
        <w:rPr>
          <w:i/>
          <w:spacing w:val="2"/>
          <w:position w:val="-2"/>
          <w:sz w:val="14"/>
        </w:rPr>
        <w:t>f</w:t>
        <w:tab/>
      </w:r>
      <w:r>
        <w:rPr/>
        <w:t>en  todos  los  nanocompositos  se</w:t>
      </w:r>
      <w:r>
        <w:rPr>
          <w:spacing w:val="18"/>
        </w:rPr>
        <w:t> </w:t>
      </w:r>
      <w:r>
        <w:rPr/>
        <w:t>encontraron</w:t>
      </w:r>
    </w:p>
    <w:p>
      <w:pPr>
        <w:pStyle w:val="BodyText"/>
        <w:spacing w:line="360" w:lineRule="auto" w:before="113"/>
        <w:ind w:left="122" w:right="137"/>
        <w:jc w:val="both"/>
      </w:pPr>
      <w:r>
        <w:rPr/>
        <w:t>~260°C, lo cual indicó que el polímero cristalizó solamente en la fase α [12,94]. Además en los termogramas se apreció un hombro a temperaturas más bajas ~250°C, el cual ha sido atribuido a cambios morfológicos en los cristales o la fusión de unidades cristalinas más pequeñas y menos estables [12, 112].</w:t>
      </w:r>
    </w:p>
    <w:p>
      <w:pPr>
        <w:pStyle w:val="BodyText"/>
      </w:pPr>
    </w:p>
    <w:p>
      <w:pPr>
        <w:pStyle w:val="BodyText"/>
        <w:spacing w:line="357" w:lineRule="auto" w:before="131"/>
        <w:ind w:left="122" w:right="135" w:firstLine="283"/>
        <w:jc w:val="both"/>
      </w:pPr>
      <w:r>
        <w:rPr/>
        <w:t>De estas curvas de fusión se determinó el porcentaje de cristalinidad en las muestras. Con lo anterior se obtuvo un ligero aumento en la cristalinidad de los nanocompositos causados por el efecto nucleante de los nanomateriales. La nucleación del polímero es un proceso limitado por su velocidad, con la adicción de agentes externos favorece el aumento de la velocidad de nucleación durante el enfriamiento y consecuentemente la cristalinidad del polímero [96]. En la mayoría de las muestras se observó un aumento en el porcentaje de cristalinidad (X</w:t>
      </w:r>
      <w:r>
        <w:rPr>
          <w:position w:val="-2"/>
          <w:sz w:val="14"/>
        </w:rPr>
        <w:t>c</w:t>
      </w:r>
      <w:r>
        <w:rPr/>
        <w:t>) a medida que se adicionaba más contenido de nanomaterial. En ambos procesamientos se observó un comportamiento contrario en los nanocompositos con CNTs funcionalizados con grupos amino.</w:t>
      </w:r>
    </w:p>
    <w:p>
      <w:pPr>
        <w:pStyle w:val="BodyText"/>
      </w:pPr>
    </w:p>
    <w:p>
      <w:pPr>
        <w:pStyle w:val="BodyText"/>
        <w:spacing w:line="360" w:lineRule="auto" w:before="133"/>
        <w:ind w:left="122" w:right="135" w:firstLine="283"/>
        <w:jc w:val="both"/>
      </w:pPr>
      <w:r>
        <w:rPr/>
        <w:t>Además, en ambos procesos la máxima cristalinidad se obtuvo para los nanocompositos reforzados con 0.1 % peso de f-CNT, seguido por los nanocompositos con 1.0% peso de GO en el caso del proceso de </w:t>
      </w:r>
      <w:r>
        <w:rPr>
          <w:i/>
        </w:rPr>
        <w:t>electrospinning </w:t>
      </w:r>
      <w:r>
        <w:rPr/>
        <w:t>y 0.5% peso de GO en el proceso de inyección. El efecto negativo en la cristalinidad del polímero a medida que se aumenta el contenido de f-CNT puede ser explicado por la cantidad de grupos amino en las paredes de los nanotubos, los cuales pudieron haber dificultado la difusión y arreglo de las cadenas poliméricas debido al confinamiento de la matriz a mayores concentraciones. Considerando que la misma cantidad de grupos carboxilo fueron convertidos a grupos amino, la concentración más baja de éstos grupos en el grafeno explica porque a las concentraciones manejadas la cristalinidad tiende a aumentar al incrementar el contenido de este refuerzo. Además en el caso del proceso de </w:t>
      </w:r>
      <w:r>
        <w:rPr>
          <w:i/>
        </w:rPr>
        <w:t>electrospinning </w:t>
      </w:r>
      <w:r>
        <w:rPr/>
        <w:t>se observó que a la concentración más alta había aglomeración de nanotubos. En el apéndice se muestran micrografías de SEM donde de manera similar que en </w:t>
      </w:r>
      <w:r>
        <w:rPr>
          <w:i/>
        </w:rPr>
        <w:t>electrospinning</w:t>
      </w:r>
      <w:r>
        <w:rPr/>
        <w:t>, se observa una mayor aglomeración en las muestras que contienen los nanotubos funcionalizados con grupos amino. La tendencia de este refuerzo unidimensional a aglomerarse en comparación al grafeno donde no hubo aglomeración también puede ser atribuida a la facilidad de los nanotubos a flexionarse e interactuar con los grupos funcionales en la superficie de los mismos.</w:t>
      </w:r>
    </w:p>
    <w:p>
      <w:pPr>
        <w:spacing w:after="0" w:line="360" w:lineRule="auto"/>
        <w:jc w:val="both"/>
        <w:sectPr>
          <w:pgSz w:w="12240" w:h="15840"/>
          <w:pgMar w:header="730" w:footer="1060" w:top="1160" w:bottom="1260" w:left="1580" w:right="1560"/>
        </w:sectPr>
      </w:pPr>
    </w:p>
    <w:p>
      <w:pPr>
        <w:pStyle w:val="BodyText"/>
        <w:rPr>
          <w:sz w:val="14"/>
        </w:rPr>
      </w:pPr>
    </w:p>
    <w:p>
      <w:pPr>
        <w:pStyle w:val="BodyText"/>
        <w:spacing w:line="360" w:lineRule="auto" w:before="73"/>
        <w:ind w:left="122" w:right="135" w:firstLine="283"/>
        <w:jc w:val="both"/>
      </w:pPr>
      <w:r>
        <w:rPr/>
        <w:t>Diversos estudios han mostrado incrementos ligeros de la cristalinidad, como en el caso de nanocompositos de polivinilalcohol con 0.25 % peso de GO, cuyo incremento en la cristalinidad  fue de 3.6 % respecto al polímero puro. Así como también se ha presentado la disminución en esta propiedad como ha sido estudiado en polietilentereftalato a diferentes contenidos de CNTs y grafito, donde estos refuerzos restringieron la movilidad de las cadenas del polímero actuando como barreras, dificultando la cristalización [126]. En cuanto a los resultados obtenidos en nanocompositos de poliamidas siguen el mismo comportamiento, donde existen  cambios moderados en el grado de cristalinidad al incorporar nanomateriales de carbono [63,64]. Este comportamiento puede ser explicado a través de los resultados encontrados por varias investigaciones, donde existen dos factores determinantes en la cristalización nanocompositos en base a CNTs o grafeno. Uno es el efecto que tienen estos nanomateriales favoreciendo  positivamente al aumento en la velocidad de crecimiento de los cristales. Mientras que el otro es un efecto negativo, en donde estos refuerzos debilitan la difusión de las cadenas poliméricas y dificultan el crecimiento de los cristales</w:t>
      </w:r>
      <w:r>
        <w:rPr>
          <w:spacing w:val="-14"/>
        </w:rPr>
        <w:t> </w:t>
      </w:r>
      <w:r>
        <w:rPr/>
        <w:t>[12,66].</w:t>
      </w:r>
    </w:p>
    <w:p>
      <w:pPr>
        <w:pStyle w:val="BodyText"/>
      </w:pPr>
    </w:p>
    <w:p>
      <w:pPr>
        <w:pStyle w:val="BodyText"/>
        <w:spacing w:line="357" w:lineRule="auto" w:before="130"/>
        <w:ind w:left="122" w:right="135" w:firstLine="283"/>
        <w:jc w:val="both"/>
      </w:pPr>
      <w:r>
        <w:rPr/>
        <w:t>Lo anterior también se ve reflejado al analizar el comportamiento de cristalización de los nanocompositos por DSC. La adición de 0.1 a 2 % peso de MWNTs en nylon 6,6 ocasionó una disminución en la T</w:t>
      </w:r>
      <w:r>
        <w:rPr>
          <w:position w:val="-2"/>
          <w:sz w:val="14"/>
        </w:rPr>
        <w:t>c </w:t>
      </w:r>
      <w:r>
        <w:rPr/>
        <w:t>[12]. Sin embargo, otro trabajo mostró que la adición de una concentración de 7.5% peso en nanofibras de nylon 6,6 proporcionó un aumento de 8°C en esta propiedad [63]. </w:t>
      </w:r>
      <w:r>
        <w:rPr>
          <w:spacing w:val="-2"/>
        </w:rPr>
        <w:t>Qiu</w:t>
      </w:r>
      <w:r>
        <w:rPr>
          <w:spacing w:val="51"/>
        </w:rPr>
        <w:t> </w:t>
      </w:r>
      <w:r>
        <w:rPr/>
        <w:t>et al encontraron que a pesar de que la adición de MWNTs funcionalizados disminuyó el grado de cristalinidad de nanocompositos de nylon 6, el efecto de nucleación heterogénea se vio reflejado  con el aumento de 10°C en la T</w:t>
      </w:r>
      <w:r>
        <w:rPr>
          <w:position w:val="-2"/>
          <w:sz w:val="14"/>
        </w:rPr>
        <w:t>c </w:t>
      </w:r>
      <w:r>
        <w:rPr/>
        <w:t>del polímero al incorporar estos nanomateriales [64]. Además Zhang et al, encontraron que la velocidad de cristalización de nanocompositos de nylon 6 en base a grafeno fue menor que la del polímero puro. Sin embargo, también demostraron el efecto nucleante del grafeno a través de la energía de activación de la nucleación la cual fue reducida en los nanocompositos de grafeno y que además disminuyó a medida que se aumentó la concentración del refuerzo</w:t>
      </w:r>
      <w:r>
        <w:rPr>
          <w:spacing w:val="-1"/>
        </w:rPr>
        <w:t> </w:t>
      </w:r>
      <w:r>
        <w:rPr/>
        <w:t>[66].</w:t>
      </w:r>
    </w:p>
    <w:p>
      <w:pPr>
        <w:pStyle w:val="BodyText"/>
      </w:pPr>
    </w:p>
    <w:p>
      <w:pPr>
        <w:pStyle w:val="BodyText"/>
        <w:spacing w:line="360" w:lineRule="auto" w:before="135"/>
        <w:ind w:left="122" w:right="135" w:firstLine="283"/>
        <w:jc w:val="both"/>
      </w:pPr>
      <w:r>
        <w:rPr/>
        <w:t>Las investigaciones anteriores sirven de referencia para analizar los resultados obtenidos en este trabajo. En donde al estudiar los diferentes nanomateriales en base a dos distintos alótropos de carbono se observó un comportamiento diferente en los termogramas de cristalización. El efecto nucleante de estos nanomateriales se confirmó con las temperaturas de cristalización superiores a  las de la matriz polimérica, las cuales se presentaron en las Tablas 4.1 y 4.35. Para los nanocompositos</w:t>
      </w:r>
      <w:r>
        <w:rPr>
          <w:spacing w:val="34"/>
        </w:rPr>
        <w:t> </w:t>
      </w:r>
      <w:r>
        <w:rPr/>
        <w:t>obtenidos</w:t>
      </w:r>
      <w:r>
        <w:rPr>
          <w:spacing w:val="32"/>
        </w:rPr>
        <w:t> </w:t>
      </w:r>
      <w:r>
        <w:rPr/>
        <w:t>a</w:t>
      </w:r>
      <w:r>
        <w:rPr>
          <w:spacing w:val="34"/>
        </w:rPr>
        <w:t> </w:t>
      </w:r>
      <w:r>
        <w:rPr/>
        <w:t>través</w:t>
      </w:r>
      <w:r>
        <w:rPr>
          <w:spacing w:val="34"/>
        </w:rPr>
        <w:t> </w:t>
      </w:r>
      <w:r>
        <w:rPr/>
        <w:t>de</w:t>
      </w:r>
      <w:r>
        <w:rPr>
          <w:spacing w:val="37"/>
        </w:rPr>
        <w:t> </w:t>
      </w:r>
      <w:r>
        <w:rPr>
          <w:i/>
        </w:rPr>
        <w:t>electrospinning</w:t>
      </w:r>
      <w:r>
        <w:rPr>
          <w:i/>
          <w:spacing w:val="35"/>
        </w:rPr>
        <w:t> </w:t>
      </w:r>
      <w:r>
        <w:rPr/>
        <w:t>esta</w:t>
      </w:r>
      <w:r>
        <w:rPr>
          <w:spacing w:val="32"/>
        </w:rPr>
        <w:t> </w:t>
      </w:r>
      <w:r>
        <w:rPr/>
        <w:t>temperatura</w:t>
      </w:r>
      <w:r>
        <w:rPr>
          <w:spacing w:val="34"/>
        </w:rPr>
        <w:t> </w:t>
      </w:r>
      <w:r>
        <w:rPr/>
        <w:t>fue</w:t>
      </w:r>
      <w:r>
        <w:rPr>
          <w:spacing w:val="34"/>
        </w:rPr>
        <w:t> </w:t>
      </w:r>
      <w:r>
        <w:rPr/>
        <w:t>ligeramente</w:t>
      </w:r>
      <w:r>
        <w:rPr>
          <w:spacing w:val="34"/>
        </w:rPr>
        <w:t> </w:t>
      </w:r>
      <w:r>
        <w:rPr/>
        <w:t>superior</w:t>
      </w:r>
    </w:p>
    <w:p>
      <w:pPr>
        <w:spacing w:after="0" w:line="360" w:lineRule="auto"/>
        <w:jc w:val="both"/>
        <w:sectPr>
          <w:pgSz w:w="12240" w:h="15840"/>
          <w:pgMar w:header="730" w:footer="1060" w:top="1160" w:bottom="1260" w:left="1580" w:right="1560"/>
        </w:sectPr>
      </w:pPr>
    </w:p>
    <w:p>
      <w:pPr>
        <w:pStyle w:val="BodyText"/>
        <w:rPr>
          <w:sz w:val="14"/>
        </w:rPr>
      </w:pPr>
    </w:p>
    <w:p>
      <w:pPr>
        <w:pStyle w:val="BodyText"/>
        <w:spacing w:line="357" w:lineRule="auto" w:before="73"/>
        <w:ind w:left="122" w:right="135"/>
        <w:jc w:val="both"/>
      </w:pPr>
      <w:r>
        <w:rPr/>
        <w:t>cuando fueron reforzados con p-CNT, OCNT y f-CNT. Los nanocompositos con nanotubos puros exhibieron T</w:t>
      </w:r>
      <w:r>
        <w:rPr>
          <w:position w:val="-2"/>
          <w:sz w:val="14"/>
        </w:rPr>
        <w:t>c </w:t>
      </w:r>
      <w:r>
        <w:rPr/>
        <w:t>más altas. Estudios anteriores en este grupo de investigación han mostrado que los CNTs funcionalizados proporcionaron un aumento en la T</w:t>
      </w:r>
      <w:r>
        <w:rPr>
          <w:position w:val="-2"/>
          <w:sz w:val="14"/>
        </w:rPr>
        <w:t>c </w:t>
      </w:r>
      <w:r>
        <w:rPr/>
        <w:t>respecto a la del polímero puro pero estos aumentos fueron inferiores cuando fueron comparados a los valores obtenidos en los nanocompositos con nanotubos puros [15]. En el caso de los nanocompositos en base a grafeno las temperaturas de cristalización fueron muy similares o iguales a las del polímero puro. Sin embargo, el efecto nucleante del grafeno quedo demostrado con los resultados de cristalinidad en donde se observó un aumento en esta propiedad respecto a la  nylon 6,6.</w:t>
      </w:r>
    </w:p>
    <w:p>
      <w:pPr>
        <w:pStyle w:val="BodyText"/>
      </w:pPr>
    </w:p>
    <w:p>
      <w:pPr>
        <w:pStyle w:val="BodyText"/>
        <w:spacing w:line="357" w:lineRule="auto" w:before="133"/>
        <w:ind w:left="122" w:right="135" w:firstLine="283"/>
        <w:jc w:val="both"/>
      </w:pPr>
      <w:r>
        <w:rPr/>
        <w:t>Los nanocompositos obtenidos a través del proceso de inyección mostraron T</w:t>
      </w:r>
      <w:r>
        <w:rPr>
          <w:position w:val="-2"/>
          <w:sz w:val="14"/>
        </w:rPr>
        <w:t>c </w:t>
      </w:r>
      <w:r>
        <w:rPr/>
        <w:t>superiores a las del nylon 6,6. Los resultados coinciden con el comportamiento de los nanocompositos obtenidos  por el proceso de </w:t>
      </w:r>
      <w:r>
        <w:rPr>
          <w:i/>
        </w:rPr>
        <w:t>electrospinning</w:t>
      </w:r>
      <w:r>
        <w:rPr/>
        <w:t>, en donde los nanocompositos en base a nanotubos presentaron T</w:t>
      </w:r>
      <w:r>
        <w:rPr>
          <w:position w:val="-2"/>
          <w:sz w:val="14"/>
        </w:rPr>
        <w:t>c </w:t>
      </w:r>
      <w:r>
        <w:rPr/>
        <w:t>mayores en comparación a los nanocompositos en base a grafeno. Este comportamiento ha sido explicado debido a sus diferentes estructuras. Las cadenas poliméricas necesitan más tiempo para ajustar sus conformaciones en las hojas de grafeno que poseen área superficial superior, lo que provocan el retraso del proceso de inducción de la cristalización cuando este refuerzo es comparado con los nanotubos</w:t>
      </w:r>
      <w:r>
        <w:rPr>
          <w:spacing w:val="-3"/>
        </w:rPr>
        <w:t> </w:t>
      </w:r>
      <w:r>
        <w:rPr/>
        <w:t>[97].</w:t>
      </w:r>
    </w:p>
    <w:p>
      <w:pPr>
        <w:pStyle w:val="BodyText"/>
      </w:pPr>
    </w:p>
    <w:p>
      <w:pPr>
        <w:pStyle w:val="BodyText"/>
        <w:spacing w:line="360" w:lineRule="auto" w:before="133"/>
        <w:ind w:left="122" w:right="135" w:firstLine="283"/>
        <w:jc w:val="both"/>
      </w:pPr>
      <w:r>
        <w:rPr/>
        <w:t>A través de difracción de rayos X, se confirmó la presencia de la fase α, cuyos picos característicos se encuentran localizados alrededor de 21 y 24° [83,95]. En los difractogramas se presentaron algunos cambios en la posición e intensidad de estos picos. Tales características están relacionadas con la dimensión de los cristales. A través de estos resultados se determinó  la dimensión de los cristales perpendicular a los planos (100) y en el plano (010) usando la ecuación de Scherrer que involucra la medida del ancho a la altura media de los picos de reflexión [127]. Los valores se presentaron en las Tablas 4.2 y 4.6, dichos resultados mostraron tamaños de cristal dentro del rango de 2.8 - 6.5 nm. Estos valores coinciden con resultados obtenidos por diversos autores que investigaron el comportamiento de cristalización en nanocompositos de mormorillonita/nylon [128,129], nanofibras de nylon 6 [130] y fibras de nylon 6,6 [112] cuyos valores se encuentran en el rango de 2 – 13</w:t>
      </w:r>
      <w:r>
        <w:rPr>
          <w:spacing w:val="-4"/>
        </w:rPr>
        <w:t> </w:t>
      </w:r>
      <w:r>
        <w:rPr/>
        <w:t>nm.</w:t>
      </w:r>
    </w:p>
    <w:p>
      <w:pPr>
        <w:pStyle w:val="BodyText"/>
      </w:pPr>
    </w:p>
    <w:p>
      <w:pPr>
        <w:pStyle w:val="BodyText"/>
        <w:spacing w:line="360" w:lineRule="auto" w:before="130"/>
        <w:ind w:left="122" w:right="135" w:firstLine="283"/>
        <w:jc w:val="both"/>
      </w:pPr>
      <w:r>
        <w:rPr/>
        <w:t>Los valores del tamaño de cristal en los nanocompositos obtenidos por </w:t>
      </w:r>
      <w:r>
        <w:rPr>
          <w:i/>
        </w:rPr>
        <w:t>electrospinning </w:t>
      </w:r>
      <w:r>
        <w:rPr/>
        <w:t>fueron inferiores a los de la muestra de nylon 6,6 puro. Esto demuestra el efecto de  confinamiento impuesto por los nanomateriales dificultando el aumento del tamaño del cristal debido a la buena dispersión de los mismos. Lo cual se confirma por la disminución en la dimensión de los cristales</w:t>
      </w:r>
    </w:p>
    <w:p>
      <w:pPr>
        <w:spacing w:after="0" w:line="360" w:lineRule="auto"/>
        <w:jc w:val="both"/>
        <w:sectPr>
          <w:pgSz w:w="12240" w:h="15840"/>
          <w:pgMar w:header="730" w:footer="1060" w:top="1160" w:bottom="1260" w:left="1580" w:right="1560"/>
        </w:sectPr>
      </w:pPr>
    </w:p>
    <w:p>
      <w:pPr>
        <w:pStyle w:val="BodyText"/>
        <w:rPr>
          <w:sz w:val="14"/>
        </w:rPr>
      </w:pPr>
    </w:p>
    <w:p>
      <w:pPr>
        <w:pStyle w:val="BodyText"/>
        <w:spacing w:line="360" w:lineRule="auto" w:before="73"/>
        <w:ind w:left="122" w:right="137"/>
        <w:jc w:val="both"/>
      </w:pPr>
      <w:r>
        <w:rPr/>
        <w:t>perpendicular al plano (100), donde al aumentar la concentración disminuyen los valores del cristal. Los resultados del tamaño de cristal obtenidos en los nanocompositos de inyección fueron  superiores a los del polímero puro. En estos nanocompositos existió una nucleación temprana permitiendo el crecimiento de los cristales mediante la nucleación heterogénea antes de que la nucleación homogénea restringiera este crecimiento</w:t>
      </w:r>
      <w:r>
        <w:rPr>
          <w:spacing w:val="-12"/>
        </w:rPr>
        <w:t> </w:t>
      </w:r>
      <w:r>
        <w:rPr/>
        <w:t>[117].</w:t>
      </w:r>
    </w:p>
    <w:p>
      <w:pPr>
        <w:pStyle w:val="BodyText"/>
      </w:pPr>
    </w:p>
    <w:p>
      <w:pPr>
        <w:pStyle w:val="BodyText"/>
        <w:spacing w:line="360" w:lineRule="auto" w:before="130"/>
        <w:ind w:left="122" w:right="136" w:firstLine="283"/>
        <w:jc w:val="both"/>
      </w:pPr>
      <w:r>
        <w:rPr/>
        <w:t>Es importante notar que en ambos casos existe un crecimiento preferencial del cristal dirección perpendicular al plano (100), es decir existe una fuerte atracción entre las cadenas de nylon 6,6 ordenadas por puentes de hidrógeno. Por otro lado, la diferencia entre los dos tipos de proceso en el tamaño de cristal inferior o superior al del polímero puro está dada por la velocidad en que el polímero cristaliza cuando los nanocompositos son obtenidos. El proceso de </w:t>
      </w:r>
      <w:r>
        <w:rPr>
          <w:i/>
        </w:rPr>
        <w:t>electrospinning </w:t>
      </w:r>
      <w:r>
        <w:rPr/>
        <w:t>involucra la formación de fibras y una cristalización súbita lo que lleva a la formación de cristales pequeños debido al efecto de confinamiento de los refuerzos como se mencionó anteriormente. Por lo contrario, en el proceso de inyección la cristalización en las muestras es más lenta permitiendo  así que el crecimiento de los cristales en los nanocompositos sea superior al del polímero</w:t>
      </w:r>
      <w:r>
        <w:rPr>
          <w:spacing w:val="-30"/>
        </w:rPr>
        <w:t> </w:t>
      </w:r>
      <w:r>
        <w:rPr/>
        <w:t>puro.</w:t>
      </w:r>
    </w:p>
    <w:p>
      <w:pPr>
        <w:pStyle w:val="BodyText"/>
      </w:pPr>
    </w:p>
    <w:p>
      <w:pPr>
        <w:pStyle w:val="BodyText"/>
        <w:spacing w:line="360" w:lineRule="auto" w:before="130"/>
        <w:ind w:left="122" w:right="136" w:firstLine="283"/>
        <w:jc w:val="both"/>
      </w:pPr>
      <w:r>
        <w:rPr/>
        <w:t>Debido a que los picos de difracción de los nanocompositos mostraron desplazamientos  variables en 2</w:t>
      </w:r>
      <w:r>
        <w:rPr>
          <w:rFonts w:ascii="Symbol" w:hAnsi="Symbol"/>
        </w:rPr>
        <w:t></w:t>
      </w:r>
      <w:r>
        <w:rPr/>
        <w:t>, se determinó el espaciamiento de dichos planos. Los valores encontrados no mostraron variación alguna respecto al tipo de procesamiento, tipo de refuerzo y concentración de nanomaterial. Con lo que se corroboró que los planos de difracción (100) y (010) representan un espaciamiento de ~0.44 y ~0.39 nm, respectivamente. Los resultados obtenidos se encuentran en el apéndice.</w:t>
      </w:r>
    </w:p>
    <w:p>
      <w:pPr>
        <w:pStyle w:val="BodyText"/>
      </w:pPr>
    </w:p>
    <w:p>
      <w:pPr>
        <w:pStyle w:val="BodyText"/>
        <w:spacing w:line="360" w:lineRule="auto" w:before="130"/>
        <w:ind w:left="122" w:right="135" w:firstLine="283"/>
        <w:jc w:val="both"/>
      </w:pPr>
      <w:r>
        <w:rPr/>
        <w:t>Además a través de esta técnica también se confirmó el grado de cristalinidad en las muestras a través del índice de cristalinidad calculado a partir de los difractogramas . Los resultados coinciden con los valores obtenidos a partir de los termogramas de fusión, es decir, indicaron la tendencia de un ligero aumento en esta propiedad a medida que se aumentó la concentración de los nanomateriales, a excepción de los nanotubos con grupos amino, cuyos resultados indican que en el caso este refuerzo el valor límite para el incremento de la cristalinidad fue la concentración de 0.1</w:t>
      </w:r>
    </w:p>
    <w:p>
      <w:pPr>
        <w:pStyle w:val="BodyText"/>
        <w:spacing w:line="360" w:lineRule="auto" w:before="4"/>
        <w:ind w:left="122" w:right="139"/>
        <w:jc w:val="both"/>
      </w:pPr>
      <w:r>
        <w:rPr/>
        <w:t>% peso. Este comportamiento coincide con Chatterjee et al quienes investigaron la cristalinidad de fibras de nylon 12 reforzadas con CNTs y grafeno en donde encontraron un contenido de refuerzo al cual existe una saturación en el índice de cristalinidad, la cual fue de 0.1 % peso y dicho comportamiento fue más evidente en los CNTs [118].</w:t>
      </w:r>
    </w:p>
    <w:p>
      <w:pPr>
        <w:spacing w:after="0" w:line="360" w:lineRule="auto"/>
        <w:jc w:val="both"/>
        <w:sectPr>
          <w:pgSz w:w="12240" w:h="15840"/>
          <w:pgMar w:header="730" w:footer="1060" w:top="1160" w:bottom="1260" w:left="1580" w:right="1560"/>
        </w:sectPr>
      </w:pPr>
    </w:p>
    <w:p>
      <w:pPr>
        <w:pStyle w:val="BodyText"/>
        <w:spacing w:before="5"/>
        <w:rPr>
          <w:sz w:val="14"/>
        </w:rPr>
      </w:pPr>
    </w:p>
    <w:p>
      <w:pPr>
        <w:pStyle w:val="Heading4"/>
        <w:numPr>
          <w:ilvl w:val="2"/>
          <w:numId w:val="26"/>
        </w:numPr>
        <w:tabs>
          <w:tab w:pos="619" w:val="left" w:leader="none"/>
        </w:tabs>
        <w:spacing w:line="240" w:lineRule="auto" w:before="73" w:after="0"/>
        <w:ind w:left="618" w:right="0" w:hanging="496"/>
        <w:jc w:val="left"/>
      </w:pPr>
      <w:r>
        <w:rPr/>
        <w:t>Respuesta</w:t>
      </w:r>
      <w:r>
        <w:rPr>
          <w:spacing w:val="-8"/>
        </w:rPr>
        <w:t> </w:t>
      </w:r>
      <w:r>
        <w:rPr/>
        <w:t>termo-mecánica</w:t>
      </w:r>
    </w:p>
    <w:p>
      <w:pPr>
        <w:pStyle w:val="BodyText"/>
        <w:spacing w:line="360" w:lineRule="auto" w:before="124"/>
        <w:ind w:left="122" w:right="135" w:firstLine="283"/>
        <w:jc w:val="both"/>
      </w:pPr>
      <w:r>
        <w:rPr/>
        <w:t>El efecto del reforzamiento de los nanomateriales en la matriz de nylon 6,6 se aprecia en los valores del módulo de almacenamiento de los nanocompositos. Los resultados son superiores a los de la matriz polimérica en los nanocompositos obtenidos por los dos procesos. Sin embargo el efecto fue superior en los nanocompositos obtenidos a través de </w:t>
      </w:r>
      <w:r>
        <w:rPr>
          <w:i/>
        </w:rPr>
        <w:t>electrospinning</w:t>
      </w:r>
      <w:r>
        <w:rPr/>
        <w:t>. Esto puede atribuirse a que el proceso de </w:t>
      </w:r>
      <w:r>
        <w:rPr>
          <w:i/>
        </w:rPr>
        <w:t>electrospinning </w:t>
      </w:r>
      <w:r>
        <w:rPr/>
        <w:t>permite una mejor alineación de los nanomateriales  en las fibras favoreciendo el mejoramiento del módulo. En general los nanocompositos reforzados en base a grafeno mostraron mayores incrementos en comparación a aquellos en base a nanotubos. También es importante resaltar que en ambos procesos el comportamiento obtenido para los diferentes nanomateriales es el mismo. En las muestras obtenidas por </w:t>
      </w:r>
      <w:r>
        <w:rPr>
          <w:i/>
        </w:rPr>
        <w:t>electrospinning</w:t>
      </w:r>
      <w:r>
        <w:rPr/>
        <w:t>, una concentración de 1.0 % peso de p-CNT proporcionó un incremento en el 50% del módulo, seguida de un incremento de 97% en esta propiedad en los nanocompositos con OCNT a la misma concentración que los puros. Por lo contrario, el máximo incremento en el  módulo fue de  </w:t>
      </w:r>
      <w:r>
        <w:rPr>
          <w:spacing w:val="-3"/>
        </w:rPr>
        <w:t>118% </w:t>
      </w:r>
      <w:r>
        <w:rPr/>
        <w:t>para la concentración de 0.1 % peso de f-CNT, lo cual fue de esperarse, debido a la aglomeración  de los nanotubos a altas concentraciones, como se vio en las micrografías de TEM. En los nanocompositos reforzados a base grafeno, la funcionalización también fue muy importante para la mejor dispersión de los nanomateriales y obtención de mejores módulos de almacenamiento. El RGO y el f-Ge mostraron valores similares de módulo de almacenamiento, para la máxima concentración se obtuvieron incrementos de 90 y 116% respectivamente. Esto puede ser explicado por el método de reducción del grafeno. El cual involucró una amina y cuyo análisis de IR dio un indicio de grupos amino sobre su superficie, lo cual favoreció a la dispersión de este refuerzo, obteniéndose así valores de módulo comparables a los del grafeno</w:t>
      </w:r>
      <w:r>
        <w:rPr>
          <w:spacing w:val="-14"/>
        </w:rPr>
        <w:t> </w:t>
      </w:r>
      <w:r>
        <w:rPr/>
        <w:t>funcionalizado.</w:t>
      </w:r>
    </w:p>
    <w:p>
      <w:pPr>
        <w:pStyle w:val="BodyText"/>
      </w:pPr>
    </w:p>
    <w:p>
      <w:pPr>
        <w:pStyle w:val="BodyText"/>
        <w:spacing w:line="360" w:lineRule="auto" w:before="130"/>
        <w:ind w:left="122" w:right="136" w:firstLine="283"/>
        <w:jc w:val="both"/>
      </w:pPr>
      <w:r>
        <w:rPr/>
        <w:t>En lo que respecta a los nanocompositos obtenidos a través de moldeo por inyección, concentraciones de 0.5 % peso de p-CNT y OCNT favorecieron el módulo de almacenamiento en  un 17 y 27% respectivamente. El máximo incremento se obtuvo para una concentración de 0.1% peso en f-CNT mostrando un aumento del módulo de 30% en comparación a la matriz. De manera similar que en las muestras obtenidas por </w:t>
      </w:r>
      <w:r>
        <w:rPr>
          <w:i/>
        </w:rPr>
        <w:t>electrospinning</w:t>
      </w:r>
      <w:r>
        <w:rPr/>
        <w:t>, las muestras reforzadas con RGO y f-Ge mostraron resultados comparables. Al adicionar una concentración de 0.5 % peso de RGO el  módulo incrementó un 34% y para la misma concentración en f-Ge mejoró esta propiedad en 31% respecto al nylon. El GO demostró ser el mejor agente de refuerzo favoreciendo en un 44% el módulo de la matriz con una concentración de 0.5 % peso. Es importante mencionar que estos resultados sobresalen entre estudios previos que han realizado diversos autores, ya que a concentraciones  semejantes  de  estos  nanomateriales  han  obtenido  resultados  inferiores  a    </w:t>
      </w:r>
      <w:r>
        <w:rPr>
          <w:spacing w:val="2"/>
        </w:rPr>
        <w:t> </w:t>
      </w:r>
      <w:r>
        <w:rPr/>
        <w:t>los</w:t>
      </w:r>
    </w:p>
    <w:p>
      <w:pPr>
        <w:spacing w:after="0" w:line="360" w:lineRule="auto"/>
        <w:jc w:val="both"/>
        <w:sectPr>
          <w:pgSz w:w="12240" w:h="15840"/>
          <w:pgMar w:header="730" w:footer="1060" w:top="1160" w:bottom="1260" w:left="1580" w:right="1560"/>
        </w:sectPr>
      </w:pPr>
    </w:p>
    <w:p>
      <w:pPr>
        <w:pStyle w:val="BodyText"/>
        <w:rPr>
          <w:sz w:val="14"/>
        </w:rPr>
      </w:pPr>
    </w:p>
    <w:p>
      <w:pPr>
        <w:pStyle w:val="BodyText"/>
        <w:spacing w:line="360" w:lineRule="auto" w:before="73"/>
        <w:ind w:left="122" w:right="140"/>
        <w:jc w:val="both"/>
      </w:pPr>
      <w:r>
        <w:rPr/>
        <w:t>encontrados en este trabajo [131-133]. Tal es el caso de nanocompositos de nylon 4,6 reforzados con 0.5 % peso de óxido de grafeno obtenidos en un mezclado por solución cuyo incremento en el módulo de almacenamiento fue de 38%</w:t>
      </w:r>
      <w:r>
        <w:rPr>
          <w:spacing w:val="-9"/>
        </w:rPr>
        <w:t> </w:t>
      </w:r>
      <w:r>
        <w:rPr/>
        <w:t>[131].</w:t>
      </w:r>
    </w:p>
    <w:p>
      <w:pPr>
        <w:pStyle w:val="BodyText"/>
      </w:pPr>
    </w:p>
    <w:p>
      <w:pPr>
        <w:pStyle w:val="BodyText"/>
        <w:spacing w:line="360" w:lineRule="auto" w:before="130"/>
        <w:ind w:left="122" w:right="135" w:firstLine="283"/>
        <w:jc w:val="both"/>
      </w:pPr>
      <w:r>
        <w:rPr/>
        <w:t>Como se mencionó anteriormente la cristalinidad está relacionada con las propiedades  mecánicas de los nanocompositos, Coleman et al encontraron que un amento lineal en la cristalinidad a medida que la fracción volumen aumenta sugiere que cada nanotubo tiene una cubierta cristalina, esto favorece a las propiedades mecánicas de los nanocompositos [134]. Es  decir, el aumento de la cristalinidad proporcionada por la adición de los nanomateriales también pudo haber favorecido al mejoramiento del módulo de almacenamiento de los nanocompositos estudiados.</w:t>
      </w:r>
    </w:p>
    <w:p>
      <w:pPr>
        <w:pStyle w:val="BodyText"/>
      </w:pPr>
    </w:p>
    <w:p>
      <w:pPr>
        <w:pStyle w:val="BodyText"/>
        <w:spacing w:line="355" w:lineRule="auto" w:before="130"/>
        <w:ind w:left="122" w:right="132" w:firstLine="283"/>
        <w:jc w:val="both"/>
      </w:pPr>
      <w:r>
        <w:rPr/>
        <w:t>Además la presencia de los nanomaterials restringe la movilidad de las cadenas poliméricas del nylon 6,6. Es decir, el volumen libre en la matriz está influenciado por la interacción entre ambas fases. El mejoramiento de T</w:t>
      </w:r>
      <w:r>
        <w:rPr>
          <w:position w:val="-2"/>
          <w:sz w:val="14"/>
        </w:rPr>
        <w:t>g </w:t>
      </w:r>
      <w:r>
        <w:rPr/>
        <w:t>es una característica del confinamiento impuesto por  los nanomateriales en los segmentos moleculares del polímero. Diversos autores han reportado incrementos moderados en la T</w:t>
      </w:r>
      <w:r>
        <w:rPr>
          <w:position w:val="-2"/>
          <w:sz w:val="14"/>
        </w:rPr>
        <w:t>g </w:t>
      </w:r>
      <w:r>
        <w:rPr/>
        <w:t>de poliamidas, debido a la adición de CNTs y grafeno. Baji et al observaron un incremento de 7 °C en esta propiedad al incorporar una concentración de 7.5% peso de CNTs en fibras de nylon 6,6 obtenidas por electrospinning [63]. La adición de 1% peso de MWNTs proporcionó un aumento de 2°C en la T</w:t>
      </w:r>
      <w:r>
        <w:rPr>
          <w:position w:val="-2"/>
          <w:sz w:val="14"/>
        </w:rPr>
        <w:t>g </w:t>
      </w:r>
      <w:r>
        <w:rPr/>
        <w:t>de compositos de nylon 6 obtenidos por extrusión [135]. Otro estudio mostró que la T</w:t>
      </w:r>
      <w:r>
        <w:rPr>
          <w:position w:val="-2"/>
          <w:sz w:val="14"/>
        </w:rPr>
        <w:t>g </w:t>
      </w:r>
      <w:r>
        <w:rPr/>
        <w:t>se mantuvo constante al adicionar diversas concentraciones de GO en nylon 4,6 [132]. Los refuerzos utilizados en este trabajo mostraron una muy buena eficiencia como agentes de confinamiento en la matriz ya que los resultados obtenidos muestran no solo T</w:t>
      </w:r>
      <w:r>
        <w:rPr>
          <w:position w:val="-2"/>
          <w:sz w:val="14"/>
        </w:rPr>
        <w:t>g </w:t>
      </w:r>
      <w:r>
        <w:rPr/>
        <w:t>superiores a las del nylon 6,6 puro sino a los valores observados en la literatura . En los nanocompositos obtenidos por </w:t>
      </w:r>
      <w:r>
        <w:rPr>
          <w:i/>
        </w:rPr>
        <w:t>electrospinning </w:t>
      </w:r>
      <w:r>
        <w:rPr/>
        <w:t>los mejores resultados fueron obtenidos en las muestras con 0.5 % peso de OCNT y f-CNT, exhibiendo un aumento de 9°C respecto a la matriz.  La adición de 0.5% peso de GO favoreció en 6°C la </w:t>
      </w:r>
      <w:r>
        <w:rPr>
          <w:spacing w:val="3"/>
        </w:rPr>
        <w:t>T</w:t>
      </w:r>
      <w:r>
        <w:rPr>
          <w:spacing w:val="3"/>
          <w:position w:val="-2"/>
          <w:sz w:val="14"/>
        </w:rPr>
        <w:t>g</w:t>
      </w:r>
      <w:r>
        <w:rPr>
          <w:spacing w:val="41"/>
          <w:position w:val="-2"/>
          <w:sz w:val="14"/>
        </w:rPr>
        <w:t> </w:t>
      </w:r>
      <w:r>
        <w:rPr/>
        <w:t>del nylon 6,6. En cuanto a los nanocompositos obtenidos por inyección, la </w:t>
      </w:r>
      <w:r>
        <w:rPr>
          <w:spacing w:val="2"/>
        </w:rPr>
        <w:t>T</w:t>
      </w:r>
      <w:r>
        <w:rPr>
          <w:spacing w:val="2"/>
          <w:position w:val="-2"/>
          <w:sz w:val="14"/>
        </w:rPr>
        <w:t>g </w:t>
      </w:r>
      <w:r>
        <w:rPr/>
        <w:t>aumentó en 9°C para una concentración de 0.5 % peso de f-CNT y 0.3 % peso de</w:t>
      </w:r>
      <w:r>
        <w:rPr>
          <w:spacing w:val="-8"/>
        </w:rPr>
        <w:t> </w:t>
      </w:r>
      <w:r>
        <w:rPr/>
        <w:t>RGO.</w:t>
      </w:r>
    </w:p>
    <w:p>
      <w:pPr>
        <w:pStyle w:val="BodyText"/>
      </w:pPr>
    </w:p>
    <w:p>
      <w:pPr>
        <w:pStyle w:val="BodyText"/>
        <w:tabs>
          <w:tab w:pos="7222" w:val="left" w:leader="none"/>
        </w:tabs>
        <w:spacing w:line="360" w:lineRule="auto" w:before="135"/>
        <w:ind w:left="122" w:right="136" w:firstLine="283"/>
      </w:pPr>
      <w:r>
        <w:rPr/>
        <w:t>El efecto de estabilización de los nanomateriales de carbono ha sido explicado por los efectos de barrera que estos ofrecen y que dificultan la difusión de los productos de degradación del polímero. Además una buena interacción interfacial favorece a la estabilidad térmica debido al movimiento restringido  de  las  cadenas  poliméricas.  Diversos  autores  han</w:t>
      </w:r>
      <w:r>
        <w:rPr>
          <w:spacing w:val="1"/>
        </w:rPr>
        <w:t> </w:t>
      </w:r>
      <w:r>
        <w:rPr/>
        <w:t>mostrado</w:t>
      </w:r>
      <w:r>
        <w:rPr>
          <w:spacing w:val="43"/>
        </w:rPr>
        <w:t> </w:t>
      </w:r>
      <w:r>
        <w:rPr/>
        <w:t>T</w:t>
      </w:r>
      <w:r>
        <w:rPr>
          <w:position w:val="-2"/>
          <w:sz w:val="14"/>
        </w:rPr>
        <w:t>d</w:t>
        <w:tab/>
      </w:r>
      <w:r>
        <w:rPr/>
        <w:t>de</w:t>
      </w:r>
      <w:r>
        <w:rPr>
          <w:spacing w:val="43"/>
        </w:rPr>
        <w:t> </w:t>
      </w:r>
      <w:r>
        <w:rPr/>
        <w:t>nanocompositos</w:t>
      </w:r>
    </w:p>
    <w:p>
      <w:pPr>
        <w:spacing w:after="0" w:line="360" w:lineRule="auto"/>
        <w:sectPr>
          <w:pgSz w:w="12240" w:h="15840"/>
          <w:pgMar w:header="730" w:footer="1060" w:top="1160" w:bottom="1260" w:left="1580" w:right="1560"/>
        </w:sectPr>
      </w:pPr>
    </w:p>
    <w:p>
      <w:pPr>
        <w:pStyle w:val="BodyText"/>
        <w:rPr>
          <w:sz w:val="14"/>
        </w:rPr>
      </w:pPr>
    </w:p>
    <w:p>
      <w:pPr>
        <w:pStyle w:val="BodyText"/>
        <w:spacing w:line="355" w:lineRule="auto" w:before="73"/>
        <w:ind w:left="122" w:right="135"/>
        <w:jc w:val="both"/>
      </w:pPr>
      <w:r>
        <w:rPr/>
        <w:t>similares a las del polímero puro, cuando fueron analizados en una atmósfera de nitrógeno [63,  136]. La adición de diversas concentraciones de MWNTs oxidados en nylon 6,6 no mostró cambios en la T</w:t>
      </w:r>
      <w:r>
        <w:rPr>
          <w:position w:val="-2"/>
          <w:sz w:val="14"/>
        </w:rPr>
        <w:t>d </w:t>
      </w:r>
      <w:r>
        <w:rPr/>
        <w:t>de los nanocompositos [136]. Por otro lado, nanocompositos de una poliamida semiaromática exhibieron un aumento de 13°C con la adición de 1% peso de MWNTs [137]. Sin embargo cuando la concentración fue aumentada hasta 3% peso la </w:t>
      </w:r>
      <w:r>
        <w:rPr>
          <w:spacing w:val="4"/>
        </w:rPr>
        <w:t>T</w:t>
      </w:r>
      <w:r>
        <w:rPr>
          <w:spacing w:val="4"/>
          <w:position w:val="-2"/>
          <w:sz w:val="14"/>
        </w:rPr>
        <w:t>d </w:t>
      </w:r>
      <w:r>
        <w:rPr/>
        <w:t>fue similar a la del polímero puro. En el caso de nanocompositos en base a grafeno, la incorporación de 1% peso de este nanomaterial resultó en un aumento de 3°C en la T</w:t>
      </w:r>
      <w:r>
        <w:rPr>
          <w:position w:val="-2"/>
          <w:sz w:val="14"/>
        </w:rPr>
        <w:t>d </w:t>
      </w:r>
      <w:r>
        <w:rPr/>
        <w:t>de nylon 12 y una concentración de 3% peso de este refuerzo incrementó esta propiedad en 16°C [138]. Zhang et al reportaron que las temperaturas de descomposición máximas en nanocompositos de RGO y GO fueron similares a las del nylon 6 [139].</w:t>
      </w:r>
    </w:p>
    <w:p>
      <w:pPr>
        <w:pStyle w:val="BodyText"/>
      </w:pPr>
    </w:p>
    <w:p>
      <w:pPr>
        <w:pStyle w:val="BodyText"/>
        <w:spacing w:line="360" w:lineRule="auto" w:before="138"/>
        <w:ind w:left="122" w:right="135" w:firstLine="283"/>
        <w:jc w:val="both"/>
      </w:pPr>
      <w:r>
        <w:rPr/>
        <w:t>El comportamiento variable de la estabilidad térmica no solo ha sido resultado de la incorporación de nanomateriales de carbono sino también con la adición de otros refuerzos en una variedad de polímeros [140]. Estos diferentes efectos han sido atribuidos a reacciones químicas y procesos complejos en los nanompositos bajo condiciones de degradación [141]. Además el medio en que son llevados a cabo los análisis termo-gravimétricos también tiene influencia en la respuesta del material. Los trabajos mencionados anteriormente se realizaron en una atmósfera de nitrógeno. En contraste, una atmósfera de aire ha proporcionado efectos más ventajosos en la estabilidad térmica de los nanocompositos [140]. Tal es el caso de nanocompositos de nylon 6 que fueron evaluados bajo una atmósfera de nitrógeno y de manera similar en una atmósfera de aire. Dicho trabajo mostró que bajo condiciones inertes la T</w:t>
      </w:r>
      <w:r>
        <w:rPr>
          <w:position w:val="-2"/>
          <w:sz w:val="14"/>
        </w:rPr>
        <w:t>d </w:t>
      </w:r>
      <w:r>
        <w:rPr/>
        <w:t>permaneció constante con la adición de CNTs. Sin embargo la termo-oxidacion del nylon 6 se vio dificultada cuando fueron analizados en atmósfera  de aire y el mejor resultado observado fue a una concentración de 2% peso con un aumento en 12°C en esta propiedad</w:t>
      </w:r>
      <w:r>
        <w:rPr>
          <w:spacing w:val="-4"/>
        </w:rPr>
        <w:t> </w:t>
      </w:r>
      <w:r>
        <w:rPr/>
        <w:t>[142].</w:t>
      </w:r>
    </w:p>
    <w:p>
      <w:pPr>
        <w:pStyle w:val="BodyText"/>
      </w:pPr>
    </w:p>
    <w:p>
      <w:pPr>
        <w:pStyle w:val="BodyText"/>
        <w:spacing w:line="360" w:lineRule="auto" w:before="131"/>
        <w:ind w:left="122" w:right="137" w:firstLine="283"/>
        <w:jc w:val="both"/>
      </w:pPr>
      <w:r>
        <w:rPr/>
        <w:t>De acuerdo a las temperaturas de descomposición de las muestras que contienen las concentraciones más bajas y más altas, de las cuales se puede identificar que en el caso del proceso de moldeo por inyección el nylon 6,6 puro estas pérdidas de peso ocurrieron a 387 y 421 °C. Los nanocompositos reforzados con 0.5 % peso de GO presentaron la mejor estabilidad térmica con un incremento de 5°C  en ambas pérdidas de peso, respecto al valor de nylon 6,6 puro.</w:t>
      </w:r>
    </w:p>
    <w:p>
      <w:pPr>
        <w:spacing w:after="0" w:line="360" w:lineRule="auto"/>
        <w:jc w:val="both"/>
        <w:sectPr>
          <w:pgSz w:w="12240" w:h="15840"/>
          <w:pgMar w:header="730" w:footer="1060" w:top="1160" w:bottom="1260" w:left="1580" w:right="1560"/>
        </w:sectPr>
      </w:pPr>
    </w:p>
    <w:p>
      <w:pPr>
        <w:pStyle w:val="BodyText"/>
        <w:rPr>
          <w:sz w:val="20"/>
        </w:rPr>
      </w:pPr>
      <w:r>
        <w:rPr/>
        <w:pict>
          <v:group style="position:absolute;margin-left:122.175003pt;margin-top:212.595001pt;width:4.45pt;height:192.7pt;mso-position-horizontal-relative:page;mso-position-vertical-relative:page;z-index:-174352" coordorigin="2444,4252" coordsize="89,3854">
            <v:line style="position:absolute" from="2488,4296" to="2488,4512" stroked="true" strokeweight="4.440pt" strokecolor="#000000"/>
            <v:line style="position:absolute" from="2488,4513" to="2488,5351" stroked="true" strokeweight="4.440pt" strokecolor="#000000"/>
            <v:line style="position:absolute" from="2488,5351" to="2488,7007" stroked="true" strokeweight="4.440pt" strokecolor="#000000"/>
            <v:line style="position:absolute" from="2488,7007" to="2488,7223" stroked="true" strokeweight="4.440pt" strokecolor="#000000"/>
            <v:line style="position:absolute" from="2488,7223" to="2488,8061" stroked="true" strokeweight="4.440pt" strokecolor="#000000"/>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tbl>
      <w:tblPr>
        <w:tblW w:w="0" w:type="auto"/>
        <w:jc w:val="left"/>
        <w:tblInd w:w="7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644"/>
      </w:tblGrid>
      <w:tr>
        <w:trPr>
          <w:trHeight w:val="1374" w:hRule="exact"/>
        </w:trPr>
        <w:tc>
          <w:tcPr>
            <w:tcW w:w="5644" w:type="dxa"/>
          </w:tcPr>
          <w:p>
            <w:pPr>
              <w:pStyle w:val="TableParagraph"/>
              <w:spacing w:line="980" w:lineRule="exact"/>
              <w:ind w:left="109"/>
              <w:jc w:val="left"/>
              <w:rPr>
                <w:b/>
                <w:i/>
                <w:sz w:val="96"/>
              </w:rPr>
            </w:pPr>
            <w:r>
              <w:rPr>
                <w:b/>
                <w:i/>
                <w:sz w:val="96"/>
              </w:rPr>
              <w:t>Conclusiones</w:t>
            </w:r>
          </w:p>
        </w:tc>
      </w:tr>
      <w:tr>
        <w:trPr>
          <w:trHeight w:val="1174" w:hRule="exact"/>
        </w:trPr>
        <w:tc>
          <w:tcPr>
            <w:tcW w:w="5644" w:type="dxa"/>
          </w:tcPr>
          <w:p>
            <w:pPr>
              <w:pStyle w:val="TableParagraph"/>
              <w:spacing w:before="11"/>
              <w:jc w:val="left"/>
              <w:rPr>
                <w:sz w:val="31"/>
              </w:rPr>
            </w:pPr>
          </w:p>
          <w:p>
            <w:pPr>
              <w:pStyle w:val="TableParagraph"/>
              <w:ind w:left="116"/>
              <w:jc w:val="left"/>
              <w:rPr>
                <w:i/>
                <w:sz w:val="36"/>
              </w:rPr>
            </w:pPr>
            <w:r>
              <w:rPr>
                <w:i/>
                <w:sz w:val="36"/>
              </w:rPr>
              <w:t>Capítulo 5</w:t>
            </w:r>
          </w:p>
        </w:tc>
      </w:tr>
    </w:tbl>
    <w:p>
      <w:pPr>
        <w:spacing w:after="0"/>
        <w:jc w:val="left"/>
        <w:rPr>
          <w:sz w:val="36"/>
        </w:rPr>
        <w:sectPr>
          <w:headerReference w:type="default" r:id="rId88"/>
          <w:footerReference w:type="default" r:id="rId89"/>
          <w:pgSz w:w="12240" w:h="15840"/>
          <w:pgMar w:header="0" w:footer="0" w:top="1500" w:bottom="280" w:left="1720" w:right="1720"/>
        </w:sectPr>
      </w:pPr>
    </w:p>
    <w:p>
      <w:pPr>
        <w:pStyle w:val="BodyText"/>
        <w:rPr>
          <w:sz w:val="14"/>
        </w:rPr>
      </w:pPr>
    </w:p>
    <w:p>
      <w:pPr>
        <w:pStyle w:val="BodyText"/>
        <w:spacing w:line="360" w:lineRule="auto" w:before="73"/>
        <w:ind w:left="122" w:right="135" w:firstLine="283"/>
        <w:jc w:val="both"/>
      </w:pPr>
      <w:r>
        <w:rPr/>
        <w:t>En este trabajo se encontraron características interesantes en las propiedades del nylon 6,6 resultantes de la incorporación de CNTs y grafeno, cuya modificación química, contenido y tipo de procesamiento fue diferente. Dichos factores influyeron en diferente grado a las propiedades de cristalinidad, mecánicas y térmicas de los nanocompositos.</w:t>
      </w:r>
    </w:p>
    <w:p>
      <w:pPr>
        <w:pStyle w:val="BodyText"/>
      </w:pPr>
    </w:p>
    <w:p>
      <w:pPr>
        <w:pStyle w:val="BodyText"/>
        <w:spacing w:line="360" w:lineRule="auto" w:before="130"/>
        <w:ind w:left="122" w:right="135" w:firstLine="283"/>
        <w:jc w:val="both"/>
      </w:pPr>
      <w:r>
        <w:rPr/>
        <w:t>En la cristalización de los nanocompositos poliméricos existieron dos mecanismos competitivos debido a la dimensión nanométrica de los alótropos de carbono empleados. Uno tiene efecto en la nucleación de los cristales mediante la disminución de la energía superficial que favorece a la cristalización del polímero en la interfase del nanomaterial. Mientras que el otro restringe  la difusión de las cadenas poliméricas por la gran densidad de estos nanomateriales en la matriz, dificultando el ordenamiento de los dominios cristalinos, y por ende, la disminución de la cristalización en los nanocompositos. Dichos efectos explican el ligero incremento en el grado de cristalinidad de las muestras conforme aumenta el contenido de los nanomateriales, así como las características observadas en los cristales.</w:t>
      </w:r>
    </w:p>
    <w:p>
      <w:pPr>
        <w:pStyle w:val="BodyText"/>
      </w:pPr>
    </w:p>
    <w:p>
      <w:pPr>
        <w:pStyle w:val="BodyText"/>
        <w:spacing w:line="360" w:lineRule="auto" w:before="130"/>
        <w:ind w:left="122" w:right="135" w:firstLine="283"/>
        <w:jc w:val="both"/>
      </w:pPr>
      <w:r>
        <w:rPr/>
        <w:t>En relación a lo anterior, la funcionalización favorece a la dispersión de los nanomateriales, contribuyendo a una mayor cantidad de núcleos a partir de los cuales se puede inducir la cristalización. No obstante, la cantidad de grupos funcionales en la superficie de las nanoestructuras puede afectar negativamente, de manera que exista una mayor interacción entre los nanomateriales  y en donde además estos contribuyan al confinamiento de las cadenas poliméricas, dificultando el crecimiento de un mayor número de cristales, como en el caso de los</w:t>
      </w:r>
      <w:r>
        <w:rPr>
          <w:spacing w:val="-15"/>
        </w:rPr>
        <w:t> </w:t>
      </w:r>
      <w:r>
        <w:rPr/>
        <w:t>f-CNT.</w:t>
      </w:r>
    </w:p>
    <w:p>
      <w:pPr>
        <w:pStyle w:val="BodyText"/>
      </w:pPr>
    </w:p>
    <w:p>
      <w:pPr>
        <w:pStyle w:val="BodyText"/>
        <w:spacing w:line="360" w:lineRule="auto" w:before="130"/>
        <w:ind w:left="122" w:right="135" w:firstLine="283"/>
        <w:jc w:val="both"/>
      </w:pPr>
      <w:r>
        <w:rPr/>
        <w:t>Por otro lado, los nanomateriales no causaron cambios en la fase cristalina del nylon 6,6. Sin embargo el tipo de procesamiento influyó en las dimensiones del cristal. Esto estuvo relacionado con la velocidad en que sucede la cristalización. En el proceso de </w:t>
      </w:r>
      <w:r>
        <w:rPr>
          <w:i/>
        </w:rPr>
        <w:t>electrospinning </w:t>
      </w:r>
      <w:r>
        <w:rPr/>
        <w:t>donde la obtención de las fibras es inmediata, los cristales son creados instantáneamente, lo que tuvo como consecuencia la formación de estructuras cristalinas más pequeñas debido a la incorporación de los nanomateriales. De manera opuesta, en el proceso de inyección que involucra velocidades de enfriamiento lentas propició que los cristales en los nanocompositos tuvieran más tiempo para crecer antes que el efecto de confinamiento restringiera el crecimiento del</w:t>
      </w:r>
      <w:r>
        <w:rPr>
          <w:spacing w:val="-24"/>
        </w:rPr>
        <w:t> </w:t>
      </w:r>
      <w:r>
        <w:rPr/>
        <w:t>cristal.</w:t>
      </w:r>
    </w:p>
    <w:p>
      <w:pPr>
        <w:pStyle w:val="BodyText"/>
      </w:pPr>
    </w:p>
    <w:p>
      <w:pPr>
        <w:pStyle w:val="BodyText"/>
        <w:spacing w:line="360" w:lineRule="auto" w:before="130"/>
        <w:ind w:left="122" w:right="136" w:firstLine="283"/>
        <w:jc w:val="both"/>
      </w:pPr>
      <w:r>
        <w:rPr/>
        <w:t>En todos los nanocompositos existió un crecimiento preferencial en dirección perpendicular al plano (100). En donde el aumento del contenido de nanomateriales provocó una disminución del tamaño de cristal perpendicular a este plano, en los nanocompositos obtenidos por </w:t>
      </w:r>
      <w:r>
        <w:rPr>
          <w:spacing w:val="51"/>
        </w:rPr>
        <w:t> </w:t>
      </w:r>
      <w:r>
        <w:rPr/>
        <w:t>electrospinning.</w:t>
      </w:r>
    </w:p>
    <w:p>
      <w:pPr>
        <w:spacing w:after="0" w:line="360" w:lineRule="auto"/>
        <w:jc w:val="both"/>
        <w:sectPr>
          <w:headerReference w:type="default" r:id="rId90"/>
          <w:footerReference w:type="default" r:id="rId91"/>
          <w:pgSz w:w="12240" w:h="15840"/>
          <w:pgMar w:header="730" w:footer="1060" w:top="1160" w:bottom="1260" w:left="1580" w:right="1560"/>
          <w:pgNumType w:start="123"/>
        </w:sectPr>
      </w:pPr>
    </w:p>
    <w:p>
      <w:pPr>
        <w:pStyle w:val="BodyText"/>
        <w:rPr>
          <w:sz w:val="14"/>
        </w:rPr>
      </w:pPr>
    </w:p>
    <w:p>
      <w:pPr>
        <w:pStyle w:val="BodyText"/>
        <w:spacing w:line="360" w:lineRule="auto" w:before="73"/>
        <w:ind w:left="122" w:right="135"/>
        <w:jc w:val="both"/>
      </w:pPr>
      <w:r>
        <w:rPr/>
        <w:t>Además los nanocompositos en base a grafeno tuvieron un menor tamaño de cristal en ambas direcciones.Sin embargo en los nanocompositos en base a grafeno obtenidos por el proceso de moldeo por inyección, las dimensiones correspondientes a la dirección perpendicular al plano (100) son superiores a aquellas de los nanocompositos en base a CNTs, y de manera opuesta las dimensiones correspondientes a la dirección perpendicular al plano (101/110). Lo que indica que la orientación de las hojas de grafeno a través de electrospinning favoreció a la disminución del tamaño de cristal en las dos</w:t>
      </w:r>
      <w:r>
        <w:rPr>
          <w:spacing w:val="-9"/>
        </w:rPr>
        <w:t> </w:t>
      </w:r>
      <w:r>
        <w:rPr/>
        <w:t>direcciones.</w:t>
      </w:r>
    </w:p>
    <w:p>
      <w:pPr>
        <w:pStyle w:val="BodyText"/>
      </w:pPr>
    </w:p>
    <w:p>
      <w:pPr>
        <w:pStyle w:val="BodyText"/>
        <w:spacing w:line="360" w:lineRule="auto" w:before="130"/>
        <w:ind w:left="122" w:right="135" w:firstLine="283"/>
        <w:jc w:val="both"/>
      </w:pPr>
      <w:r>
        <w:rPr/>
        <w:t>La adición de ambos alótropos de carbono mejoró significativamente el módulo de almacenamiento del nylon 6,6. En los dos tipos de procesamiento los nanocompositos mostraron el mismo comportamiento en cuanto al tipo y contenido de refuerzo. Además la funcionalización mejoró la respuesta mecánica. Sin embargo, de manera similar que en la cristalización, esta influyó de manera diferente con la incorporación de las diferentes nanoestructuras. El incremento de la cantidad de  f-CNT en la matriz dificultó su dispersión, reduciendo el modulo de almacenamiento de los nanocompositos. Por el contrario, todos los nanomateriales en base a grafeno reforzaron eficientemente la matriz a medida que se aumentó su contenido. Dentro de éstos, los nanocompositos con GO sobresalen por tener el mejor desempeño</w:t>
      </w:r>
      <w:r>
        <w:rPr>
          <w:spacing w:val="-14"/>
        </w:rPr>
        <w:t> </w:t>
      </w:r>
      <w:r>
        <w:rPr/>
        <w:t>mecánico.</w:t>
      </w:r>
    </w:p>
    <w:p>
      <w:pPr>
        <w:pStyle w:val="BodyText"/>
      </w:pPr>
    </w:p>
    <w:p>
      <w:pPr>
        <w:pStyle w:val="BodyText"/>
        <w:spacing w:line="360" w:lineRule="auto" w:before="131"/>
        <w:ind w:left="122" w:right="135" w:firstLine="283"/>
        <w:jc w:val="both"/>
      </w:pPr>
      <w:r>
        <w:rPr/>
        <w:t>En cuanto a las propiedades térmicas, la temperatura de transición vítrea fue mejorada gracias a la restricción de las cadenas poliméricas proporcionada por los nanomateriales. En contraste, estos alótropos de carbono no tuvieron influencia en la estabilidad térmica de la matriz de nylon, cuando esta fue analizada en una atmósfera de nitrógeno, lo cual está de acuerdo a diversas investigaciones en otros tipos matrices.</w:t>
      </w:r>
    </w:p>
    <w:p>
      <w:pPr>
        <w:pStyle w:val="BodyText"/>
      </w:pPr>
    </w:p>
    <w:p>
      <w:pPr>
        <w:pStyle w:val="BodyText"/>
        <w:spacing w:line="360" w:lineRule="auto" w:before="130"/>
        <w:ind w:left="122" w:right="136" w:firstLine="283"/>
        <w:jc w:val="both"/>
      </w:pPr>
      <w:r>
        <w:rPr/>
        <w:t>Finalmente, este trabajo es único en su tipo, en donde se mostró el efecto que proveen las dos estructuras de carbono nanométrico en su estado puro o reducido, oxidado y funcionalizado con grupos amino, cuando fueron incorporados en una matriz semicristalina a través de dos tipos de procesamiento. De manera que se concluye que la geometría, la funcionalización y el  procesamiento influyen directamente en la cristalización del nylon 6,6, así como en las propiedades termo-mecánicas de los nanocompositos. En donde el mejoramiento de las propiedades mecánicas  es principalmente a la dispersión homogénea y la rigidez impuesta por los nanomateriales en la matriz de nylon</w:t>
      </w:r>
      <w:r>
        <w:rPr>
          <w:spacing w:val="-2"/>
        </w:rPr>
        <w:t> </w:t>
      </w:r>
      <w:r>
        <w:rPr/>
        <w:t>6,6.</w:t>
      </w:r>
    </w:p>
    <w:p>
      <w:pPr>
        <w:spacing w:after="0" w:line="360" w:lineRule="auto"/>
        <w:jc w:val="both"/>
        <w:sectPr>
          <w:pgSz w:w="12240" w:h="15840"/>
          <w:pgMar w:header="730" w:footer="1060" w:top="1160" w:bottom="1260" w:left="1580" w:right="1560"/>
        </w:sectPr>
      </w:pPr>
    </w:p>
    <w:p>
      <w:pPr>
        <w:pStyle w:val="BodyText"/>
        <w:spacing w:before="7"/>
        <w:rPr>
          <w:sz w:val="23"/>
        </w:rPr>
      </w:pPr>
    </w:p>
    <w:p>
      <w:pPr>
        <w:pStyle w:val="Heading1"/>
        <w:ind w:left="122" w:right="41"/>
      </w:pPr>
      <w:r>
        <w:rPr/>
        <w:t>Referencias bibliográficas</w:t>
      </w:r>
    </w:p>
    <w:p>
      <w:pPr>
        <w:pStyle w:val="ListParagraph"/>
        <w:numPr>
          <w:ilvl w:val="3"/>
          <w:numId w:val="26"/>
        </w:numPr>
        <w:tabs>
          <w:tab w:pos="842" w:val="left" w:leader="none"/>
        </w:tabs>
        <w:spacing w:line="360" w:lineRule="auto" w:before="226" w:after="0"/>
        <w:ind w:left="842" w:right="136" w:hanging="360"/>
        <w:jc w:val="both"/>
        <w:rPr>
          <w:sz w:val="22"/>
        </w:rPr>
      </w:pPr>
      <w:r>
        <w:rPr>
          <w:sz w:val="22"/>
        </w:rPr>
        <w:t>Martínez-Hernández, A. L., Velasco-Santos, C., Castaño, V. M. (2010). Carbon nanotubes composites: Processing, grafting and mechanical and thermal properties. </w:t>
      </w:r>
      <w:r>
        <w:rPr>
          <w:i/>
          <w:sz w:val="22"/>
        </w:rPr>
        <w:t>Current </w:t>
      </w:r>
      <w:r>
        <w:rPr>
          <w:i/>
          <w:sz w:val="22"/>
        </w:rPr>
        <w:t>Nanoscience, 6</w:t>
      </w:r>
      <w:r>
        <w:rPr>
          <w:sz w:val="22"/>
        </w:rPr>
        <w:t>(1),</w:t>
      </w:r>
      <w:r>
        <w:rPr>
          <w:spacing w:val="-7"/>
          <w:sz w:val="22"/>
        </w:rPr>
        <w:t> </w:t>
      </w:r>
      <w:r>
        <w:rPr>
          <w:sz w:val="22"/>
        </w:rPr>
        <w:t>12-39.</w:t>
      </w:r>
    </w:p>
    <w:p>
      <w:pPr>
        <w:pStyle w:val="ListParagraph"/>
        <w:numPr>
          <w:ilvl w:val="3"/>
          <w:numId w:val="26"/>
        </w:numPr>
        <w:tabs>
          <w:tab w:pos="842" w:val="left" w:leader="none"/>
        </w:tabs>
        <w:spacing w:line="360" w:lineRule="auto" w:before="4" w:after="0"/>
        <w:ind w:left="842" w:right="138" w:hanging="360"/>
        <w:jc w:val="both"/>
        <w:rPr>
          <w:sz w:val="22"/>
        </w:rPr>
      </w:pPr>
      <w:r>
        <w:rPr>
          <w:sz w:val="22"/>
        </w:rPr>
        <w:t>Velasco-Santos, C., Martínez-Hernández, A. L., Fisher, F., Ruoff, R., Castaño, V. M. (2003). Dynamical-mechanical and thermal analysis of carbon nanotube-methyl-ethyl methacrylate nanocomposites. </w:t>
      </w:r>
      <w:r>
        <w:rPr>
          <w:i/>
          <w:sz w:val="22"/>
        </w:rPr>
        <w:t>Journal of Physics D: Applied Physics, 36</w:t>
      </w:r>
      <w:r>
        <w:rPr>
          <w:sz w:val="22"/>
        </w:rPr>
        <w:t>(12),</w:t>
      </w:r>
      <w:r>
        <w:rPr>
          <w:spacing w:val="-18"/>
          <w:sz w:val="22"/>
        </w:rPr>
        <w:t> </w:t>
      </w:r>
      <w:r>
        <w:rPr>
          <w:sz w:val="22"/>
        </w:rPr>
        <w:t>1423-1428.</w:t>
      </w:r>
    </w:p>
    <w:p>
      <w:pPr>
        <w:pStyle w:val="ListParagraph"/>
        <w:numPr>
          <w:ilvl w:val="3"/>
          <w:numId w:val="26"/>
        </w:numPr>
        <w:tabs>
          <w:tab w:pos="842" w:val="left" w:leader="none"/>
        </w:tabs>
        <w:spacing w:line="362" w:lineRule="auto" w:before="4" w:after="0"/>
        <w:ind w:left="842" w:right="141" w:hanging="360"/>
        <w:jc w:val="both"/>
        <w:rPr>
          <w:sz w:val="22"/>
        </w:rPr>
      </w:pPr>
      <w:r>
        <w:rPr>
          <w:sz w:val="22"/>
        </w:rPr>
        <w:t>Moniruzzaman, M., Winey, K. I. (2006). Polymer nanocomposites containing carbon nanotubes. </w:t>
      </w:r>
      <w:r>
        <w:rPr>
          <w:i/>
          <w:sz w:val="22"/>
        </w:rPr>
        <w:t>Macromolecules, 39</w:t>
      </w:r>
      <w:r>
        <w:rPr>
          <w:sz w:val="22"/>
        </w:rPr>
        <w:t>(16),</w:t>
      </w:r>
      <w:r>
        <w:rPr>
          <w:spacing w:val="-11"/>
          <w:sz w:val="22"/>
        </w:rPr>
        <w:t> </w:t>
      </w:r>
      <w:r>
        <w:rPr>
          <w:sz w:val="22"/>
        </w:rPr>
        <w:t>5194-5205.</w:t>
      </w:r>
    </w:p>
    <w:p>
      <w:pPr>
        <w:pStyle w:val="ListParagraph"/>
        <w:numPr>
          <w:ilvl w:val="3"/>
          <w:numId w:val="26"/>
        </w:numPr>
        <w:tabs>
          <w:tab w:pos="842" w:val="left" w:leader="none"/>
        </w:tabs>
        <w:spacing w:line="360" w:lineRule="auto" w:before="2" w:after="0"/>
        <w:ind w:left="842" w:right="135" w:hanging="360"/>
        <w:jc w:val="both"/>
        <w:rPr>
          <w:sz w:val="22"/>
        </w:rPr>
      </w:pPr>
      <w:r>
        <w:rPr>
          <w:sz w:val="22"/>
        </w:rPr>
        <w:t>Paul, D. R., Robeson, L. M. (2008). Polymer nanotechnology: Nanocomposites. </w:t>
      </w:r>
      <w:r>
        <w:rPr>
          <w:i/>
          <w:sz w:val="22"/>
        </w:rPr>
        <w:t>Polymer, </w:t>
      </w:r>
      <w:r>
        <w:rPr>
          <w:i/>
          <w:sz w:val="22"/>
        </w:rPr>
        <w:t>49</w:t>
      </w:r>
      <w:r>
        <w:rPr>
          <w:sz w:val="22"/>
        </w:rPr>
        <w:t>(15),</w:t>
      </w:r>
      <w:r>
        <w:rPr>
          <w:spacing w:val="-1"/>
          <w:sz w:val="22"/>
        </w:rPr>
        <w:t> </w:t>
      </w:r>
      <w:r>
        <w:rPr>
          <w:sz w:val="22"/>
        </w:rPr>
        <w:t>3187-3204.</w:t>
      </w:r>
    </w:p>
    <w:p>
      <w:pPr>
        <w:pStyle w:val="ListParagraph"/>
        <w:numPr>
          <w:ilvl w:val="3"/>
          <w:numId w:val="26"/>
        </w:numPr>
        <w:tabs>
          <w:tab w:pos="842" w:val="left" w:leader="none"/>
        </w:tabs>
        <w:spacing w:line="360" w:lineRule="auto" w:before="4" w:after="0"/>
        <w:ind w:left="842" w:right="138" w:hanging="360"/>
        <w:jc w:val="both"/>
        <w:rPr>
          <w:sz w:val="22"/>
        </w:rPr>
      </w:pPr>
      <w:r>
        <w:rPr>
          <w:sz w:val="22"/>
        </w:rPr>
        <w:t>Ramanathan, T., Liu, H., Brinson, L. C. (2005). Functionalized SWNT/polymer nanocomposites for dramatic property improvement. </w:t>
      </w:r>
      <w:r>
        <w:rPr>
          <w:i/>
          <w:sz w:val="22"/>
        </w:rPr>
        <w:t>Journal of Polymer Science, Part B: </w:t>
      </w:r>
      <w:r>
        <w:rPr>
          <w:i/>
          <w:sz w:val="22"/>
        </w:rPr>
        <w:t>Polymer Physics, 43</w:t>
      </w:r>
      <w:r>
        <w:rPr>
          <w:sz w:val="22"/>
        </w:rPr>
        <w:t>(17),</w:t>
      </w:r>
      <w:r>
        <w:rPr>
          <w:spacing w:val="-8"/>
          <w:sz w:val="22"/>
        </w:rPr>
        <w:t> </w:t>
      </w:r>
      <w:r>
        <w:rPr>
          <w:sz w:val="22"/>
        </w:rPr>
        <w:t>2269-2279.</w:t>
      </w:r>
    </w:p>
    <w:p>
      <w:pPr>
        <w:pStyle w:val="ListParagraph"/>
        <w:numPr>
          <w:ilvl w:val="3"/>
          <w:numId w:val="26"/>
        </w:numPr>
        <w:tabs>
          <w:tab w:pos="842" w:val="left" w:leader="none"/>
        </w:tabs>
        <w:spacing w:line="360" w:lineRule="auto" w:before="4" w:after="0"/>
        <w:ind w:left="842" w:right="135" w:hanging="360"/>
        <w:jc w:val="both"/>
        <w:rPr>
          <w:sz w:val="22"/>
        </w:rPr>
      </w:pPr>
      <w:r>
        <w:rPr>
          <w:sz w:val="22"/>
        </w:rPr>
        <w:t>Joselevich, E., Dai, H, Liu, J., Hata, K., Windle, A. H. (2008). Carbon Nanotube Synthesis and Organization en Jorio. A., Dresselhaus, G. , Dresselhaus M. S. </w:t>
      </w:r>
      <w:r>
        <w:rPr>
          <w:i/>
          <w:sz w:val="22"/>
        </w:rPr>
        <w:t>Carbon Nanotubes </w:t>
      </w:r>
      <w:r>
        <w:rPr>
          <w:i/>
          <w:sz w:val="22"/>
        </w:rPr>
        <w:t>Advanced Topics in the Synthesis, Structure, Properties and Applications, </w:t>
      </w:r>
      <w:hyperlink r:id="rId94">
        <w:r>
          <w:rPr>
            <w:sz w:val="22"/>
          </w:rPr>
          <w:t>Topics in</w:t>
        </w:r>
      </w:hyperlink>
      <w:r>
        <w:rPr>
          <w:sz w:val="22"/>
        </w:rPr>
        <w:t> </w:t>
      </w:r>
      <w:hyperlink r:id="rId94">
        <w:r>
          <w:rPr>
            <w:sz w:val="22"/>
          </w:rPr>
          <w:t>Applied Physics</w:t>
        </w:r>
      </w:hyperlink>
      <w:r>
        <w:rPr>
          <w:sz w:val="22"/>
        </w:rPr>
        <w:t>.,  (pp.</w:t>
      </w:r>
      <w:r>
        <w:rPr>
          <w:spacing w:val="-6"/>
          <w:sz w:val="22"/>
        </w:rPr>
        <w:t> </w:t>
      </w:r>
      <w:r>
        <w:rPr>
          <w:sz w:val="22"/>
        </w:rPr>
        <w:t>101-164).</w:t>
      </w:r>
    </w:p>
    <w:p>
      <w:pPr>
        <w:pStyle w:val="ListParagraph"/>
        <w:numPr>
          <w:ilvl w:val="3"/>
          <w:numId w:val="26"/>
        </w:numPr>
        <w:tabs>
          <w:tab w:pos="842" w:val="left" w:leader="none"/>
        </w:tabs>
        <w:spacing w:line="360" w:lineRule="auto" w:before="4" w:after="0"/>
        <w:ind w:left="842" w:right="131" w:hanging="360"/>
        <w:jc w:val="both"/>
        <w:rPr>
          <w:sz w:val="22"/>
        </w:rPr>
      </w:pPr>
      <w:r>
        <w:rPr>
          <w:sz w:val="22"/>
        </w:rPr>
        <w:t>Geim, A. K., Novoselov, K. S. (2007). The rise of graphene. </w:t>
      </w:r>
      <w:r>
        <w:rPr>
          <w:i/>
          <w:sz w:val="22"/>
        </w:rPr>
        <w:t>Nature Materials, 6</w:t>
      </w:r>
      <w:r>
        <w:rPr>
          <w:sz w:val="22"/>
        </w:rPr>
        <w:t>(3), 183- 191.</w:t>
      </w:r>
    </w:p>
    <w:p>
      <w:pPr>
        <w:pStyle w:val="ListParagraph"/>
        <w:numPr>
          <w:ilvl w:val="3"/>
          <w:numId w:val="26"/>
        </w:numPr>
        <w:tabs>
          <w:tab w:pos="842" w:val="left" w:leader="none"/>
        </w:tabs>
        <w:spacing w:line="360" w:lineRule="auto" w:before="4" w:after="0"/>
        <w:ind w:left="842" w:right="131" w:hanging="360"/>
        <w:jc w:val="both"/>
        <w:rPr>
          <w:sz w:val="22"/>
        </w:rPr>
      </w:pPr>
      <w:r>
        <w:rPr>
          <w:sz w:val="22"/>
        </w:rPr>
        <w:t>Kuilla, T., Bhadra, S., Yao, D., Kim, N. H., Bose, S., Lee, J. H. (2010). Recent advances in graphene based polymer composites. </w:t>
      </w:r>
      <w:r>
        <w:rPr>
          <w:i/>
          <w:sz w:val="22"/>
        </w:rPr>
        <w:t>Progress in Polymer Science (Oxford), 35</w:t>
      </w:r>
      <w:r>
        <w:rPr>
          <w:sz w:val="22"/>
        </w:rPr>
        <w:t>(11), 1350- 1375.</w:t>
      </w:r>
    </w:p>
    <w:p>
      <w:pPr>
        <w:pStyle w:val="ListParagraph"/>
        <w:numPr>
          <w:ilvl w:val="3"/>
          <w:numId w:val="26"/>
        </w:numPr>
        <w:tabs>
          <w:tab w:pos="842" w:val="left" w:leader="none"/>
        </w:tabs>
        <w:spacing w:line="360" w:lineRule="auto" w:before="4" w:after="0"/>
        <w:ind w:left="842" w:right="135" w:hanging="360"/>
        <w:jc w:val="both"/>
        <w:rPr>
          <w:sz w:val="22"/>
        </w:rPr>
      </w:pPr>
      <w:r>
        <w:rPr>
          <w:sz w:val="22"/>
        </w:rPr>
        <w:t>Nguyen, I. A., Aksay, R. K., Prud’Homme, R. K., Brinson, L. C. (2008). Functionalized graphene sheets for polymer nanocomposites.  </w:t>
      </w:r>
      <w:r>
        <w:rPr>
          <w:i/>
          <w:sz w:val="22"/>
        </w:rPr>
        <w:t>Nature</w:t>
      </w:r>
      <w:r>
        <w:rPr>
          <w:sz w:val="22"/>
        </w:rPr>
        <w:t>, 3,</w:t>
      </w:r>
      <w:r>
        <w:rPr>
          <w:spacing w:val="-13"/>
          <w:sz w:val="22"/>
        </w:rPr>
        <w:t> </w:t>
      </w:r>
      <w:r>
        <w:rPr>
          <w:sz w:val="22"/>
        </w:rPr>
        <w:t>327-331.</w:t>
      </w:r>
    </w:p>
    <w:p>
      <w:pPr>
        <w:pStyle w:val="ListParagraph"/>
        <w:numPr>
          <w:ilvl w:val="3"/>
          <w:numId w:val="26"/>
        </w:numPr>
        <w:tabs>
          <w:tab w:pos="842" w:val="left" w:leader="none"/>
        </w:tabs>
        <w:spacing w:line="362" w:lineRule="auto" w:before="4" w:after="0"/>
        <w:ind w:left="842" w:right="143" w:hanging="360"/>
        <w:jc w:val="both"/>
        <w:rPr>
          <w:sz w:val="22"/>
        </w:rPr>
      </w:pPr>
      <w:r>
        <w:rPr>
          <w:sz w:val="22"/>
        </w:rPr>
        <w:t>Yang, Y., Chen, C., Wen, Y. , Yang, Q., Wang, M..(2009). Oxidized graphene and graphene based polymer composites. </w:t>
      </w:r>
      <w:r>
        <w:rPr>
          <w:i/>
          <w:sz w:val="22"/>
        </w:rPr>
        <w:t>Carbon</w:t>
      </w:r>
      <w:r>
        <w:rPr>
          <w:sz w:val="22"/>
        </w:rPr>
        <w:t>,  47,</w:t>
      </w:r>
      <w:r>
        <w:rPr>
          <w:spacing w:val="-7"/>
          <w:sz w:val="22"/>
        </w:rPr>
        <w:t> </w:t>
      </w:r>
      <w:r>
        <w:rPr>
          <w:sz w:val="22"/>
        </w:rPr>
        <w:t>350.</w:t>
      </w:r>
    </w:p>
    <w:p>
      <w:pPr>
        <w:pStyle w:val="ListParagraph"/>
        <w:numPr>
          <w:ilvl w:val="3"/>
          <w:numId w:val="26"/>
        </w:numPr>
        <w:tabs>
          <w:tab w:pos="842" w:val="left" w:leader="none"/>
        </w:tabs>
        <w:spacing w:line="360" w:lineRule="auto" w:before="2" w:after="0"/>
        <w:ind w:left="842" w:right="137" w:hanging="360"/>
        <w:jc w:val="both"/>
        <w:rPr>
          <w:sz w:val="22"/>
        </w:rPr>
      </w:pPr>
      <w:r>
        <w:rPr>
          <w:sz w:val="22"/>
        </w:rPr>
        <w:t>Jog, J. P. (2006). Crystallisation in polymer nanocomposites. </w:t>
      </w:r>
      <w:r>
        <w:rPr>
          <w:i/>
          <w:sz w:val="22"/>
        </w:rPr>
        <w:t>Materials Science and </w:t>
      </w:r>
      <w:r>
        <w:rPr>
          <w:i/>
          <w:sz w:val="22"/>
        </w:rPr>
        <w:t>Technology, 22</w:t>
      </w:r>
      <w:r>
        <w:rPr>
          <w:sz w:val="22"/>
        </w:rPr>
        <w:t>(7),</w:t>
      </w:r>
      <w:r>
        <w:rPr>
          <w:spacing w:val="-5"/>
          <w:sz w:val="22"/>
        </w:rPr>
        <w:t> </w:t>
      </w:r>
      <w:r>
        <w:rPr>
          <w:sz w:val="22"/>
        </w:rPr>
        <w:t>797-806.</w:t>
      </w:r>
    </w:p>
    <w:p>
      <w:pPr>
        <w:pStyle w:val="ListParagraph"/>
        <w:numPr>
          <w:ilvl w:val="3"/>
          <w:numId w:val="26"/>
        </w:numPr>
        <w:tabs>
          <w:tab w:pos="842" w:val="left" w:leader="none"/>
        </w:tabs>
        <w:spacing w:line="360" w:lineRule="auto" w:before="4" w:after="0"/>
        <w:ind w:left="842" w:right="140" w:hanging="360"/>
        <w:jc w:val="both"/>
        <w:rPr>
          <w:sz w:val="22"/>
        </w:rPr>
      </w:pPr>
      <w:r>
        <w:rPr>
          <w:sz w:val="22"/>
        </w:rPr>
        <w:t>Li, L., Li, C. Y., Ni, C., Rong, L., Hsiao, B. (2007). Structure and crystallization behavior  of nylon 66/multi-walled carbon nanotube nanocomposites at low carbon  nanotube contents. </w:t>
      </w:r>
      <w:r>
        <w:rPr>
          <w:i/>
          <w:sz w:val="22"/>
        </w:rPr>
        <w:t>Polymer, 48</w:t>
      </w:r>
      <w:r>
        <w:rPr>
          <w:sz w:val="22"/>
        </w:rPr>
        <w:t>(12),</w:t>
      </w:r>
      <w:r>
        <w:rPr>
          <w:spacing w:val="-7"/>
          <w:sz w:val="22"/>
        </w:rPr>
        <w:t> </w:t>
      </w:r>
      <w:r>
        <w:rPr>
          <w:sz w:val="22"/>
        </w:rPr>
        <w:t>3452-3460.</w:t>
      </w:r>
    </w:p>
    <w:p>
      <w:pPr>
        <w:spacing w:after="0" w:line="360" w:lineRule="auto"/>
        <w:jc w:val="both"/>
        <w:rPr>
          <w:sz w:val="22"/>
        </w:rPr>
        <w:sectPr>
          <w:headerReference w:type="default" r:id="rId92"/>
          <w:footerReference w:type="default" r:id="rId93"/>
          <w:pgSz w:w="12240" w:h="15840"/>
          <w:pgMar w:header="983" w:footer="1062" w:top="1180" w:bottom="1260" w:left="1580" w:right="1560"/>
          <w:pgNumType w:start="126"/>
        </w:sectPr>
      </w:pPr>
    </w:p>
    <w:p>
      <w:pPr>
        <w:pStyle w:val="BodyText"/>
        <w:spacing w:before="2"/>
        <w:rPr>
          <w:sz w:val="21"/>
        </w:rPr>
      </w:pPr>
    </w:p>
    <w:p>
      <w:pPr>
        <w:pStyle w:val="ListParagraph"/>
        <w:numPr>
          <w:ilvl w:val="3"/>
          <w:numId w:val="26"/>
        </w:numPr>
        <w:tabs>
          <w:tab w:pos="842" w:val="left" w:leader="none"/>
        </w:tabs>
        <w:spacing w:line="360" w:lineRule="auto" w:before="72" w:after="0"/>
        <w:ind w:left="842" w:right="142" w:hanging="360"/>
        <w:jc w:val="both"/>
        <w:rPr>
          <w:sz w:val="22"/>
        </w:rPr>
      </w:pPr>
      <w:r>
        <w:rPr>
          <w:sz w:val="22"/>
        </w:rPr>
        <w:t>Rong, C., Ma, G., Zhang , S., Song , L., Chen , Z. , Wang, G., Ajayan, P.M. (2010). Effect of carbon nanotubes on the mechanical properties and crystallization behavior of poly(ether ether ketone). </w:t>
      </w:r>
      <w:r>
        <w:rPr>
          <w:i/>
          <w:sz w:val="22"/>
        </w:rPr>
        <w:t>Composites Science and Technology</w:t>
      </w:r>
      <w:r>
        <w:rPr>
          <w:sz w:val="22"/>
        </w:rPr>
        <w:t>, 70,</w:t>
      </w:r>
      <w:r>
        <w:rPr>
          <w:spacing w:val="-7"/>
          <w:sz w:val="22"/>
        </w:rPr>
        <w:t> </w:t>
      </w:r>
      <w:r>
        <w:rPr>
          <w:sz w:val="22"/>
        </w:rPr>
        <w:t>380–386.</w:t>
      </w:r>
    </w:p>
    <w:p>
      <w:pPr>
        <w:pStyle w:val="ListParagraph"/>
        <w:numPr>
          <w:ilvl w:val="3"/>
          <w:numId w:val="26"/>
        </w:numPr>
        <w:tabs>
          <w:tab w:pos="842" w:val="left" w:leader="none"/>
        </w:tabs>
        <w:spacing w:line="360" w:lineRule="auto" w:before="4" w:after="0"/>
        <w:ind w:left="842" w:right="135" w:hanging="360"/>
        <w:jc w:val="both"/>
        <w:rPr>
          <w:sz w:val="22"/>
        </w:rPr>
      </w:pPr>
      <w:r>
        <w:rPr>
          <w:sz w:val="22"/>
        </w:rPr>
        <w:t>Navarro-Pardo, F., Martínez-Barrera, G., Martínez-Hernández, A. L., Castaño, V. M., Rivera-Armenta, J. L., Medellín-Rodríguez, F., Velasco-Santos, C. (2012). Nylon 6,6 electrospun fibres reinforced by amino functionalised 1D and 2D carbon. </w:t>
      </w:r>
      <w:r>
        <w:rPr>
          <w:i/>
          <w:sz w:val="22"/>
        </w:rPr>
        <w:t>IOP Conference </w:t>
      </w:r>
      <w:r>
        <w:rPr>
          <w:i/>
          <w:sz w:val="22"/>
        </w:rPr>
        <w:t>Series: Materials  Science and Engineering</w:t>
      </w:r>
      <w:r>
        <w:rPr>
          <w:sz w:val="22"/>
        </w:rPr>
        <w:t>, 40,</w:t>
      </w:r>
      <w:r>
        <w:rPr>
          <w:spacing w:val="-12"/>
          <w:sz w:val="22"/>
        </w:rPr>
        <w:t> </w:t>
      </w:r>
      <w:r>
        <w:rPr>
          <w:sz w:val="22"/>
        </w:rPr>
        <w:t>012023.</w:t>
      </w:r>
    </w:p>
    <w:p>
      <w:pPr>
        <w:pStyle w:val="ListParagraph"/>
        <w:numPr>
          <w:ilvl w:val="3"/>
          <w:numId w:val="26"/>
        </w:numPr>
        <w:tabs>
          <w:tab w:pos="842" w:val="left" w:leader="none"/>
        </w:tabs>
        <w:spacing w:line="360" w:lineRule="auto" w:before="4" w:after="0"/>
        <w:ind w:left="842" w:right="137" w:hanging="360"/>
        <w:jc w:val="both"/>
        <w:rPr>
          <w:sz w:val="22"/>
        </w:rPr>
      </w:pPr>
      <w:r>
        <w:rPr>
          <w:sz w:val="22"/>
        </w:rPr>
        <w:t>Mago, G., Velasco-Santos, C., Martinez-Hernandez, A. L. , Kalyon, D. M., Fisher, F. T.(2008). Effect of functionalization on the crystallization behavior of MWNT-PBT nanocomposites. </w:t>
      </w:r>
      <w:r>
        <w:rPr>
          <w:i/>
          <w:sz w:val="22"/>
        </w:rPr>
        <w:t>Materials Research Society Symposium Proccedings</w:t>
      </w:r>
      <w:r>
        <w:rPr>
          <w:sz w:val="22"/>
        </w:rPr>
        <w:t>, Vol.</w:t>
      </w:r>
      <w:r>
        <w:rPr>
          <w:spacing w:val="-14"/>
          <w:sz w:val="22"/>
        </w:rPr>
        <w:t> </w:t>
      </w:r>
      <w:r>
        <w:rPr>
          <w:sz w:val="22"/>
        </w:rPr>
        <w:t>1056.</w:t>
      </w:r>
    </w:p>
    <w:p>
      <w:pPr>
        <w:pStyle w:val="ListParagraph"/>
        <w:numPr>
          <w:ilvl w:val="3"/>
          <w:numId w:val="26"/>
        </w:numPr>
        <w:tabs>
          <w:tab w:pos="842" w:val="left" w:leader="none"/>
        </w:tabs>
        <w:spacing w:line="362" w:lineRule="auto" w:before="4" w:after="0"/>
        <w:ind w:left="842" w:right="138" w:hanging="360"/>
        <w:jc w:val="both"/>
        <w:rPr>
          <w:sz w:val="22"/>
        </w:rPr>
      </w:pPr>
      <w:r>
        <w:rPr>
          <w:sz w:val="22"/>
        </w:rPr>
        <w:t>Soldano, C., Mahmood, A., Dujardin, E. (2010). Production, properties and potential of graphene. </w:t>
      </w:r>
      <w:r>
        <w:rPr>
          <w:i/>
          <w:sz w:val="22"/>
        </w:rPr>
        <w:t>Carbon, 48</w:t>
      </w:r>
      <w:r>
        <w:rPr>
          <w:sz w:val="22"/>
        </w:rPr>
        <w:t>(8),</w:t>
      </w:r>
      <w:r>
        <w:rPr>
          <w:spacing w:val="-7"/>
          <w:sz w:val="22"/>
        </w:rPr>
        <w:t> </w:t>
      </w:r>
      <w:r>
        <w:rPr>
          <w:sz w:val="22"/>
        </w:rPr>
        <w:t>2127-2150.</w:t>
      </w:r>
    </w:p>
    <w:p>
      <w:pPr>
        <w:pStyle w:val="ListParagraph"/>
        <w:numPr>
          <w:ilvl w:val="3"/>
          <w:numId w:val="26"/>
        </w:numPr>
        <w:tabs>
          <w:tab w:pos="842" w:val="left" w:leader="none"/>
        </w:tabs>
        <w:spacing w:line="360" w:lineRule="auto" w:before="2" w:after="0"/>
        <w:ind w:left="842" w:right="135" w:hanging="360"/>
        <w:jc w:val="both"/>
        <w:rPr>
          <w:sz w:val="22"/>
        </w:rPr>
      </w:pPr>
      <w:r>
        <w:rPr>
          <w:sz w:val="22"/>
        </w:rPr>
        <w:t>Maheshwar, S., Madhuri, A. (2010). Carbon Nanoforms and Applications. </w:t>
      </w:r>
      <w:r>
        <w:rPr>
          <w:i/>
          <w:sz w:val="22"/>
        </w:rPr>
        <w:t>McGraw-Hill</w:t>
      </w:r>
      <w:r>
        <w:rPr>
          <w:sz w:val="22"/>
        </w:rPr>
        <w:t>, 544</w:t>
      </w:r>
      <w:r>
        <w:rPr>
          <w:spacing w:val="-1"/>
          <w:sz w:val="22"/>
        </w:rPr>
        <w:t> </w:t>
      </w:r>
      <w:r>
        <w:rPr>
          <w:sz w:val="22"/>
        </w:rPr>
        <w:t>páginas.</w:t>
      </w:r>
    </w:p>
    <w:p>
      <w:pPr>
        <w:pStyle w:val="ListParagraph"/>
        <w:numPr>
          <w:ilvl w:val="3"/>
          <w:numId w:val="26"/>
        </w:numPr>
        <w:tabs>
          <w:tab w:pos="842" w:val="left" w:leader="none"/>
        </w:tabs>
        <w:spacing w:line="360" w:lineRule="auto" w:before="4" w:after="0"/>
        <w:ind w:left="842" w:right="141" w:hanging="360"/>
        <w:jc w:val="both"/>
        <w:rPr>
          <w:sz w:val="22"/>
        </w:rPr>
      </w:pPr>
      <w:r>
        <w:rPr>
          <w:sz w:val="22"/>
        </w:rPr>
        <w:t>Messina, G., Santangelo, S. (2006). Carbon: The Future Material for Advanced Technology Applications. </w:t>
      </w:r>
      <w:hyperlink r:id="rId94">
        <w:r>
          <w:rPr>
            <w:i/>
            <w:sz w:val="22"/>
          </w:rPr>
          <w:t>Topics in Applied Physics</w:t>
        </w:r>
      </w:hyperlink>
      <w:r>
        <w:rPr>
          <w:i/>
          <w:sz w:val="22"/>
        </w:rPr>
        <w:t>, </w:t>
      </w:r>
      <w:r>
        <w:rPr>
          <w:sz w:val="22"/>
        </w:rPr>
        <w:t>529</w:t>
      </w:r>
      <w:r>
        <w:rPr>
          <w:spacing w:val="-13"/>
          <w:sz w:val="22"/>
        </w:rPr>
        <w:t> </w:t>
      </w:r>
      <w:r>
        <w:rPr>
          <w:sz w:val="22"/>
        </w:rPr>
        <w:t>páginas.</w:t>
      </w:r>
    </w:p>
    <w:p>
      <w:pPr>
        <w:pStyle w:val="ListParagraph"/>
        <w:numPr>
          <w:ilvl w:val="3"/>
          <w:numId w:val="26"/>
        </w:numPr>
        <w:tabs>
          <w:tab w:pos="842" w:val="left" w:leader="none"/>
        </w:tabs>
        <w:spacing w:line="360" w:lineRule="auto" w:before="4" w:after="0"/>
        <w:ind w:left="842" w:right="140" w:hanging="360"/>
        <w:jc w:val="both"/>
        <w:rPr>
          <w:sz w:val="22"/>
        </w:rPr>
      </w:pPr>
      <w:r>
        <w:rPr>
          <w:sz w:val="22"/>
        </w:rPr>
        <w:t>Potts, J. R., Dreyer, D. R., Bielawski, C. W., Ruoff, R. S. (2011). Graphene-based polymer nanocomposites. </w:t>
      </w:r>
      <w:r>
        <w:rPr>
          <w:i/>
          <w:sz w:val="22"/>
        </w:rPr>
        <w:t>Polymer, 52</w:t>
      </w:r>
      <w:r>
        <w:rPr>
          <w:sz w:val="22"/>
        </w:rPr>
        <w:t>(1),</w:t>
      </w:r>
      <w:r>
        <w:rPr>
          <w:spacing w:val="-10"/>
          <w:sz w:val="22"/>
        </w:rPr>
        <w:t> </w:t>
      </w:r>
      <w:r>
        <w:rPr>
          <w:sz w:val="22"/>
        </w:rPr>
        <w:t>5-25.</w:t>
      </w:r>
    </w:p>
    <w:p>
      <w:pPr>
        <w:pStyle w:val="ListParagraph"/>
        <w:numPr>
          <w:ilvl w:val="3"/>
          <w:numId w:val="26"/>
        </w:numPr>
        <w:tabs>
          <w:tab w:pos="842" w:val="left" w:leader="none"/>
        </w:tabs>
        <w:spacing w:line="240" w:lineRule="auto" w:before="4" w:after="0"/>
        <w:ind w:left="842" w:right="0" w:hanging="360"/>
        <w:jc w:val="left"/>
        <w:rPr>
          <w:sz w:val="22"/>
        </w:rPr>
      </w:pPr>
      <w:r>
        <w:rPr>
          <w:sz w:val="22"/>
        </w:rPr>
        <w:t>Iijima, S. (1991). Helical microtubules of graphitic carbon. </w:t>
      </w:r>
      <w:r>
        <w:rPr>
          <w:i/>
          <w:sz w:val="22"/>
        </w:rPr>
        <w:t>Nature, 354</w:t>
      </w:r>
      <w:r>
        <w:rPr>
          <w:sz w:val="22"/>
        </w:rPr>
        <w:t>(6348),</w:t>
      </w:r>
      <w:r>
        <w:rPr>
          <w:spacing w:val="-28"/>
          <w:sz w:val="22"/>
        </w:rPr>
        <w:t> </w:t>
      </w:r>
      <w:r>
        <w:rPr>
          <w:sz w:val="22"/>
        </w:rPr>
        <w:t>56-58.</w:t>
      </w:r>
    </w:p>
    <w:p>
      <w:pPr>
        <w:pStyle w:val="ListParagraph"/>
        <w:numPr>
          <w:ilvl w:val="3"/>
          <w:numId w:val="26"/>
        </w:numPr>
        <w:tabs>
          <w:tab w:pos="842" w:val="left" w:leader="none"/>
        </w:tabs>
        <w:spacing w:line="362" w:lineRule="auto" w:before="126" w:after="0"/>
        <w:ind w:left="842" w:right="143" w:hanging="360"/>
        <w:jc w:val="both"/>
        <w:rPr>
          <w:sz w:val="22"/>
        </w:rPr>
      </w:pPr>
      <w:r>
        <w:rPr>
          <w:sz w:val="22"/>
        </w:rPr>
        <w:t>Jorio, A., Dresselhaus, G., Dresselhaus, M. S. (2008). Nanotubes Advanced Topics in the Synthesis, Structure, Properties and Applications. </w:t>
      </w:r>
      <w:hyperlink r:id="rId94">
        <w:r>
          <w:rPr>
            <w:i/>
            <w:sz w:val="22"/>
          </w:rPr>
          <w:t>Topics in Applied Physics</w:t>
        </w:r>
      </w:hyperlink>
      <w:r>
        <w:rPr>
          <w:sz w:val="22"/>
        </w:rPr>
        <w:t>, 720</w:t>
      </w:r>
      <w:r>
        <w:rPr>
          <w:spacing w:val="-23"/>
          <w:sz w:val="22"/>
        </w:rPr>
        <w:t> </w:t>
      </w:r>
      <w:r>
        <w:rPr>
          <w:sz w:val="22"/>
        </w:rPr>
        <w:t>páginas.</w:t>
      </w:r>
    </w:p>
    <w:p>
      <w:pPr>
        <w:pStyle w:val="ListParagraph"/>
        <w:numPr>
          <w:ilvl w:val="3"/>
          <w:numId w:val="26"/>
        </w:numPr>
        <w:tabs>
          <w:tab w:pos="842" w:val="left" w:leader="none"/>
        </w:tabs>
        <w:spacing w:line="360" w:lineRule="auto" w:before="2" w:after="0"/>
        <w:ind w:left="842" w:right="136" w:hanging="360"/>
        <w:jc w:val="both"/>
        <w:rPr>
          <w:sz w:val="22"/>
        </w:rPr>
      </w:pPr>
      <w:r>
        <w:rPr>
          <w:sz w:val="22"/>
        </w:rPr>
        <w:t>Tascón, J. M. D. (2007). Carbon materials: Their structures and types. [Materiales de carbono: Estructuras y formas]. </w:t>
      </w:r>
      <w:r>
        <w:rPr>
          <w:i/>
          <w:sz w:val="22"/>
        </w:rPr>
        <w:t>Óptica Pura y Aplicada, 40</w:t>
      </w:r>
      <w:r>
        <w:rPr>
          <w:sz w:val="22"/>
        </w:rPr>
        <w:t>(2),</w:t>
      </w:r>
      <w:r>
        <w:rPr>
          <w:spacing w:val="-17"/>
          <w:sz w:val="22"/>
        </w:rPr>
        <w:t> </w:t>
      </w:r>
      <w:r>
        <w:rPr>
          <w:sz w:val="22"/>
        </w:rPr>
        <w:t>149-159.</w:t>
      </w:r>
    </w:p>
    <w:p>
      <w:pPr>
        <w:pStyle w:val="ListParagraph"/>
        <w:numPr>
          <w:ilvl w:val="3"/>
          <w:numId w:val="26"/>
        </w:numPr>
        <w:tabs>
          <w:tab w:pos="842" w:val="left" w:leader="none"/>
        </w:tabs>
        <w:spacing w:line="360" w:lineRule="auto" w:before="4" w:after="0"/>
        <w:ind w:left="842" w:right="136" w:hanging="360"/>
        <w:jc w:val="both"/>
        <w:rPr>
          <w:sz w:val="22"/>
        </w:rPr>
      </w:pPr>
      <w:r>
        <w:rPr>
          <w:sz w:val="22"/>
        </w:rPr>
        <w:t>Zheng, L. X., O'Connell, M. J., Doorn, S. K., Liao, X. Z., Zhao, Y. H., Akhadov, E. A., Hoffbauer, M.A., Roop, B. J., Jia, Q. X., Dye, R. C., Peterson, D. E., Huang, S. M., Liu, J., Zhu, Y. T. (2004). Ultralong single-wall carbon nanotubes. </w:t>
      </w:r>
      <w:r>
        <w:rPr>
          <w:i/>
          <w:sz w:val="22"/>
        </w:rPr>
        <w:t>Nature Materials, 3</w:t>
      </w:r>
      <w:r>
        <w:rPr>
          <w:sz w:val="22"/>
        </w:rPr>
        <w:t>(10), 673- 676.</w:t>
      </w:r>
    </w:p>
    <w:p>
      <w:pPr>
        <w:pStyle w:val="ListParagraph"/>
        <w:numPr>
          <w:ilvl w:val="3"/>
          <w:numId w:val="26"/>
        </w:numPr>
        <w:tabs>
          <w:tab w:pos="842" w:val="left" w:leader="none"/>
        </w:tabs>
        <w:spacing w:line="360" w:lineRule="auto" w:before="4" w:after="0"/>
        <w:ind w:left="842" w:right="139" w:hanging="360"/>
        <w:jc w:val="both"/>
        <w:rPr>
          <w:sz w:val="22"/>
        </w:rPr>
      </w:pPr>
      <w:r>
        <w:rPr>
          <w:sz w:val="22"/>
        </w:rPr>
        <w:t>Reich, S., Li, L., Robertson, J. (2006). Control the chirality of carbon nanotubes by  epitaxial growth. </w:t>
      </w:r>
      <w:r>
        <w:rPr>
          <w:i/>
          <w:sz w:val="22"/>
        </w:rPr>
        <w:t>Chemical Physics Letters, </w:t>
      </w:r>
      <w:r>
        <w:rPr>
          <w:sz w:val="22"/>
        </w:rPr>
        <w:t>421,</w:t>
      </w:r>
      <w:r>
        <w:rPr>
          <w:spacing w:val="-14"/>
          <w:sz w:val="22"/>
        </w:rPr>
        <w:t> </w:t>
      </w:r>
      <w:r>
        <w:rPr>
          <w:sz w:val="22"/>
        </w:rPr>
        <w:t>469–472</w:t>
      </w:r>
    </w:p>
    <w:p>
      <w:pPr>
        <w:pStyle w:val="ListParagraph"/>
        <w:numPr>
          <w:ilvl w:val="3"/>
          <w:numId w:val="26"/>
        </w:numPr>
        <w:tabs>
          <w:tab w:pos="842" w:val="left" w:leader="none"/>
        </w:tabs>
        <w:spacing w:line="360" w:lineRule="auto" w:before="7" w:after="0"/>
        <w:ind w:left="842" w:right="142" w:hanging="360"/>
        <w:jc w:val="both"/>
        <w:rPr>
          <w:sz w:val="22"/>
        </w:rPr>
      </w:pPr>
      <w:r>
        <w:rPr>
          <w:sz w:val="22"/>
        </w:rPr>
        <w:t>Zhu, H., Suenaga, K., Wei, J., Wang, K., Wu, D. (2008). A strategy to control the chirality of single-walled carbon nanotubes</w:t>
      </w:r>
      <w:r>
        <w:rPr>
          <w:i/>
          <w:sz w:val="22"/>
        </w:rPr>
        <w:t>. Journal of Crystal Growth, </w:t>
      </w:r>
      <w:r>
        <w:rPr>
          <w:sz w:val="22"/>
        </w:rPr>
        <w:t>310,</w:t>
      </w:r>
      <w:r>
        <w:rPr>
          <w:spacing w:val="-12"/>
          <w:sz w:val="22"/>
        </w:rPr>
        <w:t> </w:t>
      </w:r>
      <w:r>
        <w:rPr>
          <w:sz w:val="22"/>
        </w:rPr>
        <w:t>5473–5476.</w:t>
      </w:r>
    </w:p>
    <w:p>
      <w:pPr>
        <w:pStyle w:val="ListParagraph"/>
        <w:numPr>
          <w:ilvl w:val="3"/>
          <w:numId w:val="26"/>
        </w:numPr>
        <w:tabs>
          <w:tab w:pos="842" w:val="left" w:leader="none"/>
        </w:tabs>
        <w:spacing w:line="360" w:lineRule="auto" w:before="4" w:after="0"/>
        <w:ind w:left="842" w:right="138" w:hanging="360"/>
        <w:jc w:val="both"/>
        <w:rPr>
          <w:sz w:val="22"/>
        </w:rPr>
      </w:pPr>
      <w:r>
        <w:rPr>
          <w:sz w:val="22"/>
        </w:rPr>
        <w:t>Koziol, K. K. K., Ducati, C., Windle, A. H. (2010). Carbon Nanotubes with Catalyst Controlled Chiral Angle. Chemistry of Materials, 22,</w:t>
      </w:r>
      <w:r>
        <w:rPr>
          <w:spacing w:val="-15"/>
          <w:sz w:val="22"/>
        </w:rPr>
        <w:t> </w:t>
      </w:r>
      <w:r>
        <w:rPr>
          <w:sz w:val="22"/>
        </w:rPr>
        <w:t>4904–4911.</w:t>
      </w:r>
    </w:p>
    <w:p>
      <w:pPr>
        <w:spacing w:after="0" w:line="360" w:lineRule="auto"/>
        <w:jc w:val="both"/>
        <w:rPr>
          <w:sz w:val="22"/>
        </w:rPr>
        <w:sectPr>
          <w:pgSz w:w="12240" w:h="15840"/>
          <w:pgMar w:header="983" w:footer="1062" w:top="1180" w:bottom="1260" w:left="1580" w:right="1560"/>
        </w:sectPr>
      </w:pPr>
    </w:p>
    <w:p>
      <w:pPr>
        <w:pStyle w:val="BodyText"/>
        <w:spacing w:before="2"/>
        <w:rPr>
          <w:sz w:val="21"/>
        </w:rPr>
      </w:pPr>
    </w:p>
    <w:p>
      <w:pPr>
        <w:pStyle w:val="ListParagraph"/>
        <w:numPr>
          <w:ilvl w:val="3"/>
          <w:numId w:val="26"/>
        </w:numPr>
        <w:tabs>
          <w:tab w:pos="842" w:val="left" w:leader="none"/>
        </w:tabs>
        <w:spacing w:line="360" w:lineRule="auto" w:before="72" w:after="0"/>
        <w:ind w:left="842" w:right="138" w:hanging="360"/>
        <w:jc w:val="both"/>
        <w:rPr>
          <w:sz w:val="22"/>
        </w:rPr>
      </w:pPr>
      <w:r>
        <w:rPr>
          <w:sz w:val="22"/>
        </w:rPr>
        <w:t>Li, C. Y. (2009). </w:t>
      </w:r>
      <w:r>
        <w:rPr>
          <w:color w:val="221F1F"/>
          <w:sz w:val="22"/>
        </w:rPr>
        <w:t>Polymer single crystal meets nanoparticles. </w:t>
      </w:r>
      <w:r>
        <w:rPr>
          <w:i/>
          <w:color w:val="221F1F"/>
          <w:sz w:val="22"/>
        </w:rPr>
        <w:t>Journal of Polymer Science: </w:t>
      </w:r>
      <w:r>
        <w:rPr>
          <w:i/>
          <w:color w:val="221F1F"/>
          <w:sz w:val="22"/>
        </w:rPr>
        <w:t>Part B: Polymer Physics</w:t>
      </w:r>
      <w:r>
        <w:rPr>
          <w:color w:val="221F1F"/>
          <w:sz w:val="22"/>
        </w:rPr>
        <w:t>, 47,</w:t>
      </w:r>
      <w:r>
        <w:rPr>
          <w:color w:val="221F1F"/>
          <w:spacing w:val="-1"/>
          <w:sz w:val="22"/>
        </w:rPr>
        <w:t> </w:t>
      </w:r>
      <w:r>
        <w:rPr>
          <w:color w:val="221F1F"/>
          <w:sz w:val="22"/>
        </w:rPr>
        <w:t>2436–2440.</w:t>
      </w:r>
    </w:p>
    <w:p>
      <w:pPr>
        <w:pStyle w:val="ListParagraph"/>
        <w:numPr>
          <w:ilvl w:val="3"/>
          <w:numId w:val="26"/>
        </w:numPr>
        <w:tabs>
          <w:tab w:pos="842" w:val="left" w:leader="none"/>
        </w:tabs>
        <w:spacing w:line="360" w:lineRule="auto" w:before="7" w:after="0"/>
        <w:ind w:left="842" w:right="137" w:hanging="360"/>
        <w:jc w:val="both"/>
        <w:rPr>
          <w:sz w:val="22"/>
        </w:rPr>
      </w:pPr>
      <w:r>
        <w:rPr>
          <w:sz w:val="22"/>
        </w:rPr>
        <w:t>Velasco-Santos, C., Martínez-Hernández, A. L., Castaño, V. M.. 2011. Silanization of Carbon Nanotubes: Surface Modification and Polymer Nanocomposite en Yellampalli, S. </w:t>
      </w:r>
      <w:hyperlink r:id="rId95">
        <w:r>
          <w:rPr>
            <w:i/>
            <w:sz w:val="22"/>
          </w:rPr>
          <w:t>Carbon Nanotubes - Polymer Nanocomposites</w:t>
        </w:r>
      </w:hyperlink>
      <w:r>
        <w:rPr>
          <w:i/>
          <w:sz w:val="22"/>
        </w:rPr>
        <w:t>. </w:t>
      </w:r>
      <w:r>
        <w:rPr>
          <w:sz w:val="22"/>
        </w:rPr>
        <w:t>InTech. (pp.</w:t>
      </w:r>
      <w:r>
        <w:rPr>
          <w:spacing w:val="-10"/>
          <w:sz w:val="22"/>
        </w:rPr>
        <w:t> </w:t>
      </w:r>
      <w:r>
        <w:rPr>
          <w:sz w:val="22"/>
        </w:rPr>
        <w:t>251-280).</w:t>
      </w:r>
    </w:p>
    <w:p>
      <w:pPr>
        <w:pStyle w:val="ListParagraph"/>
        <w:numPr>
          <w:ilvl w:val="3"/>
          <w:numId w:val="26"/>
        </w:numPr>
        <w:tabs>
          <w:tab w:pos="842" w:val="left" w:leader="none"/>
        </w:tabs>
        <w:spacing w:line="360" w:lineRule="auto" w:before="4" w:after="0"/>
        <w:ind w:left="842" w:right="133" w:hanging="360"/>
        <w:jc w:val="both"/>
        <w:rPr>
          <w:sz w:val="22"/>
        </w:rPr>
      </w:pPr>
      <w:r>
        <w:rPr>
          <w:sz w:val="22"/>
        </w:rPr>
        <w:t>Whitby, R. L. D., Korobeinyk, A., Glevatska, K. V. (2011). Morphological changes and covalent reactivity assessment of single-layer graphene oxides under carboxylic group- targeted chemistry. </w:t>
      </w:r>
      <w:r>
        <w:rPr>
          <w:i/>
          <w:sz w:val="22"/>
        </w:rPr>
        <w:t>Carbon, 49</w:t>
      </w:r>
      <w:r>
        <w:rPr>
          <w:sz w:val="22"/>
        </w:rPr>
        <w:t>(2),</w:t>
      </w:r>
      <w:r>
        <w:rPr>
          <w:spacing w:val="-9"/>
          <w:sz w:val="22"/>
        </w:rPr>
        <w:t> </w:t>
      </w:r>
      <w:r>
        <w:rPr>
          <w:sz w:val="22"/>
        </w:rPr>
        <w:t>722-725.</w:t>
      </w:r>
    </w:p>
    <w:p>
      <w:pPr>
        <w:pStyle w:val="ListParagraph"/>
        <w:numPr>
          <w:ilvl w:val="3"/>
          <w:numId w:val="26"/>
        </w:numPr>
        <w:tabs>
          <w:tab w:pos="842" w:val="left" w:leader="none"/>
        </w:tabs>
        <w:spacing w:line="360" w:lineRule="auto" w:before="5" w:after="0"/>
        <w:ind w:left="842" w:right="135" w:hanging="360"/>
        <w:jc w:val="both"/>
        <w:rPr>
          <w:sz w:val="22"/>
        </w:rPr>
      </w:pPr>
      <w:r>
        <w:rPr>
          <w:sz w:val="22"/>
        </w:rPr>
        <w:t>Spitalsky, Z., Tasis, D., Papagelis, K., Galiotis, C. (2010). Carbon nanotube-polymer composites: Chemistry, processing, mechanical and electrical properties.</w:t>
      </w:r>
      <w:r>
        <w:rPr>
          <w:i/>
          <w:sz w:val="22"/>
        </w:rPr>
        <w:t>Progress in </w:t>
      </w:r>
      <w:r>
        <w:rPr>
          <w:i/>
          <w:sz w:val="22"/>
        </w:rPr>
        <w:t>Polymer Science (Oxford), 35</w:t>
      </w:r>
      <w:r>
        <w:rPr>
          <w:sz w:val="22"/>
        </w:rPr>
        <w:t>(3),</w:t>
      </w:r>
      <w:r>
        <w:rPr>
          <w:spacing w:val="-8"/>
          <w:sz w:val="22"/>
        </w:rPr>
        <w:t> </w:t>
      </w:r>
      <w:r>
        <w:rPr>
          <w:sz w:val="22"/>
        </w:rPr>
        <w:t>357-401.</w:t>
      </w:r>
    </w:p>
    <w:p>
      <w:pPr>
        <w:pStyle w:val="ListParagraph"/>
        <w:numPr>
          <w:ilvl w:val="3"/>
          <w:numId w:val="26"/>
        </w:numPr>
        <w:tabs>
          <w:tab w:pos="842" w:val="left" w:leader="none"/>
        </w:tabs>
        <w:spacing w:line="240" w:lineRule="auto" w:before="7" w:after="0"/>
        <w:ind w:left="842" w:right="0" w:hanging="360"/>
        <w:jc w:val="left"/>
        <w:rPr>
          <w:sz w:val="22"/>
        </w:rPr>
      </w:pPr>
      <w:r>
        <w:rPr>
          <w:sz w:val="22"/>
        </w:rPr>
        <w:t>Green,</w:t>
      </w:r>
      <w:r>
        <w:rPr>
          <w:spacing w:val="25"/>
          <w:sz w:val="22"/>
        </w:rPr>
        <w:t> </w:t>
      </w:r>
      <w:r>
        <w:rPr>
          <w:sz w:val="22"/>
        </w:rPr>
        <w:t>M.</w:t>
      </w:r>
      <w:r>
        <w:rPr>
          <w:spacing w:val="23"/>
          <w:sz w:val="22"/>
        </w:rPr>
        <w:t> </w:t>
      </w:r>
      <w:r>
        <w:rPr>
          <w:sz w:val="22"/>
        </w:rPr>
        <w:t>J.,</w:t>
      </w:r>
      <w:r>
        <w:rPr>
          <w:spacing w:val="25"/>
          <w:sz w:val="22"/>
        </w:rPr>
        <w:t> </w:t>
      </w:r>
      <w:r>
        <w:rPr>
          <w:sz w:val="22"/>
        </w:rPr>
        <w:t>Behabtu,</w:t>
      </w:r>
      <w:r>
        <w:rPr>
          <w:spacing w:val="25"/>
          <w:sz w:val="22"/>
        </w:rPr>
        <w:t> </w:t>
      </w:r>
      <w:r>
        <w:rPr>
          <w:sz w:val="22"/>
        </w:rPr>
        <w:t>N.,</w:t>
      </w:r>
      <w:r>
        <w:rPr>
          <w:spacing w:val="25"/>
          <w:sz w:val="22"/>
        </w:rPr>
        <w:t> </w:t>
      </w:r>
      <w:r>
        <w:rPr>
          <w:sz w:val="22"/>
        </w:rPr>
        <w:t>Pasquali,</w:t>
      </w:r>
      <w:r>
        <w:rPr>
          <w:spacing w:val="28"/>
          <w:sz w:val="22"/>
        </w:rPr>
        <w:t> </w:t>
      </w:r>
      <w:r>
        <w:rPr>
          <w:sz w:val="22"/>
        </w:rPr>
        <w:t>M.,</w:t>
      </w:r>
      <w:r>
        <w:rPr>
          <w:spacing w:val="25"/>
          <w:sz w:val="22"/>
        </w:rPr>
        <w:t> </w:t>
      </w:r>
      <w:r>
        <w:rPr>
          <w:sz w:val="22"/>
        </w:rPr>
        <w:t>Adams,</w:t>
      </w:r>
      <w:r>
        <w:rPr>
          <w:spacing w:val="25"/>
          <w:sz w:val="22"/>
        </w:rPr>
        <w:t> </w:t>
      </w:r>
      <w:r>
        <w:rPr>
          <w:sz w:val="22"/>
        </w:rPr>
        <w:t>W.</w:t>
      </w:r>
      <w:r>
        <w:rPr>
          <w:spacing w:val="25"/>
          <w:sz w:val="22"/>
        </w:rPr>
        <w:t> </w:t>
      </w:r>
      <w:r>
        <w:rPr>
          <w:sz w:val="22"/>
        </w:rPr>
        <w:t>W.</w:t>
      </w:r>
      <w:r>
        <w:rPr>
          <w:spacing w:val="25"/>
          <w:sz w:val="22"/>
        </w:rPr>
        <w:t> </w:t>
      </w:r>
      <w:r>
        <w:rPr>
          <w:sz w:val="22"/>
        </w:rPr>
        <w:t>(2009).</w:t>
      </w:r>
      <w:r>
        <w:rPr>
          <w:spacing w:val="25"/>
          <w:sz w:val="22"/>
        </w:rPr>
        <w:t> </w:t>
      </w:r>
      <w:r>
        <w:rPr>
          <w:sz w:val="22"/>
        </w:rPr>
        <w:t>Nanotubes</w:t>
      </w:r>
      <w:r>
        <w:rPr>
          <w:spacing w:val="26"/>
          <w:sz w:val="22"/>
        </w:rPr>
        <w:t> </w:t>
      </w:r>
      <w:r>
        <w:rPr>
          <w:sz w:val="22"/>
        </w:rPr>
        <w:t>as</w:t>
      </w:r>
      <w:r>
        <w:rPr>
          <w:spacing w:val="23"/>
          <w:sz w:val="22"/>
        </w:rPr>
        <w:t> </w:t>
      </w:r>
      <w:r>
        <w:rPr>
          <w:sz w:val="22"/>
        </w:rPr>
        <w:t>polymers.</w:t>
      </w:r>
    </w:p>
    <w:p>
      <w:pPr>
        <w:spacing w:before="126"/>
        <w:ind w:left="841" w:right="41" w:firstLine="0"/>
        <w:jc w:val="left"/>
        <w:rPr>
          <w:sz w:val="22"/>
        </w:rPr>
      </w:pPr>
      <w:r>
        <w:rPr>
          <w:i/>
          <w:sz w:val="22"/>
        </w:rPr>
        <w:t>Polymer, 50</w:t>
      </w:r>
      <w:r>
        <w:rPr>
          <w:sz w:val="22"/>
        </w:rPr>
        <w:t>(21), 4979-4997.</w:t>
      </w:r>
    </w:p>
    <w:p>
      <w:pPr>
        <w:pStyle w:val="ListParagraph"/>
        <w:numPr>
          <w:ilvl w:val="3"/>
          <w:numId w:val="26"/>
        </w:numPr>
        <w:tabs>
          <w:tab w:pos="842" w:val="left" w:leader="none"/>
        </w:tabs>
        <w:spacing w:line="360" w:lineRule="auto" w:before="126" w:after="0"/>
        <w:ind w:left="842" w:right="145" w:hanging="360"/>
        <w:jc w:val="both"/>
        <w:rPr>
          <w:sz w:val="22"/>
        </w:rPr>
      </w:pPr>
      <w:r>
        <w:rPr>
          <w:sz w:val="22"/>
        </w:rPr>
        <w:t>Malard, L. M., Pimenta, M. A., Dresselhaus, G., Dresselhaus, M. S. (2009). Raman spectroscopy in graphene. </w:t>
      </w:r>
      <w:r>
        <w:rPr>
          <w:i/>
          <w:sz w:val="22"/>
        </w:rPr>
        <w:t>Physics Reports, 473</w:t>
      </w:r>
      <w:r>
        <w:rPr>
          <w:sz w:val="22"/>
        </w:rPr>
        <w:t>(5-6),</w:t>
      </w:r>
      <w:r>
        <w:rPr>
          <w:spacing w:val="-13"/>
          <w:sz w:val="22"/>
        </w:rPr>
        <w:t> </w:t>
      </w:r>
      <w:r>
        <w:rPr>
          <w:sz w:val="22"/>
        </w:rPr>
        <w:t>51-87.</w:t>
      </w:r>
    </w:p>
    <w:p>
      <w:pPr>
        <w:pStyle w:val="ListParagraph"/>
        <w:numPr>
          <w:ilvl w:val="3"/>
          <w:numId w:val="26"/>
        </w:numPr>
        <w:tabs>
          <w:tab w:pos="842" w:val="left" w:leader="none"/>
        </w:tabs>
        <w:spacing w:line="360" w:lineRule="auto" w:before="4" w:after="0"/>
        <w:ind w:left="842" w:right="138" w:hanging="360"/>
        <w:jc w:val="both"/>
        <w:rPr>
          <w:sz w:val="22"/>
        </w:rPr>
      </w:pPr>
      <w:r>
        <w:rPr>
          <w:sz w:val="22"/>
        </w:rPr>
        <w:t>Novoselov, K. S., Geim, A. K., Morozov, S. V., Jiang, D., Zhang, Y., Dubonos, S. V., Grigorieva, I. V., Firsov, A. A. (2004). Electric field in atomically thin carbon films. </w:t>
      </w:r>
      <w:r>
        <w:rPr>
          <w:i/>
          <w:sz w:val="22"/>
        </w:rPr>
        <w:t>Science, 306</w:t>
      </w:r>
      <w:r>
        <w:rPr>
          <w:sz w:val="22"/>
        </w:rPr>
        <w:t>(5696),</w:t>
      </w:r>
      <w:r>
        <w:rPr>
          <w:spacing w:val="-4"/>
          <w:sz w:val="22"/>
        </w:rPr>
        <w:t> </w:t>
      </w:r>
      <w:r>
        <w:rPr>
          <w:sz w:val="22"/>
        </w:rPr>
        <w:t>666-669.</w:t>
      </w:r>
    </w:p>
    <w:p>
      <w:pPr>
        <w:pStyle w:val="ListParagraph"/>
        <w:numPr>
          <w:ilvl w:val="3"/>
          <w:numId w:val="26"/>
        </w:numPr>
        <w:tabs>
          <w:tab w:pos="842" w:val="left" w:leader="none"/>
        </w:tabs>
        <w:spacing w:line="360" w:lineRule="auto" w:before="4" w:after="0"/>
        <w:ind w:left="842" w:right="138" w:hanging="360"/>
        <w:jc w:val="both"/>
        <w:rPr>
          <w:sz w:val="22"/>
        </w:rPr>
      </w:pPr>
      <w:r>
        <w:rPr>
          <w:sz w:val="22"/>
        </w:rPr>
        <w:t>Compton, O. C., Nguyen, S. T. (2010). Graphene oxide, highly reduced graphene  oxide, and graphene: Versatile building blocks for carbon-based materials. </w:t>
      </w:r>
      <w:r>
        <w:rPr>
          <w:i/>
          <w:sz w:val="22"/>
        </w:rPr>
        <w:t>Small, 6</w:t>
      </w:r>
      <w:r>
        <w:rPr>
          <w:sz w:val="22"/>
        </w:rPr>
        <w:t>(6),</w:t>
      </w:r>
      <w:r>
        <w:rPr>
          <w:spacing w:val="-22"/>
          <w:sz w:val="22"/>
        </w:rPr>
        <w:t> </w:t>
      </w:r>
      <w:r>
        <w:rPr>
          <w:sz w:val="22"/>
        </w:rPr>
        <w:t>711-723.</w:t>
      </w:r>
    </w:p>
    <w:p>
      <w:pPr>
        <w:pStyle w:val="ListParagraph"/>
        <w:numPr>
          <w:ilvl w:val="3"/>
          <w:numId w:val="26"/>
        </w:numPr>
        <w:tabs>
          <w:tab w:pos="842" w:val="left" w:leader="none"/>
        </w:tabs>
        <w:spacing w:line="360" w:lineRule="auto" w:before="7" w:after="0"/>
        <w:ind w:left="842" w:right="144" w:hanging="360"/>
        <w:jc w:val="both"/>
        <w:rPr>
          <w:sz w:val="22"/>
        </w:rPr>
      </w:pPr>
      <w:r>
        <w:rPr>
          <w:sz w:val="22"/>
        </w:rPr>
        <w:t>Guo, H. L., Wang, X. F., Qian, Q. Y., Wang, F. B., Xia, X. H. (2009). A green approach to the synthesis of graphene nanosheets. </w:t>
      </w:r>
      <w:r>
        <w:rPr>
          <w:i/>
          <w:sz w:val="22"/>
        </w:rPr>
        <w:t>ACS Nano, 3</w:t>
      </w:r>
      <w:r>
        <w:rPr>
          <w:sz w:val="22"/>
        </w:rPr>
        <w:t>(9),</w:t>
      </w:r>
      <w:r>
        <w:rPr>
          <w:spacing w:val="-16"/>
          <w:sz w:val="22"/>
        </w:rPr>
        <w:t> </w:t>
      </w:r>
      <w:r>
        <w:rPr>
          <w:sz w:val="22"/>
        </w:rPr>
        <w:t>2653-2659.</w:t>
      </w:r>
    </w:p>
    <w:p>
      <w:pPr>
        <w:pStyle w:val="ListParagraph"/>
        <w:numPr>
          <w:ilvl w:val="3"/>
          <w:numId w:val="26"/>
        </w:numPr>
        <w:tabs>
          <w:tab w:pos="842" w:val="left" w:leader="none"/>
        </w:tabs>
        <w:spacing w:line="360" w:lineRule="auto" w:before="4" w:after="0"/>
        <w:ind w:left="842" w:right="137" w:hanging="360"/>
        <w:jc w:val="both"/>
        <w:rPr>
          <w:sz w:val="22"/>
        </w:rPr>
      </w:pPr>
      <w:r>
        <w:rPr>
          <w:sz w:val="22"/>
        </w:rPr>
        <w:t>Stankovich, S., Dikin, D. A., Dommett, G. H. B., Kohlhaas, K. M., Zimney, E. J., Stach, E. A., Piner, R. D., SonBinh, T. N., Ruoff, R. S. (2006). Graphene-based composite materials. </w:t>
      </w:r>
      <w:r>
        <w:rPr>
          <w:i/>
          <w:sz w:val="22"/>
        </w:rPr>
        <w:t>Nature, 442</w:t>
      </w:r>
      <w:r>
        <w:rPr>
          <w:sz w:val="22"/>
        </w:rPr>
        <w:t>(7100),</w:t>
      </w:r>
      <w:r>
        <w:rPr>
          <w:spacing w:val="-5"/>
          <w:sz w:val="22"/>
        </w:rPr>
        <w:t> </w:t>
      </w:r>
      <w:r>
        <w:rPr>
          <w:sz w:val="22"/>
        </w:rPr>
        <w:t>282-286.</w:t>
      </w:r>
    </w:p>
    <w:p>
      <w:pPr>
        <w:pStyle w:val="ListParagraph"/>
        <w:numPr>
          <w:ilvl w:val="3"/>
          <w:numId w:val="26"/>
        </w:numPr>
        <w:tabs>
          <w:tab w:pos="842" w:val="left" w:leader="none"/>
        </w:tabs>
        <w:spacing w:line="360" w:lineRule="auto" w:before="5" w:after="0"/>
        <w:ind w:left="842" w:right="135" w:hanging="360"/>
        <w:jc w:val="both"/>
        <w:rPr>
          <w:sz w:val="22"/>
        </w:rPr>
      </w:pPr>
      <w:r>
        <w:rPr>
          <w:sz w:val="22"/>
        </w:rPr>
        <w:t>Huang, X., Yin, Z., Wu, S., Qi, X., He, Q., Zhang, Q., Yan, Q., Boey, F., Zhang, H. (2011). Graphene-based materials: Synthesis, characterization, properties, and applications. </w:t>
      </w:r>
      <w:r>
        <w:rPr>
          <w:i/>
          <w:sz w:val="22"/>
        </w:rPr>
        <w:t>Small, </w:t>
      </w:r>
      <w:r>
        <w:rPr>
          <w:i/>
          <w:sz w:val="22"/>
        </w:rPr>
        <w:t>7</w:t>
      </w:r>
      <w:r>
        <w:rPr>
          <w:sz w:val="22"/>
        </w:rPr>
        <w:t>(14),</w:t>
      </w:r>
      <w:r>
        <w:rPr>
          <w:spacing w:val="-1"/>
          <w:sz w:val="22"/>
        </w:rPr>
        <w:t> </w:t>
      </w:r>
      <w:r>
        <w:rPr>
          <w:sz w:val="22"/>
        </w:rPr>
        <w:t>1876-1902.</w:t>
      </w:r>
    </w:p>
    <w:p>
      <w:pPr>
        <w:pStyle w:val="ListParagraph"/>
        <w:numPr>
          <w:ilvl w:val="3"/>
          <w:numId w:val="26"/>
        </w:numPr>
        <w:tabs>
          <w:tab w:pos="842" w:val="left" w:leader="none"/>
        </w:tabs>
        <w:spacing w:line="360" w:lineRule="auto" w:before="4" w:after="0"/>
        <w:ind w:left="842" w:right="136" w:hanging="360"/>
        <w:jc w:val="both"/>
        <w:rPr>
          <w:sz w:val="22"/>
        </w:rPr>
      </w:pPr>
      <w:r>
        <w:rPr>
          <w:sz w:val="22"/>
        </w:rPr>
        <w:t>Nethravathi, C., Rajamathi, J. T., Ravishankar, N., Shivakumara, C., Rajamathi, M. (2008). Graphite oxide-intercalated anionic clay and its decomposition to graphene-inorganic material nanocomposites. </w:t>
      </w:r>
      <w:r>
        <w:rPr>
          <w:i/>
          <w:sz w:val="22"/>
        </w:rPr>
        <w:t>Langmuir, 24</w:t>
      </w:r>
      <w:r>
        <w:rPr>
          <w:sz w:val="22"/>
        </w:rPr>
        <w:t>(15),</w:t>
      </w:r>
      <w:r>
        <w:rPr>
          <w:spacing w:val="-9"/>
          <w:sz w:val="22"/>
        </w:rPr>
        <w:t> </w:t>
      </w:r>
      <w:r>
        <w:rPr>
          <w:sz w:val="22"/>
        </w:rPr>
        <w:t>8240-8244.</w:t>
      </w:r>
    </w:p>
    <w:p>
      <w:pPr>
        <w:pStyle w:val="ListParagraph"/>
        <w:numPr>
          <w:ilvl w:val="3"/>
          <w:numId w:val="26"/>
        </w:numPr>
        <w:tabs>
          <w:tab w:pos="842" w:val="left" w:leader="none"/>
        </w:tabs>
        <w:spacing w:line="360" w:lineRule="auto" w:before="4" w:after="0"/>
        <w:ind w:left="842" w:right="142" w:hanging="360"/>
        <w:jc w:val="both"/>
        <w:rPr>
          <w:sz w:val="22"/>
        </w:rPr>
      </w:pPr>
      <w:r>
        <w:rPr>
          <w:sz w:val="22"/>
        </w:rPr>
        <w:t>Geng, Y., Wang, S. J., Kim, J. K. (2009). Preparation of graphite nanoplatelets and graphene sheets. </w:t>
      </w:r>
      <w:r>
        <w:rPr>
          <w:i/>
          <w:sz w:val="22"/>
        </w:rPr>
        <w:t>Journal of Colloid and Interface Science, 336</w:t>
      </w:r>
      <w:r>
        <w:rPr>
          <w:sz w:val="22"/>
        </w:rPr>
        <w:t>(2),</w:t>
      </w:r>
      <w:r>
        <w:rPr>
          <w:spacing w:val="-19"/>
          <w:sz w:val="22"/>
        </w:rPr>
        <w:t> </w:t>
      </w:r>
      <w:r>
        <w:rPr>
          <w:sz w:val="22"/>
        </w:rPr>
        <w:t>592-598.</w:t>
      </w:r>
    </w:p>
    <w:p>
      <w:pPr>
        <w:spacing w:after="0" w:line="360" w:lineRule="auto"/>
        <w:jc w:val="both"/>
        <w:rPr>
          <w:sz w:val="22"/>
        </w:rPr>
        <w:sectPr>
          <w:pgSz w:w="12240" w:h="15840"/>
          <w:pgMar w:header="983" w:footer="1062" w:top="1180" w:bottom="1260" w:left="1580" w:right="1560"/>
        </w:sectPr>
      </w:pPr>
    </w:p>
    <w:p>
      <w:pPr>
        <w:pStyle w:val="BodyText"/>
        <w:spacing w:before="2"/>
        <w:rPr>
          <w:sz w:val="21"/>
        </w:rPr>
      </w:pPr>
    </w:p>
    <w:p>
      <w:pPr>
        <w:pStyle w:val="ListParagraph"/>
        <w:numPr>
          <w:ilvl w:val="3"/>
          <w:numId w:val="26"/>
        </w:numPr>
        <w:tabs>
          <w:tab w:pos="842" w:val="left" w:leader="none"/>
        </w:tabs>
        <w:spacing w:line="360" w:lineRule="auto" w:before="72" w:after="0"/>
        <w:ind w:left="842" w:right="138" w:hanging="360"/>
        <w:jc w:val="both"/>
        <w:rPr>
          <w:sz w:val="22"/>
        </w:rPr>
      </w:pPr>
      <w:r>
        <w:rPr>
          <w:sz w:val="22"/>
        </w:rPr>
        <w:t>Niyogi, S., Bekyarova, E., Itkis, M. E., McWilliams, J. L., Hamon, M. A., Haddon, R. C. (2006). Solution properties of graphite and graphene. </w:t>
      </w:r>
      <w:r>
        <w:rPr>
          <w:i/>
          <w:sz w:val="22"/>
        </w:rPr>
        <w:t>Journal of the American Chemical </w:t>
      </w:r>
      <w:r>
        <w:rPr>
          <w:i/>
          <w:sz w:val="22"/>
        </w:rPr>
        <w:t>Society, 128</w:t>
      </w:r>
      <w:r>
        <w:rPr>
          <w:sz w:val="22"/>
        </w:rPr>
        <w:t>(24),</w:t>
      </w:r>
      <w:r>
        <w:rPr>
          <w:spacing w:val="-4"/>
          <w:sz w:val="22"/>
        </w:rPr>
        <w:t> </w:t>
      </w:r>
      <w:r>
        <w:rPr>
          <w:sz w:val="22"/>
        </w:rPr>
        <w:t>7720-7721.</w:t>
      </w:r>
    </w:p>
    <w:p>
      <w:pPr>
        <w:pStyle w:val="ListParagraph"/>
        <w:numPr>
          <w:ilvl w:val="3"/>
          <w:numId w:val="26"/>
        </w:numPr>
        <w:tabs>
          <w:tab w:pos="842" w:val="left" w:leader="none"/>
        </w:tabs>
        <w:spacing w:line="360" w:lineRule="auto" w:before="4" w:after="0"/>
        <w:ind w:left="842" w:right="137" w:hanging="360"/>
        <w:jc w:val="both"/>
        <w:rPr>
          <w:sz w:val="22"/>
        </w:rPr>
      </w:pPr>
      <w:r>
        <w:rPr>
          <w:sz w:val="22"/>
        </w:rPr>
        <w:t>Shen, J., Shi, M., Ma, H., Yan, B., Li, N., Hu, Y., Ye, M. (2010). Synthesis of hydrophilic and organophilic chemically modified graphene oxide sheets. </w:t>
      </w:r>
      <w:r>
        <w:rPr>
          <w:i/>
          <w:sz w:val="22"/>
        </w:rPr>
        <w:t>Journal of Colloid and </w:t>
      </w:r>
      <w:r>
        <w:rPr>
          <w:i/>
          <w:sz w:val="22"/>
        </w:rPr>
        <w:t>Interface Science, 352</w:t>
      </w:r>
      <w:r>
        <w:rPr>
          <w:sz w:val="22"/>
        </w:rPr>
        <w:t>(2),</w:t>
      </w:r>
      <w:r>
        <w:rPr>
          <w:spacing w:val="-9"/>
          <w:sz w:val="22"/>
        </w:rPr>
        <w:t> </w:t>
      </w:r>
      <w:r>
        <w:rPr>
          <w:sz w:val="22"/>
        </w:rPr>
        <w:t>366-370.</w:t>
      </w:r>
    </w:p>
    <w:p>
      <w:pPr>
        <w:pStyle w:val="ListParagraph"/>
        <w:numPr>
          <w:ilvl w:val="3"/>
          <w:numId w:val="26"/>
        </w:numPr>
        <w:tabs>
          <w:tab w:pos="842" w:val="left" w:leader="none"/>
        </w:tabs>
        <w:spacing w:line="360" w:lineRule="auto" w:before="4" w:after="0"/>
        <w:ind w:left="842" w:right="135" w:hanging="360"/>
        <w:jc w:val="both"/>
        <w:rPr>
          <w:sz w:val="22"/>
        </w:rPr>
      </w:pPr>
      <w:r>
        <w:rPr>
          <w:sz w:val="22"/>
        </w:rPr>
        <w:t>Huang, Z. (2004). Crystallization and melting behavior of linear polyethylene </w:t>
      </w:r>
      <w:r>
        <w:rPr>
          <w:spacing w:val="3"/>
          <w:sz w:val="22"/>
        </w:rPr>
        <w:t>and </w:t>
      </w:r>
      <w:r>
        <w:rPr>
          <w:sz w:val="22"/>
        </w:rPr>
        <w:t>ethylene/styrene copolymers and chain length dependence of spherulitic growth rate for poly(ethylene oxide) fractions. Tesis de doctorado de Virginia Polytechnic Institute and State</w:t>
      </w:r>
      <w:r>
        <w:rPr>
          <w:spacing w:val="-5"/>
          <w:sz w:val="22"/>
        </w:rPr>
        <w:t> </w:t>
      </w:r>
      <w:r>
        <w:rPr>
          <w:sz w:val="22"/>
        </w:rPr>
        <w:t>University.</w:t>
      </w:r>
    </w:p>
    <w:p>
      <w:pPr>
        <w:pStyle w:val="ListParagraph"/>
        <w:numPr>
          <w:ilvl w:val="3"/>
          <w:numId w:val="26"/>
        </w:numPr>
        <w:tabs>
          <w:tab w:pos="842" w:val="left" w:leader="none"/>
        </w:tabs>
        <w:spacing w:line="362" w:lineRule="auto" w:before="4" w:after="0"/>
        <w:ind w:left="842" w:right="137" w:hanging="360"/>
        <w:jc w:val="both"/>
        <w:rPr>
          <w:sz w:val="22"/>
        </w:rPr>
      </w:pPr>
      <w:r>
        <w:rPr>
          <w:sz w:val="22"/>
        </w:rPr>
        <w:t>Compton, O. C., Nguyen, S. T. (2010). Graphene oxide, highly reduced graphene  oxide, and graphene: Versatile building blocks for carbon-based materials. </w:t>
      </w:r>
      <w:r>
        <w:rPr>
          <w:i/>
          <w:sz w:val="22"/>
        </w:rPr>
        <w:t>Small, 6</w:t>
      </w:r>
      <w:r>
        <w:rPr>
          <w:sz w:val="22"/>
        </w:rPr>
        <w:t>(6),</w:t>
      </w:r>
      <w:r>
        <w:rPr>
          <w:spacing w:val="-23"/>
          <w:sz w:val="22"/>
        </w:rPr>
        <w:t> </w:t>
      </w:r>
      <w:r>
        <w:rPr>
          <w:sz w:val="22"/>
        </w:rPr>
        <w:t>711-723.</w:t>
      </w:r>
    </w:p>
    <w:p>
      <w:pPr>
        <w:pStyle w:val="ListParagraph"/>
        <w:numPr>
          <w:ilvl w:val="3"/>
          <w:numId w:val="26"/>
        </w:numPr>
        <w:tabs>
          <w:tab w:pos="842" w:val="left" w:leader="none"/>
        </w:tabs>
        <w:spacing w:line="240" w:lineRule="auto" w:before="2" w:after="0"/>
        <w:ind w:left="842" w:right="0" w:hanging="360"/>
        <w:jc w:val="left"/>
        <w:rPr>
          <w:sz w:val="22"/>
        </w:rPr>
      </w:pPr>
      <w:r>
        <w:rPr>
          <w:sz w:val="22"/>
        </w:rPr>
        <w:t>Abe, A. (2005). Polymer analysis theory. </w:t>
      </w:r>
      <w:r>
        <w:rPr>
          <w:i/>
          <w:sz w:val="22"/>
        </w:rPr>
        <w:t>Advances in polymer science</w:t>
      </w:r>
      <w:r>
        <w:rPr>
          <w:sz w:val="22"/>
        </w:rPr>
        <w:t>,</w:t>
      </w:r>
      <w:r>
        <w:rPr>
          <w:spacing w:val="-16"/>
          <w:sz w:val="22"/>
        </w:rPr>
        <w:t> </w:t>
      </w:r>
      <w:r>
        <w:rPr>
          <w:sz w:val="22"/>
        </w:rPr>
        <w:t>182.</w:t>
      </w:r>
    </w:p>
    <w:p>
      <w:pPr>
        <w:pStyle w:val="ListParagraph"/>
        <w:numPr>
          <w:ilvl w:val="3"/>
          <w:numId w:val="26"/>
        </w:numPr>
        <w:tabs>
          <w:tab w:pos="842" w:val="left" w:leader="none"/>
        </w:tabs>
        <w:spacing w:line="240" w:lineRule="auto" w:before="126" w:after="0"/>
        <w:ind w:left="842" w:right="0" w:hanging="360"/>
        <w:jc w:val="left"/>
        <w:rPr>
          <w:sz w:val="22"/>
        </w:rPr>
      </w:pPr>
      <w:r>
        <w:rPr>
          <w:sz w:val="22"/>
        </w:rPr>
        <w:t>Cardarelli, F. (2008). Materials handbook: a concise desktop reference. </w:t>
      </w:r>
      <w:r>
        <w:rPr>
          <w:i/>
          <w:sz w:val="22"/>
        </w:rPr>
        <w:t>Springer</w:t>
      </w:r>
      <w:r>
        <w:rPr>
          <w:sz w:val="22"/>
        </w:rPr>
        <w:t>.</w:t>
      </w:r>
      <w:r>
        <w:rPr>
          <w:spacing w:val="-17"/>
          <w:sz w:val="22"/>
        </w:rPr>
        <w:t> </w:t>
      </w:r>
      <w:r>
        <w:rPr>
          <w:sz w:val="22"/>
        </w:rPr>
        <w:t>595pp.</w:t>
      </w:r>
    </w:p>
    <w:p>
      <w:pPr>
        <w:pStyle w:val="ListParagraph"/>
        <w:numPr>
          <w:ilvl w:val="3"/>
          <w:numId w:val="26"/>
        </w:numPr>
        <w:tabs>
          <w:tab w:pos="842" w:val="left" w:leader="none"/>
        </w:tabs>
        <w:spacing w:line="360" w:lineRule="auto" w:before="126" w:after="0"/>
        <w:ind w:left="842" w:right="139" w:hanging="360"/>
        <w:jc w:val="both"/>
        <w:rPr>
          <w:sz w:val="22"/>
        </w:rPr>
      </w:pPr>
      <w:r>
        <w:rPr>
          <w:sz w:val="22"/>
        </w:rPr>
        <w:t>Rangari, V. (2011). Polymer Nanocomposite Materials for Structural Applications en Reddy, B. S. R., </w:t>
      </w:r>
      <w:r>
        <w:rPr>
          <w:i/>
          <w:sz w:val="22"/>
        </w:rPr>
        <w:t>Advances in nanocomposites synthesis, characterization and industrial </w:t>
      </w:r>
      <w:r>
        <w:rPr>
          <w:i/>
          <w:sz w:val="22"/>
        </w:rPr>
        <w:t>applications. </w:t>
      </w:r>
      <w:r>
        <w:rPr>
          <w:sz w:val="22"/>
        </w:rPr>
        <w:t>InTech. (pp.</w:t>
      </w:r>
      <w:r>
        <w:rPr>
          <w:spacing w:val="-11"/>
          <w:sz w:val="22"/>
        </w:rPr>
        <w:t> </w:t>
      </w:r>
      <w:r>
        <w:rPr>
          <w:sz w:val="22"/>
        </w:rPr>
        <w:t>61-84)</w:t>
      </w:r>
    </w:p>
    <w:p>
      <w:pPr>
        <w:pStyle w:val="ListParagraph"/>
        <w:numPr>
          <w:ilvl w:val="3"/>
          <w:numId w:val="26"/>
        </w:numPr>
        <w:tabs>
          <w:tab w:pos="842" w:val="left" w:leader="none"/>
        </w:tabs>
        <w:spacing w:line="360" w:lineRule="auto" w:before="5" w:after="0"/>
        <w:ind w:left="842" w:right="142" w:hanging="360"/>
        <w:jc w:val="both"/>
        <w:rPr>
          <w:sz w:val="22"/>
        </w:rPr>
      </w:pPr>
      <w:r>
        <w:rPr>
          <w:sz w:val="22"/>
        </w:rPr>
        <w:t>Reddy, B. S. R. (2011). Advances in nanocomposites synthesis, characterization and industrial applications. </w:t>
      </w:r>
      <w:r>
        <w:rPr>
          <w:i/>
          <w:sz w:val="22"/>
        </w:rPr>
        <w:t>In Tech</w:t>
      </w:r>
      <w:r>
        <w:rPr>
          <w:sz w:val="22"/>
        </w:rPr>
        <w:t>. 966</w:t>
      </w:r>
      <w:r>
        <w:rPr>
          <w:spacing w:val="-11"/>
          <w:sz w:val="22"/>
        </w:rPr>
        <w:t> </w:t>
      </w:r>
      <w:r>
        <w:rPr>
          <w:sz w:val="22"/>
        </w:rPr>
        <w:t>páginas.</w:t>
      </w:r>
    </w:p>
    <w:p>
      <w:pPr>
        <w:pStyle w:val="ListParagraph"/>
        <w:numPr>
          <w:ilvl w:val="3"/>
          <w:numId w:val="26"/>
        </w:numPr>
        <w:tabs>
          <w:tab w:pos="842" w:val="left" w:leader="none"/>
        </w:tabs>
        <w:spacing w:line="360" w:lineRule="auto" w:before="4" w:after="0"/>
        <w:ind w:left="842" w:right="135" w:hanging="360"/>
        <w:jc w:val="both"/>
        <w:rPr>
          <w:sz w:val="22"/>
        </w:rPr>
      </w:pPr>
      <w:r>
        <w:rPr>
          <w:sz w:val="22"/>
        </w:rPr>
        <w:t>Bryning, M. B., Islam, M. F., Kikkawa, J. M., Yodh, A. G. (2005). Very low conductivity threshold in bulk isotropic single-walled carbon nanotube-epoxy composites. </w:t>
      </w:r>
      <w:r>
        <w:rPr>
          <w:i/>
          <w:sz w:val="22"/>
        </w:rPr>
        <w:t>Advanced </w:t>
      </w:r>
      <w:r>
        <w:rPr>
          <w:i/>
          <w:sz w:val="22"/>
        </w:rPr>
        <w:t>Materials, 17</w:t>
      </w:r>
      <w:r>
        <w:rPr>
          <w:sz w:val="22"/>
        </w:rPr>
        <w:t>(9),</w:t>
      </w:r>
      <w:r>
        <w:rPr>
          <w:spacing w:val="-7"/>
          <w:sz w:val="22"/>
        </w:rPr>
        <w:t> </w:t>
      </w:r>
      <w:r>
        <w:rPr>
          <w:sz w:val="22"/>
        </w:rPr>
        <w:t>1186-1191.</w:t>
      </w:r>
    </w:p>
    <w:p>
      <w:pPr>
        <w:pStyle w:val="ListParagraph"/>
        <w:numPr>
          <w:ilvl w:val="3"/>
          <w:numId w:val="26"/>
        </w:numPr>
        <w:tabs>
          <w:tab w:pos="842" w:val="left" w:leader="none"/>
        </w:tabs>
        <w:spacing w:line="360" w:lineRule="auto" w:before="4" w:after="0"/>
        <w:ind w:left="842" w:right="138" w:hanging="360"/>
        <w:jc w:val="both"/>
        <w:rPr>
          <w:sz w:val="22"/>
        </w:rPr>
      </w:pPr>
      <w:r>
        <w:rPr>
          <w:sz w:val="22"/>
        </w:rPr>
        <w:t>Ramanathan, T., Liu, H., Brinson, L. C. (2005). Functionalized SWNT/polymer nanocomposites for dramatic property improvement. </w:t>
      </w:r>
      <w:r>
        <w:rPr>
          <w:i/>
          <w:sz w:val="22"/>
        </w:rPr>
        <w:t>Journal of Polymer Science, Part B: </w:t>
      </w:r>
      <w:r>
        <w:rPr>
          <w:i/>
          <w:sz w:val="22"/>
        </w:rPr>
        <w:t>Polymer Physics, 43</w:t>
      </w:r>
      <w:r>
        <w:rPr>
          <w:sz w:val="22"/>
        </w:rPr>
        <w:t>(17),</w:t>
      </w:r>
      <w:r>
        <w:rPr>
          <w:spacing w:val="-8"/>
          <w:sz w:val="22"/>
        </w:rPr>
        <w:t> </w:t>
      </w:r>
      <w:r>
        <w:rPr>
          <w:sz w:val="22"/>
        </w:rPr>
        <w:t>2269-2279.</w:t>
      </w:r>
    </w:p>
    <w:p>
      <w:pPr>
        <w:pStyle w:val="ListParagraph"/>
        <w:numPr>
          <w:ilvl w:val="3"/>
          <w:numId w:val="26"/>
        </w:numPr>
        <w:tabs>
          <w:tab w:pos="842" w:val="left" w:leader="none"/>
        </w:tabs>
        <w:spacing w:line="360" w:lineRule="auto" w:before="5" w:after="0"/>
        <w:ind w:left="842" w:right="136" w:hanging="360"/>
        <w:jc w:val="both"/>
        <w:rPr>
          <w:sz w:val="22"/>
        </w:rPr>
      </w:pPr>
      <w:r>
        <w:rPr>
          <w:sz w:val="22"/>
        </w:rPr>
        <w:t>Liu, T., Phang, I. Y., Shen, L., Chow, S. Y., Zhang, W. D. (2004). Morphology and mechanical properties of multiwalled carbon nanotubes reinforced nylon-6 composites. </w:t>
      </w:r>
      <w:r>
        <w:rPr>
          <w:i/>
          <w:sz w:val="22"/>
        </w:rPr>
        <w:t>Macromolecules, 37</w:t>
      </w:r>
      <w:r>
        <w:rPr>
          <w:sz w:val="22"/>
        </w:rPr>
        <w:t>(19),</w:t>
      </w:r>
      <w:r>
        <w:rPr>
          <w:spacing w:val="-9"/>
          <w:sz w:val="22"/>
        </w:rPr>
        <w:t> </w:t>
      </w:r>
      <w:r>
        <w:rPr>
          <w:sz w:val="22"/>
        </w:rPr>
        <w:t>7214-7222.</w:t>
      </w:r>
    </w:p>
    <w:p>
      <w:pPr>
        <w:pStyle w:val="ListParagraph"/>
        <w:numPr>
          <w:ilvl w:val="3"/>
          <w:numId w:val="26"/>
        </w:numPr>
        <w:tabs>
          <w:tab w:pos="842" w:val="left" w:leader="none"/>
        </w:tabs>
        <w:spacing w:line="360" w:lineRule="auto" w:before="4" w:after="0"/>
        <w:ind w:left="842" w:right="135" w:hanging="360"/>
        <w:jc w:val="both"/>
        <w:rPr>
          <w:sz w:val="22"/>
        </w:rPr>
      </w:pPr>
      <w:r>
        <w:rPr>
          <w:sz w:val="22"/>
        </w:rPr>
        <w:t>Sahoo, N. G., Rana, S., Cho, J. W., Li, L., Chan, S. H. (2010). Polymer nanocomposites based on functionalized carbon nanotubes. </w:t>
      </w:r>
      <w:r>
        <w:rPr>
          <w:i/>
          <w:sz w:val="22"/>
        </w:rPr>
        <w:t>Progress in Polymer Science (Oxford), 35</w:t>
      </w:r>
      <w:r>
        <w:rPr>
          <w:sz w:val="22"/>
        </w:rPr>
        <w:t>(7), 837-867.</w:t>
      </w:r>
    </w:p>
    <w:p>
      <w:pPr>
        <w:spacing w:after="0" w:line="360" w:lineRule="auto"/>
        <w:jc w:val="both"/>
        <w:rPr>
          <w:sz w:val="22"/>
        </w:rPr>
        <w:sectPr>
          <w:pgSz w:w="12240" w:h="15840"/>
          <w:pgMar w:header="983" w:footer="1062" w:top="1180" w:bottom="1260" w:left="1580" w:right="1560"/>
        </w:sectPr>
      </w:pPr>
    </w:p>
    <w:p>
      <w:pPr>
        <w:pStyle w:val="BodyText"/>
        <w:spacing w:before="2"/>
        <w:rPr>
          <w:sz w:val="21"/>
        </w:rPr>
      </w:pPr>
    </w:p>
    <w:p>
      <w:pPr>
        <w:pStyle w:val="ListParagraph"/>
        <w:numPr>
          <w:ilvl w:val="3"/>
          <w:numId w:val="26"/>
        </w:numPr>
        <w:tabs>
          <w:tab w:pos="842" w:val="left" w:leader="none"/>
        </w:tabs>
        <w:spacing w:line="360" w:lineRule="auto" w:before="72" w:after="0"/>
        <w:ind w:left="842" w:right="137" w:hanging="360"/>
        <w:jc w:val="both"/>
        <w:rPr>
          <w:sz w:val="22"/>
        </w:rPr>
      </w:pPr>
      <w:r>
        <w:rPr>
          <w:sz w:val="22"/>
        </w:rPr>
        <w:t>Kalaitzidou, K., Fukushima, H., Drzal, L. T. (2007). Mechanical properties and morphological characterization of exfoliated graphite-polypropylene nanocomposites. </w:t>
      </w:r>
      <w:r>
        <w:rPr>
          <w:i/>
          <w:sz w:val="22"/>
        </w:rPr>
        <w:t>Composites Part A: Applied Science and Manufacturing, 38</w:t>
      </w:r>
      <w:r>
        <w:rPr>
          <w:sz w:val="22"/>
        </w:rPr>
        <w:t>(7),</w:t>
      </w:r>
      <w:r>
        <w:rPr>
          <w:spacing w:val="-18"/>
          <w:sz w:val="22"/>
        </w:rPr>
        <w:t> </w:t>
      </w:r>
      <w:r>
        <w:rPr>
          <w:sz w:val="22"/>
        </w:rPr>
        <w:t>1675-1682.</w:t>
      </w:r>
    </w:p>
    <w:p>
      <w:pPr>
        <w:pStyle w:val="ListParagraph"/>
        <w:numPr>
          <w:ilvl w:val="3"/>
          <w:numId w:val="26"/>
        </w:numPr>
        <w:tabs>
          <w:tab w:pos="842" w:val="left" w:leader="none"/>
        </w:tabs>
        <w:spacing w:line="360" w:lineRule="auto" w:before="4" w:after="0"/>
        <w:ind w:left="842" w:right="142" w:hanging="360"/>
        <w:jc w:val="both"/>
        <w:rPr>
          <w:sz w:val="22"/>
        </w:rPr>
      </w:pPr>
      <w:r>
        <w:rPr>
          <w:sz w:val="22"/>
        </w:rPr>
        <w:t>Nguyen, D. A., Lee, Y. R., Raghu, A. V., Jeong, H. M., Shin, C. M., Kim, B. K. (2009). Morphological and physical properties of a thermoplastic polyurethane reinforced with functionalized graphene sheet. </w:t>
      </w:r>
      <w:r>
        <w:rPr>
          <w:i/>
          <w:sz w:val="22"/>
        </w:rPr>
        <w:t>Polymer International, 58</w:t>
      </w:r>
      <w:r>
        <w:rPr>
          <w:sz w:val="22"/>
        </w:rPr>
        <w:t>(4),</w:t>
      </w:r>
      <w:r>
        <w:rPr>
          <w:spacing w:val="-17"/>
          <w:sz w:val="22"/>
        </w:rPr>
        <w:t> </w:t>
      </w:r>
      <w:r>
        <w:rPr>
          <w:sz w:val="22"/>
        </w:rPr>
        <w:t>412-417.</w:t>
      </w:r>
    </w:p>
    <w:p>
      <w:pPr>
        <w:pStyle w:val="ListParagraph"/>
        <w:numPr>
          <w:ilvl w:val="3"/>
          <w:numId w:val="26"/>
        </w:numPr>
        <w:tabs>
          <w:tab w:pos="842" w:val="left" w:leader="none"/>
        </w:tabs>
        <w:spacing w:line="360" w:lineRule="auto" w:before="4" w:after="0"/>
        <w:ind w:left="842" w:right="136" w:hanging="360"/>
        <w:jc w:val="both"/>
        <w:rPr>
          <w:sz w:val="22"/>
        </w:rPr>
      </w:pPr>
      <w:r>
        <w:rPr>
          <w:sz w:val="22"/>
        </w:rPr>
        <w:t>Han, D., Yan, L., Chen, W., Li, W. (2011). Preparation of chitosan/graphene oxide composite film with enhanced mechanical strength in the wet state. </w:t>
      </w:r>
      <w:r>
        <w:rPr>
          <w:i/>
          <w:sz w:val="22"/>
        </w:rPr>
        <w:t>Carbohydrate  </w:t>
      </w:r>
      <w:r>
        <w:rPr>
          <w:i/>
          <w:sz w:val="22"/>
        </w:rPr>
        <w:t>Polymers, 83</w:t>
      </w:r>
      <w:r>
        <w:rPr>
          <w:sz w:val="22"/>
        </w:rPr>
        <w:t>(2),</w:t>
      </w:r>
      <w:r>
        <w:rPr>
          <w:spacing w:val="-5"/>
          <w:sz w:val="22"/>
        </w:rPr>
        <w:t> </w:t>
      </w:r>
      <w:r>
        <w:rPr>
          <w:sz w:val="22"/>
        </w:rPr>
        <w:t>653-658.</w:t>
      </w:r>
    </w:p>
    <w:p>
      <w:pPr>
        <w:pStyle w:val="ListParagraph"/>
        <w:numPr>
          <w:ilvl w:val="3"/>
          <w:numId w:val="26"/>
        </w:numPr>
        <w:tabs>
          <w:tab w:pos="842" w:val="left" w:leader="none"/>
        </w:tabs>
        <w:spacing w:line="360" w:lineRule="auto" w:before="4" w:after="0"/>
        <w:ind w:left="842" w:right="139" w:hanging="360"/>
        <w:jc w:val="both"/>
        <w:rPr>
          <w:sz w:val="22"/>
        </w:rPr>
      </w:pPr>
      <w:r>
        <w:rPr>
          <w:sz w:val="22"/>
        </w:rPr>
        <w:t>Singh, V., Joung, D., Zhai, L., Das, S., Khondaker, S. I., Seal, S. (2011). Graphene based materials: Past, present and future. </w:t>
      </w:r>
      <w:r>
        <w:rPr>
          <w:i/>
          <w:sz w:val="22"/>
        </w:rPr>
        <w:t>Progress in Materials Science, 56</w:t>
      </w:r>
      <w:r>
        <w:rPr>
          <w:sz w:val="22"/>
        </w:rPr>
        <w:t>(8),</w:t>
      </w:r>
      <w:r>
        <w:rPr>
          <w:spacing w:val="-21"/>
          <w:sz w:val="22"/>
        </w:rPr>
        <w:t> </w:t>
      </w:r>
      <w:r>
        <w:rPr>
          <w:sz w:val="22"/>
        </w:rPr>
        <w:t>1178-1271.</w:t>
      </w:r>
    </w:p>
    <w:p>
      <w:pPr>
        <w:pStyle w:val="ListParagraph"/>
        <w:numPr>
          <w:ilvl w:val="3"/>
          <w:numId w:val="26"/>
        </w:numPr>
        <w:tabs>
          <w:tab w:pos="842" w:val="left" w:leader="none"/>
        </w:tabs>
        <w:spacing w:line="360" w:lineRule="auto" w:before="7" w:after="0"/>
        <w:ind w:left="842" w:right="139" w:hanging="360"/>
        <w:jc w:val="both"/>
        <w:rPr>
          <w:sz w:val="22"/>
        </w:rPr>
      </w:pPr>
      <w:r>
        <w:rPr>
          <w:sz w:val="22"/>
        </w:rPr>
        <w:t>Yan, J., Wei, T., Fan, Z., Qian, W., Zhang, M., Shen, X., Wei, F. (2010). Preparation of graphene nanosheet/carbon nanotube/polyaniline composite as electrode material for supercapacitors. </w:t>
      </w:r>
      <w:r>
        <w:rPr>
          <w:i/>
          <w:sz w:val="22"/>
        </w:rPr>
        <w:t>Journal of Power Sources, 195</w:t>
      </w:r>
      <w:r>
        <w:rPr>
          <w:sz w:val="22"/>
        </w:rPr>
        <w:t>(9),</w:t>
      </w:r>
      <w:r>
        <w:rPr>
          <w:spacing w:val="-17"/>
          <w:sz w:val="22"/>
        </w:rPr>
        <w:t> </w:t>
      </w:r>
      <w:r>
        <w:rPr>
          <w:sz w:val="22"/>
        </w:rPr>
        <w:t>3041-3045.</w:t>
      </w:r>
    </w:p>
    <w:p>
      <w:pPr>
        <w:pStyle w:val="ListParagraph"/>
        <w:numPr>
          <w:ilvl w:val="3"/>
          <w:numId w:val="26"/>
        </w:numPr>
        <w:tabs>
          <w:tab w:pos="842" w:val="left" w:leader="none"/>
        </w:tabs>
        <w:spacing w:line="360" w:lineRule="auto" w:before="4" w:after="0"/>
        <w:ind w:left="842" w:right="133" w:hanging="360"/>
        <w:jc w:val="both"/>
        <w:rPr>
          <w:sz w:val="22"/>
        </w:rPr>
      </w:pPr>
      <w:r>
        <w:rPr>
          <w:sz w:val="22"/>
        </w:rPr>
        <w:t>The Freedonia Group Inc. (2009). </w:t>
      </w:r>
      <w:r>
        <w:rPr>
          <w:i/>
          <w:sz w:val="22"/>
        </w:rPr>
        <w:t>US demand for reinforced plastics to reach 3.6bn lbs in </w:t>
      </w:r>
      <w:r>
        <w:rPr>
          <w:i/>
          <w:sz w:val="22"/>
        </w:rPr>
        <w:t>2013. </w:t>
      </w:r>
      <w:hyperlink r:id="rId96">
        <w:r>
          <w:rPr>
            <w:sz w:val="22"/>
          </w:rPr>
          <w:t>http://www.reinforcedplastics.com/view/1805/us-demand-for-reinforced-plastics-to-</w:t>
        </w:r>
      </w:hyperlink>
      <w:r>
        <w:rPr>
          <w:sz w:val="22"/>
        </w:rPr>
        <w:t> </w:t>
      </w:r>
      <w:hyperlink r:id="rId96">
        <w:r>
          <w:rPr>
            <w:sz w:val="22"/>
          </w:rPr>
          <w:t>reach-36bn-lbs-in-2013.</w:t>
        </w:r>
      </w:hyperlink>
    </w:p>
    <w:p>
      <w:pPr>
        <w:pStyle w:val="ListParagraph"/>
        <w:numPr>
          <w:ilvl w:val="3"/>
          <w:numId w:val="26"/>
        </w:numPr>
        <w:tabs>
          <w:tab w:pos="842" w:val="left" w:leader="none"/>
        </w:tabs>
        <w:spacing w:line="240" w:lineRule="auto" w:before="5" w:after="0"/>
        <w:ind w:left="842" w:right="0" w:hanging="360"/>
        <w:jc w:val="left"/>
        <w:rPr>
          <w:sz w:val="22"/>
        </w:rPr>
      </w:pPr>
      <w:r>
        <w:rPr>
          <w:sz w:val="22"/>
        </w:rPr>
        <w:t>Brydson, J. A. (2007). Plastics materials, 7a. ed. </w:t>
      </w:r>
      <w:r>
        <w:rPr>
          <w:i/>
          <w:sz w:val="22"/>
        </w:rPr>
        <w:t>Butterworth-Heinemann</w:t>
      </w:r>
      <w:r>
        <w:rPr>
          <w:sz w:val="22"/>
        </w:rPr>
        <w:t>, 920</w:t>
      </w:r>
      <w:r>
        <w:rPr>
          <w:spacing w:val="-16"/>
          <w:sz w:val="22"/>
        </w:rPr>
        <w:t> </w:t>
      </w:r>
      <w:r>
        <w:rPr>
          <w:sz w:val="22"/>
        </w:rPr>
        <w:t>páginas.</w:t>
      </w:r>
    </w:p>
    <w:p>
      <w:pPr>
        <w:pStyle w:val="ListParagraph"/>
        <w:numPr>
          <w:ilvl w:val="3"/>
          <w:numId w:val="26"/>
        </w:numPr>
        <w:tabs>
          <w:tab w:pos="842" w:val="left" w:leader="none"/>
        </w:tabs>
        <w:spacing w:line="360" w:lineRule="auto" w:before="126" w:after="0"/>
        <w:ind w:left="842" w:right="139" w:hanging="360"/>
        <w:jc w:val="both"/>
        <w:rPr>
          <w:sz w:val="22"/>
        </w:rPr>
      </w:pPr>
      <w:r>
        <w:rPr>
          <w:sz w:val="22"/>
        </w:rPr>
        <w:t>Muthukumar, M. (2007). Shifting Paradigms in Polymer Crystallization en Reiter, G. y Strobl G.R. </w:t>
      </w:r>
      <w:r>
        <w:rPr>
          <w:i/>
          <w:sz w:val="22"/>
        </w:rPr>
        <w:t>Progress in understanding of polymer crystallization. </w:t>
      </w:r>
      <w:r>
        <w:rPr>
          <w:sz w:val="22"/>
        </w:rPr>
        <w:t>Springer.  (pp.</w:t>
      </w:r>
      <w:r>
        <w:rPr>
          <w:spacing w:val="-21"/>
          <w:sz w:val="22"/>
        </w:rPr>
        <w:t> </w:t>
      </w:r>
      <w:r>
        <w:rPr>
          <w:sz w:val="22"/>
        </w:rPr>
        <w:t>2-18).</w:t>
      </w:r>
    </w:p>
    <w:p>
      <w:pPr>
        <w:pStyle w:val="ListParagraph"/>
        <w:numPr>
          <w:ilvl w:val="3"/>
          <w:numId w:val="26"/>
        </w:numPr>
        <w:tabs>
          <w:tab w:pos="842" w:val="left" w:leader="none"/>
        </w:tabs>
        <w:spacing w:line="360" w:lineRule="auto" w:before="7" w:after="0"/>
        <w:ind w:left="842" w:right="137" w:hanging="360"/>
        <w:jc w:val="both"/>
        <w:rPr>
          <w:sz w:val="22"/>
        </w:rPr>
      </w:pPr>
      <w:r>
        <w:rPr>
          <w:sz w:val="22"/>
        </w:rPr>
        <w:t>Rastogi, S. (2003). Role of Metastable Phases in Polymer Crystallization; Early Stages of Crystal Growth en Reiter, G. y Sommer J. U., </w:t>
      </w:r>
      <w:r>
        <w:rPr>
          <w:i/>
          <w:sz w:val="22"/>
        </w:rPr>
        <w:t>Polymer Crystallization: Observations, </w:t>
      </w:r>
      <w:r>
        <w:rPr>
          <w:i/>
          <w:sz w:val="22"/>
        </w:rPr>
        <w:t>Concepts and Interpretations. </w:t>
      </w:r>
      <w:r>
        <w:rPr>
          <w:sz w:val="22"/>
        </w:rPr>
        <w:t>Lecture Notes in Physics. (pp.</w:t>
      </w:r>
      <w:r>
        <w:rPr>
          <w:spacing w:val="-14"/>
          <w:sz w:val="22"/>
        </w:rPr>
        <w:t> </w:t>
      </w:r>
      <w:r>
        <w:rPr>
          <w:sz w:val="22"/>
        </w:rPr>
        <w:t>17-47).</w:t>
      </w:r>
    </w:p>
    <w:p>
      <w:pPr>
        <w:pStyle w:val="ListParagraph"/>
        <w:numPr>
          <w:ilvl w:val="3"/>
          <w:numId w:val="26"/>
        </w:numPr>
        <w:tabs>
          <w:tab w:pos="842" w:val="left" w:leader="none"/>
        </w:tabs>
        <w:spacing w:line="240" w:lineRule="auto" w:before="4" w:after="0"/>
        <w:ind w:left="842" w:right="0" w:hanging="360"/>
        <w:jc w:val="left"/>
        <w:rPr>
          <w:sz w:val="22"/>
        </w:rPr>
      </w:pPr>
      <w:r>
        <w:rPr>
          <w:sz w:val="22"/>
        </w:rPr>
        <w:t>Shanks R. A., Tiganis B. E.    </w:t>
      </w:r>
      <w:r>
        <w:rPr>
          <w:spacing w:val="12"/>
          <w:sz w:val="22"/>
        </w:rPr>
        <w:t> </w:t>
      </w:r>
      <w:r>
        <w:rPr>
          <w:sz w:val="22"/>
        </w:rPr>
        <w:t>(1998). Nucleating agents for thermoplastics en Pritchard, G.</w:t>
      </w:r>
    </w:p>
    <w:p>
      <w:pPr>
        <w:spacing w:before="126"/>
        <w:ind w:left="841" w:right="41" w:firstLine="0"/>
        <w:jc w:val="left"/>
        <w:rPr>
          <w:sz w:val="22"/>
        </w:rPr>
      </w:pPr>
      <w:r>
        <w:rPr>
          <w:i/>
          <w:sz w:val="22"/>
        </w:rPr>
        <w:t>Plastics Additives</w:t>
      </w:r>
      <w:r>
        <w:rPr>
          <w:sz w:val="22"/>
        </w:rPr>
        <w:t>. Chapman and Hall. (pp. 464-472).</w:t>
      </w:r>
    </w:p>
    <w:p>
      <w:pPr>
        <w:pStyle w:val="ListParagraph"/>
        <w:numPr>
          <w:ilvl w:val="3"/>
          <w:numId w:val="26"/>
        </w:numPr>
        <w:tabs>
          <w:tab w:pos="842" w:val="left" w:leader="none"/>
        </w:tabs>
        <w:spacing w:line="360" w:lineRule="auto" w:before="127" w:after="0"/>
        <w:ind w:left="842" w:right="136" w:hanging="360"/>
        <w:jc w:val="both"/>
        <w:rPr>
          <w:sz w:val="22"/>
        </w:rPr>
      </w:pPr>
      <w:r>
        <w:rPr>
          <w:sz w:val="22"/>
        </w:rPr>
        <w:t>Di Marco, G., Pieruccini, M. (2003). Lamellar Growth in Melt-Crystallizing Polymers: Some Effect Related to a Nucleating Agent en Reiter, G. y Sommer J. </w:t>
      </w:r>
      <w:r>
        <w:rPr>
          <w:spacing w:val="3"/>
          <w:sz w:val="22"/>
        </w:rPr>
        <w:t>U</w:t>
      </w:r>
      <w:r>
        <w:rPr>
          <w:i/>
          <w:spacing w:val="3"/>
          <w:sz w:val="22"/>
        </w:rPr>
        <w:t>. </w:t>
      </w:r>
      <w:r>
        <w:rPr>
          <w:i/>
          <w:sz w:val="22"/>
        </w:rPr>
        <w:t>Polymer </w:t>
      </w:r>
      <w:r>
        <w:rPr>
          <w:i/>
          <w:sz w:val="22"/>
        </w:rPr>
        <w:t>Crystallization: Obervations, Concepts and Interpretations. </w:t>
      </w:r>
      <w:r>
        <w:rPr>
          <w:sz w:val="22"/>
        </w:rPr>
        <w:t>Lecture Notes in Physics, (pp.17-47).</w:t>
      </w:r>
    </w:p>
    <w:p>
      <w:pPr>
        <w:pStyle w:val="ListParagraph"/>
        <w:numPr>
          <w:ilvl w:val="3"/>
          <w:numId w:val="26"/>
        </w:numPr>
        <w:tabs>
          <w:tab w:pos="842" w:val="left" w:leader="none"/>
        </w:tabs>
        <w:spacing w:line="360" w:lineRule="auto" w:before="7" w:after="0"/>
        <w:ind w:left="842" w:right="131" w:hanging="360"/>
        <w:jc w:val="both"/>
        <w:rPr>
          <w:sz w:val="22"/>
        </w:rPr>
      </w:pPr>
      <w:r>
        <w:rPr>
          <w:sz w:val="22"/>
        </w:rPr>
        <w:t>Baji, A., Mai, Y. W., Wong, S. C., Abtahi, M., Du, X. (2010). Mechanical behavior of self- assembled carbon nanotube reinforced nylon 6,6 fibers. </w:t>
      </w:r>
      <w:r>
        <w:rPr>
          <w:i/>
          <w:sz w:val="22"/>
        </w:rPr>
        <w:t>Composites Science and </w:t>
      </w:r>
      <w:r>
        <w:rPr>
          <w:i/>
          <w:sz w:val="22"/>
        </w:rPr>
        <w:t>Technology, 70</w:t>
      </w:r>
      <w:r>
        <w:rPr>
          <w:sz w:val="22"/>
        </w:rPr>
        <w:t>(9),</w:t>
      </w:r>
      <w:r>
        <w:rPr>
          <w:spacing w:val="-4"/>
          <w:sz w:val="22"/>
        </w:rPr>
        <w:t> </w:t>
      </w:r>
      <w:r>
        <w:rPr>
          <w:sz w:val="22"/>
        </w:rPr>
        <w:t>1401-1409.</w:t>
      </w:r>
    </w:p>
    <w:p>
      <w:pPr>
        <w:spacing w:after="0" w:line="360" w:lineRule="auto"/>
        <w:jc w:val="both"/>
        <w:rPr>
          <w:sz w:val="22"/>
        </w:rPr>
        <w:sectPr>
          <w:pgSz w:w="12240" w:h="15840"/>
          <w:pgMar w:header="983" w:footer="1062" w:top="1180" w:bottom="1260" w:left="1580" w:right="1560"/>
        </w:sectPr>
      </w:pPr>
    </w:p>
    <w:p>
      <w:pPr>
        <w:pStyle w:val="BodyText"/>
        <w:spacing w:before="2"/>
        <w:rPr>
          <w:sz w:val="21"/>
        </w:rPr>
      </w:pPr>
    </w:p>
    <w:p>
      <w:pPr>
        <w:pStyle w:val="ListParagraph"/>
        <w:numPr>
          <w:ilvl w:val="3"/>
          <w:numId w:val="26"/>
        </w:numPr>
        <w:tabs>
          <w:tab w:pos="842" w:val="left" w:leader="none"/>
        </w:tabs>
        <w:spacing w:line="360" w:lineRule="auto" w:before="72" w:after="0"/>
        <w:ind w:left="842" w:right="133" w:hanging="360"/>
        <w:jc w:val="both"/>
        <w:rPr>
          <w:sz w:val="22"/>
        </w:rPr>
      </w:pPr>
      <w:r>
        <w:rPr>
          <w:sz w:val="22"/>
        </w:rPr>
        <w:t>Qiu, S. C., Zheng, Y. Y., Zeng, A. R., Guo, Y. (2011). Effect of carbon nanotubes on the crystallization behaviors of MC nylon 6</w:t>
      </w:r>
      <w:r>
        <w:rPr>
          <w:i/>
          <w:sz w:val="22"/>
        </w:rPr>
        <w:t>. Spectroscopy and Spectral Analysis, 31</w:t>
      </w:r>
      <w:r>
        <w:rPr>
          <w:sz w:val="22"/>
        </w:rPr>
        <w:t>(9), 2491- 2494.</w:t>
      </w:r>
    </w:p>
    <w:p>
      <w:pPr>
        <w:pStyle w:val="ListParagraph"/>
        <w:numPr>
          <w:ilvl w:val="3"/>
          <w:numId w:val="26"/>
        </w:numPr>
        <w:tabs>
          <w:tab w:pos="842" w:val="left" w:leader="none"/>
        </w:tabs>
        <w:spacing w:line="360" w:lineRule="auto" w:before="4" w:after="0"/>
        <w:ind w:left="842" w:right="137" w:hanging="360"/>
        <w:jc w:val="both"/>
        <w:rPr>
          <w:i/>
          <w:sz w:val="22"/>
        </w:rPr>
      </w:pPr>
      <w:r>
        <w:rPr>
          <w:sz w:val="22"/>
        </w:rPr>
        <w:t>Chen, Y., Yao, X., Pan, Z., Gu, Q. (2011). Preparation and isothermal crystallization behavior of poly(lactic acid)/graphene nanocomposites. </w:t>
      </w:r>
      <w:r>
        <w:rPr>
          <w:i/>
          <w:sz w:val="22"/>
        </w:rPr>
        <w:t>Advanced Materials </w:t>
      </w:r>
      <w:r>
        <w:rPr>
          <w:i/>
          <w:sz w:val="22"/>
        </w:rPr>
        <w:t>Research,(284-286),</w:t>
      </w:r>
      <w:r>
        <w:rPr>
          <w:i/>
          <w:spacing w:val="-4"/>
          <w:sz w:val="22"/>
        </w:rPr>
        <w:t> </w:t>
      </w:r>
      <w:r>
        <w:rPr>
          <w:i/>
          <w:sz w:val="22"/>
        </w:rPr>
        <w:t>246-252.</w:t>
      </w:r>
    </w:p>
    <w:p>
      <w:pPr>
        <w:pStyle w:val="ListParagraph"/>
        <w:numPr>
          <w:ilvl w:val="3"/>
          <w:numId w:val="26"/>
        </w:numPr>
        <w:tabs>
          <w:tab w:pos="842" w:val="left" w:leader="none"/>
        </w:tabs>
        <w:spacing w:line="257" w:lineRule="exact" w:before="0" w:after="0"/>
        <w:ind w:left="842" w:right="0" w:hanging="360"/>
        <w:jc w:val="both"/>
        <w:rPr>
          <w:sz w:val="22"/>
        </w:rPr>
      </w:pPr>
      <w:r>
        <w:rPr>
          <w:sz w:val="22"/>
        </w:rPr>
        <w:t>Zhang</w:t>
      </w:r>
      <w:r>
        <w:rPr>
          <w:position w:val="10"/>
          <w:sz w:val="14"/>
        </w:rPr>
        <w:t>,  </w:t>
      </w:r>
      <w:r>
        <w:rPr>
          <w:sz w:val="22"/>
        </w:rPr>
        <w:t>F., Peng, X.,       </w:t>
      </w:r>
      <w:r>
        <w:rPr>
          <w:spacing w:val="3"/>
          <w:sz w:val="22"/>
        </w:rPr>
        <w:t> </w:t>
      </w:r>
      <w:r>
        <w:rPr>
          <w:sz w:val="22"/>
        </w:rPr>
        <w:t>Yan, W., Peng, Z., Shen, Y. (2011).  Nonisothermal crystallization</w:t>
      </w:r>
    </w:p>
    <w:p>
      <w:pPr>
        <w:pStyle w:val="BodyText"/>
        <w:tabs>
          <w:tab w:pos="7891" w:val="left" w:leader="none"/>
        </w:tabs>
        <w:spacing w:before="126"/>
        <w:ind w:left="841" w:right="41"/>
      </w:pPr>
      <w:r>
        <w:rPr/>
        <w:t>kinetics  of  in  situ  nylon  6/graphene  composites  by </w:t>
      </w:r>
      <w:r>
        <w:rPr>
          <w:spacing w:val="8"/>
        </w:rPr>
        <w:t> </w:t>
      </w:r>
      <w:r>
        <w:rPr/>
        <w:t>differential </w:t>
      </w:r>
      <w:r>
        <w:rPr>
          <w:spacing w:val="2"/>
        </w:rPr>
        <w:t> </w:t>
      </w:r>
      <w:r>
        <w:rPr/>
        <w:t>scanning</w:t>
        <w:tab/>
        <w:t>calorimetry.</w:t>
      </w:r>
    </w:p>
    <w:p>
      <w:pPr>
        <w:spacing w:before="127"/>
        <w:ind w:left="841" w:right="41" w:firstLine="0"/>
        <w:jc w:val="left"/>
        <w:rPr>
          <w:sz w:val="22"/>
        </w:rPr>
      </w:pPr>
      <w:r>
        <w:rPr>
          <w:i/>
          <w:sz w:val="22"/>
        </w:rPr>
        <w:t>Journal of Polymer Science Part B: Polymer</w:t>
      </w:r>
      <w:r>
        <w:rPr>
          <w:sz w:val="22"/>
        </w:rPr>
        <w:t>, 49, 1381–1388.</w:t>
      </w:r>
    </w:p>
    <w:p>
      <w:pPr>
        <w:pStyle w:val="ListParagraph"/>
        <w:numPr>
          <w:ilvl w:val="3"/>
          <w:numId w:val="26"/>
        </w:numPr>
        <w:tabs>
          <w:tab w:pos="842" w:val="left" w:leader="none"/>
        </w:tabs>
        <w:spacing w:line="360" w:lineRule="auto" w:before="126" w:after="0"/>
        <w:ind w:left="842" w:right="143" w:hanging="360"/>
        <w:jc w:val="both"/>
        <w:rPr>
          <w:sz w:val="22"/>
        </w:rPr>
      </w:pPr>
      <w:r>
        <w:rPr>
          <w:sz w:val="22"/>
        </w:rPr>
        <w:t>Yun, Y. S., Bae, Y. H., Kim, D. H., Lee, J. Y., Chin, I. J., Jin, H. J. (2011). Reinforcing effects of adding alkylated graphene oxide to polypropylene. </w:t>
      </w:r>
      <w:r>
        <w:rPr>
          <w:i/>
          <w:sz w:val="22"/>
        </w:rPr>
        <w:t>Carbon, 49</w:t>
      </w:r>
      <w:r>
        <w:rPr>
          <w:sz w:val="22"/>
        </w:rPr>
        <w:t>(11),</w:t>
      </w:r>
      <w:r>
        <w:rPr>
          <w:spacing w:val="-19"/>
          <w:sz w:val="22"/>
        </w:rPr>
        <w:t> </w:t>
      </w:r>
      <w:r>
        <w:rPr>
          <w:sz w:val="22"/>
        </w:rPr>
        <w:t>3553-3559.</w:t>
      </w:r>
    </w:p>
    <w:p>
      <w:pPr>
        <w:pStyle w:val="ListParagraph"/>
        <w:numPr>
          <w:ilvl w:val="3"/>
          <w:numId w:val="26"/>
        </w:numPr>
        <w:tabs>
          <w:tab w:pos="842" w:val="left" w:leader="none"/>
        </w:tabs>
        <w:spacing w:line="360" w:lineRule="auto" w:before="7" w:after="0"/>
        <w:ind w:left="842" w:right="135" w:hanging="360"/>
        <w:jc w:val="both"/>
        <w:rPr>
          <w:sz w:val="22"/>
        </w:rPr>
      </w:pPr>
      <w:r>
        <w:rPr>
          <w:sz w:val="22"/>
        </w:rPr>
        <w:t>Mitchell, G. R., Davis, F. (2011). Electrospinning and tissue engineering en </w:t>
      </w:r>
      <w:hyperlink r:id="rId97">
        <w:r>
          <w:rPr>
            <w:sz w:val="22"/>
          </w:rPr>
          <w:t>Fernandez</w:t>
        </w:r>
      </w:hyperlink>
      <w:r>
        <w:rPr>
          <w:sz w:val="22"/>
        </w:rPr>
        <w:t>, P. F., Bartolo , P. J.  </w:t>
      </w:r>
      <w:r>
        <w:rPr>
          <w:i/>
          <w:sz w:val="22"/>
        </w:rPr>
        <w:t>Advances on Modeling in Tissue Engineering</w:t>
      </w:r>
      <w:r>
        <w:rPr>
          <w:sz w:val="22"/>
        </w:rPr>
        <w:t>. Springer.</w:t>
      </w:r>
      <w:r>
        <w:rPr>
          <w:spacing w:val="-20"/>
          <w:sz w:val="22"/>
        </w:rPr>
        <w:t> </w:t>
      </w:r>
      <w:r>
        <w:rPr>
          <w:sz w:val="22"/>
        </w:rPr>
        <w:t>(pp.111-1366).</w:t>
      </w:r>
    </w:p>
    <w:p>
      <w:pPr>
        <w:pStyle w:val="ListParagraph"/>
        <w:numPr>
          <w:ilvl w:val="3"/>
          <w:numId w:val="26"/>
        </w:numPr>
        <w:tabs>
          <w:tab w:pos="842" w:val="left" w:leader="none"/>
        </w:tabs>
        <w:spacing w:line="360" w:lineRule="auto" w:before="4" w:after="0"/>
        <w:ind w:left="842" w:right="142" w:hanging="360"/>
        <w:jc w:val="both"/>
        <w:rPr>
          <w:sz w:val="22"/>
        </w:rPr>
      </w:pPr>
      <w:r>
        <w:rPr>
          <w:sz w:val="22"/>
        </w:rPr>
        <w:t>Kent, J. A. (2006). Handbook of Industrial Chemistry and Biotechnology. Springer. pp. 1875.</w:t>
      </w:r>
    </w:p>
    <w:p>
      <w:pPr>
        <w:pStyle w:val="ListParagraph"/>
        <w:numPr>
          <w:ilvl w:val="3"/>
          <w:numId w:val="26"/>
        </w:numPr>
        <w:tabs>
          <w:tab w:pos="842" w:val="left" w:leader="none"/>
        </w:tabs>
        <w:spacing w:line="360" w:lineRule="auto" w:before="4" w:after="0"/>
        <w:ind w:left="842" w:right="142" w:hanging="360"/>
        <w:jc w:val="both"/>
        <w:rPr>
          <w:sz w:val="22"/>
        </w:rPr>
      </w:pPr>
      <w:r>
        <w:rPr>
          <w:sz w:val="22"/>
        </w:rPr>
        <w:t>Bazbouz, M. B., (2009). An Investigation of Yarn Spinning from Electrospun Nanofibres. Tesis doctoral. Heriot Watt University, The School of Textiles and</w:t>
      </w:r>
      <w:r>
        <w:rPr>
          <w:spacing w:val="-23"/>
          <w:sz w:val="22"/>
        </w:rPr>
        <w:t> </w:t>
      </w:r>
      <w:r>
        <w:rPr>
          <w:sz w:val="22"/>
        </w:rPr>
        <w:t>Design.</w:t>
      </w:r>
    </w:p>
    <w:p>
      <w:pPr>
        <w:pStyle w:val="ListParagraph"/>
        <w:numPr>
          <w:ilvl w:val="3"/>
          <w:numId w:val="26"/>
        </w:numPr>
        <w:tabs>
          <w:tab w:pos="842" w:val="left" w:leader="none"/>
        </w:tabs>
        <w:spacing w:line="360" w:lineRule="auto" w:before="5" w:after="0"/>
        <w:ind w:left="842" w:right="138" w:hanging="360"/>
        <w:jc w:val="both"/>
        <w:rPr>
          <w:sz w:val="22"/>
        </w:rPr>
      </w:pPr>
      <w:r>
        <w:rPr>
          <w:sz w:val="22"/>
        </w:rPr>
        <w:t>Jagannathan, S. (2003). Process - structure – property relationships of electrospun nano fibers. Tesis de Maestría. The University of</w:t>
      </w:r>
      <w:r>
        <w:rPr>
          <w:spacing w:val="-16"/>
          <w:sz w:val="22"/>
        </w:rPr>
        <w:t> </w:t>
      </w:r>
      <w:r>
        <w:rPr>
          <w:sz w:val="22"/>
        </w:rPr>
        <w:t>Tennessee.</w:t>
      </w:r>
    </w:p>
    <w:p>
      <w:pPr>
        <w:pStyle w:val="ListParagraph"/>
        <w:numPr>
          <w:ilvl w:val="3"/>
          <w:numId w:val="26"/>
        </w:numPr>
        <w:tabs>
          <w:tab w:pos="842" w:val="left" w:leader="none"/>
        </w:tabs>
        <w:spacing w:line="360" w:lineRule="auto" w:before="4" w:after="0"/>
        <w:ind w:left="842" w:right="135" w:hanging="360"/>
        <w:jc w:val="both"/>
        <w:rPr>
          <w:sz w:val="22"/>
        </w:rPr>
      </w:pPr>
      <w:r>
        <w:rPr>
          <w:sz w:val="22"/>
        </w:rPr>
        <w:t>Guerrini, L. M., Branciforti, M. C., Canova, T., Bretas, R. E. S. (2009). Electrospinning and characterization of polyamide 66 nanofibers with different molecular weights. </w:t>
      </w:r>
      <w:r>
        <w:rPr>
          <w:i/>
          <w:sz w:val="22"/>
        </w:rPr>
        <w:t>Materials </w:t>
      </w:r>
      <w:r>
        <w:rPr>
          <w:i/>
          <w:sz w:val="22"/>
        </w:rPr>
        <w:t>Research, 12</w:t>
      </w:r>
      <w:r>
        <w:rPr>
          <w:sz w:val="22"/>
        </w:rPr>
        <w:t>(2),</w:t>
      </w:r>
      <w:r>
        <w:rPr>
          <w:spacing w:val="-3"/>
          <w:sz w:val="22"/>
        </w:rPr>
        <w:t> </w:t>
      </w:r>
      <w:r>
        <w:rPr>
          <w:sz w:val="22"/>
        </w:rPr>
        <w:t>181-190.</w:t>
      </w:r>
    </w:p>
    <w:p>
      <w:pPr>
        <w:pStyle w:val="ListParagraph"/>
        <w:numPr>
          <w:ilvl w:val="3"/>
          <w:numId w:val="26"/>
        </w:numPr>
        <w:tabs>
          <w:tab w:pos="842" w:val="left" w:leader="none"/>
        </w:tabs>
        <w:spacing w:line="360" w:lineRule="auto" w:before="4" w:after="0"/>
        <w:ind w:left="842" w:right="135" w:hanging="360"/>
        <w:jc w:val="both"/>
        <w:rPr>
          <w:sz w:val="22"/>
        </w:rPr>
      </w:pPr>
      <w:r>
        <w:rPr>
          <w:sz w:val="22"/>
        </w:rPr>
        <w:t>Nirmala, R., Navamathavan, R., Kang, H. S., El-Newehy, M. H., Kim, H. Y. (2011). Preparation of polyamide-6/chitosan composite nanofibers by a single solvent system via electrospinning for biomedical applications. </w:t>
      </w:r>
      <w:r>
        <w:rPr>
          <w:i/>
          <w:sz w:val="22"/>
        </w:rPr>
        <w:t>Colloids and Surfaces B: Biointerfaces, 83</w:t>
      </w:r>
      <w:r>
        <w:rPr>
          <w:sz w:val="22"/>
        </w:rPr>
        <w:t>(1), 173-178.</w:t>
      </w:r>
    </w:p>
    <w:p>
      <w:pPr>
        <w:pStyle w:val="ListParagraph"/>
        <w:numPr>
          <w:ilvl w:val="3"/>
          <w:numId w:val="26"/>
        </w:numPr>
        <w:tabs>
          <w:tab w:pos="842" w:val="left" w:leader="none"/>
        </w:tabs>
        <w:spacing w:line="360" w:lineRule="auto" w:before="4" w:after="0"/>
        <w:ind w:left="842" w:right="137" w:hanging="360"/>
        <w:jc w:val="both"/>
        <w:rPr>
          <w:sz w:val="22"/>
        </w:rPr>
      </w:pPr>
      <w:r>
        <w:rPr>
          <w:sz w:val="22"/>
        </w:rPr>
        <w:t>Choi, J., Park, E. J., Park, D. W., Shim, S. E. (2010). MWCNT-OH adsorbed electrospun nylon 6,6 nanofibers chemiresistor and their application in low molecular weight alcohol vapours sensing. </w:t>
      </w:r>
      <w:r>
        <w:rPr>
          <w:i/>
          <w:sz w:val="22"/>
        </w:rPr>
        <w:t>Synthetic Metals, 160</w:t>
      </w:r>
      <w:r>
        <w:rPr>
          <w:sz w:val="22"/>
        </w:rPr>
        <w:t>(23-24),</w:t>
      </w:r>
      <w:r>
        <w:rPr>
          <w:spacing w:val="-10"/>
          <w:sz w:val="22"/>
        </w:rPr>
        <w:t> </w:t>
      </w:r>
      <w:r>
        <w:rPr>
          <w:sz w:val="22"/>
        </w:rPr>
        <w:t>2664-2669.</w:t>
      </w:r>
    </w:p>
    <w:p>
      <w:pPr>
        <w:pStyle w:val="ListParagraph"/>
        <w:numPr>
          <w:ilvl w:val="3"/>
          <w:numId w:val="26"/>
        </w:numPr>
        <w:tabs>
          <w:tab w:pos="842" w:val="left" w:leader="none"/>
        </w:tabs>
        <w:spacing w:line="360" w:lineRule="auto" w:before="7" w:after="0"/>
        <w:ind w:left="842" w:right="142" w:hanging="360"/>
        <w:jc w:val="both"/>
        <w:rPr>
          <w:sz w:val="22"/>
        </w:rPr>
      </w:pPr>
      <w:r>
        <w:rPr>
          <w:sz w:val="22"/>
        </w:rPr>
        <w:t>Naebe, M., Lin, T., Wang, X. (2010). Carbon Nanotubes Reinforced Electrospun Polymer Nanofibres en Kumar, A. </w:t>
      </w:r>
      <w:r>
        <w:rPr>
          <w:i/>
          <w:sz w:val="22"/>
        </w:rPr>
        <w:t>Nanofibers</w:t>
      </w:r>
      <w:r>
        <w:rPr>
          <w:sz w:val="22"/>
        </w:rPr>
        <w:t>. Intech. (pp.</w:t>
      </w:r>
      <w:r>
        <w:rPr>
          <w:spacing w:val="-12"/>
          <w:sz w:val="22"/>
        </w:rPr>
        <w:t> </w:t>
      </w:r>
      <w:r>
        <w:rPr>
          <w:sz w:val="22"/>
        </w:rPr>
        <w:t>309-328).</w:t>
      </w:r>
    </w:p>
    <w:p>
      <w:pPr>
        <w:pStyle w:val="ListParagraph"/>
        <w:numPr>
          <w:ilvl w:val="3"/>
          <w:numId w:val="26"/>
        </w:numPr>
        <w:tabs>
          <w:tab w:pos="842" w:val="left" w:leader="none"/>
        </w:tabs>
        <w:spacing w:line="360" w:lineRule="auto" w:before="4" w:after="0"/>
        <w:ind w:left="842" w:right="144" w:hanging="360"/>
        <w:jc w:val="both"/>
        <w:rPr>
          <w:sz w:val="22"/>
        </w:rPr>
      </w:pPr>
      <w:r>
        <w:rPr>
          <w:sz w:val="22"/>
        </w:rPr>
        <w:t>Zhao, J. H. , Liu, S. L., Yu, S. Z., Chen, G., Juay, Y. K. (2008). Effects of process conditions on properties of polymer nanocomposites. </w:t>
      </w:r>
      <w:r>
        <w:rPr>
          <w:i/>
          <w:sz w:val="22"/>
        </w:rPr>
        <w:t>SIMTech technical reports</w:t>
      </w:r>
      <w:r>
        <w:rPr>
          <w:sz w:val="22"/>
        </w:rPr>
        <w:t>, 9(1),</w:t>
      </w:r>
      <w:r>
        <w:rPr>
          <w:spacing w:val="-23"/>
          <w:sz w:val="22"/>
        </w:rPr>
        <w:t> </w:t>
      </w:r>
      <w:r>
        <w:rPr>
          <w:sz w:val="22"/>
        </w:rPr>
        <w:t>1-6.</w:t>
      </w:r>
    </w:p>
    <w:p>
      <w:pPr>
        <w:spacing w:after="0" w:line="360" w:lineRule="auto"/>
        <w:jc w:val="both"/>
        <w:rPr>
          <w:sz w:val="22"/>
        </w:rPr>
        <w:sectPr>
          <w:pgSz w:w="12240" w:h="15840"/>
          <w:pgMar w:header="983" w:footer="1062" w:top="1180" w:bottom="1260" w:left="1580" w:right="1560"/>
        </w:sectPr>
      </w:pPr>
    </w:p>
    <w:p>
      <w:pPr>
        <w:pStyle w:val="BodyText"/>
        <w:spacing w:before="2"/>
        <w:rPr>
          <w:sz w:val="21"/>
        </w:rPr>
      </w:pPr>
    </w:p>
    <w:p>
      <w:pPr>
        <w:pStyle w:val="ListParagraph"/>
        <w:numPr>
          <w:ilvl w:val="3"/>
          <w:numId w:val="26"/>
        </w:numPr>
        <w:tabs>
          <w:tab w:pos="842" w:val="left" w:leader="none"/>
        </w:tabs>
        <w:spacing w:line="360" w:lineRule="auto" w:before="72" w:after="0"/>
        <w:ind w:left="842" w:right="135" w:hanging="360"/>
        <w:jc w:val="both"/>
        <w:rPr>
          <w:sz w:val="22"/>
        </w:rPr>
      </w:pPr>
      <w:r>
        <w:rPr>
          <w:sz w:val="22"/>
        </w:rPr>
        <w:t>Bernasconi, A., Rossin, D., Armanni, C. (2007). Analysis of the effect of mechanical recycling upon tensile strength of a short glass fibre reinforced polyamide 6,6. </w:t>
      </w:r>
      <w:r>
        <w:rPr>
          <w:i/>
          <w:sz w:val="22"/>
        </w:rPr>
        <w:t>Engineering </w:t>
      </w:r>
      <w:r>
        <w:rPr>
          <w:i/>
          <w:sz w:val="22"/>
        </w:rPr>
        <w:t>Fracture Mechanics, 74</w:t>
      </w:r>
      <w:r>
        <w:rPr>
          <w:sz w:val="22"/>
        </w:rPr>
        <w:t>(4),</w:t>
      </w:r>
      <w:r>
        <w:rPr>
          <w:spacing w:val="-9"/>
          <w:sz w:val="22"/>
        </w:rPr>
        <w:t> </w:t>
      </w:r>
      <w:r>
        <w:rPr>
          <w:sz w:val="22"/>
        </w:rPr>
        <w:t>627-641.</w:t>
      </w:r>
    </w:p>
    <w:p>
      <w:pPr>
        <w:pStyle w:val="ListParagraph"/>
        <w:numPr>
          <w:ilvl w:val="3"/>
          <w:numId w:val="26"/>
        </w:numPr>
        <w:tabs>
          <w:tab w:pos="842" w:val="left" w:leader="none"/>
        </w:tabs>
        <w:spacing w:line="360" w:lineRule="auto" w:before="4" w:after="0"/>
        <w:ind w:left="842" w:right="143" w:hanging="360"/>
        <w:jc w:val="both"/>
        <w:rPr>
          <w:sz w:val="22"/>
        </w:rPr>
      </w:pPr>
      <w:r>
        <w:rPr>
          <w:sz w:val="22"/>
        </w:rPr>
        <w:t>Konishi, Y., Cakmak, M. (2005). Structural hierarchy developed in injection molding of nylon 6/clay/carbon black nanocomposites. </w:t>
      </w:r>
      <w:r>
        <w:rPr>
          <w:i/>
          <w:sz w:val="22"/>
        </w:rPr>
        <w:t>Polymer, 46</w:t>
      </w:r>
      <w:r>
        <w:rPr>
          <w:sz w:val="22"/>
        </w:rPr>
        <w:t>(13),</w:t>
      </w:r>
      <w:r>
        <w:rPr>
          <w:spacing w:val="-11"/>
          <w:sz w:val="22"/>
        </w:rPr>
        <w:t> </w:t>
      </w:r>
      <w:r>
        <w:rPr>
          <w:sz w:val="22"/>
        </w:rPr>
        <w:t>4811-4826.</w:t>
      </w:r>
    </w:p>
    <w:p>
      <w:pPr>
        <w:pStyle w:val="ListParagraph"/>
        <w:numPr>
          <w:ilvl w:val="3"/>
          <w:numId w:val="26"/>
        </w:numPr>
        <w:tabs>
          <w:tab w:pos="842" w:val="left" w:leader="none"/>
        </w:tabs>
        <w:spacing w:line="360" w:lineRule="auto" w:before="4" w:after="0"/>
        <w:ind w:left="842" w:right="135" w:hanging="360"/>
        <w:jc w:val="both"/>
        <w:rPr>
          <w:sz w:val="22"/>
        </w:rPr>
      </w:pPr>
      <w:r>
        <w:rPr>
          <w:sz w:val="22"/>
        </w:rPr>
        <w:t>Charles, J., Ramkumaar, G. R., Azhagiri, S., Gunasekaran, S. (2009). FTIR and thermal studies on nylon-66 and 30% glass fibre reinforced nylon-66. </w:t>
      </w:r>
      <w:r>
        <w:rPr>
          <w:i/>
          <w:sz w:val="22"/>
        </w:rPr>
        <w:t>E-Journal of Chemistry, 6</w:t>
      </w:r>
      <w:r>
        <w:rPr>
          <w:sz w:val="22"/>
        </w:rPr>
        <w:t>(1), 23-33.</w:t>
      </w:r>
    </w:p>
    <w:p>
      <w:pPr>
        <w:pStyle w:val="ListParagraph"/>
        <w:numPr>
          <w:ilvl w:val="3"/>
          <w:numId w:val="26"/>
        </w:numPr>
        <w:tabs>
          <w:tab w:pos="842" w:val="left" w:leader="none"/>
        </w:tabs>
        <w:spacing w:line="360" w:lineRule="auto" w:before="5" w:after="0"/>
        <w:ind w:left="842" w:right="138" w:hanging="360"/>
        <w:jc w:val="both"/>
        <w:rPr>
          <w:sz w:val="22"/>
        </w:rPr>
      </w:pPr>
      <w:r>
        <w:rPr>
          <w:sz w:val="22"/>
        </w:rPr>
        <w:t>Dasgupta, S., Hammond, W. B., Goddard III, W. A. (1996). Crystal structures and properties of nylon polymers from theory. </w:t>
      </w:r>
      <w:r>
        <w:rPr>
          <w:i/>
          <w:sz w:val="22"/>
        </w:rPr>
        <w:t>Journal of the American Chemical Society, </w:t>
      </w:r>
      <w:r>
        <w:rPr>
          <w:i/>
          <w:sz w:val="22"/>
        </w:rPr>
        <w:t>118</w:t>
      </w:r>
      <w:r>
        <w:rPr>
          <w:sz w:val="22"/>
        </w:rPr>
        <w:t>(49),</w:t>
      </w:r>
      <w:r>
        <w:rPr>
          <w:spacing w:val="-3"/>
          <w:sz w:val="22"/>
        </w:rPr>
        <w:t> </w:t>
      </w:r>
      <w:r>
        <w:rPr>
          <w:sz w:val="22"/>
        </w:rPr>
        <w:t>12291-12301.</w:t>
      </w:r>
    </w:p>
    <w:p>
      <w:pPr>
        <w:pStyle w:val="ListParagraph"/>
        <w:numPr>
          <w:ilvl w:val="3"/>
          <w:numId w:val="26"/>
        </w:numPr>
        <w:tabs>
          <w:tab w:pos="842" w:val="left" w:leader="none"/>
        </w:tabs>
        <w:spacing w:line="360" w:lineRule="auto" w:before="7" w:after="0"/>
        <w:ind w:left="842" w:right="135" w:hanging="360"/>
        <w:jc w:val="both"/>
        <w:rPr>
          <w:sz w:val="22"/>
        </w:rPr>
      </w:pPr>
      <w:r>
        <w:rPr>
          <w:sz w:val="22"/>
        </w:rPr>
        <w:t>Murthy, N. S., Wang, Z. G., Hsiao, B. S. (1999). Interactions between crystalline and amorphous domains in semicrystalline polymers: Small-angle X-ray scattering studies of the Brill transition in nylon 6,6. </w:t>
      </w:r>
      <w:r>
        <w:rPr>
          <w:i/>
          <w:sz w:val="22"/>
        </w:rPr>
        <w:t>Macromolecules, 32</w:t>
      </w:r>
      <w:r>
        <w:rPr>
          <w:sz w:val="22"/>
        </w:rPr>
        <w:t>(17),</w:t>
      </w:r>
      <w:r>
        <w:rPr>
          <w:spacing w:val="-19"/>
          <w:sz w:val="22"/>
        </w:rPr>
        <w:t> </w:t>
      </w:r>
      <w:r>
        <w:rPr>
          <w:sz w:val="22"/>
        </w:rPr>
        <w:t>5594-5599.</w:t>
      </w:r>
    </w:p>
    <w:p>
      <w:pPr>
        <w:pStyle w:val="ListParagraph"/>
        <w:numPr>
          <w:ilvl w:val="3"/>
          <w:numId w:val="26"/>
        </w:numPr>
        <w:tabs>
          <w:tab w:pos="842" w:val="left" w:leader="none"/>
        </w:tabs>
        <w:spacing w:line="360" w:lineRule="auto" w:before="4" w:after="0"/>
        <w:ind w:left="842" w:right="131" w:hanging="360"/>
        <w:jc w:val="both"/>
        <w:rPr>
          <w:sz w:val="22"/>
        </w:rPr>
      </w:pPr>
      <w:r>
        <w:rPr>
          <w:sz w:val="22"/>
        </w:rPr>
        <w:t>Jones, N. A., Atkins, E. D. T., Hill, M. J. (2000). Investigation of solution-grown, chain- folded lamellar crystals of the even-even nylons: 6 6, 8 6, 8 8, 10 6, 10 8, 10 10, 12 6, 12 8, 12 10, and 12 12. </w:t>
      </w:r>
      <w:r>
        <w:rPr>
          <w:i/>
          <w:sz w:val="22"/>
        </w:rPr>
        <w:t>Journal of Polymer Science, Part B: Polymer Physics, 38</w:t>
      </w:r>
      <w:r>
        <w:rPr>
          <w:sz w:val="22"/>
        </w:rPr>
        <w:t>(9),</w:t>
      </w:r>
      <w:r>
        <w:rPr>
          <w:spacing w:val="-15"/>
          <w:sz w:val="22"/>
        </w:rPr>
        <w:t> </w:t>
      </w:r>
      <w:r>
        <w:rPr>
          <w:sz w:val="22"/>
        </w:rPr>
        <w:t>1209-1221.</w:t>
      </w:r>
    </w:p>
    <w:p>
      <w:pPr>
        <w:pStyle w:val="ListParagraph"/>
        <w:numPr>
          <w:ilvl w:val="3"/>
          <w:numId w:val="26"/>
        </w:numPr>
        <w:tabs>
          <w:tab w:pos="842" w:val="left" w:leader="none"/>
        </w:tabs>
        <w:spacing w:line="360" w:lineRule="auto" w:before="5" w:after="0"/>
        <w:ind w:left="842" w:right="137" w:hanging="360"/>
        <w:jc w:val="both"/>
        <w:rPr>
          <w:sz w:val="22"/>
        </w:rPr>
      </w:pPr>
      <w:r>
        <w:rPr>
          <w:sz w:val="22"/>
        </w:rPr>
        <w:t>Guan, X. (2004). Crystallization of polyamide 66 copolymers at high supercoolings. Tesis de doctorado. The University of</w:t>
      </w:r>
      <w:r>
        <w:rPr>
          <w:spacing w:val="-9"/>
          <w:sz w:val="22"/>
        </w:rPr>
        <w:t> </w:t>
      </w:r>
      <w:r>
        <w:rPr>
          <w:sz w:val="22"/>
        </w:rPr>
        <w:t>Tennessee.</w:t>
      </w:r>
    </w:p>
    <w:p>
      <w:pPr>
        <w:pStyle w:val="ListParagraph"/>
        <w:numPr>
          <w:ilvl w:val="3"/>
          <w:numId w:val="26"/>
        </w:numPr>
        <w:tabs>
          <w:tab w:pos="842" w:val="left" w:leader="none"/>
        </w:tabs>
        <w:spacing w:line="360" w:lineRule="auto" w:before="4" w:after="0"/>
        <w:ind w:left="842" w:right="139" w:hanging="360"/>
        <w:jc w:val="both"/>
        <w:rPr>
          <w:sz w:val="22"/>
        </w:rPr>
      </w:pPr>
      <w:r>
        <w:rPr>
          <w:sz w:val="22"/>
        </w:rPr>
        <w:t>Lu, Y., Zhang, Y., Zhang, G., Yang, M., Yan, S., Shen, D. (2004). Influence of thermal processing on the perfection of crystals in polyamide 66 and polyamide 66/clay nanocomposites. </w:t>
      </w:r>
      <w:r>
        <w:rPr>
          <w:i/>
          <w:sz w:val="22"/>
        </w:rPr>
        <w:t>Polymer, 45</w:t>
      </w:r>
      <w:r>
        <w:rPr>
          <w:sz w:val="22"/>
        </w:rPr>
        <w:t>(26),</w:t>
      </w:r>
      <w:r>
        <w:rPr>
          <w:spacing w:val="-7"/>
          <w:sz w:val="22"/>
        </w:rPr>
        <w:t> </w:t>
      </w:r>
      <w:r>
        <w:rPr>
          <w:sz w:val="22"/>
        </w:rPr>
        <w:t>8999-9009.</w:t>
      </w:r>
    </w:p>
    <w:p>
      <w:pPr>
        <w:pStyle w:val="ListParagraph"/>
        <w:numPr>
          <w:ilvl w:val="3"/>
          <w:numId w:val="26"/>
        </w:numPr>
        <w:tabs>
          <w:tab w:pos="842" w:val="left" w:leader="none"/>
        </w:tabs>
        <w:spacing w:line="240" w:lineRule="auto" w:before="4" w:after="0"/>
        <w:ind w:left="842" w:right="0" w:hanging="360"/>
        <w:jc w:val="left"/>
        <w:rPr>
          <w:sz w:val="22"/>
        </w:rPr>
      </w:pPr>
      <w:r>
        <w:rPr>
          <w:sz w:val="22"/>
        </w:rPr>
        <w:t>Lewin, M. (2007). Handbook of fibers chemistry. Taylor and Francis Group. Pp.</w:t>
      </w:r>
      <w:r>
        <w:rPr>
          <w:spacing w:val="-19"/>
          <w:sz w:val="22"/>
        </w:rPr>
        <w:t> </w:t>
      </w:r>
      <w:r>
        <w:rPr>
          <w:sz w:val="22"/>
        </w:rPr>
        <w:t>1044.</w:t>
      </w:r>
    </w:p>
    <w:p>
      <w:pPr>
        <w:pStyle w:val="ListParagraph"/>
        <w:numPr>
          <w:ilvl w:val="3"/>
          <w:numId w:val="26"/>
        </w:numPr>
        <w:tabs>
          <w:tab w:pos="842" w:val="left" w:leader="none"/>
        </w:tabs>
        <w:spacing w:line="360" w:lineRule="auto" w:before="126" w:after="0"/>
        <w:ind w:left="842" w:right="142" w:hanging="360"/>
        <w:jc w:val="both"/>
        <w:rPr>
          <w:sz w:val="22"/>
        </w:rPr>
      </w:pPr>
      <w:r>
        <w:rPr>
          <w:sz w:val="22"/>
        </w:rPr>
        <w:t>Waugh, D. G., Lawrence, J. (2011). Wettability and osteoblast cell response modulation through UV laser processing of nylon 6,6. </w:t>
      </w:r>
      <w:r>
        <w:rPr>
          <w:i/>
          <w:sz w:val="22"/>
        </w:rPr>
        <w:t>Applied Surface Science, 257</w:t>
      </w:r>
      <w:r>
        <w:rPr>
          <w:sz w:val="22"/>
        </w:rPr>
        <w:t>(21),</w:t>
      </w:r>
      <w:r>
        <w:rPr>
          <w:spacing w:val="-22"/>
          <w:sz w:val="22"/>
        </w:rPr>
        <w:t> </w:t>
      </w:r>
      <w:r>
        <w:rPr>
          <w:sz w:val="22"/>
        </w:rPr>
        <w:t>8798-8812.</w:t>
      </w:r>
    </w:p>
    <w:p>
      <w:pPr>
        <w:pStyle w:val="ListParagraph"/>
        <w:numPr>
          <w:ilvl w:val="3"/>
          <w:numId w:val="26"/>
        </w:numPr>
        <w:tabs>
          <w:tab w:pos="842" w:val="left" w:leader="none"/>
        </w:tabs>
        <w:spacing w:line="360" w:lineRule="auto" w:before="5" w:after="0"/>
        <w:ind w:left="842" w:right="135" w:hanging="360"/>
        <w:jc w:val="both"/>
        <w:rPr>
          <w:sz w:val="22"/>
        </w:rPr>
      </w:pPr>
      <w:r>
        <w:rPr>
          <w:sz w:val="22"/>
        </w:rPr>
        <w:t>Artemenko, A., Kylián, O., Kousal, J., Choukourov, A., Polonskyi, O., Slavinska, D., Biederman, H. (2011). Deposition of amino-rich coatings by RF magnetron sputtering of nylon: Investigation of their properties related to biomedical applications. </w:t>
      </w:r>
      <w:r>
        <w:rPr>
          <w:i/>
          <w:sz w:val="22"/>
        </w:rPr>
        <w:t>Surface and </w:t>
      </w:r>
      <w:r>
        <w:rPr>
          <w:i/>
          <w:sz w:val="22"/>
        </w:rPr>
        <w:t>Coatings Technology, 205</w:t>
      </w:r>
      <w:r>
        <w:rPr>
          <w:sz w:val="22"/>
        </w:rPr>
        <w:t>(SUPPL. 2),</w:t>
      </w:r>
      <w:r>
        <w:rPr>
          <w:spacing w:val="-4"/>
          <w:sz w:val="22"/>
        </w:rPr>
        <w:t> </w:t>
      </w:r>
      <w:r>
        <w:rPr>
          <w:sz w:val="22"/>
        </w:rPr>
        <w:t>S529-S533.</w:t>
      </w:r>
    </w:p>
    <w:p>
      <w:pPr>
        <w:pStyle w:val="ListParagraph"/>
        <w:numPr>
          <w:ilvl w:val="3"/>
          <w:numId w:val="26"/>
        </w:numPr>
        <w:tabs>
          <w:tab w:pos="842" w:val="left" w:leader="none"/>
        </w:tabs>
        <w:spacing w:line="360" w:lineRule="auto" w:before="7" w:after="0"/>
        <w:ind w:left="842" w:right="137" w:hanging="360"/>
        <w:jc w:val="both"/>
        <w:rPr>
          <w:sz w:val="22"/>
        </w:rPr>
      </w:pPr>
      <w:r>
        <w:rPr>
          <w:sz w:val="22"/>
        </w:rPr>
        <w:t>Heikkilä, P., Taipale, A., Lehtimäki, M., Harlin, A. (2008). Electrospinning of polyamides with different chain compositions for filtration application. </w:t>
      </w:r>
      <w:r>
        <w:rPr>
          <w:i/>
          <w:sz w:val="22"/>
        </w:rPr>
        <w:t>Polymer Engineering and </w:t>
      </w:r>
      <w:r>
        <w:rPr>
          <w:i/>
          <w:sz w:val="22"/>
        </w:rPr>
        <w:t>Science, 48</w:t>
      </w:r>
      <w:r>
        <w:rPr>
          <w:sz w:val="22"/>
        </w:rPr>
        <w:t>(6),</w:t>
      </w:r>
      <w:r>
        <w:rPr>
          <w:spacing w:val="-5"/>
          <w:sz w:val="22"/>
        </w:rPr>
        <w:t> </w:t>
      </w:r>
      <w:r>
        <w:rPr>
          <w:sz w:val="22"/>
        </w:rPr>
        <w:t>1168-1176.</w:t>
      </w:r>
    </w:p>
    <w:p>
      <w:pPr>
        <w:spacing w:after="0" w:line="360" w:lineRule="auto"/>
        <w:jc w:val="both"/>
        <w:rPr>
          <w:sz w:val="22"/>
        </w:rPr>
        <w:sectPr>
          <w:pgSz w:w="12240" w:h="15840"/>
          <w:pgMar w:header="983" w:footer="1062" w:top="1180" w:bottom="1260" w:left="1580" w:right="1560"/>
        </w:sectPr>
      </w:pPr>
    </w:p>
    <w:p>
      <w:pPr>
        <w:pStyle w:val="BodyText"/>
        <w:spacing w:before="2"/>
        <w:rPr>
          <w:sz w:val="21"/>
        </w:rPr>
      </w:pPr>
    </w:p>
    <w:p>
      <w:pPr>
        <w:pStyle w:val="ListParagraph"/>
        <w:numPr>
          <w:ilvl w:val="3"/>
          <w:numId w:val="26"/>
        </w:numPr>
        <w:tabs>
          <w:tab w:pos="842" w:val="left" w:leader="none"/>
        </w:tabs>
        <w:spacing w:line="360" w:lineRule="auto" w:before="72" w:after="0"/>
        <w:ind w:left="842" w:right="133" w:hanging="360"/>
        <w:jc w:val="both"/>
        <w:rPr>
          <w:sz w:val="22"/>
        </w:rPr>
      </w:pPr>
      <w:r>
        <w:rPr>
          <w:sz w:val="22"/>
        </w:rPr>
        <w:t>Jodeh, S. (2011). A new composition-processing-property relationship for studying the tensile modulus-phase plastic blends. </w:t>
      </w:r>
      <w:r>
        <w:rPr>
          <w:i/>
          <w:sz w:val="22"/>
        </w:rPr>
        <w:t>Journal of Applied Polymer Science, 121</w:t>
      </w:r>
      <w:r>
        <w:rPr>
          <w:sz w:val="22"/>
        </w:rPr>
        <w:t>(3), 1593- 1599.</w:t>
      </w:r>
    </w:p>
    <w:p>
      <w:pPr>
        <w:pStyle w:val="ListParagraph"/>
        <w:numPr>
          <w:ilvl w:val="3"/>
          <w:numId w:val="26"/>
        </w:numPr>
        <w:tabs>
          <w:tab w:pos="842" w:val="left" w:leader="none"/>
        </w:tabs>
        <w:spacing w:line="360" w:lineRule="auto" w:before="4" w:after="0"/>
        <w:ind w:left="842" w:right="138" w:hanging="360"/>
        <w:jc w:val="both"/>
        <w:rPr>
          <w:sz w:val="22"/>
        </w:rPr>
      </w:pPr>
      <w:r>
        <w:rPr>
          <w:sz w:val="22"/>
        </w:rPr>
        <w:t>Ansari, R., Alikhani, A. H. (2009). Application of polyaniline/nylon composites coating for corrosion protection of steel. </w:t>
      </w:r>
      <w:r>
        <w:rPr>
          <w:i/>
          <w:sz w:val="22"/>
        </w:rPr>
        <w:t>Journal of Coatings Technology Research, 6</w:t>
      </w:r>
      <w:r>
        <w:rPr>
          <w:sz w:val="22"/>
        </w:rPr>
        <w:t>(2),</w:t>
      </w:r>
      <w:r>
        <w:rPr>
          <w:spacing w:val="-19"/>
          <w:sz w:val="22"/>
        </w:rPr>
        <w:t> </w:t>
      </w:r>
      <w:r>
        <w:rPr>
          <w:sz w:val="22"/>
        </w:rPr>
        <w:t>221-227.</w:t>
      </w:r>
    </w:p>
    <w:p>
      <w:pPr>
        <w:pStyle w:val="ListParagraph"/>
        <w:numPr>
          <w:ilvl w:val="3"/>
          <w:numId w:val="26"/>
        </w:numPr>
        <w:tabs>
          <w:tab w:pos="842" w:val="left" w:leader="none"/>
        </w:tabs>
        <w:spacing w:line="360" w:lineRule="auto" w:before="4" w:after="0"/>
        <w:ind w:left="842" w:right="136" w:hanging="360"/>
        <w:jc w:val="both"/>
        <w:rPr>
          <w:sz w:val="22"/>
        </w:rPr>
      </w:pPr>
      <w:r>
        <w:rPr>
          <w:sz w:val="22"/>
        </w:rPr>
        <w:t>Sudhakar, M., Priyadarshini, C., Doble, M., Sriyutha Murthy, P., Venkatesan, R. (2007). Marine bacteria mediated degradation of nylon 66 and 6. </w:t>
      </w:r>
      <w:r>
        <w:rPr>
          <w:i/>
          <w:sz w:val="22"/>
        </w:rPr>
        <w:t>International Biodeterioration  </w:t>
      </w:r>
      <w:r>
        <w:rPr>
          <w:i/>
          <w:sz w:val="22"/>
        </w:rPr>
        <w:t>and Biodegradation, 60</w:t>
      </w:r>
      <w:r>
        <w:rPr>
          <w:sz w:val="22"/>
        </w:rPr>
        <w:t>(3),</w:t>
      </w:r>
      <w:r>
        <w:rPr>
          <w:spacing w:val="-8"/>
          <w:sz w:val="22"/>
        </w:rPr>
        <w:t> </w:t>
      </w:r>
      <w:r>
        <w:rPr>
          <w:sz w:val="22"/>
        </w:rPr>
        <w:t>144-151.</w:t>
      </w:r>
    </w:p>
    <w:p>
      <w:pPr>
        <w:pStyle w:val="ListParagraph"/>
        <w:numPr>
          <w:ilvl w:val="3"/>
          <w:numId w:val="26"/>
        </w:numPr>
        <w:tabs>
          <w:tab w:pos="842" w:val="left" w:leader="none"/>
        </w:tabs>
        <w:spacing w:line="360" w:lineRule="auto" w:before="5" w:after="0"/>
        <w:ind w:left="842" w:right="142" w:hanging="360"/>
        <w:jc w:val="both"/>
        <w:rPr>
          <w:sz w:val="22"/>
        </w:rPr>
      </w:pPr>
      <w:r>
        <w:rPr>
          <w:sz w:val="22"/>
        </w:rPr>
        <w:t>Letzelter, E., Guingand, M., Vaujany, J. P. D., Schlosser, P. (2010). A new experimental approach for measuring thermal behaviour in the case of nylon 6/6 cylindrical gears. </w:t>
      </w:r>
      <w:r>
        <w:rPr>
          <w:i/>
          <w:sz w:val="22"/>
        </w:rPr>
        <w:t>Polymer Testing, 29</w:t>
      </w:r>
      <w:r>
        <w:rPr>
          <w:sz w:val="22"/>
        </w:rPr>
        <w:t>(8),</w:t>
      </w:r>
      <w:r>
        <w:rPr>
          <w:spacing w:val="-11"/>
          <w:sz w:val="22"/>
        </w:rPr>
        <w:t> </w:t>
      </w:r>
      <w:r>
        <w:rPr>
          <w:sz w:val="22"/>
        </w:rPr>
        <w:t>1041-1051.</w:t>
      </w:r>
    </w:p>
    <w:p>
      <w:pPr>
        <w:pStyle w:val="ListParagraph"/>
        <w:numPr>
          <w:ilvl w:val="3"/>
          <w:numId w:val="26"/>
        </w:numPr>
        <w:tabs>
          <w:tab w:pos="842" w:val="left" w:leader="none"/>
        </w:tabs>
        <w:spacing w:line="360" w:lineRule="auto" w:before="7" w:after="0"/>
        <w:ind w:left="842" w:right="144" w:hanging="360"/>
        <w:jc w:val="both"/>
        <w:rPr>
          <w:sz w:val="22"/>
        </w:rPr>
      </w:pPr>
      <w:r>
        <w:rPr>
          <w:sz w:val="22"/>
        </w:rPr>
        <w:t>Senthilvelan, S., Gnanamoorthy, R. (2006). Damping characteristics of unreinforced, glass and carbon fiber reinforced nylon 6/6 spur gears. </w:t>
      </w:r>
      <w:r>
        <w:rPr>
          <w:i/>
          <w:sz w:val="22"/>
        </w:rPr>
        <w:t>Polymer Testing, 25</w:t>
      </w:r>
      <w:r>
        <w:rPr>
          <w:sz w:val="22"/>
        </w:rPr>
        <w:t>(1),</w:t>
      </w:r>
      <w:r>
        <w:rPr>
          <w:spacing w:val="-22"/>
          <w:sz w:val="22"/>
        </w:rPr>
        <w:t> </w:t>
      </w:r>
      <w:r>
        <w:rPr>
          <w:sz w:val="22"/>
        </w:rPr>
        <w:t>56-62.</w:t>
      </w:r>
    </w:p>
    <w:p>
      <w:pPr>
        <w:pStyle w:val="ListParagraph"/>
        <w:numPr>
          <w:ilvl w:val="3"/>
          <w:numId w:val="26"/>
        </w:numPr>
        <w:tabs>
          <w:tab w:pos="842" w:val="left" w:leader="none"/>
        </w:tabs>
        <w:spacing w:line="360" w:lineRule="auto" w:before="4" w:after="0"/>
        <w:ind w:left="842" w:right="140" w:hanging="360"/>
        <w:jc w:val="both"/>
        <w:rPr>
          <w:sz w:val="22"/>
        </w:rPr>
      </w:pPr>
      <w:r>
        <w:rPr>
          <w:sz w:val="22"/>
        </w:rPr>
        <w:t>Song, L., Hu, Y., He, Q., You, F. (2008). Study on crystallization, thermal and flame retardant  properties  of  nylon  66/organoclay  nanocomposites  by  in   situ   polymerization. </w:t>
      </w:r>
      <w:r>
        <w:rPr>
          <w:i/>
          <w:sz w:val="22"/>
        </w:rPr>
        <w:t>Journal of Fire Sciences</w:t>
      </w:r>
      <w:r>
        <w:rPr>
          <w:sz w:val="22"/>
        </w:rPr>
        <w:t>, 26(6),</w:t>
      </w:r>
      <w:r>
        <w:rPr>
          <w:spacing w:val="-13"/>
          <w:sz w:val="22"/>
        </w:rPr>
        <w:t> </w:t>
      </w:r>
      <w:r>
        <w:rPr>
          <w:sz w:val="22"/>
        </w:rPr>
        <w:t>475-492.</w:t>
      </w:r>
    </w:p>
    <w:p>
      <w:pPr>
        <w:pStyle w:val="ListParagraph"/>
        <w:numPr>
          <w:ilvl w:val="3"/>
          <w:numId w:val="26"/>
        </w:numPr>
        <w:tabs>
          <w:tab w:pos="842" w:val="left" w:leader="none"/>
        </w:tabs>
        <w:spacing w:line="360" w:lineRule="auto" w:before="4" w:after="0"/>
        <w:ind w:left="842" w:right="136" w:hanging="360"/>
        <w:jc w:val="both"/>
        <w:rPr>
          <w:sz w:val="22"/>
        </w:rPr>
      </w:pPr>
      <w:r>
        <w:rPr>
          <w:sz w:val="22"/>
        </w:rPr>
        <w:t>Lin, B., Thuümen, A., Heim, H., Scheel, G., Sundararaj, U. (2009). Nylon 66/clay nanocomposite structure development in a twin screw extruder. </w:t>
      </w:r>
      <w:r>
        <w:rPr>
          <w:i/>
          <w:sz w:val="22"/>
        </w:rPr>
        <w:t>Polymer Engineering and </w:t>
      </w:r>
      <w:r>
        <w:rPr>
          <w:i/>
          <w:sz w:val="22"/>
        </w:rPr>
        <w:t>Science</w:t>
      </w:r>
      <w:r>
        <w:rPr>
          <w:sz w:val="22"/>
        </w:rPr>
        <w:t>, 49(4),</w:t>
      </w:r>
      <w:r>
        <w:rPr>
          <w:spacing w:val="-2"/>
          <w:sz w:val="22"/>
        </w:rPr>
        <w:t> </w:t>
      </w:r>
      <w:r>
        <w:rPr>
          <w:sz w:val="22"/>
        </w:rPr>
        <w:t>824-834.</w:t>
      </w:r>
    </w:p>
    <w:p>
      <w:pPr>
        <w:pStyle w:val="ListParagraph"/>
        <w:numPr>
          <w:ilvl w:val="3"/>
          <w:numId w:val="26"/>
        </w:numPr>
        <w:tabs>
          <w:tab w:pos="842" w:val="left" w:leader="none"/>
        </w:tabs>
        <w:spacing w:line="360" w:lineRule="auto" w:before="4" w:after="0"/>
        <w:ind w:left="842" w:right="136" w:hanging="360"/>
        <w:jc w:val="both"/>
        <w:rPr>
          <w:sz w:val="22"/>
        </w:rPr>
      </w:pPr>
      <w:r>
        <w:rPr>
          <w:sz w:val="22"/>
        </w:rPr>
        <w:t>Caamaño, C., Grady, B., Resasco, D.E. (2012). Influence of nanotube characteristics on electrical and thermal properties of MWCNT/polyamide 6,6 composites prepared by melt mixing. </w:t>
      </w:r>
      <w:r>
        <w:rPr>
          <w:i/>
          <w:sz w:val="22"/>
        </w:rPr>
        <w:t>Carbon</w:t>
      </w:r>
      <w:r>
        <w:rPr>
          <w:sz w:val="22"/>
        </w:rPr>
        <w:t>, 50 (10),</w:t>
      </w:r>
      <w:r>
        <w:rPr>
          <w:spacing w:val="-6"/>
          <w:sz w:val="22"/>
        </w:rPr>
        <w:t> </w:t>
      </w:r>
      <w:r>
        <w:rPr>
          <w:sz w:val="22"/>
        </w:rPr>
        <w:t>3694-3707.</w:t>
      </w:r>
    </w:p>
    <w:p>
      <w:pPr>
        <w:pStyle w:val="ListParagraph"/>
        <w:numPr>
          <w:ilvl w:val="3"/>
          <w:numId w:val="26"/>
        </w:numPr>
        <w:tabs>
          <w:tab w:pos="842" w:val="left" w:leader="none"/>
        </w:tabs>
        <w:spacing w:line="360" w:lineRule="auto" w:before="4" w:after="0"/>
        <w:ind w:left="842" w:right="140" w:hanging="360"/>
        <w:jc w:val="both"/>
        <w:rPr>
          <w:sz w:val="22"/>
        </w:rPr>
      </w:pPr>
      <w:r>
        <w:rPr>
          <w:sz w:val="22"/>
        </w:rPr>
        <w:t>Xu, J. Z., Chen, T., Yang, C. L., Li, Z. M., Mao, Y. M., Zeng, B. Q., Hsiao, B. S. (2010). Isothermal crystallization of poly(l -lactide) induced by graphene nanosheets and carbon nanotubes: A comparative study. </w:t>
      </w:r>
      <w:r>
        <w:rPr>
          <w:i/>
          <w:sz w:val="22"/>
        </w:rPr>
        <w:t>Macromolecules</w:t>
      </w:r>
      <w:r>
        <w:rPr>
          <w:sz w:val="22"/>
        </w:rPr>
        <w:t>, 43(11),</w:t>
      </w:r>
      <w:r>
        <w:rPr>
          <w:spacing w:val="-12"/>
          <w:sz w:val="22"/>
        </w:rPr>
        <w:t> </w:t>
      </w:r>
      <w:r>
        <w:rPr>
          <w:sz w:val="22"/>
        </w:rPr>
        <w:t>5000-5008.</w:t>
      </w:r>
    </w:p>
    <w:p>
      <w:pPr>
        <w:pStyle w:val="ListParagraph"/>
        <w:numPr>
          <w:ilvl w:val="3"/>
          <w:numId w:val="26"/>
        </w:numPr>
        <w:tabs>
          <w:tab w:pos="842" w:val="left" w:leader="none"/>
        </w:tabs>
        <w:spacing w:line="240" w:lineRule="auto" w:before="5" w:after="0"/>
        <w:ind w:left="842" w:right="0" w:hanging="360"/>
        <w:jc w:val="left"/>
        <w:rPr>
          <w:sz w:val="22"/>
        </w:rPr>
      </w:pPr>
      <w:r>
        <w:rPr>
          <w:sz w:val="22"/>
        </w:rPr>
        <w:t>Park, S., An J., Piner, R. D., Jung, I., Yang, D., Velamakanni, A., SonBinh T. N., Ruoff,</w:t>
      </w:r>
      <w:r>
        <w:rPr>
          <w:spacing w:val="53"/>
          <w:sz w:val="22"/>
        </w:rPr>
        <w:t> </w:t>
      </w:r>
      <w:r>
        <w:rPr>
          <w:sz w:val="22"/>
        </w:rPr>
        <w:t>R.</w:t>
      </w:r>
    </w:p>
    <w:p>
      <w:pPr>
        <w:pStyle w:val="BodyText"/>
        <w:spacing w:line="360" w:lineRule="auto" w:before="126"/>
        <w:ind w:left="841" w:right="547"/>
      </w:pPr>
      <w:r>
        <w:rPr/>
        <w:t>S. (2008). Aqueous suspension and characterization of chemically modified graphene sheets. </w:t>
      </w:r>
      <w:r>
        <w:rPr>
          <w:i/>
        </w:rPr>
        <w:t>Chemical Mater</w:t>
      </w:r>
      <w:r>
        <w:rPr/>
        <w:t>, 20(21), 6592-6594.</w:t>
      </w:r>
    </w:p>
    <w:p>
      <w:pPr>
        <w:pStyle w:val="ListParagraph"/>
        <w:numPr>
          <w:ilvl w:val="3"/>
          <w:numId w:val="26"/>
        </w:numPr>
        <w:tabs>
          <w:tab w:pos="842" w:val="left" w:leader="none"/>
        </w:tabs>
        <w:spacing w:line="360" w:lineRule="auto" w:before="4" w:after="0"/>
        <w:ind w:left="842" w:right="136" w:hanging="360"/>
        <w:jc w:val="both"/>
        <w:rPr>
          <w:sz w:val="22"/>
        </w:rPr>
      </w:pPr>
      <w:r>
        <w:rPr>
          <w:sz w:val="22"/>
        </w:rPr>
        <w:t>Shen, X., Jiang, L., Ji, Z., Wu, J., Zhou, H, Zhu, G. (2011). Stable aqueous dispersions of graphene prepared with hexamethylenetetramine as a reductant. </w:t>
      </w:r>
      <w:r>
        <w:rPr>
          <w:i/>
          <w:sz w:val="22"/>
        </w:rPr>
        <w:t>Journal of Colloid  </w:t>
      </w:r>
      <w:r>
        <w:rPr>
          <w:i/>
          <w:sz w:val="22"/>
        </w:rPr>
        <w:t>Interface Science</w:t>
      </w:r>
      <w:r>
        <w:rPr>
          <w:sz w:val="22"/>
        </w:rPr>
        <w:t>, 354(2),</w:t>
      </w:r>
      <w:r>
        <w:rPr>
          <w:spacing w:val="-10"/>
          <w:sz w:val="22"/>
        </w:rPr>
        <w:t> </w:t>
      </w:r>
      <w:r>
        <w:rPr>
          <w:sz w:val="22"/>
        </w:rPr>
        <w:t>493-497.</w:t>
      </w:r>
    </w:p>
    <w:p>
      <w:pPr>
        <w:pStyle w:val="ListParagraph"/>
        <w:numPr>
          <w:ilvl w:val="3"/>
          <w:numId w:val="26"/>
        </w:numPr>
        <w:tabs>
          <w:tab w:pos="974" w:val="left" w:leader="none"/>
        </w:tabs>
        <w:spacing w:line="360" w:lineRule="auto" w:before="4" w:after="0"/>
        <w:ind w:left="842" w:right="141" w:hanging="360"/>
        <w:jc w:val="both"/>
        <w:rPr>
          <w:sz w:val="22"/>
        </w:rPr>
      </w:pPr>
      <w:r>
        <w:rPr>
          <w:sz w:val="22"/>
        </w:rPr>
        <w:t>Datsyuk, V., Kalyva, M., Papagelis, K., Parthenios, J., Tasis, D., Siokou, A., Kallitsis, I. Galiotis, C. (2008). </w:t>
      </w:r>
      <w:r>
        <w:rPr>
          <w:i/>
          <w:sz w:val="22"/>
        </w:rPr>
        <w:t>Carbon</w:t>
      </w:r>
      <w:r>
        <w:rPr>
          <w:sz w:val="22"/>
        </w:rPr>
        <w:t>, 46(6),</w:t>
      </w:r>
      <w:r>
        <w:rPr>
          <w:spacing w:val="-6"/>
          <w:sz w:val="22"/>
        </w:rPr>
        <w:t> </w:t>
      </w:r>
      <w:r>
        <w:rPr>
          <w:sz w:val="22"/>
        </w:rPr>
        <w:t>833-840.</w:t>
      </w:r>
    </w:p>
    <w:p>
      <w:pPr>
        <w:spacing w:after="0" w:line="360" w:lineRule="auto"/>
        <w:jc w:val="both"/>
        <w:rPr>
          <w:sz w:val="22"/>
        </w:rPr>
        <w:sectPr>
          <w:pgSz w:w="12240" w:h="15840"/>
          <w:pgMar w:header="983" w:footer="1062" w:top="1180" w:bottom="1260" w:left="1580" w:right="1560"/>
        </w:sectPr>
      </w:pPr>
    </w:p>
    <w:p>
      <w:pPr>
        <w:pStyle w:val="BodyText"/>
        <w:spacing w:before="2"/>
        <w:rPr>
          <w:sz w:val="21"/>
        </w:rPr>
      </w:pPr>
    </w:p>
    <w:p>
      <w:pPr>
        <w:pStyle w:val="ListParagraph"/>
        <w:numPr>
          <w:ilvl w:val="3"/>
          <w:numId w:val="26"/>
        </w:numPr>
        <w:tabs>
          <w:tab w:pos="974" w:val="left" w:leader="none"/>
        </w:tabs>
        <w:spacing w:line="360" w:lineRule="auto" w:before="72" w:after="0"/>
        <w:ind w:left="842" w:right="135" w:hanging="360"/>
        <w:jc w:val="both"/>
        <w:rPr>
          <w:sz w:val="22"/>
        </w:rPr>
      </w:pPr>
      <w:r>
        <w:rPr>
          <w:sz w:val="22"/>
        </w:rPr>
        <w:t>Martínez Sánchez K., Síntesis de nanocompositos de poliuretano con nanotubos modificados con aminas, Tesis de Licenciatura, Ingeniería Química. Instituto Tecnológico de Orizaba, Octubre</w:t>
      </w:r>
      <w:r>
        <w:rPr>
          <w:spacing w:val="-2"/>
          <w:sz w:val="22"/>
        </w:rPr>
        <w:t> </w:t>
      </w:r>
      <w:r>
        <w:rPr>
          <w:sz w:val="22"/>
        </w:rPr>
        <w:t>2008.</w:t>
      </w:r>
    </w:p>
    <w:p>
      <w:pPr>
        <w:pStyle w:val="ListParagraph"/>
        <w:numPr>
          <w:ilvl w:val="3"/>
          <w:numId w:val="26"/>
        </w:numPr>
        <w:tabs>
          <w:tab w:pos="974" w:val="left" w:leader="none"/>
        </w:tabs>
        <w:spacing w:line="360" w:lineRule="auto" w:before="4" w:after="0"/>
        <w:ind w:left="842" w:right="138" w:hanging="360"/>
        <w:jc w:val="both"/>
        <w:rPr>
          <w:sz w:val="22"/>
        </w:rPr>
      </w:pPr>
      <w:r>
        <w:rPr>
          <w:sz w:val="22"/>
        </w:rPr>
        <w:t>Skoog, D. A., Holler, F.J., Nieman, T. A. (2001). Principios de Análisis Instrumental. 5a. ed. McGrawHill,</w:t>
      </w:r>
      <w:r>
        <w:rPr>
          <w:spacing w:val="-4"/>
          <w:sz w:val="22"/>
        </w:rPr>
        <w:t> </w:t>
      </w:r>
      <w:r>
        <w:rPr>
          <w:sz w:val="22"/>
        </w:rPr>
        <w:t>1028p.</w:t>
      </w:r>
    </w:p>
    <w:p>
      <w:pPr>
        <w:pStyle w:val="ListParagraph"/>
        <w:numPr>
          <w:ilvl w:val="3"/>
          <w:numId w:val="26"/>
        </w:numPr>
        <w:tabs>
          <w:tab w:pos="974" w:val="left" w:leader="none"/>
        </w:tabs>
        <w:spacing w:line="360" w:lineRule="auto" w:before="4" w:after="0"/>
        <w:ind w:left="842" w:right="138" w:hanging="360"/>
        <w:jc w:val="both"/>
        <w:rPr>
          <w:sz w:val="22"/>
        </w:rPr>
      </w:pPr>
      <w:r>
        <w:rPr>
          <w:sz w:val="22"/>
        </w:rPr>
        <w:t>Derrick, M. R., Stulik, D., Landry, J. M. (1999). Infrared spectroscopy in conservation science. Los Angeles: Getty Conservation Institute,</w:t>
      </w:r>
      <w:r>
        <w:rPr>
          <w:spacing w:val="-15"/>
          <w:sz w:val="22"/>
        </w:rPr>
        <w:t> </w:t>
      </w:r>
      <w:r>
        <w:rPr>
          <w:sz w:val="22"/>
        </w:rPr>
        <w:t>235p.</w:t>
      </w:r>
    </w:p>
    <w:p>
      <w:pPr>
        <w:pStyle w:val="ListParagraph"/>
        <w:numPr>
          <w:ilvl w:val="3"/>
          <w:numId w:val="26"/>
        </w:numPr>
        <w:tabs>
          <w:tab w:pos="974" w:val="left" w:leader="none"/>
        </w:tabs>
        <w:spacing w:line="360" w:lineRule="auto" w:before="4" w:after="0"/>
        <w:ind w:left="842" w:right="143" w:hanging="360"/>
        <w:jc w:val="both"/>
        <w:rPr>
          <w:sz w:val="22"/>
        </w:rPr>
      </w:pPr>
      <w:r>
        <w:rPr>
          <w:sz w:val="22"/>
        </w:rPr>
        <w:t>Coates, J. (2000). Interpretation of Infrared Spectra, A Practical Approach. Encyclopedia of Analytical Chemistry. R.A. Meyers (Ed.),</w:t>
      </w:r>
      <w:r>
        <w:rPr>
          <w:spacing w:val="-13"/>
          <w:sz w:val="22"/>
        </w:rPr>
        <w:t> </w:t>
      </w:r>
      <w:r>
        <w:rPr>
          <w:sz w:val="22"/>
        </w:rPr>
        <w:t>10815–10837.</w:t>
      </w:r>
    </w:p>
    <w:p>
      <w:pPr>
        <w:pStyle w:val="ListParagraph"/>
        <w:numPr>
          <w:ilvl w:val="3"/>
          <w:numId w:val="26"/>
        </w:numPr>
        <w:tabs>
          <w:tab w:pos="974" w:val="left" w:leader="none"/>
        </w:tabs>
        <w:spacing w:line="360" w:lineRule="auto" w:before="4" w:after="0"/>
        <w:ind w:left="974" w:right="135" w:hanging="492"/>
        <w:jc w:val="left"/>
        <w:rPr>
          <w:sz w:val="22"/>
        </w:rPr>
      </w:pPr>
      <w:r>
        <w:rPr>
          <w:sz w:val="22"/>
        </w:rPr>
        <w:t>McCreery, R. L. (2005). Raman Spectroscopy for Chemical Analysis. John Wiley &amp; Sons, 448p.</w:t>
      </w:r>
    </w:p>
    <w:p>
      <w:pPr>
        <w:pStyle w:val="ListParagraph"/>
        <w:numPr>
          <w:ilvl w:val="3"/>
          <w:numId w:val="26"/>
        </w:numPr>
        <w:tabs>
          <w:tab w:pos="974" w:val="left" w:leader="none"/>
        </w:tabs>
        <w:spacing w:line="360" w:lineRule="auto" w:before="7" w:after="0"/>
        <w:ind w:left="974" w:right="140" w:hanging="425"/>
        <w:jc w:val="left"/>
        <w:rPr>
          <w:sz w:val="22"/>
        </w:rPr>
      </w:pPr>
      <w:r>
        <w:rPr>
          <w:sz w:val="22"/>
        </w:rPr>
        <w:t>Cardona M. (1975). Light Scattering in Solids: Topics in Applied Physics Volume 8, Springer, 224p.</w:t>
      </w:r>
    </w:p>
    <w:p>
      <w:pPr>
        <w:pStyle w:val="ListParagraph"/>
        <w:numPr>
          <w:ilvl w:val="3"/>
          <w:numId w:val="26"/>
        </w:numPr>
        <w:tabs>
          <w:tab w:pos="974" w:val="left" w:leader="none"/>
        </w:tabs>
        <w:spacing w:line="360" w:lineRule="auto" w:before="4" w:after="0"/>
        <w:ind w:left="842" w:right="137" w:hanging="360"/>
        <w:jc w:val="both"/>
        <w:rPr>
          <w:sz w:val="22"/>
        </w:rPr>
      </w:pPr>
      <w:r>
        <w:rPr>
          <w:sz w:val="22"/>
        </w:rPr>
        <w:t>Goodhew, P.J., Humphreys, F. J., Beanland, R.(2001). Electron Microscopy and Analysis. 3ra. Ed. Taylor and Francis,</w:t>
      </w:r>
      <w:r>
        <w:rPr>
          <w:spacing w:val="-5"/>
          <w:sz w:val="22"/>
        </w:rPr>
        <w:t> </w:t>
      </w:r>
      <w:r>
        <w:rPr>
          <w:sz w:val="22"/>
        </w:rPr>
        <w:t>251p.</w:t>
      </w:r>
    </w:p>
    <w:p>
      <w:pPr>
        <w:pStyle w:val="ListParagraph"/>
        <w:numPr>
          <w:ilvl w:val="3"/>
          <w:numId w:val="26"/>
        </w:numPr>
        <w:tabs>
          <w:tab w:pos="974" w:val="left" w:leader="none"/>
        </w:tabs>
        <w:spacing w:line="360" w:lineRule="auto" w:before="4" w:after="0"/>
        <w:ind w:left="842" w:right="143" w:hanging="360"/>
        <w:jc w:val="both"/>
        <w:rPr>
          <w:sz w:val="22"/>
        </w:rPr>
      </w:pPr>
      <w:r>
        <w:rPr>
          <w:sz w:val="22"/>
        </w:rPr>
        <w:t>Cho, L.L. (2007). Identification of textile fiber by Raman microspectroscopy. Journal of Forensic Science, 26,</w:t>
      </w:r>
      <w:r>
        <w:rPr>
          <w:spacing w:val="-4"/>
          <w:sz w:val="22"/>
        </w:rPr>
        <w:t> </w:t>
      </w:r>
      <w:r>
        <w:rPr>
          <w:sz w:val="22"/>
        </w:rPr>
        <w:t>55-62.</w:t>
      </w:r>
    </w:p>
    <w:p>
      <w:pPr>
        <w:pStyle w:val="ListParagraph"/>
        <w:numPr>
          <w:ilvl w:val="3"/>
          <w:numId w:val="26"/>
        </w:numPr>
        <w:tabs>
          <w:tab w:pos="974" w:val="left" w:leader="none"/>
        </w:tabs>
        <w:spacing w:line="360" w:lineRule="auto" w:before="5" w:after="0"/>
        <w:ind w:left="842" w:right="142" w:hanging="360"/>
        <w:jc w:val="both"/>
        <w:rPr>
          <w:sz w:val="22"/>
        </w:rPr>
      </w:pPr>
      <w:r>
        <w:rPr>
          <w:sz w:val="22"/>
        </w:rPr>
        <w:t>Hodkiewicz, J. (2010). Characterizing carbon materials with Raman  spectroscopy. Thermo Fisher</w:t>
      </w:r>
      <w:r>
        <w:rPr>
          <w:spacing w:val="-9"/>
          <w:sz w:val="22"/>
        </w:rPr>
        <w:t> </w:t>
      </w:r>
      <w:r>
        <w:rPr>
          <w:sz w:val="22"/>
        </w:rPr>
        <w:t>Scientific.</w:t>
      </w:r>
    </w:p>
    <w:p>
      <w:pPr>
        <w:pStyle w:val="ListParagraph"/>
        <w:numPr>
          <w:ilvl w:val="3"/>
          <w:numId w:val="26"/>
        </w:numPr>
        <w:tabs>
          <w:tab w:pos="974" w:val="left" w:leader="none"/>
        </w:tabs>
        <w:spacing w:line="360" w:lineRule="auto" w:before="4" w:after="0"/>
        <w:ind w:left="842" w:right="135" w:hanging="360"/>
        <w:jc w:val="both"/>
        <w:rPr>
          <w:sz w:val="22"/>
        </w:rPr>
      </w:pPr>
      <w:r>
        <w:rPr>
          <w:sz w:val="22"/>
        </w:rPr>
        <w:t>Kudin, K. K., Ozbas, B., Schniepp, H. C., Prud’homme, R. K., Aksay, I. L., Car, R. (2007). Raman spectra of graphite oxide and functionalized graphene sheets. </w:t>
      </w:r>
      <w:r>
        <w:rPr>
          <w:i/>
          <w:sz w:val="22"/>
        </w:rPr>
        <w:t>Nano Letters, </w:t>
      </w:r>
      <w:r>
        <w:rPr>
          <w:sz w:val="22"/>
        </w:rPr>
        <w:t>8,</w:t>
      </w:r>
      <w:r>
        <w:rPr>
          <w:spacing w:val="-2"/>
          <w:sz w:val="22"/>
        </w:rPr>
        <w:t> </w:t>
      </w:r>
      <w:r>
        <w:rPr>
          <w:sz w:val="22"/>
        </w:rPr>
        <w:t>36-41.</w:t>
      </w:r>
    </w:p>
    <w:p>
      <w:pPr>
        <w:pStyle w:val="ListParagraph"/>
        <w:numPr>
          <w:ilvl w:val="3"/>
          <w:numId w:val="26"/>
        </w:numPr>
        <w:tabs>
          <w:tab w:pos="974" w:val="left" w:leader="none"/>
        </w:tabs>
        <w:spacing w:line="240" w:lineRule="auto" w:before="4" w:after="0"/>
        <w:ind w:left="974" w:right="0" w:hanging="492"/>
        <w:jc w:val="left"/>
        <w:rPr>
          <w:sz w:val="22"/>
        </w:rPr>
      </w:pPr>
      <w:r>
        <w:rPr>
          <w:sz w:val="22"/>
        </w:rPr>
        <w:t>Wunderlich, B. (2005). Thermal Analysis of Polymeric Materials. Springer, 894</w:t>
      </w:r>
      <w:r>
        <w:rPr>
          <w:spacing w:val="-24"/>
          <w:sz w:val="22"/>
        </w:rPr>
        <w:t> </w:t>
      </w:r>
      <w:r>
        <w:rPr>
          <w:sz w:val="22"/>
        </w:rPr>
        <w:t>p.</w:t>
      </w:r>
    </w:p>
    <w:p>
      <w:pPr>
        <w:pStyle w:val="ListParagraph"/>
        <w:numPr>
          <w:ilvl w:val="3"/>
          <w:numId w:val="26"/>
        </w:numPr>
        <w:tabs>
          <w:tab w:pos="974" w:val="left" w:leader="none"/>
        </w:tabs>
        <w:spacing w:line="360" w:lineRule="auto" w:before="126" w:after="0"/>
        <w:ind w:left="842" w:right="133" w:hanging="360"/>
        <w:jc w:val="both"/>
        <w:rPr>
          <w:sz w:val="22"/>
        </w:rPr>
      </w:pPr>
      <w:r>
        <w:rPr>
          <w:sz w:val="22"/>
        </w:rPr>
        <w:t>Suzuki, A., Chen, Y., Kunugi, T. (1998). Application of a continuous zone-drawing method to nylon 66 fibres</w:t>
      </w:r>
      <w:r>
        <w:rPr>
          <w:i/>
          <w:sz w:val="22"/>
        </w:rPr>
        <w:t>. Polymer, </w:t>
      </w:r>
      <w:r>
        <w:rPr>
          <w:sz w:val="22"/>
        </w:rPr>
        <w:t>39(22),</w:t>
      </w:r>
      <w:r>
        <w:rPr>
          <w:spacing w:val="-11"/>
          <w:sz w:val="22"/>
        </w:rPr>
        <w:t> </w:t>
      </w:r>
      <w:r>
        <w:rPr>
          <w:sz w:val="22"/>
        </w:rPr>
        <w:t>5335-5341.</w:t>
      </w:r>
    </w:p>
    <w:p>
      <w:pPr>
        <w:pStyle w:val="ListParagraph"/>
        <w:numPr>
          <w:ilvl w:val="3"/>
          <w:numId w:val="26"/>
        </w:numPr>
        <w:tabs>
          <w:tab w:pos="974" w:val="left" w:leader="none"/>
        </w:tabs>
        <w:spacing w:line="360" w:lineRule="auto" w:before="5" w:after="0"/>
        <w:ind w:left="842" w:right="139" w:hanging="360"/>
        <w:jc w:val="both"/>
        <w:rPr>
          <w:sz w:val="22"/>
        </w:rPr>
      </w:pPr>
      <w:r>
        <w:rPr>
          <w:sz w:val="22"/>
        </w:rPr>
        <w:t>Cullity, B.D., Stock S.R. (2001). Elements of X-ray Diffraction, 3ra ed. Prentice Hall, 664 páginas.</w:t>
      </w:r>
    </w:p>
    <w:p>
      <w:pPr>
        <w:pStyle w:val="ListParagraph"/>
        <w:numPr>
          <w:ilvl w:val="3"/>
          <w:numId w:val="26"/>
        </w:numPr>
        <w:tabs>
          <w:tab w:pos="974" w:val="left" w:leader="none"/>
        </w:tabs>
        <w:spacing w:line="360" w:lineRule="auto" w:before="4" w:after="0"/>
        <w:ind w:left="842" w:right="137" w:hanging="360"/>
        <w:jc w:val="both"/>
        <w:rPr>
          <w:sz w:val="22"/>
        </w:rPr>
      </w:pPr>
      <w:r>
        <w:rPr>
          <w:sz w:val="22"/>
        </w:rPr>
        <w:t>Holzwarth, U. y Gibson, N. (2011). The Scherrer equation versus the ‘Debye–Scherrer equation. </w:t>
      </w:r>
      <w:r>
        <w:rPr>
          <w:i/>
          <w:sz w:val="22"/>
        </w:rPr>
        <w:t>Nature Nanotechnology</w:t>
      </w:r>
      <w:r>
        <w:rPr>
          <w:sz w:val="22"/>
        </w:rPr>
        <w:t>. 6,</w:t>
      </w:r>
      <w:r>
        <w:rPr>
          <w:spacing w:val="-10"/>
          <w:sz w:val="22"/>
        </w:rPr>
        <w:t> </w:t>
      </w:r>
      <w:r>
        <w:rPr>
          <w:sz w:val="22"/>
        </w:rPr>
        <w:t>534.</w:t>
      </w:r>
    </w:p>
    <w:p>
      <w:pPr>
        <w:pStyle w:val="ListParagraph"/>
        <w:numPr>
          <w:ilvl w:val="3"/>
          <w:numId w:val="26"/>
        </w:numPr>
        <w:tabs>
          <w:tab w:pos="974" w:val="left" w:leader="none"/>
        </w:tabs>
        <w:spacing w:line="360" w:lineRule="auto" w:before="7" w:after="0"/>
        <w:ind w:left="842" w:right="140" w:hanging="360"/>
        <w:jc w:val="both"/>
        <w:rPr>
          <w:sz w:val="22"/>
        </w:rPr>
      </w:pPr>
      <w:r>
        <w:rPr>
          <w:sz w:val="22"/>
        </w:rPr>
        <w:t>Klug, H. P. y Alexander, L. E. (1974). X-ray Diffraction procedures for polycrystalline and amorphous materials, 2da ed., Wiley, New York, p.</w:t>
      </w:r>
      <w:r>
        <w:rPr>
          <w:spacing w:val="-12"/>
          <w:sz w:val="22"/>
        </w:rPr>
        <w:t> </w:t>
      </w:r>
      <w:r>
        <w:rPr>
          <w:sz w:val="22"/>
        </w:rPr>
        <w:t>531.</w:t>
      </w:r>
    </w:p>
    <w:p>
      <w:pPr>
        <w:pStyle w:val="ListParagraph"/>
        <w:numPr>
          <w:ilvl w:val="3"/>
          <w:numId w:val="26"/>
        </w:numPr>
        <w:tabs>
          <w:tab w:pos="974" w:val="left" w:leader="none"/>
        </w:tabs>
        <w:spacing w:line="360" w:lineRule="auto" w:before="4" w:after="0"/>
        <w:ind w:left="842" w:right="139" w:hanging="360"/>
        <w:jc w:val="both"/>
        <w:rPr>
          <w:sz w:val="22"/>
        </w:rPr>
      </w:pPr>
      <w:r>
        <w:rPr>
          <w:sz w:val="22"/>
        </w:rPr>
        <w:t>Menard, K.P. (1999). Dynamic Mechanical Analysis: A Practical Introduction. CRC Press. 208</w:t>
      </w:r>
      <w:r>
        <w:rPr>
          <w:spacing w:val="-2"/>
          <w:sz w:val="22"/>
        </w:rPr>
        <w:t> </w:t>
      </w:r>
      <w:r>
        <w:rPr>
          <w:sz w:val="22"/>
        </w:rPr>
        <w:t>páginas.</w:t>
      </w:r>
    </w:p>
    <w:p>
      <w:pPr>
        <w:spacing w:after="0" w:line="360" w:lineRule="auto"/>
        <w:jc w:val="both"/>
        <w:rPr>
          <w:sz w:val="22"/>
        </w:rPr>
        <w:sectPr>
          <w:pgSz w:w="12240" w:h="15840"/>
          <w:pgMar w:header="983" w:footer="1062" w:top="1180" w:bottom="1260" w:left="1580" w:right="1560"/>
        </w:sectPr>
      </w:pPr>
    </w:p>
    <w:p>
      <w:pPr>
        <w:pStyle w:val="BodyText"/>
        <w:spacing w:before="2"/>
        <w:rPr>
          <w:sz w:val="21"/>
        </w:rPr>
      </w:pPr>
    </w:p>
    <w:p>
      <w:pPr>
        <w:pStyle w:val="ListParagraph"/>
        <w:numPr>
          <w:ilvl w:val="3"/>
          <w:numId w:val="26"/>
        </w:numPr>
        <w:tabs>
          <w:tab w:pos="974" w:val="left" w:leader="none"/>
        </w:tabs>
        <w:spacing w:line="360" w:lineRule="auto" w:before="72" w:after="0"/>
        <w:ind w:left="842" w:right="135" w:hanging="360"/>
        <w:jc w:val="both"/>
        <w:rPr>
          <w:sz w:val="22"/>
        </w:rPr>
      </w:pPr>
      <w:r>
        <w:rPr>
          <w:sz w:val="22"/>
        </w:rPr>
        <w:t>Sandler, J. K. W., Pegel, S., Cadek, M., Gojny, F., Van Es, M., Lohmar, J., Blau, W. J., Schulte, K., Windle, A. H., Shaffer, M. S. P. (2004). A comparative study of melt spun polyamide-12 fibres reinforced with carbon nanotubes and nanofibres. </w:t>
      </w:r>
      <w:r>
        <w:rPr>
          <w:i/>
          <w:sz w:val="22"/>
        </w:rPr>
        <w:t>Polymer, </w:t>
      </w:r>
      <w:r>
        <w:rPr>
          <w:sz w:val="22"/>
        </w:rPr>
        <w:t>45(6), 2001-2015.</w:t>
      </w:r>
    </w:p>
    <w:p>
      <w:pPr>
        <w:pStyle w:val="ListParagraph"/>
        <w:numPr>
          <w:ilvl w:val="3"/>
          <w:numId w:val="26"/>
        </w:numPr>
        <w:tabs>
          <w:tab w:pos="974" w:val="left" w:leader="none"/>
        </w:tabs>
        <w:spacing w:line="360" w:lineRule="auto" w:before="4" w:after="0"/>
        <w:ind w:left="842" w:right="136" w:hanging="360"/>
        <w:jc w:val="both"/>
        <w:rPr>
          <w:sz w:val="22"/>
        </w:rPr>
      </w:pPr>
      <w:r>
        <w:rPr>
          <w:sz w:val="22"/>
        </w:rPr>
        <w:t>Chatterjee, S., Nüesch, F. A., Chu, B. T. T. (2013). Crystalline and tensile properties of carbon nanotube and graphene  reinforced  polyamide  12  fibers. </w:t>
      </w:r>
      <w:r>
        <w:rPr>
          <w:i/>
          <w:sz w:val="22"/>
        </w:rPr>
        <w:t>Chemical  Physics  </w:t>
      </w:r>
      <w:r>
        <w:rPr>
          <w:i/>
          <w:sz w:val="22"/>
        </w:rPr>
        <w:t>Letters, </w:t>
      </w:r>
      <w:r>
        <w:rPr>
          <w:sz w:val="22"/>
        </w:rPr>
        <w:t>557,</w:t>
      </w:r>
      <w:r>
        <w:rPr>
          <w:spacing w:val="-3"/>
          <w:sz w:val="22"/>
        </w:rPr>
        <w:t> </w:t>
      </w:r>
      <w:r>
        <w:rPr>
          <w:sz w:val="22"/>
        </w:rPr>
        <w:t>92-96.</w:t>
      </w:r>
    </w:p>
    <w:p>
      <w:pPr>
        <w:pStyle w:val="ListParagraph"/>
        <w:numPr>
          <w:ilvl w:val="3"/>
          <w:numId w:val="26"/>
        </w:numPr>
        <w:tabs>
          <w:tab w:pos="1116" w:val="left" w:leader="none"/>
        </w:tabs>
        <w:spacing w:line="360" w:lineRule="auto" w:before="4" w:after="0"/>
        <w:ind w:left="842" w:right="139" w:hanging="360"/>
        <w:jc w:val="both"/>
        <w:rPr>
          <w:sz w:val="22"/>
        </w:rPr>
      </w:pPr>
      <w:r>
        <w:rPr>
          <w:sz w:val="22"/>
        </w:rPr>
        <w:t>Khanna, Y. P. y Kuhn, W. P. (19977). Measurement of crystalline index in nylons by DSC: complexities and recommendations</w:t>
      </w:r>
      <w:r>
        <w:rPr>
          <w:i/>
          <w:sz w:val="22"/>
        </w:rPr>
        <w:t>. Journal of Polymer Science: Part B: Polymer </w:t>
      </w:r>
      <w:r>
        <w:rPr>
          <w:i/>
          <w:sz w:val="22"/>
        </w:rPr>
        <w:t>Physics</w:t>
      </w:r>
      <w:r>
        <w:rPr>
          <w:sz w:val="22"/>
        </w:rPr>
        <w:t>, 35, 2219–2231</w:t>
      </w:r>
    </w:p>
    <w:p>
      <w:pPr>
        <w:pStyle w:val="ListParagraph"/>
        <w:numPr>
          <w:ilvl w:val="3"/>
          <w:numId w:val="26"/>
        </w:numPr>
        <w:tabs>
          <w:tab w:pos="1116" w:val="left" w:leader="none"/>
        </w:tabs>
        <w:spacing w:line="362" w:lineRule="auto" w:before="4" w:after="0"/>
        <w:ind w:left="842" w:right="136" w:hanging="360"/>
        <w:jc w:val="both"/>
        <w:rPr>
          <w:sz w:val="22"/>
        </w:rPr>
      </w:pPr>
      <w:r>
        <w:rPr>
          <w:sz w:val="22"/>
        </w:rPr>
        <w:t>Shen, J., Huanga, W., Wu, L., Hu, Y., Ye, M. (2007). Study on amino-functionalized multiwalled carbon nanotubes. </w:t>
      </w:r>
      <w:r>
        <w:rPr>
          <w:i/>
          <w:sz w:val="22"/>
        </w:rPr>
        <w:t>Materials Science and Engineering. </w:t>
      </w:r>
      <w:r>
        <w:rPr>
          <w:sz w:val="22"/>
        </w:rPr>
        <w:t>464,</w:t>
      </w:r>
      <w:r>
        <w:rPr>
          <w:spacing w:val="-16"/>
          <w:sz w:val="22"/>
        </w:rPr>
        <w:t> </w:t>
      </w:r>
      <w:r>
        <w:rPr>
          <w:sz w:val="22"/>
        </w:rPr>
        <w:t>151-156.</w:t>
      </w:r>
    </w:p>
    <w:p>
      <w:pPr>
        <w:pStyle w:val="ListParagraph"/>
        <w:numPr>
          <w:ilvl w:val="3"/>
          <w:numId w:val="26"/>
        </w:numPr>
        <w:tabs>
          <w:tab w:pos="1116" w:val="left" w:leader="none"/>
        </w:tabs>
        <w:spacing w:line="360" w:lineRule="auto" w:before="2" w:after="0"/>
        <w:ind w:left="842" w:right="137" w:hanging="360"/>
        <w:jc w:val="both"/>
        <w:rPr>
          <w:sz w:val="22"/>
        </w:rPr>
      </w:pPr>
      <w:r>
        <w:rPr>
          <w:sz w:val="22"/>
        </w:rPr>
        <w:t>Chen, X., Chen, X., Lin, M., Zhong, W., Chen, X., Chen, Z. (2007). Functionalized multi-walled carbon nanotubes prepared by in situ polycondensation of polyurethane. </w:t>
      </w:r>
      <w:r>
        <w:rPr>
          <w:i/>
          <w:sz w:val="22"/>
        </w:rPr>
        <w:t>Macromolecular Chemistry Physics. </w:t>
      </w:r>
      <w:r>
        <w:rPr>
          <w:sz w:val="22"/>
        </w:rPr>
        <w:t>208,</w:t>
      </w:r>
      <w:r>
        <w:rPr>
          <w:spacing w:val="-7"/>
          <w:sz w:val="22"/>
        </w:rPr>
        <w:t> </w:t>
      </w:r>
      <w:r>
        <w:rPr>
          <w:sz w:val="22"/>
        </w:rPr>
        <w:t>964–972.</w:t>
      </w:r>
    </w:p>
    <w:p>
      <w:pPr>
        <w:pStyle w:val="ListParagraph"/>
        <w:numPr>
          <w:ilvl w:val="3"/>
          <w:numId w:val="26"/>
        </w:numPr>
        <w:tabs>
          <w:tab w:pos="1116" w:val="left" w:leader="none"/>
        </w:tabs>
        <w:spacing w:line="360" w:lineRule="auto" w:before="4" w:after="0"/>
        <w:ind w:left="842" w:right="139" w:hanging="360"/>
        <w:jc w:val="both"/>
        <w:rPr>
          <w:sz w:val="22"/>
        </w:rPr>
      </w:pPr>
      <w:r>
        <w:rPr>
          <w:sz w:val="22"/>
        </w:rPr>
        <w:t>Ferrari, A. C., Robertson, J. (2000). Interpretation of Raman spectra of disordered and amorphous carbon. </w:t>
      </w:r>
      <w:r>
        <w:rPr>
          <w:i/>
          <w:sz w:val="22"/>
        </w:rPr>
        <w:t>Physical Review B</w:t>
      </w:r>
      <w:r>
        <w:rPr>
          <w:sz w:val="22"/>
        </w:rPr>
        <w:t>. 61 (20)</w:t>
      </w:r>
      <w:r>
        <w:rPr>
          <w:spacing w:val="-8"/>
          <w:sz w:val="22"/>
        </w:rPr>
        <w:t> </w:t>
      </w:r>
      <w:r>
        <w:rPr>
          <w:sz w:val="22"/>
        </w:rPr>
        <w:t>14095-14107.</w:t>
      </w:r>
    </w:p>
    <w:p>
      <w:pPr>
        <w:pStyle w:val="ListParagraph"/>
        <w:numPr>
          <w:ilvl w:val="3"/>
          <w:numId w:val="26"/>
        </w:numPr>
        <w:tabs>
          <w:tab w:pos="1116" w:val="left" w:leader="none"/>
        </w:tabs>
        <w:spacing w:line="360" w:lineRule="auto" w:before="5" w:after="0"/>
        <w:ind w:left="842" w:right="135" w:hanging="360"/>
        <w:jc w:val="both"/>
        <w:rPr>
          <w:sz w:val="22"/>
        </w:rPr>
      </w:pPr>
      <w:r>
        <w:rPr>
          <w:sz w:val="22"/>
        </w:rPr>
        <w:t>Pant, H. R., Park, C. H., Tijing, L. D., Amarjargal, A., Lee, D., Kim, C. S. (2012). Bimodal fiber diameter distributed graphene oxide/nylon-6 composite nanofibrous mats via electrospinning. </w:t>
      </w:r>
      <w:r>
        <w:rPr>
          <w:i/>
          <w:sz w:val="22"/>
        </w:rPr>
        <w:t>Colloids and Surfaces A: Physicochemical and Engineering Aspects</w:t>
      </w:r>
      <w:r>
        <w:rPr>
          <w:sz w:val="22"/>
        </w:rPr>
        <w:t>, 407, 121-125.</w:t>
      </w:r>
    </w:p>
    <w:p>
      <w:pPr>
        <w:pStyle w:val="ListParagraph"/>
        <w:numPr>
          <w:ilvl w:val="3"/>
          <w:numId w:val="26"/>
        </w:numPr>
        <w:tabs>
          <w:tab w:pos="1116" w:val="left" w:leader="none"/>
        </w:tabs>
        <w:spacing w:line="360" w:lineRule="auto" w:before="4" w:after="0"/>
        <w:ind w:left="842" w:right="135" w:hanging="360"/>
        <w:jc w:val="both"/>
        <w:rPr>
          <w:sz w:val="22"/>
        </w:rPr>
      </w:pPr>
      <w:r>
        <w:rPr>
          <w:sz w:val="22"/>
        </w:rPr>
        <w:t>Linggawati, A., Mohammad, A. W., Ghazali, Z. (2009). Effect of electron beam irradiation on morphology and sieving characteristics of nylon-66 membranes. </w:t>
      </w:r>
      <w:r>
        <w:rPr>
          <w:i/>
          <w:sz w:val="22"/>
        </w:rPr>
        <w:t>European </w:t>
      </w:r>
      <w:r>
        <w:rPr>
          <w:i/>
          <w:sz w:val="22"/>
        </w:rPr>
        <w:t>Polymer Journal</w:t>
      </w:r>
      <w:r>
        <w:rPr>
          <w:sz w:val="22"/>
        </w:rPr>
        <w:t>, 45(10),</w:t>
      </w:r>
      <w:r>
        <w:rPr>
          <w:spacing w:val="-6"/>
          <w:sz w:val="22"/>
        </w:rPr>
        <w:t> </w:t>
      </w:r>
      <w:r>
        <w:rPr>
          <w:sz w:val="22"/>
        </w:rPr>
        <w:t>2797-2804.</w:t>
      </w:r>
    </w:p>
    <w:p>
      <w:pPr>
        <w:pStyle w:val="ListParagraph"/>
        <w:numPr>
          <w:ilvl w:val="3"/>
          <w:numId w:val="26"/>
        </w:numPr>
        <w:tabs>
          <w:tab w:pos="1116" w:val="left" w:leader="none"/>
        </w:tabs>
        <w:spacing w:line="360" w:lineRule="auto" w:before="4" w:after="0"/>
        <w:ind w:left="842" w:right="136" w:hanging="360"/>
        <w:jc w:val="both"/>
        <w:rPr>
          <w:sz w:val="22"/>
        </w:rPr>
      </w:pPr>
      <w:r>
        <w:rPr>
          <w:sz w:val="22"/>
        </w:rPr>
        <w:t>Cho, L.-L., (2007). Identification of textile fiber by Raman microspectroscopy. </w:t>
      </w:r>
      <w:r>
        <w:rPr>
          <w:i/>
          <w:sz w:val="22"/>
        </w:rPr>
        <w:t>Journal </w:t>
      </w:r>
      <w:r>
        <w:rPr>
          <w:i/>
          <w:sz w:val="22"/>
        </w:rPr>
        <w:t>of Forensic Science</w:t>
      </w:r>
      <w:r>
        <w:rPr>
          <w:sz w:val="22"/>
        </w:rPr>
        <w:t>, 6,</w:t>
      </w:r>
      <w:r>
        <w:rPr>
          <w:spacing w:val="-3"/>
          <w:sz w:val="22"/>
        </w:rPr>
        <w:t> </w:t>
      </w:r>
      <w:r>
        <w:rPr>
          <w:sz w:val="22"/>
        </w:rPr>
        <w:t>55.</w:t>
      </w:r>
    </w:p>
    <w:p>
      <w:pPr>
        <w:pStyle w:val="ListParagraph"/>
        <w:numPr>
          <w:ilvl w:val="3"/>
          <w:numId w:val="26"/>
        </w:numPr>
        <w:tabs>
          <w:tab w:pos="1116" w:val="left" w:leader="none"/>
        </w:tabs>
        <w:spacing w:line="360" w:lineRule="auto" w:before="4" w:after="0"/>
        <w:ind w:left="842" w:right="137" w:hanging="360"/>
        <w:jc w:val="both"/>
        <w:rPr>
          <w:sz w:val="22"/>
        </w:rPr>
      </w:pPr>
      <w:r>
        <w:rPr>
          <w:sz w:val="22"/>
        </w:rPr>
        <w:t>Xin, F., Li, L., Chan, S. H., Zhao, J. (2012). Influences of carbon fillers on electrical conductivity and crystallinity of polyethylene terephthalate. </w:t>
      </w:r>
      <w:r>
        <w:rPr>
          <w:i/>
          <w:sz w:val="22"/>
        </w:rPr>
        <w:t>Journal of Composite </w:t>
      </w:r>
      <w:r>
        <w:rPr>
          <w:i/>
          <w:sz w:val="22"/>
        </w:rPr>
        <w:t>Materials</w:t>
      </w:r>
      <w:r>
        <w:rPr>
          <w:sz w:val="22"/>
        </w:rPr>
        <w:t>, 46(9),</w:t>
      </w:r>
      <w:r>
        <w:rPr>
          <w:spacing w:val="-7"/>
          <w:sz w:val="22"/>
        </w:rPr>
        <w:t> </w:t>
      </w:r>
      <w:r>
        <w:rPr>
          <w:sz w:val="22"/>
        </w:rPr>
        <w:t>1091-1099.</w:t>
      </w:r>
    </w:p>
    <w:p>
      <w:pPr>
        <w:pStyle w:val="ListParagraph"/>
        <w:numPr>
          <w:ilvl w:val="3"/>
          <w:numId w:val="26"/>
        </w:numPr>
        <w:tabs>
          <w:tab w:pos="1116" w:val="left" w:leader="none"/>
        </w:tabs>
        <w:spacing w:line="360" w:lineRule="auto" w:before="7" w:after="0"/>
        <w:ind w:left="842" w:right="137" w:hanging="360"/>
        <w:jc w:val="both"/>
        <w:rPr>
          <w:sz w:val="22"/>
        </w:rPr>
      </w:pPr>
      <w:r>
        <w:rPr>
          <w:sz w:val="22"/>
        </w:rPr>
        <w:t>Zhao, Z., Yu, W., Liu, Y., Zhang, J., Shao, Z. (2004). Isothermal crystallization behaviors  of  nylon-6  and   nylon-6/   montmorillonite   nanocomposite. </w:t>
      </w:r>
      <w:r>
        <w:rPr>
          <w:i/>
          <w:sz w:val="22"/>
        </w:rPr>
        <w:t>Materials   </w:t>
      </w:r>
      <w:r>
        <w:rPr>
          <w:i/>
          <w:sz w:val="22"/>
        </w:rPr>
        <w:t>Letters</w:t>
      </w:r>
      <w:r>
        <w:rPr>
          <w:sz w:val="22"/>
        </w:rPr>
        <w:t>, 58(5),</w:t>
      </w:r>
      <w:r>
        <w:rPr>
          <w:spacing w:val="-7"/>
          <w:sz w:val="22"/>
        </w:rPr>
        <w:t> </w:t>
      </w:r>
      <w:r>
        <w:rPr>
          <w:sz w:val="22"/>
        </w:rPr>
        <w:t>802-806.</w:t>
      </w:r>
    </w:p>
    <w:p>
      <w:pPr>
        <w:spacing w:after="0" w:line="360" w:lineRule="auto"/>
        <w:jc w:val="both"/>
        <w:rPr>
          <w:sz w:val="22"/>
        </w:rPr>
        <w:sectPr>
          <w:pgSz w:w="12240" w:h="15840"/>
          <w:pgMar w:header="983" w:footer="1062" w:top="1180" w:bottom="1260" w:left="1580" w:right="1560"/>
        </w:sectPr>
      </w:pPr>
    </w:p>
    <w:p>
      <w:pPr>
        <w:pStyle w:val="BodyText"/>
        <w:spacing w:before="2"/>
        <w:rPr>
          <w:sz w:val="21"/>
        </w:rPr>
      </w:pPr>
    </w:p>
    <w:p>
      <w:pPr>
        <w:pStyle w:val="ListParagraph"/>
        <w:numPr>
          <w:ilvl w:val="3"/>
          <w:numId w:val="26"/>
        </w:numPr>
        <w:tabs>
          <w:tab w:pos="1116" w:val="left" w:leader="none"/>
        </w:tabs>
        <w:spacing w:line="360" w:lineRule="auto" w:before="72" w:after="0"/>
        <w:ind w:left="842" w:right="143" w:hanging="360"/>
        <w:jc w:val="both"/>
        <w:rPr>
          <w:sz w:val="22"/>
        </w:rPr>
      </w:pPr>
      <w:r>
        <w:rPr>
          <w:sz w:val="22"/>
        </w:rPr>
        <w:t>Lincoln, D. M., Vaia, R. A., Krishnamoorti, R. (2004). Isothermal crystallization of nylon-6/montmorillonite nanocomposites. </w:t>
      </w:r>
      <w:r>
        <w:rPr>
          <w:i/>
          <w:sz w:val="22"/>
        </w:rPr>
        <w:t>Macromolecules, </w:t>
      </w:r>
      <w:r>
        <w:rPr>
          <w:sz w:val="22"/>
        </w:rPr>
        <w:t>37(12),</w:t>
      </w:r>
      <w:r>
        <w:rPr>
          <w:spacing w:val="-21"/>
          <w:sz w:val="22"/>
        </w:rPr>
        <w:t> </w:t>
      </w:r>
      <w:r>
        <w:rPr>
          <w:sz w:val="22"/>
        </w:rPr>
        <w:t>4554-4561.</w:t>
      </w:r>
    </w:p>
    <w:p>
      <w:pPr>
        <w:pStyle w:val="ListParagraph"/>
        <w:numPr>
          <w:ilvl w:val="3"/>
          <w:numId w:val="26"/>
        </w:numPr>
        <w:tabs>
          <w:tab w:pos="1116" w:val="left" w:leader="none"/>
        </w:tabs>
        <w:spacing w:line="360" w:lineRule="auto" w:before="7" w:after="0"/>
        <w:ind w:left="842" w:right="137" w:hanging="360"/>
        <w:jc w:val="both"/>
        <w:rPr>
          <w:sz w:val="22"/>
        </w:rPr>
      </w:pPr>
      <w:r>
        <w:rPr>
          <w:sz w:val="22"/>
        </w:rPr>
        <w:t>Zhang, Q. X., Yu, Z. Z., Yang, M., Ma, J., Mai, Y. W. (2003). Multiple melting and crystallization of nylon-66/Montmorillonite nanocomposites. </w:t>
      </w:r>
      <w:r>
        <w:rPr>
          <w:i/>
          <w:sz w:val="22"/>
        </w:rPr>
        <w:t>Journal of Polymer Science, </w:t>
      </w:r>
      <w:r>
        <w:rPr>
          <w:i/>
          <w:sz w:val="22"/>
        </w:rPr>
        <w:t>Part B: Polymer Physics</w:t>
      </w:r>
      <w:r>
        <w:rPr>
          <w:sz w:val="22"/>
        </w:rPr>
        <w:t>, 41(22),</w:t>
      </w:r>
      <w:r>
        <w:rPr>
          <w:spacing w:val="-4"/>
          <w:sz w:val="22"/>
        </w:rPr>
        <w:t> </w:t>
      </w:r>
      <w:r>
        <w:rPr>
          <w:sz w:val="22"/>
        </w:rPr>
        <w:t>2861-2869.</w:t>
      </w:r>
    </w:p>
    <w:p>
      <w:pPr>
        <w:pStyle w:val="ListParagraph"/>
        <w:numPr>
          <w:ilvl w:val="3"/>
          <w:numId w:val="26"/>
        </w:numPr>
        <w:tabs>
          <w:tab w:pos="1116" w:val="left" w:leader="none"/>
        </w:tabs>
        <w:spacing w:line="360" w:lineRule="auto" w:before="4" w:after="0"/>
        <w:ind w:left="842" w:right="137" w:hanging="360"/>
        <w:jc w:val="both"/>
        <w:rPr>
          <w:sz w:val="22"/>
        </w:rPr>
      </w:pPr>
      <w:r>
        <w:rPr>
          <w:sz w:val="22"/>
        </w:rPr>
        <w:t>Liu, Y., Cui, L., Guan, F., Gao, Y., Hedin, N. E., Zhu, L., Fong, H. (2007). Crystalline morphology   and   polymorphic   phase    transitions    in    electrospun    nylon-6 nanofibers. </w:t>
      </w:r>
      <w:r>
        <w:rPr>
          <w:i/>
          <w:sz w:val="22"/>
        </w:rPr>
        <w:t>Macromolecules</w:t>
      </w:r>
      <w:r>
        <w:rPr>
          <w:sz w:val="22"/>
        </w:rPr>
        <w:t>, 40(17),</w:t>
      </w:r>
      <w:r>
        <w:rPr>
          <w:spacing w:val="-9"/>
          <w:sz w:val="22"/>
        </w:rPr>
        <w:t> </w:t>
      </w:r>
      <w:r>
        <w:rPr>
          <w:sz w:val="22"/>
        </w:rPr>
        <w:t>6283-6290.</w:t>
      </w:r>
    </w:p>
    <w:p>
      <w:pPr>
        <w:pStyle w:val="ListParagraph"/>
        <w:numPr>
          <w:ilvl w:val="3"/>
          <w:numId w:val="26"/>
        </w:numPr>
        <w:tabs>
          <w:tab w:pos="1116" w:val="left" w:leader="none"/>
        </w:tabs>
        <w:spacing w:line="360" w:lineRule="auto" w:before="5" w:after="0"/>
        <w:ind w:left="842" w:right="136" w:hanging="360"/>
        <w:jc w:val="both"/>
        <w:rPr>
          <w:sz w:val="22"/>
        </w:rPr>
      </w:pPr>
      <w:r>
        <w:rPr>
          <w:sz w:val="22"/>
        </w:rPr>
        <w:t>Chiu, F. C., Kao, G. F. (2012). Polyamide 46/multi-walled carbon nanotube nanocomposites with enhanced thermal, electrical, and mechanical properties. </w:t>
      </w:r>
      <w:r>
        <w:rPr>
          <w:i/>
          <w:sz w:val="22"/>
        </w:rPr>
        <w:t>Composites </w:t>
      </w:r>
      <w:r>
        <w:rPr>
          <w:i/>
          <w:sz w:val="22"/>
        </w:rPr>
        <w:t>Part A</w:t>
      </w:r>
      <w:r>
        <w:rPr>
          <w:sz w:val="22"/>
        </w:rPr>
        <w:t>, 43, 208–218.</w:t>
      </w:r>
    </w:p>
    <w:p>
      <w:pPr>
        <w:pStyle w:val="ListParagraph"/>
        <w:numPr>
          <w:ilvl w:val="3"/>
          <w:numId w:val="26"/>
        </w:numPr>
        <w:tabs>
          <w:tab w:pos="1116" w:val="left" w:leader="none"/>
        </w:tabs>
        <w:spacing w:line="360" w:lineRule="auto" w:before="7" w:after="0"/>
        <w:ind w:left="842" w:right="135" w:hanging="360"/>
        <w:jc w:val="both"/>
        <w:rPr>
          <w:sz w:val="22"/>
        </w:rPr>
      </w:pPr>
      <w:r>
        <w:rPr>
          <w:sz w:val="22"/>
        </w:rPr>
        <w:t>Chiu, F. C., Huang, I. N. (2012). Phase morphology and enhanced thermal/mechanical properties of polyamide 46/graphene oxide nanocomposites. </w:t>
      </w:r>
      <w:r>
        <w:rPr>
          <w:i/>
          <w:sz w:val="22"/>
        </w:rPr>
        <w:t>Polymer Testing</w:t>
      </w:r>
      <w:r>
        <w:rPr>
          <w:sz w:val="22"/>
        </w:rPr>
        <w:t>. 2012, 31, 953-962.</w:t>
      </w:r>
    </w:p>
    <w:p>
      <w:pPr>
        <w:pStyle w:val="ListParagraph"/>
        <w:numPr>
          <w:ilvl w:val="3"/>
          <w:numId w:val="26"/>
        </w:numPr>
        <w:tabs>
          <w:tab w:pos="1116" w:val="left" w:leader="none"/>
        </w:tabs>
        <w:spacing w:line="360" w:lineRule="auto" w:before="4" w:after="0"/>
        <w:ind w:left="842" w:right="133" w:hanging="360"/>
        <w:jc w:val="both"/>
        <w:rPr>
          <w:sz w:val="22"/>
        </w:rPr>
      </w:pPr>
      <w:r>
        <w:rPr>
          <w:sz w:val="22"/>
        </w:rPr>
        <w:t>Meng, H., Sui, G.X., Fang, P.F., Yang, R. (2008). Effects of acid- and  diamine- modified MWNTs on the mechanical properties and crystallization behavior of polyamide 6. </w:t>
      </w:r>
      <w:r>
        <w:rPr>
          <w:i/>
          <w:sz w:val="22"/>
        </w:rPr>
        <w:t>Polymer</w:t>
      </w:r>
      <w:r>
        <w:rPr>
          <w:sz w:val="22"/>
        </w:rPr>
        <w:t>, 49, 610 –</w:t>
      </w:r>
      <w:r>
        <w:rPr>
          <w:spacing w:val="-3"/>
          <w:sz w:val="22"/>
        </w:rPr>
        <w:t> </w:t>
      </w:r>
      <w:r>
        <w:rPr>
          <w:sz w:val="22"/>
        </w:rPr>
        <w:t>620.</w:t>
      </w:r>
    </w:p>
    <w:p>
      <w:pPr>
        <w:pStyle w:val="ListParagraph"/>
        <w:numPr>
          <w:ilvl w:val="3"/>
          <w:numId w:val="26"/>
        </w:numPr>
        <w:tabs>
          <w:tab w:pos="1116" w:val="left" w:leader="none"/>
        </w:tabs>
        <w:spacing w:line="360" w:lineRule="auto" w:before="5" w:after="0"/>
        <w:ind w:left="842" w:right="135" w:hanging="360"/>
        <w:jc w:val="both"/>
        <w:rPr>
          <w:sz w:val="22"/>
        </w:rPr>
      </w:pPr>
      <w:r>
        <w:rPr>
          <w:sz w:val="22"/>
        </w:rPr>
        <w:t>Coleman, J. N., Cadek, M., Blake, R., Nicolosi, V., Ryan, K. P., Belton, C., Fonseca, A., Nagy, J. B., Gunko, Y. K., Blau, W. J. (2004). High performance nanotube-reinforced plastics: Understanding the mechanism of strength increase. </w:t>
      </w:r>
      <w:r>
        <w:rPr>
          <w:i/>
          <w:sz w:val="22"/>
        </w:rPr>
        <w:t>Advanced functional materials</w:t>
      </w:r>
      <w:r>
        <w:rPr>
          <w:sz w:val="22"/>
        </w:rPr>
        <w:t>, 2004, 14:8,</w:t>
      </w:r>
      <w:r>
        <w:rPr>
          <w:spacing w:val="1"/>
          <w:sz w:val="22"/>
        </w:rPr>
        <w:t> </w:t>
      </w:r>
      <w:r>
        <w:rPr>
          <w:sz w:val="22"/>
        </w:rPr>
        <w:t>791</w:t>
      </w:r>
    </w:p>
    <w:p>
      <w:pPr>
        <w:pStyle w:val="ListParagraph"/>
        <w:numPr>
          <w:ilvl w:val="3"/>
          <w:numId w:val="26"/>
        </w:numPr>
        <w:tabs>
          <w:tab w:pos="1116" w:val="left" w:leader="none"/>
        </w:tabs>
        <w:spacing w:line="360" w:lineRule="auto" w:before="4" w:after="0"/>
        <w:ind w:left="842" w:right="133" w:hanging="360"/>
        <w:jc w:val="both"/>
        <w:rPr>
          <w:sz w:val="22"/>
        </w:rPr>
      </w:pPr>
      <w:r>
        <w:rPr>
          <w:sz w:val="22"/>
        </w:rPr>
        <w:t>Mahmood, N., Islam, M., Hameed, A., Saeed, S., Khan, A. N. (2013). Polyamide-6- based composites reinforced with pristine or functionalized multi-walled carbon nanotubes produced using melt extrusion technique. </w:t>
      </w:r>
      <w:r>
        <w:rPr>
          <w:i/>
          <w:sz w:val="22"/>
        </w:rPr>
        <w:t>Journal of Composite Materials</w:t>
      </w:r>
      <w:r>
        <w:rPr>
          <w:sz w:val="22"/>
        </w:rPr>
        <w:t>, 0021998313484779.</w:t>
      </w:r>
    </w:p>
    <w:p>
      <w:pPr>
        <w:pStyle w:val="ListParagraph"/>
        <w:numPr>
          <w:ilvl w:val="3"/>
          <w:numId w:val="26"/>
        </w:numPr>
        <w:tabs>
          <w:tab w:pos="1116" w:val="left" w:leader="none"/>
        </w:tabs>
        <w:spacing w:line="360" w:lineRule="auto" w:before="5" w:after="0"/>
        <w:ind w:left="842" w:right="138" w:hanging="360"/>
        <w:jc w:val="both"/>
        <w:rPr>
          <w:sz w:val="22"/>
        </w:rPr>
      </w:pPr>
      <w:r>
        <w:rPr>
          <w:sz w:val="22"/>
        </w:rPr>
        <w:t>Meng, Q., Wang, Z., Zhang, X., Wang, X., Bai, S (2010). Fabrication and properties of polyamide-6,6-functionalized carboxylic multi-walled carbon nanotube composite fibers. </w:t>
      </w:r>
      <w:r>
        <w:rPr>
          <w:i/>
          <w:sz w:val="22"/>
        </w:rPr>
        <w:t>High Performance Polymers, </w:t>
      </w:r>
      <w:r>
        <w:rPr>
          <w:sz w:val="22"/>
        </w:rPr>
        <w:t>2010 22:</w:t>
      </w:r>
      <w:r>
        <w:rPr>
          <w:spacing w:val="-6"/>
          <w:sz w:val="22"/>
        </w:rPr>
        <w:t> </w:t>
      </w:r>
      <w:r>
        <w:rPr>
          <w:sz w:val="22"/>
        </w:rPr>
        <w:t>848.</w:t>
      </w:r>
    </w:p>
    <w:p>
      <w:pPr>
        <w:pStyle w:val="ListParagraph"/>
        <w:numPr>
          <w:ilvl w:val="3"/>
          <w:numId w:val="26"/>
        </w:numPr>
        <w:tabs>
          <w:tab w:pos="1116" w:val="left" w:leader="none"/>
        </w:tabs>
        <w:spacing w:line="360" w:lineRule="auto" w:before="4" w:after="0"/>
        <w:ind w:left="842" w:right="133" w:hanging="360"/>
        <w:jc w:val="both"/>
        <w:rPr>
          <w:sz w:val="22"/>
        </w:rPr>
      </w:pPr>
      <w:r>
        <w:rPr>
          <w:sz w:val="22"/>
        </w:rPr>
        <w:t>Song, R., Yang, D., He, L. (2008). Preparation of Semi-aromatic polyamide(PA)/multi- wall carbon nanotube (MWCNT) composites and its dynamic mechanical properties. Journal of Materials Science, 43,</w:t>
      </w:r>
      <w:r>
        <w:rPr>
          <w:spacing w:val="-8"/>
          <w:sz w:val="22"/>
        </w:rPr>
        <w:t> </w:t>
      </w:r>
      <w:r>
        <w:rPr>
          <w:sz w:val="22"/>
        </w:rPr>
        <w:t>1205–1213.</w:t>
      </w:r>
    </w:p>
    <w:p>
      <w:pPr>
        <w:pStyle w:val="ListParagraph"/>
        <w:numPr>
          <w:ilvl w:val="3"/>
          <w:numId w:val="26"/>
        </w:numPr>
        <w:tabs>
          <w:tab w:pos="1116" w:val="left" w:leader="none"/>
        </w:tabs>
        <w:spacing w:line="360" w:lineRule="auto" w:before="4" w:after="0"/>
        <w:ind w:left="842" w:right="140" w:hanging="360"/>
        <w:jc w:val="both"/>
        <w:rPr>
          <w:sz w:val="22"/>
        </w:rPr>
      </w:pPr>
      <w:r>
        <w:rPr>
          <w:sz w:val="22"/>
        </w:rPr>
        <w:t>Yan, D., Zhang, H. , Jia, Y., Hu, J., Qi, X., Zhang, Z., Yu, Z. (2012). Improved  electrical    conductivity   of    polyamide    12/graphene    nanocomposites    with </w:t>
      </w:r>
      <w:r>
        <w:rPr>
          <w:spacing w:val="8"/>
          <w:sz w:val="22"/>
        </w:rPr>
        <w:t> </w:t>
      </w:r>
      <w:r>
        <w:rPr>
          <w:sz w:val="22"/>
        </w:rPr>
        <w:t>maleated</w:t>
      </w:r>
    </w:p>
    <w:p>
      <w:pPr>
        <w:spacing w:after="0" w:line="360" w:lineRule="auto"/>
        <w:jc w:val="both"/>
        <w:rPr>
          <w:sz w:val="22"/>
        </w:rPr>
        <w:sectPr>
          <w:pgSz w:w="12240" w:h="15840"/>
          <w:pgMar w:header="983" w:footer="1062" w:top="1180" w:bottom="1260" w:left="1580" w:right="1560"/>
        </w:sectPr>
      </w:pPr>
    </w:p>
    <w:p>
      <w:pPr>
        <w:pStyle w:val="BodyText"/>
        <w:spacing w:before="2"/>
        <w:rPr>
          <w:sz w:val="21"/>
        </w:rPr>
      </w:pPr>
    </w:p>
    <w:p>
      <w:pPr>
        <w:spacing w:line="360" w:lineRule="auto" w:before="72"/>
        <w:ind w:left="841" w:right="41" w:firstLine="0"/>
        <w:jc w:val="left"/>
        <w:rPr>
          <w:sz w:val="22"/>
        </w:rPr>
      </w:pPr>
      <w:r>
        <w:rPr>
          <w:sz w:val="22"/>
        </w:rPr>
        <w:t>polyethylene-octene rubber prepared by melt compounding. </w:t>
      </w:r>
      <w:r>
        <w:rPr>
          <w:i/>
          <w:sz w:val="22"/>
        </w:rPr>
        <w:t>Applied Materials and </w:t>
      </w:r>
      <w:r>
        <w:rPr>
          <w:i/>
          <w:sz w:val="22"/>
        </w:rPr>
        <w:t>Interfaces, </w:t>
      </w:r>
      <w:r>
        <w:rPr>
          <w:sz w:val="22"/>
        </w:rPr>
        <w:t>4, 4740−4745.</w:t>
      </w:r>
    </w:p>
    <w:p>
      <w:pPr>
        <w:pStyle w:val="ListParagraph"/>
        <w:numPr>
          <w:ilvl w:val="3"/>
          <w:numId w:val="26"/>
        </w:numPr>
        <w:tabs>
          <w:tab w:pos="1116" w:val="left" w:leader="none"/>
        </w:tabs>
        <w:spacing w:line="360" w:lineRule="auto" w:before="7" w:after="0"/>
        <w:ind w:left="842" w:right="136" w:hanging="360"/>
        <w:jc w:val="both"/>
        <w:rPr>
          <w:sz w:val="22"/>
        </w:rPr>
      </w:pPr>
      <w:r>
        <w:rPr>
          <w:sz w:val="22"/>
        </w:rPr>
        <w:t>Zheng, D., Tang, G., Zhang, H., Yu, Z., Yavari, F., Koratkar, N., Lim, S, Lee, M. (2012). In situ thermal reduction of graphene oxide for high electrical conductivity and low percolation threshold in polyamide 6 nanocomposites</w:t>
      </w:r>
      <w:r>
        <w:rPr>
          <w:i/>
          <w:sz w:val="22"/>
        </w:rPr>
        <w:t>. Composites Science and  </w:t>
      </w:r>
      <w:r>
        <w:rPr>
          <w:i/>
          <w:sz w:val="22"/>
        </w:rPr>
        <w:t>Technology</w:t>
      </w:r>
      <w:r>
        <w:rPr>
          <w:sz w:val="22"/>
        </w:rPr>
        <w:t>, 72, 284–289.</w:t>
      </w:r>
    </w:p>
    <w:p>
      <w:pPr>
        <w:pStyle w:val="ListParagraph"/>
        <w:numPr>
          <w:ilvl w:val="3"/>
          <w:numId w:val="26"/>
        </w:numPr>
        <w:tabs>
          <w:tab w:pos="1116" w:val="left" w:leader="none"/>
        </w:tabs>
        <w:spacing w:line="360" w:lineRule="auto" w:before="4" w:after="0"/>
        <w:ind w:left="842" w:right="141" w:hanging="360"/>
        <w:jc w:val="both"/>
        <w:rPr>
          <w:sz w:val="22"/>
        </w:rPr>
      </w:pPr>
      <w:r>
        <w:rPr>
          <w:sz w:val="22"/>
        </w:rPr>
        <w:t>Chrissafis, K. y Bikiaris, D. (2011). Can nanoparticles really enhance thermal stability of polymers? Part I: An overview on thermal decomposition of addition polymers. </w:t>
      </w:r>
      <w:r>
        <w:rPr>
          <w:i/>
          <w:sz w:val="22"/>
        </w:rPr>
        <w:t>Thermochimica Acta, </w:t>
      </w:r>
      <w:r>
        <w:rPr>
          <w:sz w:val="22"/>
        </w:rPr>
        <w:t>523, 1–</w:t>
      </w:r>
      <w:r>
        <w:rPr>
          <w:spacing w:val="-3"/>
          <w:sz w:val="22"/>
        </w:rPr>
        <w:t> </w:t>
      </w:r>
      <w:r>
        <w:rPr>
          <w:sz w:val="22"/>
        </w:rPr>
        <w:t>24.</w:t>
      </w:r>
    </w:p>
    <w:p>
      <w:pPr>
        <w:pStyle w:val="ListParagraph"/>
        <w:numPr>
          <w:ilvl w:val="3"/>
          <w:numId w:val="26"/>
        </w:numPr>
        <w:tabs>
          <w:tab w:pos="1116" w:val="left" w:leader="none"/>
        </w:tabs>
        <w:spacing w:line="360" w:lineRule="auto" w:before="4" w:after="0"/>
        <w:ind w:left="842" w:right="135" w:hanging="360"/>
        <w:jc w:val="both"/>
        <w:rPr>
          <w:sz w:val="22"/>
        </w:rPr>
      </w:pPr>
      <w:r>
        <w:rPr>
          <w:sz w:val="22"/>
        </w:rPr>
        <w:t>Pielichowski, K. , Leszczy, A., Njuguna, J. (2010). Mechanisms of thermal stability enhancement in polymer nanocomposites en Optimization of polymer nanocomposite properties (ed V. Mittal), Wiley-VCH Verlag GmbH &amp; Co, Weinheim,</w:t>
      </w:r>
      <w:r>
        <w:rPr>
          <w:spacing w:val="-23"/>
          <w:sz w:val="22"/>
        </w:rPr>
        <w:t> </w:t>
      </w:r>
      <w:r>
        <w:rPr>
          <w:sz w:val="22"/>
        </w:rPr>
        <w:t>Germany.</w:t>
      </w:r>
    </w:p>
    <w:p>
      <w:pPr>
        <w:pStyle w:val="ListParagraph"/>
        <w:numPr>
          <w:ilvl w:val="3"/>
          <w:numId w:val="26"/>
        </w:numPr>
        <w:tabs>
          <w:tab w:pos="1116" w:val="left" w:leader="none"/>
        </w:tabs>
        <w:spacing w:line="360" w:lineRule="auto" w:before="4" w:after="0"/>
        <w:ind w:left="842" w:right="131" w:hanging="360"/>
        <w:jc w:val="both"/>
        <w:rPr>
          <w:sz w:val="22"/>
        </w:rPr>
      </w:pPr>
      <w:r>
        <w:rPr>
          <w:sz w:val="22"/>
        </w:rPr>
        <w:t>Li, J.; Tong, L.; Fang, Z.; Gu, A.; Xu, Z. (2006). Thermal degradation behavior of multi- walled carbon nanotubes/polyamide 6 composites. </w:t>
      </w:r>
      <w:r>
        <w:rPr>
          <w:i/>
          <w:sz w:val="22"/>
        </w:rPr>
        <w:t>Polymer Degradation Stability</w:t>
      </w:r>
      <w:r>
        <w:rPr>
          <w:sz w:val="22"/>
        </w:rPr>
        <w:t>, 91(9), 2046-2052.</w:t>
      </w:r>
    </w:p>
    <w:p>
      <w:pPr>
        <w:spacing w:after="0" w:line="360" w:lineRule="auto"/>
        <w:jc w:val="both"/>
        <w:rPr>
          <w:sz w:val="22"/>
        </w:rPr>
        <w:sectPr>
          <w:pgSz w:w="12240" w:h="15840"/>
          <w:pgMar w:header="983" w:footer="1062" w:top="1180" w:bottom="1260" w:left="1580" w:right="1560"/>
        </w:sectPr>
      </w:pPr>
    </w:p>
    <w:p>
      <w:pPr>
        <w:pStyle w:val="BodyText"/>
        <w:spacing w:before="7"/>
        <w:rPr>
          <w:sz w:val="23"/>
        </w:rPr>
      </w:pPr>
    </w:p>
    <w:p>
      <w:pPr>
        <w:pStyle w:val="Heading1"/>
        <w:ind w:left="122" w:right="41"/>
      </w:pPr>
      <w:r>
        <w:rPr/>
        <w:t>Apéndice</w:t>
      </w:r>
    </w:p>
    <w:p>
      <w:pPr>
        <w:pStyle w:val="BodyText"/>
        <w:spacing w:before="6"/>
        <w:rPr>
          <w:b/>
          <w:sz w:val="55"/>
        </w:rPr>
      </w:pPr>
    </w:p>
    <w:p>
      <w:pPr>
        <w:pStyle w:val="BodyText"/>
        <w:spacing w:line="360" w:lineRule="auto" w:before="1"/>
        <w:ind w:left="122" w:right="140" w:firstLine="283"/>
        <w:jc w:val="both"/>
      </w:pPr>
      <w:r>
        <w:rPr/>
        <w:t>En las micrografias de SEM de la Figura A1 se puede observar las características proporcionadas a los nanotubos después de la oxidación, en donde el diámetro de estos disminuyó. Una vez funcionalizados con grupos amino, el diámetro de los nanotubos aumentó ligeramente y además se observa la aglomeración de estos materiales.</w:t>
      </w:r>
    </w:p>
    <w:p>
      <w:pPr>
        <w:pStyle w:val="BodyText"/>
        <w:spacing w:before="9"/>
        <w:rPr>
          <w:sz w:val="14"/>
        </w:rPr>
      </w:pPr>
      <w:r>
        <w:rPr/>
        <w:drawing>
          <wp:anchor distT="0" distB="0" distL="0" distR="0" allowOverlap="1" layoutInCell="1" locked="0" behindDoc="0" simplePos="0" relativeHeight="2824">
            <wp:simplePos x="0" y="0"/>
            <wp:positionH relativeFrom="page">
              <wp:posOffset>1127125</wp:posOffset>
            </wp:positionH>
            <wp:positionV relativeFrom="paragraph">
              <wp:posOffset>133093</wp:posOffset>
            </wp:positionV>
            <wp:extent cx="1816751" cy="1814702"/>
            <wp:effectExtent l="0" t="0" r="0" b="0"/>
            <wp:wrapTopAndBottom/>
            <wp:docPr id="83" name="image50.jpeg" descr=""/>
            <wp:cNvGraphicFramePr>
              <a:graphicFrameLocks noChangeAspect="1"/>
            </wp:cNvGraphicFramePr>
            <a:graphic>
              <a:graphicData uri="http://schemas.openxmlformats.org/drawingml/2006/picture">
                <pic:pic>
                  <pic:nvPicPr>
                    <pic:cNvPr id="84" name="image50.jpeg"/>
                    <pic:cNvPicPr/>
                  </pic:nvPicPr>
                  <pic:blipFill>
                    <a:blip r:embed="rId98" cstate="print"/>
                    <a:stretch>
                      <a:fillRect/>
                    </a:stretch>
                  </pic:blipFill>
                  <pic:spPr>
                    <a:xfrm>
                      <a:off x="0" y="0"/>
                      <a:ext cx="1816751" cy="1814702"/>
                    </a:xfrm>
                    <a:prstGeom prst="rect">
                      <a:avLst/>
                    </a:prstGeom>
                  </pic:spPr>
                </pic:pic>
              </a:graphicData>
            </a:graphic>
          </wp:anchor>
        </w:drawing>
      </w:r>
      <w:r>
        <w:rPr/>
        <w:drawing>
          <wp:anchor distT="0" distB="0" distL="0" distR="0" allowOverlap="1" layoutInCell="1" locked="0" behindDoc="0" simplePos="0" relativeHeight="2848">
            <wp:simplePos x="0" y="0"/>
            <wp:positionH relativeFrom="page">
              <wp:posOffset>2990850</wp:posOffset>
            </wp:positionH>
            <wp:positionV relativeFrom="paragraph">
              <wp:posOffset>133093</wp:posOffset>
            </wp:positionV>
            <wp:extent cx="1816751" cy="1814702"/>
            <wp:effectExtent l="0" t="0" r="0" b="0"/>
            <wp:wrapTopAndBottom/>
            <wp:docPr id="85" name="image51.jpeg" descr=""/>
            <wp:cNvGraphicFramePr>
              <a:graphicFrameLocks noChangeAspect="1"/>
            </wp:cNvGraphicFramePr>
            <a:graphic>
              <a:graphicData uri="http://schemas.openxmlformats.org/drawingml/2006/picture">
                <pic:pic>
                  <pic:nvPicPr>
                    <pic:cNvPr id="86" name="image51.jpeg"/>
                    <pic:cNvPicPr/>
                  </pic:nvPicPr>
                  <pic:blipFill>
                    <a:blip r:embed="rId99" cstate="print"/>
                    <a:stretch>
                      <a:fillRect/>
                    </a:stretch>
                  </pic:blipFill>
                  <pic:spPr>
                    <a:xfrm>
                      <a:off x="0" y="0"/>
                      <a:ext cx="1816751" cy="1814702"/>
                    </a:xfrm>
                    <a:prstGeom prst="rect">
                      <a:avLst/>
                    </a:prstGeom>
                  </pic:spPr>
                </pic:pic>
              </a:graphicData>
            </a:graphic>
          </wp:anchor>
        </w:drawing>
      </w:r>
      <w:r>
        <w:rPr/>
        <w:drawing>
          <wp:anchor distT="0" distB="0" distL="0" distR="0" allowOverlap="1" layoutInCell="1" locked="0" behindDoc="0" simplePos="0" relativeHeight="2872">
            <wp:simplePos x="0" y="0"/>
            <wp:positionH relativeFrom="page">
              <wp:posOffset>4854575</wp:posOffset>
            </wp:positionH>
            <wp:positionV relativeFrom="paragraph">
              <wp:posOffset>133093</wp:posOffset>
            </wp:positionV>
            <wp:extent cx="1816751" cy="1814702"/>
            <wp:effectExtent l="0" t="0" r="0" b="0"/>
            <wp:wrapTopAndBottom/>
            <wp:docPr id="87" name="image52.jpeg" descr=""/>
            <wp:cNvGraphicFramePr>
              <a:graphicFrameLocks noChangeAspect="1"/>
            </wp:cNvGraphicFramePr>
            <a:graphic>
              <a:graphicData uri="http://schemas.openxmlformats.org/drawingml/2006/picture">
                <pic:pic>
                  <pic:nvPicPr>
                    <pic:cNvPr id="88" name="image52.jpeg"/>
                    <pic:cNvPicPr/>
                  </pic:nvPicPr>
                  <pic:blipFill>
                    <a:blip r:embed="rId100" cstate="print"/>
                    <a:stretch>
                      <a:fillRect/>
                    </a:stretch>
                  </pic:blipFill>
                  <pic:spPr>
                    <a:xfrm>
                      <a:off x="0" y="0"/>
                      <a:ext cx="1816751" cy="1814702"/>
                    </a:xfrm>
                    <a:prstGeom prst="rect">
                      <a:avLst/>
                    </a:prstGeom>
                  </pic:spPr>
                </pic:pic>
              </a:graphicData>
            </a:graphic>
          </wp:anchor>
        </w:drawing>
      </w:r>
    </w:p>
    <w:p>
      <w:pPr>
        <w:pStyle w:val="BodyText"/>
        <w:spacing w:before="5"/>
        <w:rPr>
          <w:sz w:val="6"/>
        </w:rPr>
      </w:pPr>
    </w:p>
    <w:p>
      <w:pPr>
        <w:spacing w:line="240" w:lineRule="auto"/>
        <w:ind w:left="195" w:right="41" w:firstLine="0"/>
        <w:rPr>
          <w:sz w:val="20"/>
        </w:rPr>
      </w:pPr>
      <w:r>
        <w:rPr>
          <w:sz w:val="20"/>
        </w:rPr>
        <w:drawing>
          <wp:inline distT="0" distB="0" distL="0" distR="0">
            <wp:extent cx="1816751" cy="1814702"/>
            <wp:effectExtent l="0" t="0" r="0" b="0"/>
            <wp:docPr id="89" name="image53.jpeg" descr=""/>
            <wp:cNvGraphicFramePr>
              <a:graphicFrameLocks noChangeAspect="1"/>
            </wp:cNvGraphicFramePr>
            <a:graphic>
              <a:graphicData uri="http://schemas.openxmlformats.org/drawingml/2006/picture">
                <pic:pic>
                  <pic:nvPicPr>
                    <pic:cNvPr id="90" name="image53.jpeg"/>
                    <pic:cNvPicPr/>
                  </pic:nvPicPr>
                  <pic:blipFill>
                    <a:blip r:embed="rId101" cstate="print"/>
                    <a:stretch>
                      <a:fillRect/>
                    </a:stretch>
                  </pic:blipFill>
                  <pic:spPr>
                    <a:xfrm>
                      <a:off x="0" y="0"/>
                      <a:ext cx="1816751" cy="1814702"/>
                    </a:xfrm>
                    <a:prstGeom prst="rect">
                      <a:avLst/>
                    </a:prstGeom>
                  </pic:spPr>
                </pic:pic>
              </a:graphicData>
            </a:graphic>
          </wp:inline>
        </w:drawing>
      </w:r>
      <w:r>
        <w:rPr>
          <w:sz w:val="20"/>
        </w:rPr>
      </w:r>
      <w:r>
        <w:rPr>
          <w:spacing w:val="23"/>
          <w:sz w:val="20"/>
        </w:rPr>
        <w:t> </w:t>
      </w:r>
      <w:r>
        <w:rPr>
          <w:spacing w:val="23"/>
          <w:sz w:val="20"/>
        </w:rPr>
        <w:drawing>
          <wp:inline distT="0" distB="0" distL="0" distR="0">
            <wp:extent cx="1816751" cy="1814702"/>
            <wp:effectExtent l="0" t="0" r="0" b="0"/>
            <wp:docPr id="91" name="image54.jpeg" descr=""/>
            <wp:cNvGraphicFramePr>
              <a:graphicFrameLocks noChangeAspect="1"/>
            </wp:cNvGraphicFramePr>
            <a:graphic>
              <a:graphicData uri="http://schemas.openxmlformats.org/drawingml/2006/picture">
                <pic:pic>
                  <pic:nvPicPr>
                    <pic:cNvPr id="92" name="image54.jpeg"/>
                    <pic:cNvPicPr/>
                  </pic:nvPicPr>
                  <pic:blipFill>
                    <a:blip r:embed="rId102" cstate="print"/>
                    <a:stretch>
                      <a:fillRect/>
                    </a:stretch>
                  </pic:blipFill>
                  <pic:spPr>
                    <a:xfrm>
                      <a:off x="0" y="0"/>
                      <a:ext cx="1816751" cy="1814702"/>
                    </a:xfrm>
                    <a:prstGeom prst="rect">
                      <a:avLst/>
                    </a:prstGeom>
                  </pic:spPr>
                </pic:pic>
              </a:graphicData>
            </a:graphic>
          </wp:inline>
        </w:drawing>
      </w:r>
      <w:r>
        <w:rPr>
          <w:spacing w:val="23"/>
          <w:sz w:val="20"/>
        </w:rPr>
      </w:r>
      <w:r>
        <w:rPr>
          <w:spacing w:val="23"/>
          <w:sz w:val="20"/>
        </w:rPr>
        <w:t> </w:t>
      </w:r>
      <w:r>
        <w:rPr>
          <w:spacing w:val="23"/>
          <w:sz w:val="20"/>
        </w:rPr>
        <w:drawing>
          <wp:inline distT="0" distB="0" distL="0" distR="0">
            <wp:extent cx="1816751" cy="1814702"/>
            <wp:effectExtent l="0" t="0" r="0" b="0"/>
            <wp:docPr id="93" name="image55.jpeg" descr=""/>
            <wp:cNvGraphicFramePr>
              <a:graphicFrameLocks noChangeAspect="1"/>
            </wp:cNvGraphicFramePr>
            <a:graphic>
              <a:graphicData uri="http://schemas.openxmlformats.org/drawingml/2006/picture">
                <pic:pic>
                  <pic:nvPicPr>
                    <pic:cNvPr id="94" name="image55.jpeg"/>
                    <pic:cNvPicPr/>
                  </pic:nvPicPr>
                  <pic:blipFill>
                    <a:blip r:embed="rId103" cstate="print"/>
                    <a:stretch>
                      <a:fillRect/>
                    </a:stretch>
                  </pic:blipFill>
                  <pic:spPr>
                    <a:xfrm>
                      <a:off x="0" y="0"/>
                      <a:ext cx="1816751" cy="1814702"/>
                    </a:xfrm>
                    <a:prstGeom prst="rect">
                      <a:avLst/>
                    </a:prstGeom>
                  </pic:spPr>
                </pic:pic>
              </a:graphicData>
            </a:graphic>
          </wp:inline>
        </w:drawing>
      </w:r>
      <w:r>
        <w:rPr>
          <w:spacing w:val="23"/>
          <w:sz w:val="20"/>
        </w:rPr>
      </w:r>
    </w:p>
    <w:p>
      <w:pPr>
        <w:pStyle w:val="BodyText"/>
        <w:spacing w:before="11"/>
        <w:rPr>
          <w:sz w:val="25"/>
        </w:rPr>
      </w:pPr>
    </w:p>
    <w:p>
      <w:pPr>
        <w:pStyle w:val="BodyText"/>
        <w:ind w:left="1298" w:right="41"/>
      </w:pPr>
      <w:r>
        <w:rPr>
          <w:b/>
        </w:rPr>
        <w:t>Figura A1. </w:t>
      </w:r>
      <w:r>
        <w:rPr/>
        <w:t>Micrografias de los :  a), b)  CNT, c),d) OCNT y e),f) f-CNT.</w:t>
      </w:r>
    </w:p>
    <w:p>
      <w:pPr>
        <w:pStyle w:val="BodyText"/>
      </w:pPr>
    </w:p>
    <w:p>
      <w:pPr>
        <w:pStyle w:val="BodyText"/>
      </w:pPr>
    </w:p>
    <w:p>
      <w:pPr>
        <w:pStyle w:val="BodyText"/>
        <w:spacing w:line="360" w:lineRule="auto"/>
        <w:ind w:left="122" w:right="141" w:firstLine="283"/>
        <w:jc w:val="both"/>
      </w:pPr>
      <w:r>
        <w:rPr/>
        <w:t>En la Figura A2 se muestran las micrografias de las hojas individuales de grafeno reducido, las hojas apiladas y arrugadas del GO, tal característica ha sido relacionada a los grupos oxigenados que se encuentran sobre la superficie de esta y que causan la atracción entre las hojas. De manera similar el grafeno con grupos amino muestra una superficie</w:t>
      </w:r>
      <w:r>
        <w:rPr>
          <w:spacing w:val="-21"/>
        </w:rPr>
        <w:t> </w:t>
      </w:r>
      <w:r>
        <w:rPr/>
        <w:t>corrugada.</w:t>
      </w:r>
    </w:p>
    <w:p>
      <w:pPr>
        <w:spacing w:after="0" w:line="360" w:lineRule="auto"/>
        <w:jc w:val="both"/>
        <w:sectPr>
          <w:pgSz w:w="12240" w:h="15840"/>
          <w:pgMar w:header="983" w:footer="1062" w:top="1180" w:bottom="1260" w:left="1580" w:right="1560"/>
        </w:sectPr>
      </w:pPr>
    </w:p>
    <w:p>
      <w:pPr>
        <w:pStyle w:val="BodyText"/>
        <w:rPr>
          <w:sz w:val="28"/>
        </w:rPr>
      </w:pPr>
    </w:p>
    <w:p>
      <w:pPr>
        <w:pStyle w:val="BodyText"/>
        <w:ind w:left="151"/>
        <w:rPr>
          <w:sz w:val="20"/>
        </w:rPr>
      </w:pPr>
      <w:r>
        <w:rPr>
          <w:sz w:val="20"/>
        </w:rPr>
        <w:pict>
          <v:group style="width:429.9pt;height:283.5pt;mso-position-horizontal-relative:char;mso-position-vertical-relative:line" coordorigin="0,0" coordsize="8598,5670">
            <v:shape style="position:absolute;left:0;top:0;width:2838;height:5669" type="#_x0000_t75" stroked="false">
              <v:imagedata r:id="rId104" o:title=""/>
            </v:shape>
            <v:shape style="position:absolute;left:2880;top:0;width:2838;height:5669" type="#_x0000_t75" stroked="false">
              <v:imagedata r:id="rId105" o:title=""/>
            </v:shape>
            <v:shape style="position:absolute;left:5760;top:0;width:2838;height:5669" type="#_x0000_t75" stroked="false">
              <v:imagedata r:id="rId106" o:title=""/>
            </v:shape>
          </v:group>
        </w:pict>
      </w:r>
      <w:r>
        <w:rPr>
          <w:sz w:val="20"/>
        </w:rPr>
      </w:r>
    </w:p>
    <w:p>
      <w:pPr>
        <w:pStyle w:val="BodyText"/>
        <w:spacing w:before="9"/>
        <w:rPr>
          <w:sz w:val="20"/>
        </w:rPr>
      </w:pPr>
    </w:p>
    <w:p>
      <w:pPr>
        <w:pStyle w:val="BodyText"/>
        <w:spacing w:before="72"/>
        <w:ind w:left="158" w:right="174"/>
        <w:jc w:val="center"/>
      </w:pPr>
      <w:r>
        <w:rPr>
          <w:b/>
        </w:rPr>
        <w:t>Figura A2. </w:t>
      </w:r>
      <w:r>
        <w:rPr/>
        <w:t>Micrografias de :  a), b)  RGO, c),d) GO y e),f) f-Ge.</w:t>
      </w:r>
    </w:p>
    <w:p>
      <w:pPr>
        <w:pStyle w:val="BodyText"/>
      </w:pPr>
    </w:p>
    <w:p>
      <w:pPr>
        <w:pStyle w:val="BodyText"/>
        <w:spacing w:before="11"/>
        <w:rPr>
          <w:sz w:val="21"/>
        </w:rPr>
      </w:pPr>
    </w:p>
    <w:p>
      <w:pPr>
        <w:pStyle w:val="BodyText"/>
        <w:spacing w:line="360" w:lineRule="auto"/>
        <w:ind w:left="122" w:right="135" w:firstLine="283"/>
        <w:jc w:val="both"/>
      </w:pPr>
      <w:r>
        <w:rPr/>
        <w:t>Además se tomaron fotografías de las fibras obtenidas por </w:t>
      </w:r>
      <w:r>
        <w:rPr>
          <w:i/>
        </w:rPr>
        <w:t>electrospinning </w:t>
      </w:r>
      <w:r>
        <w:rPr/>
        <w:t>en un Microscopio Confocal Zeiss Axiovert 200 LSM 510 utilizando un lente objetivo de 40x. Esto con el propósito de observar la dispersión de los nanomateriales en ellas (ver Figuras A3 y A4).</w:t>
      </w:r>
    </w:p>
    <w:p>
      <w:pPr>
        <w:pStyle w:val="BodyText"/>
        <w:spacing w:before="9"/>
        <w:rPr>
          <w:sz w:val="14"/>
        </w:rPr>
      </w:pPr>
      <w:r>
        <w:rPr/>
        <w:drawing>
          <wp:anchor distT="0" distB="0" distL="0" distR="0" allowOverlap="1" layoutInCell="1" locked="0" behindDoc="0" simplePos="0" relativeHeight="2920">
            <wp:simplePos x="0" y="0"/>
            <wp:positionH relativeFrom="page">
              <wp:posOffset>2990850</wp:posOffset>
            </wp:positionH>
            <wp:positionV relativeFrom="paragraph">
              <wp:posOffset>132966</wp:posOffset>
            </wp:positionV>
            <wp:extent cx="1815087" cy="1814702"/>
            <wp:effectExtent l="0" t="0" r="0" b="0"/>
            <wp:wrapTopAndBottom/>
            <wp:docPr id="95" name="image59.png" descr=""/>
            <wp:cNvGraphicFramePr>
              <a:graphicFrameLocks noChangeAspect="1"/>
            </wp:cNvGraphicFramePr>
            <a:graphic>
              <a:graphicData uri="http://schemas.openxmlformats.org/drawingml/2006/picture">
                <pic:pic>
                  <pic:nvPicPr>
                    <pic:cNvPr id="96" name="image59.png"/>
                    <pic:cNvPicPr/>
                  </pic:nvPicPr>
                  <pic:blipFill>
                    <a:blip r:embed="rId107" cstate="print"/>
                    <a:stretch>
                      <a:fillRect/>
                    </a:stretch>
                  </pic:blipFill>
                  <pic:spPr>
                    <a:xfrm>
                      <a:off x="0" y="0"/>
                      <a:ext cx="1815087" cy="1814702"/>
                    </a:xfrm>
                    <a:prstGeom prst="rect">
                      <a:avLst/>
                    </a:prstGeom>
                  </pic:spPr>
                </pic:pic>
              </a:graphicData>
            </a:graphic>
          </wp:anchor>
        </w:drawing>
      </w:r>
    </w:p>
    <w:p>
      <w:pPr>
        <w:pStyle w:val="BodyText"/>
        <w:spacing w:before="6"/>
        <w:rPr>
          <w:sz w:val="23"/>
        </w:rPr>
      </w:pPr>
    </w:p>
    <w:p>
      <w:pPr>
        <w:spacing w:before="0"/>
        <w:ind w:left="158" w:right="172" w:firstLine="0"/>
        <w:jc w:val="center"/>
        <w:rPr>
          <w:sz w:val="22"/>
        </w:rPr>
      </w:pPr>
      <w:r>
        <w:rPr>
          <w:b/>
          <w:sz w:val="22"/>
        </w:rPr>
        <w:t>Figura A3. </w:t>
      </w:r>
      <w:r>
        <w:rPr>
          <w:sz w:val="22"/>
        </w:rPr>
        <w:t>Micrografias de fibras de nylon 6,6.</w:t>
      </w:r>
    </w:p>
    <w:p>
      <w:pPr>
        <w:spacing w:after="0"/>
        <w:jc w:val="center"/>
        <w:rPr>
          <w:sz w:val="22"/>
        </w:rPr>
        <w:sectPr>
          <w:pgSz w:w="12240" w:h="15840"/>
          <w:pgMar w:header="983" w:footer="1062" w:top="1180" w:bottom="1260" w:left="1580" w:right="1560"/>
        </w:sectPr>
      </w:pPr>
    </w:p>
    <w:p>
      <w:pPr>
        <w:pStyle w:val="BodyText"/>
        <w:rPr>
          <w:sz w:val="28"/>
        </w:rPr>
      </w:pPr>
    </w:p>
    <w:p>
      <w:pPr>
        <w:pStyle w:val="BodyText"/>
        <w:ind w:left="151"/>
        <w:rPr>
          <w:sz w:val="20"/>
        </w:rPr>
      </w:pPr>
      <w:r>
        <w:rPr>
          <w:sz w:val="20"/>
        </w:rPr>
        <w:pict>
          <v:group style="width:429.8pt;height:566.950pt;mso-position-horizontal-relative:char;mso-position-vertical-relative:line" coordorigin="0,0" coordsize="8596,11339">
            <v:shape style="position:absolute;left:0;top:0;width:2836;height:11338" type="#_x0000_t75" stroked="false">
              <v:imagedata r:id="rId108" o:title=""/>
            </v:shape>
            <v:shape style="position:absolute;left:2880;top:0;width:2836;height:11338" type="#_x0000_t75" stroked="false">
              <v:imagedata r:id="rId109" o:title=""/>
            </v:shape>
            <v:shape style="position:absolute;left:5760;top:0;width:2836;height:11338" type="#_x0000_t75" stroked="false">
              <v:imagedata r:id="rId110" o:title=""/>
            </v:shape>
          </v:group>
        </w:pict>
      </w:r>
      <w:r>
        <w:rPr>
          <w:sz w:val="20"/>
        </w:rPr>
      </w:r>
    </w:p>
    <w:p>
      <w:pPr>
        <w:pStyle w:val="BodyText"/>
        <w:spacing w:before="10"/>
        <w:rPr>
          <w:sz w:val="20"/>
        </w:rPr>
      </w:pPr>
    </w:p>
    <w:p>
      <w:pPr>
        <w:spacing w:before="72"/>
        <w:ind w:left="623" w:right="41" w:firstLine="0"/>
        <w:jc w:val="left"/>
        <w:rPr>
          <w:sz w:val="22"/>
        </w:rPr>
      </w:pPr>
      <w:r>
        <w:rPr>
          <w:b/>
          <w:sz w:val="22"/>
        </w:rPr>
        <w:t>Figura A4.  </w:t>
      </w:r>
      <w:r>
        <w:rPr>
          <w:sz w:val="22"/>
        </w:rPr>
        <w:t>Microscopía confocal de los nanocompositos obtenidos por </w:t>
      </w:r>
      <w:r>
        <w:rPr>
          <w:i/>
          <w:sz w:val="22"/>
        </w:rPr>
        <w:t>electrospinning</w:t>
      </w:r>
      <w:r>
        <w:rPr>
          <w:sz w:val="22"/>
        </w:rPr>
        <w:t>.</w:t>
      </w:r>
    </w:p>
    <w:p>
      <w:pPr>
        <w:spacing w:after="0"/>
        <w:jc w:val="left"/>
        <w:rPr>
          <w:sz w:val="22"/>
        </w:rPr>
        <w:sectPr>
          <w:pgSz w:w="12240" w:h="15840"/>
          <w:pgMar w:header="983" w:footer="1062" w:top="1180" w:bottom="1260" w:left="1580" w:right="1560"/>
        </w:sectPr>
      </w:pPr>
    </w:p>
    <w:p>
      <w:pPr>
        <w:pStyle w:val="BodyText"/>
        <w:spacing w:before="2"/>
        <w:rPr>
          <w:sz w:val="21"/>
        </w:rPr>
      </w:pPr>
    </w:p>
    <w:p>
      <w:pPr>
        <w:pStyle w:val="BodyText"/>
        <w:spacing w:line="360" w:lineRule="auto" w:before="72"/>
        <w:ind w:left="122" w:right="135" w:firstLine="283"/>
        <w:jc w:val="both"/>
      </w:pPr>
      <w:r>
        <w:rPr/>
        <w:t>A pesar de que el método de solución, junto con el sonicado fueron útiles para una mejor dispersión de los nanomateriales en la matriz y que el proceso de </w:t>
      </w:r>
      <w:r>
        <w:rPr>
          <w:i/>
        </w:rPr>
        <w:t>electrospinning </w:t>
      </w:r>
      <w:r>
        <w:rPr/>
        <w:t>facilita la alineación de estos en las fibras es inevitable la aparición de algunos aglomerados en los nanocompositos. Como se aprecia en las fibras en base a nanotubos de carbono en la Figura A4, los aglomerados observados en las con CNTs son de mayor tamaño que en las fibras con OCNT, lo  cual es de esperarse debido a que como se ha mencionado anteriormente los grupos carboxílicos en la superficie grafítica facilitan la dispersión de los nanotubos en la matriz polimérica. Además en la Figura A4 se encuentran las fibras obtenidas en base a grafeno. En general los aglomerados son de menor tamaño con respecto a las fibras con nanotubos, y de manera similar que en estos, las fibras que contienen GO mostraron una mejor dispersión en la matriz de nylon</w:t>
      </w:r>
      <w:r>
        <w:rPr>
          <w:spacing w:val="-16"/>
        </w:rPr>
        <w:t> </w:t>
      </w:r>
      <w:r>
        <w:rPr/>
        <w:t>6,6.</w:t>
      </w:r>
    </w:p>
    <w:p>
      <w:pPr>
        <w:pStyle w:val="BodyText"/>
      </w:pPr>
    </w:p>
    <w:p>
      <w:pPr>
        <w:pStyle w:val="BodyText"/>
        <w:spacing w:line="360" w:lineRule="auto" w:before="133"/>
        <w:ind w:left="122" w:right="140" w:firstLine="283"/>
        <w:jc w:val="both"/>
      </w:pPr>
      <w:r>
        <w:rPr/>
        <w:t>Asimismo se realizó el análisis morfológico de los nanocompositos obtenidos a partir  del proceso de moldeo por inyección. Las muestras fueron fracturadas utilizando nitrógeno líquido. En la Figura A5 se muestran las imágenes de las muestras de nylon 6,6 puro, en donde se puede observar la estructura rugosa del polímero en la zona de fractura.</w:t>
      </w:r>
    </w:p>
    <w:p>
      <w:pPr>
        <w:pStyle w:val="BodyText"/>
        <w:spacing w:before="9"/>
        <w:rPr>
          <w:sz w:val="14"/>
        </w:rPr>
      </w:pPr>
      <w:r>
        <w:rPr/>
        <w:drawing>
          <wp:anchor distT="0" distB="0" distL="0" distR="0" allowOverlap="1" layoutInCell="1" locked="0" behindDoc="0" simplePos="0" relativeHeight="2968">
            <wp:simplePos x="0" y="0"/>
            <wp:positionH relativeFrom="page">
              <wp:posOffset>2091817</wp:posOffset>
            </wp:positionH>
            <wp:positionV relativeFrom="paragraph">
              <wp:posOffset>133093</wp:posOffset>
            </wp:positionV>
            <wp:extent cx="3601452" cy="1796796"/>
            <wp:effectExtent l="0" t="0" r="0" b="0"/>
            <wp:wrapTopAndBottom/>
            <wp:docPr id="97" name="image63.png" descr=""/>
            <wp:cNvGraphicFramePr>
              <a:graphicFrameLocks noChangeAspect="1"/>
            </wp:cNvGraphicFramePr>
            <a:graphic>
              <a:graphicData uri="http://schemas.openxmlformats.org/drawingml/2006/picture">
                <pic:pic>
                  <pic:nvPicPr>
                    <pic:cNvPr id="98" name="image63.png"/>
                    <pic:cNvPicPr/>
                  </pic:nvPicPr>
                  <pic:blipFill>
                    <a:blip r:embed="rId111" cstate="print"/>
                    <a:stretch>
                      <a:fillRect/>
                    </a:stretch>
                  </pic:blipFill>
                  <pic:spPr>
                    <a:xfrm>
                      <a:off x="0" y="0"/>
                      <a:ext cx="3601452" cy="1796796"/>
                    </a:xfrm>
                    <a:prstGeom prst="rect">
                      <a:avLst/>
                    </a:prstGeom>
                  </pic:spPr>
                </pic:pic>
              </a:graphicData>
            </a:graphic>
          </wp:anchor>
        </w:drawing>
      </w:r>
    </w:p>
    <w:p>
      <w:pPr>
        <w:pStyle w:val="BodyText"/>
        <w:spacing w:before="9"/>
        <w:rPr>
          <w:sz w:val="25"/>
        </w:rPr>
      </w:pPr>
    </w:p>
    <w:p>
      <w:pPr>
        <w:pStyle w:val="BodyText"/>
        <w:ind w:left="906" w:right="41"/>
      </w:pPr>
      <w:r>
        <w:rPr>
          <w:b/>
        </w:rPr>
        <w:t>Figura A5</w:t>
      </w:r>
      <w:r>
        <w:rPr/>
        <w:t>. Micrografias de SEM de muestra obtenida por inyección de nylon 6,6.</w:t>
      </w:r>
    </w:p>
    <w:p>
      <w:pPr>
        <w:pStyle w:val="BodyText"/>
      </w:pPr>
    </w:p>
    <w:p>
      <w:pPr>
        <w:pStyle w:val="BodyText"/>
        <w:spacing w:before="2"/>
      </w:pPr>
    </w:p>
    <w:p>
      <w:pPr>
        <w:pStyle w:val="BodyText"/>
        <w:spacing w:line="360" w:lineRule="auto"/>
        <w:ind w:left="122" w:right="137" w:firstLine="427"/>
        <w:jc w:val="both"/>
      </w:pPr>
      <w:r>
        <w:rPr/>
        <w:t>En la Figura A6 se encuentran las micrografías de los nanocompositos en base a nanotubos. En esta se puede apreciar los nanotubos son los puntos brillantes que se encuentran en la superficie rugosa del polímero. Las micrografías fueron tomadas en las secciones donde existía mayor  cantidad de nanotubos. Tomando esto en consideración, se aprecia como existe una gran cantidad  de nanotubos agregados cuando estos se encuentran en su estado puro. Las secciones de las  muestras que contienen OCNT mostraron una mejor dispersión de los nanotubos y en las secciones de</w:t>
      </w:r>
      <w:r>
        <w:rPr>
          <w:spacing w:val="28"/>
        </w:rPr>
        <w:t> </w:t>
      </w:r>
      <w:r>
        <w:rPr/>
        <w:t>las</w:t>
      </w:r>
      <w:r>
        <w:rPr>
          <w:spacing w:val="28"/>
        </w:rPr>
        <w:t> </w:t>
      </w:r>
      <w:r>
        <w:rPr/>
        <w:t>muestras</w:t>
      </w:r>
      <w:r>
        <w:rPr>
          <w:spacing w:val="26"/>
        </w:rPr>
        <w:t> </w:t>
      </w:r>
      <w:r>
        <w:rPr/>
        <w:t>con</w:t>
      </w:r>
      <w:r>
        <w:rPr>
          <w:spacing w:val="28"/>
        </w:rPr>
        <w:t> </w:t>
      </w:r>
      <w:r>
        <w:rPr/>
        <w:t>f-CNT  </w:t>
      </w:r>
      <w:r>
        <w:rPr>
          <w:spacing w:val="2"/>
        </w:rPr>
        <w:t> </w:t>
      </w:r>
      <w:r>
        <w:rPr/>
        <w:t>se</w:t>
      </w:r>
      <w:r>
        <w:rPr>
          <w:spacing w:val="28"/>
        </w:rPr>
        <w:t> </w:t>
      </w:r>
      <w:r>
        <w:rPr/>
        <w:t>observa</w:t>
      </w:r>
      <w:r>
        <w:rPr>
          <w:spacing w:val="28"/>
        </w:rPr>
        <w:t> </w:t>
      </w:r>
      <w:r>
        <w:rPr/>
        <w:t>como</w:t>
      </w:r>
      <w:r>
        <w:rPr>
          <w:spacing w:val="27"/>
        </w:rPr>
        <w:t> </w:t>
      </w:r>
      <w:r>
        <w:rPr/>
        <w:t>el</w:t>
      </w:r>
      <w:r>
        <w:rPr>
          <w:spacing w:val="28"/>
        </w:rPr>
        <w:t> </w:t>
      </w:r>
      <w:r>
        <w:rPr/>
        <w:t>diámetro</w:t>
      </w:r>
      <w:r>
        <w:rPr>
          <w:spacing w:val="27"/>
        </w:rPr>
        <w:t> </w:t>
      </w:r>
      <w:r>
        <w:rPr/>
        <w:t>de</w:t>
      </w:r>
      <w:r>
        <w:rPr>
          <w:spacing w:val="28"/>
        </w:rPr>
        <w:t> </w:t>
      </w:r>
      <w:r>
        <w:rPr/>
        <w:t>los</w:t>
      </w:r>
      <w:r>
        <w:rPr>
          <w:spacing w:val="28"/>
        </w:rPr>
        <w:t> </w:t>
      </w:r>
      <w:r>
        <w:rPr/>
        <w:t>nanotubos</w:t>
      </w:r>
      <w:r>
        <w:rPr>
          <w:spacing w:val="28"/>
        </w:rPr>
        <w:t> </w:t>
      </w:r>
      <w:r>
        <w:rPr/>
        <w:t>es</w:t>
      </w:r>
      <w:r>
        <w:rPr>
          <w:spacing w:val="25"/>
        </w:rPr>
        <w:t> </w:t>
      </w:r>
      <w:r>
        <w:rPr/>
        <w:t>mayor</w:t>
      </w:r>
      <w:r>
        <w:rPr>
          <w:spacing w:val="28"/>
        </w:rPr>
        <w:t> </w:t>
      </w:r>
      <w:r>
        <w:rPr/>
        <w:t>que</w:t>
      </w:r>
      <w:r>
        <w:rPr>
          <w:spacing w:val="28"/>
        </w:rPr>
        <w:t> </w:t>
      </w:r>
      <w:r>
        <w:rPr/>
        <w:t>en</w:t>
      </w:r>
      <w:r>
        <w:rPr>
          <w:spacing w:val="28"/>
        </w:rPr>
        <w:t> </w:t>
      </w:r>
      <w:r>
        <w:rPr/>
        <w:t>las</w:t>
      </w:r>
    </w:p>
    <w:p>
      <w:pPr>
        <w:spacing w:after="0" w:line="360" w:lineRule="auto"/>
        <w:jc w:val="both"/>
        <w:sectPr>
          <w:pgSz w:w="12240" w:h="15840"/>
          <w:pgMar w:header="983" w:footer="1062" w:top="1180" w:bottom="1260" w:left="1580" w:right="1560"/>
        </w:sectPr>
      </w:pPr>
    </w:p>
    <w:p>
      <w:pPr>
        <w:pStyle w:val="BodyText"/>
        <w:spacing w:before="2"/>
        <w:rPr>
          <w:sz w:val="21"/>
        </w:rPr>
      </w:pPr>
    </w:p>
    <w:p>
      <w:pPr>
        <w:pStyle w:val="BodyText"/>
        <w:spacing w:line="360" w:lineRule="auto" w:before="72"/>
        <w:ind w:left="122" w:right="41"/>
      </w:pPr>
      <w:r>
        <w:rPr/>
        <w:t>muestras anteriores, con lo que se confirma la aglomeración de estos debido a la atracción de los grupos amino en la superficie de las muestras.</w:t>
      </w:r>
    </w:p>
    <w:p>
      <w:pPr>
        <w:pStyle w:val="BodyText"/>
        <w:rPr>
          <w:sz w:val="20"/>
        </w:rPr>
      </w:pPr>
    </w:p>
    <w:p>
      <w:pPr>
        <w:pStyle w:val="BodyText"/>
        <w:spacing w:before="7"/>
        <w:rPr>
          <w:sz w:val="10"/>
        </w:rPr>
      </w:pPr>
      <w:r>
        <w:rPr/>
        <w:drawing>
          <wp:anchor distT="0" distB="0" distL="0" distR="0" allowOverlap="1" layoutInCell="1" locked="0" behindDoc="0" simplePos="0" relativeHeight="2992">
            <wp:simplePos x="0" y="0"/>
            <wp:positionH relativeFrom="page">
              <wp:posOffset>2086229</wp:posOffset>
            </wp:positionH>
            <wp:positionV relativeFrom="paragraph">
              <wp:posOffset>102752</wp:posOffset>
            </wp:positionV>
            <wp:extent cx="3613628" cy="1796796"/>
            <wp:effectExtent l="0" t="0" r="0" b="0"/>
            <wp:wrapTopAndBottom/>
            <wp:docPr id="99" name="image64.png" descr=""/>
            <wp:cNvGraphicFramePr>
              <a:graphicFrameLocks noChangeAspect="1"/>
            </wp:cNvGraphicFramePr>
            <a:graphic>
              <a:graphicData uri="http://schemas.openxmlformats.org/drawingml/2006/picture">
                <pic:pic>
                  <pic:nvPicPr>
                    <pic:cNvPr id="100" name="image64.png"/>
                    <pic:cNvPicPr/>
                  </pic:nvPicPr>
                  <pic:blipFill>
                    <a:blip r:embed="rId112" cstate="print"/>
                    <a:stretch>
                      <a:fillRect/>
                    </a:stretch>
                  </pic:blipFill>
                  <pic:spPr>
                    <a:xfrm>
                      <a:off x="0" y="0"/>
                      <a:ext cx="3613628" cy="1796796"/>
                    </a:xfrm>
                    <a:prstGeom prst="rect">
                      <a:avLst/>
                    </a:prstGeom>
                  </pic:spPr>
                </pic:pic>
              </a:graphicData>
            </a:graphic>
          </wp:anchor>
        </w:drawing>
      </w:r>
      <w:r>
        <w:rPr/>
        <w:drawing>
          <wp:anchor distT="0" distB="0" distL="0" distR="0" allowOverlap="1" layoutInCell="1" locked="0" behindDoc="0" simplePos="0" relativeHeight="3016">
            <wp:simplePos x="0" y="0"/>
            <wp:positionH relativeFrom="page">
              <wp:posOffset>2086229</wp:posOffset>
            </wp:positionH>
            <wp:positionV relativeFrom="paragraph">
              <wp:posOffset>1987940</wp:posOffset>
            </wp:positionV>
            <wp:extent cx="3613628" cy="1796795"/>
            <wp:effectExtent l="0" t="0" r="0" b="0"/>
            <wp:wrapTopAndBottom/>
            <wp:docPr id="101" name="image65.png" descr=""/>
            <wp:cNvGraphicFramePr>
              <a:graphicFrameLocks noChangeAspect="1"/>
            </wp:cNvGraphicFramePr>
            <a:graphic>
              <a:graphicData uri="http://schemas.openxmlformats.org/drawingml/2006/picture">
                <pic:pic>
                  <pic:nvPicPr>
                    <pic:cNvPr id="102" name="image65.png"/>
                    <pic:cNvPicPr/>
                  </pic:nvPicPr>
                  <pic:blipFill>
                    <a:blip r:embed="rId113" cstate="print"/>
                    <a:stretch>
                      <a:fillRect/>
                    </a:stretch>
                  </pic:blipFill>
                  <pic:spPr>
                    <a:xfrm>
                      <a:off x="0" y="0"/>
                      <a:ext cx="3613628" cy="1796795"/>
                    </a:xfrm>
                    <a:prstGeom prst="rect">
                      <a:avLst/>
                    </a:prstGeom>
                  </pic:spPr>
                </pic:pic>
              </a:graphicData>
            </a:graphic>
          </wp:anchor>
        </w:drawing>
      </w:r>
      <w:r>
        <w:rPr/>
        <w:drawing>
          <wp:anchor distT="0" distB="0" distL="0" distR="0" allowOverlap="1" layoutInCell="1" locked="0" behindDoc="0" simplePos="0" relativeHeight="3040">
            <wp:simplePos x="0" y="0"/>
            <wp:positionH relativeFrom="page">
              <wp:posOffset>2086229</wp:posOffset>
            </wp:positionH>
            <wp:positionV relativeFrom="paragraph">
              <wp:posOffset>3873128</wp:posOffset>
            </wp:positionV>
            <wp:extent cx="3613373" cy="1796795"/>
            <wp:effectExtent l="0" t="0" r="0" b="0"/>
            <wp:wrapTopAndBottom/>
            <wp:docPr id="103" name="image66.png" descr=""/>
            <wp:cNvGraphicFramePr>
              <a:graphicFrameLocks noChangeAspect="1"/>
            </wp:cNvGraphicFramePr>
            <a:graphic>
              <a:graphicData uri="http://schemas.openxmlformats.org/drawingml/2006/picture">
                <pic:pic>
                  <pic:nvPicPr>
                    <pic:cNvPr id="104" name="image66.png"/>
                    <pic:cNvPicPr/>
                  </pic:nvPicPr>
                  <pic:blipFill>
                    <a:blip r:embed="rId114" cstate="print"/>
                    <a:stretch>
                      <a:fillRect/>
                    </a:stretch>
                  </pic:blipFill>
                  <pic:spPr>
                    <a:xfrm>
                      <a:off x="0" y="0"/>
                      <a:ext cx="3613373" cy="1796795"/>
                    </a:xfrm>
                    <a:prstGeom prst="rect">
                      <a:avLst/>
                    </a:prstGeom>
                  </pic:spPr>
                </pic:pic>
              </a:graphicData>
            </a:graphic>
          </wp:anchor>
        </w:drawing>
      </w:r>
    </w:p>
    <w:p>
      <w:pPr>
        <w:pStyle w:val="BodyText"/>
        <w:spacing w:before="2"/>
        <w:rPr>
          <w:sz w:val="6"/>
        </w:rPr>
      </w:pPr>
    </w:p>
    <w:p>
      <w:pPr>
        <w:pStyle w:val="BodyText"/>
        <w:spacing w:before="2"/>
        <w:rPr>
          <w:sz w:val="6"/>
        </w:rPr>
      </w:pPr>
    </w:p>
    <w:p>
      <w:pPr>
        <w:pStyle w:val="BodyText"/>
        <w:spacing w:before="106"/>
        <w:ind w:left="798" w:right="41"/>
      </w:pPr>
      <w:r>
        <w:rPr>
          <w:b/>
        </w:rPr>
        <w:t>Figura A6. </w:t>
      </w:r>
      <w:r>
        <w:rPr/>
        <w:t>Micrografías de SEM de nanocompositos por inyección en base a CNTs.</w:t>
      </w:r>
    </w:p>
    <w:p>
      <w:pPr>
        <w:pStyle w:val="BodyText"/>
      </w:pPr>
    </w:p>
    <w:p>
      <w:pPr>
        <w:pStyle w:val="BodyText"/>
        <w:spacing w:before="10"/>
        <w:rPr>
          <w:sz w:val="21"/>
        </w:rPr>
      </w:pPr>
    </w:p>
    <w:p>
      <w:pPr>
        <w:pStyle w:val="BodyText"/>
        <w:spacing w:line="360" w:lineRule="auto" w:before="1"/>
        <w:ind w:left="122" w:right="135" w:firstLine="283"/>
        <w:jc w:val="both"/>
      </w:pPr>
      <w:r>
        <w:rPr/>
        <w:t>En la Figura A7 se aprecian las imágenes de los nanocompositos en base a grafeno. En estas se observa claramente que las dimensiones de las hojas de grafeno son superiores a los nanotubos de carbono. La dispersión en los nanocompositos con </w:t>
      </w:r>
      <w:r>
        <w:rPr>
          <w:spacing w:val="-2"/>
        </w:rPr>
        <w:t>RGO </w:t>
      </w:r>
      <w:r>
        <w:rPr/>
        <w:t>no es tan buena como en el resto de las muestras, ya que en estas se encuentra una mayor cantidad de hojas de grafeno. Los  nanocompositos que contienen grafeno con grupos funcionales ya sean carboxílicos o amino</w:t>
      </w:r>
      <w:r>
        <w:rPr>
          <w:spacing w:val="-14"/>
        </w:rPr>
        <w:t> </w:t>
      </w:r>
      <w:r>
        <w:rPr/>
        <w:t>uestran</w:t>
      </w:r>
    </w:p>
    <w:p>
      <w:pPr>
        <w:spacing w:after="0" w:line="360" w:lineRule="auto"/>
        <w:jc w:val="both"/>
        <w:sectPr>
          <w:pgSz w:w="12240" w:h="15840"/>
          <w:pgMar w:header="983" w:footer="1062" w:top="1180" w:bottom="1260" w:left="1580" w:right="1560"/>
        </w:sectPr>
      </w:pPr>
    </w:p>
    <w:p>
      <w:pPr>
        <w:pStyle w:val="BodyText"/>
        <w:spacing w:before="2"/>
        <w:rPr>
          <w:sz w:val="21"/>
        </w:rPr>
      </w:pPr>
    </w:p>
    <w:p>
      <w:pPr>
        <w:pStyle w:val="BodyText"/>
        <w:spacing w:line="360" w:lineRule="auto" w:before="72"/>
        <w:ind w:left="122" w:right="139"/>
        <w:jc w:val="both"/>
      </w:pPr>
      <w:r>
        <w:rPr/>
        <w:t>características similares, donde se observa una buena dispersión y se puede apreciar como algunas de las hojas de grafeno están embebidas en la matriz polimérica y en otras regiones se observa  como la mitad de las hojas están recubiertas por una capa de polímero indicando la buena compatibilidad entre las interfaces, como se indica con las flechas</w:t>
      </w:r>
      <w:r>
        <w:rPr>
          <w:spacing w:val="-27"/>
        </w:rPr>
        <w:t> </w:t>
      </w:r>
      <w:r>
        <w:rPr/>
        <w:t>blancas.</w:t>
      </w:r>
    </w:p>
    <w:p>
      <w:pPr>
        <w:pStyle w:val="BodyText"/>
        <w:rPr>
          <w:sz w:val="20"/>
        </w:rPr>
      </w:pPr>
    </w:p>
    <w:p>
      <w:pPr>
        <w:pStyle w:val="BodyText"/>
        <w:rPr>
          <w:sz w:val="20"/>
        </w:rPr>
      </w:pPr>
    </w:p>
    <w:p>
      <w:pPr>
        <w:pStyle w:val="BodyText"/>
        <w:spacing w:before="3"/>
        <w:rPr>
          <w:sz w:val="25"/>
        </w:rPr>
      </w:pPr>
      <w:r>
        <w:rPr/>
        <w:drawing>
          <wp:anchor distT="0" distB="0" distL="0" distR="0" allowOverlap="1" layoutInCell="1" locked="0" behindDoc="0" simplePos="0" relativeHeight="3064">
            <wp:simplePos x="0" y="0"/>
            <wp:positionH relativeFrom="page">
              <wp:posOffset>2086229</wp:posOffset>
            </wp:positionH>
            <wp:positionV relativeFrom="paragraph">
              <wp:posOffset>209699</wp:posOffset>
            </wp:positionV>
            <wp:extent cx="3614138" cy="1796796"/>
            <wp:effectExtent l="0" t="0" r="0" b="0"/>
            <wp:wrapTopAndBottom/>
            <wp:docPr id="105" name="image67.png" descr=""/>
            <wp:cNvGraphicFramePr>
              <a:graphicFrameLocks noChangeAspect="1"/>
            </wp:cNvGraphicFramePr>
            <a:graphic>
              <a:graphicData uri="http://schemas.openxmlformats.org/drawingml/2006/picture">
                <pic:pic>
                  <pic:nvPicPr>
                    <pic:cNvPr id="106" name="image67.png"/>
                    <pic:cNvPicPr/>
                  </pic:nvPicPr>
                  <pic:blipFill>
                    <a:blip r:embed="rId115" cstate="print"/>
                    <a:stretch>
                      <a:fillRect/>
                    </a:stretch>
                  </pic:blipFill>
                  <pic:spPr>
                    <a:xfrm>
                      <a:off x="0" y="0"/>
                      <a:ext cx="3614138" cy="1796796"/>
                    </a:xfrm>
                    <a:prstGeom prst="rect">
                      <a:avLst/>
                    </a:prstGeom>
                  </pic:spPr>
                </pic:pic>
              </a:graphicData>
            </a:graphic>
          </wp:anchor>
        </w:drawing>
      </w:r>
      <w:r>
        <w:rPr/>
        <w:pict>
          <v:group style="position:absolute;margin-left:164.270004pt;margin-top:164.951767pt;width:285pt;height:141.7pt;mso-position-horizontal-relative:page;mso-position-vertical-relative:paragraph;z-index:3088;mso-wrap-distance-left:0;mso-wrap-distance-right:0" coordorigin="3285,3299" coordsize="5700,2834">
            <v:shape style="position:absolute;left:3285;top:3299;width:5699;height:2834" type="#_x0000_t75" stroked="false">
              <v:imagedata r:id="rId116" o:title=""/>
            </v:shape>
            <v:shape style="position:absolute;left:6884;top:4509;width:344;height:169" type="#_x0000_t75" stroked="false">
              <v:imagedata r:id="rId117" o:title=""/>
            </v:shape>
            <v:shape style="position:absolute;left:8118;top:4823;width:297;height:311" type="#_x0000_t75" stroked="false">
              <v:imagedata r:id="rId118" o:title=""/>
            </v:shape>
            <w10:wrap type="topAndBottom"/>
          </v:group>
        </w:pict>
      </w:r>
      <w:r>
        <w:rPr/>
        <w:pict>
          <v:group style="position:absolute;margin-left:164.270004pt;margin-top:313.391754pt;width:285pt;height:141.7pt;mso-position-horizontal-relative:page;mso-position-vertical-relative:paragraph;z-index:3112;mso-wrap-distance-left:0;mso-wrap-distance-right:0" coordorigin="3285,6268" coordsize="5700,2834">
            <v:shape style="position:absolute;left:3285;top:6268;width:5699;height:2834" type="#_x0000_t75" stroked="false">
              <v:imagedata r:id="rId119" o:title=""/>
            </v:shape>
            <v:shape style="position:absolute;left:7608;top:7827;width:344;height:169" type="#_x0000_t75" stroked="false">
              <v:imagedata r:id="rId120" o:title=""/>
            </v:shape>
            <v:shape style="position:absolute;left:6517;top:7984;width:320;height:165" type="#_x0000_t75" stroked="false">
              <v:imagedata r:id="rId121" o:title=""/>
            </v:shape>
            <w10:wrap type="topAndBottom"/>
          </v:group>
        </w:pict>
      </w:r>
    </w:p>
    <w:p>
      <w:pPr>
        <w:pStyle w:val="BodyText"/>
        <w:spacing w:before="2"/>
        <w:rPr>
          <w:sz w:val="6"/>
        </w:rPr>
      </w:pPr>
    </w:p>
    <w:p>
      <w:pPr>
        <w:pStyle w:val="BodyText"/>
        <w:spacing w:before="9"/>
        <w:rPr>
          <w:sz w:val="5"/>
        </w:rPr>
      </w:pPr>
    </w:p>
    <w:p>
      <w:pPr>
        <w:pStyle w:val="BodyText"/>
        <w:spacing w:before="102"/>
        <w:ind w:left="726" w:right="41"/>
      </w:pPr>
      <w:r>
        <w:rPr>
          <w:b/>
        </w:rPr>
        <w:t>Figura A7. </w:t>
      </w:r>
      <w:r>
        <w:rPr/>
        <w:t>Micrografías de SEM de nanocompositos por inyección en base a grafeno.</w:t>
      </w:r>
    </w:p>
    <w:p>
      <w:pPr>
        <w:spacing w:after="0"/>
        <w:sectPr>
          <w:pgSz w:w="12240" w:h="15840"/>
          <w:pgMar w:header="983" w:footer="1062" w:top="1180" w:bottom="1260" w:left="1580" w:right="1560"/>
        </w:sectPr>
      </w:pPr>
    </w:p>
    <w:p>
      <w:pPr>
        <w:pStyle w:val="BodyText"/>
        <w:spacing w:before="2"/>
        <w:rPr>
          <w:sz w:val="21"/>
        </w:rPr>
      </w:pPr>
    </w:p>
    <w:p>
      <w:pPr>
        <w:pStyle w:val="BodyText"/>
        <w:spacing w:line="355" w:lineRule="auto" w:before="72"/>
        <w:ind w:left="122" w:right="140" w:firstLine="283"/>
        <w:jc w:val="both"/>
      </w:pPr>
      <w:r>
        <w:rPr/>
        <w:t>En la Tabla A1 se muestran los valores de los espaciamientos de las cadenas del polímero ordenadas a través de puentes de hidrogeno (d</w:t>
      </w:r>
      <w:r>
        <w:rPr>
          <w:position w:val="-2"/>
          <w:sz w:val="14"/>
        </w:rPr>
        <w:t>(100)</w:t>
      </w:r>
      <w:r>
        <w:rPr/>
        <w:t>) y el espaciamiento entre capas y capas de estas de estas cadenas (d</w:t>
      </w:r>
      <w:r>
        <w:rPr>
          <w:spacing w:val="-41"/>
        </w:rPr>
        <w:t> </w:t>
      </w:r>
      <w:r>
        <w:rPr>
          <w:position w:val="-2"/>
          <w:sz w:val="14"/>
        </w:rPr>
        <w:t>(010/110)</w:t>
      </w:r>
      <w:r>
        <w:rPr/>
        <w:t>), los cuales fueron obtenidos a través de la Ley de Bragg.</w:t>
      </w:r>
    </w:p>
    <w:p>
      <w:pPr>
        <w:pStyle w:val="BodyText"/>
        <w:spacing w:before="1"/>
        <w:rPr>
          <w:sz w:val="32"/>
        </w:rPr>
      </w:pPr>
    </w:p>
    <w:p>
      <w:pPr>
        <w:pStyle w:val="BodyText"/>
        <w:ind w:left="719" w:right="41"/>
      </w:pPr>
      <w:r>
        <w:rPr>
          <w:b/>
        </w:rPr>
        <w:t>Tabla A1. </w:t>
      </w:r>
      <w:r>
        <w:rPr/>
        <w:t>Espaciamientos de los planos de difracción del nylon 6,6 y nanocompositos</w:t>
      </w:r>
    </w:p>
    <w:p>
      <w:pPr>
        <w:pStyle w:val="BodyText"/>
        <w:spacing w:before="8"/>
        <w:rPr>
          <w:sz w:val="17"/>
        </w:rPr>
      </w:pPr>
      <w:r>
        <w:rPr/>
        <w:pict>
          <v:group style="position:absolute;margin-left:89.299004pt;margin-top:12.135612pt;width:433.55pt;height:1.45pt;mso-position-horizontal-relative:page;mso-position-vertical-relative:paragraph;z-index:3136;mso-wrap-distance-left:0;mso-wrap-distance-right:0" coordorigin="1786,243" coordsize="8671,29">
            <v:line style="position:absolute" from="1800,257" to="3612,257" stroked="true" strokeweight="1.44pt" strokecolor="#000000"/>
            <v:line style="position:absolute" from="3612,257" to="3641,257" stroked="true" strokeweight="1.44pt" strokecolor="#000000"/>
            <v:line style="position:absolute" from="3641,257" to="7026,257" stroked="true" strokeweight="1.44pt" strokecolor="#000000"/>
            <v:line style="position:absolute" from="7026,257" to="7055,257" stroked="true" strokeweight="1.44pt" strokecolor="#000000"/>
            <v:line style="position:absolute" from="7055,257" to="10442,257" stroked="true" strokeweight="1.44pt" strokecolor="#000000"/>
            <w10:wrap type="topAndBottom"/>
          </v:group>
        </w:pict>
      </w:r>
    </w:p>
    <w:p>
      <w:pPr>
        <w:pStyle w:val="Heading5"/>
        <w:tabs>
          <w:tab w:pos="6168" w:val="left" w:leader="none"/>
        </w:tabs>
        <w:spacing w:before="34" w:after="5"/>
        <w:ind w:left="3012" w:right="41"/>
        <w:rPr>
          <w:i/>
        </w:rPr>
      </w:pPr>
      <w:r>
        <w:rPr>
          <w:i/>
        </w:rPr>
        <w:t>Electrospinning</w:t>
        <w:tab/>
        <w:t>Moldeo por</w:t>
      </w:r>
      <w:r>
        <w:rPr>
          <w:i/>
          <w:spacing w:val="-2"/>
        </w:rPr>
        <w:t> </w:t>
      </w:r>
      <w:r>
        <w:rPr>
          <w:i/>
        </w:rPr>
        <w:t>inyección</w:t>
      </w:r>
    </w:p>
    <w:tbl>
      <w:tblPr>
        <w:tblW w:w="0" w:type="auto"/>
        <w:jc w:val="left"/>
        <w:tblInd w:w="2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26"/>
        <w:gridCol w:w="569"/>
        <w:gridCol w:w="670"/>
        <w:gridCol w:w="468"/>
        <w:gridCol w:w="569"/>
        <w:gridCol w:w="569"/>
        <w:gridCol w:w="569"/>
        <w:gridCol w:w="569"/>
        <w:gridCol w:w="670"/>
        <w:gridCol w:w="469"/>
        <w:gridCol w:w="570"/>
        <w:gridCol w:w="569"/>
        <w:gridCol w:w="569"/>
      </w:tblGrid>
      <w:tr>
        <w:trPr>
          <w:trHeight w:val="330" w:hRule="exact"/>
        </w:trPr>
        <w:tc>
          <w:tcPr>
            <w:tcW w:w="1826" w:type="dxa"/>
          </w:tcPr>
          <w:p>
            <w:pPr/>
          </w:p>
        </w:tc>
        <w:tc>
          <w:tcPr>
            <w:tcW w:w="1239" w:type="dxa"/>
            <w:gridSpan w:val="2"/>
            <w:tcBorders>
              <w:top w:val="single" w:sz="4" w:space="0" w:color="000000"/>
              <w:bottom w:val="single" w:sz="4" w:space="0" w:color="000000"/>
            </w:tcBorders>
          </w:tcPr>
          <w:p>
            <w:pPr>
              <w:pStyle w:val="TableParagraph"/>
              <w:spacing w:before="62"/>
              <w:ind w:left="454" w:right="-28"/>
              <w:jc w:val="left"/>
              <w:rPr>
                <w:b/>
                <w:i/>
                <w:sz w:val="22"/>
              </w:rPr>
            </w:pPr>
            <w:r>
              <w:rPr>
                <w:b/>
                <w:i/>
                <w:position w:val="3"/>
                <w:sz w:val="22"/>
              </w:rPr>
              <w:t>d</w:t>
            </w:r>
            <w:r>
              <w:rPr>
                <w:b/>
                <w:i/>
                <w:sz w:val="14"/>
              </w:rPr>
              <w:t>(100),</w:t>
            </w:r>
            <w:r>
              <w:rPr>
                <w:b/>
                <w:i/>
                <w:spacing w:val="16"/>
                <w:sz w:val="14"/>
              </w:rPr>
              <w:t> </w:t>
            </w:r>
            <w:r>
              <w:rPr>
                <w:b/>
                <w:i/>
                <w:position w:val="3"/>
                <w:sz w:val="22"/>
              </w:rPr>
              <w:t>nm</w:t>
            </w:r>
          </w:p>
        </w:tc>
        <w:tc>
          <w:tcPr>
            <w:tcW w:w="2174" w:type="dxa"/>
            <w:gridSpan w:val="4"/>
            <w:tcBorders>
              <w:top w:val="single" w:sz="4" w:space="0" w:color="000000"/>
              <w:bottom w:val="single" w:sz="4" w:space="0" w:color="000000"/>
            </w:tcBorders>
          </w:tcPr>
          <w:p>
            <w:pPr>
              <w:pStyle w:val="TableParagraph"/>
              <w:spacing w:before="62"/>
              <w:ind w:left="779"/>
              <w:jc w:val="left"/>
              <w:rPr>
                <w:b/>
                <w:i/>
                <w:sz w:val="22"/>
              </w:rPr>
            </w:pPr>
            <w:r>
              <w:rPr>
                <w:b/>
                <w:i/>
                <w:position w:val="3"/>
                <w:sz w:val="22"/>
              </w:rPr>
              <w:t>d </w:t>
            </w:r>
            <w:r>
              <w:rPr>
                <w:b/>
                <w:i/>
                <w:sz w:val="14"/>
              </w:rPr>
              <w:t>(010/110), </w:t>
            </w:r>
            <w:r>
              <w:rPr>
                <w:b/>
                <w:i/>
                <w:position w:val="3"/>
                <w:sz w:val="22"/>
              </w:rPr>
              <w:t>nm</w:t>
            </w:r>
          </w:p>
        </w:tc>
        <w:tc>
          <w:tcPr>
            <w:tcW w:w="1239" w:type="dxa"/>
            <w:gridSpan w:val="2"/>
            <w:tcBorders>
              <w:top w:val="single" w:sz="2" w:space="0" w:color="000000"/>
              <w:bottom w:val="single" w:sz="2" w:space="0" w:color="000000"/>
            </w:tcBorders>
          </w:tcPr>
          <w:p>
            <w:pPr>
              <w:pStyle w:val="TableParagraph"/>
              <w:spacing w:before="64"/>
              <w:ind w:left="453" w:right="-27"/>
              <w:jc w:val="left"/>
              <w:rPr>
                <w:b/>
                <w:i/>
                <w:sz w:val="22"/>
              </w:rPr>
            </w:pPr>
            <w:r>
              <w:rPr>
                <w:b/>
                <w:i/>
                <w:position w:val="3"/>
                <w:sz w:val="22"/>
              </w:rPr>
              <w:t>d</w:t>
            </w:r>
            <w:r>
              <w:rPr>
                <w:b/>
                <w:i/>
                <w:sz w:val="14"/>
              </w:rPr>
              <w:t>(100),</w:t>
            </w:r>
            <w:r>
              <w:rPr>
                <w:b/>
                <w:i/>
                <w:spacing w:val="16"/>
                <w:sz w:val="14"/>
              </w:rPr>
              <w:t> </w:t>
            </w:r>
            <w:r>
              <w:rPr>
                <w:b/>
                <w:i/>
                <w:position w:val="3"/>
                <w:sz w:val="22"/>
              </w:rPr>
              <w:t>nm</w:t>
            </w:r>
          </w:p>
        </w:tc>
        <w:tc>
          <w:tcPr>
            <w:tcW w:w="2177" w:type="dxa"/>
            <w:gridSpan w:val="4"/>
            <w:tcBorders>
              <w:top w:val="single" w:sz="2" w:space="0" w:color="000000"/>
              <w:bottom w:val="single" w:sz="2" w:space="0" w:color="000000"/>
            </w:tcBorders>
          </w:tcPr>
          <w:p>
            <w:pPr>
              <w:pStyle w:val="TableParagraph"/>
              <w:spacing w:before="64"/>
              <w:ind w:left="781"/>
              <w:jc w:val="left"/>
              <w:rPr>
                <w:b/>
                <w:i/>
                <w:sz w:val="22"/>
              </w:rPr>
            </w:pPr>
            <w:r>
              <w:rPr>
                <w:b/>
                <w:i/>
                <w:position w:val="3"/>
                <w:sz w:val="22"/>
              </w:rPr>
              <w:t>d </w:t>
            </w:r>
            <w:r>
              <w:rPr>
                <w:b/>
                <w:i/>
                <w:sz w:val="14"/>
              </w:rPr>
              <w:t>(010/110), </w:t>
            </w:r>
            <w:r>
              <w:rPr>
                <w:b/>
                <w:i/>
                <w:position w:val="3"/>
                <w:sz w:val="22"/>
              </w:rPr>
              <w:t>nm</w:t>
            </w:r>
          </w:p>
        </w:tc>
      </w:tr>
      <w:tr>
        <w:trPr>
          <w:trHeight w:val="333" w:hRule="exact"/>
        </w:trPr>
        <w:tc>
          <w:tcPr>
            <w:tcW w:w="1826" w:type="dxa"/>
          </w:tcPr>
          <w:p>
            <w:pPr>
              <w:pStyle w:val="TableParagraph"/>
              <w:spacing w:before="38"/>
              <w:ind w:left="458" w:right="447"/>
              <w:rPr>
                <w:b/>
                <w:i/>
                <w:sz w:val="22"/>
              </w:rPr>
            </w:pPr>
            <w:r>
              <w:rPr>
                <w:b/>
                <w:i/>
                <w:sz w:val="22"/>
              </w:rPr>
              <w:t>Nylon 6,6</w:t>
            </w:r>
          </w:p>
        </w:tc>
        <w:tc>
          <w:tcPr>
            <w:tcW w:w="1239" w:type="dxa"/>
            <w:gridSpan w:val="2"/>
            <w:tcBorders>
              <w:top w:val="single" w:sz="4" w:space="0" w:color="000000"/>
              <w:bottom w:val="single" w:sz="2" w:space="0" w:color="000000"/>
            </w:tcBorders>
          </w:tcPr>
          <w:p>
            <w:pPr>
              <w:pStyle w:val="TableParagraph"/>
              <w:spacing w:line="249" w:lineRule="exact"/>
              <w:ind w:left="660" w:right="-28"/>
              <w:jc w:val="left"/>
              <w:rPr>
                <w:sz w:val="22"/>
              </w:rPr>
            </w:pPr>
            <w:r>
              <w:rPr>
                <w:sz w:val="22"/>
              </w:rPr>
              <w:t>0.44</w:t>
            </w:r>
          </w:p>
        </w:tc>
        <w:tc>
          <w:tcPr>
            <w:tcW w:w="2174" w:type="dxa"/>
            <w:gridSpan w:val="4"/>
            <w:tcBorders>
              <w:top w:val="single" w:sz="4" w:space="0" w:color="000000"/>
              <w:bottom w:val="single" w:sz="2" w:space="0" w:color="000000"/>
            </w:tcBorders>
          </w:tcPr>
          <w:p>
            <w:pPr>
              <w:pStyle w:val="TableParagraph"/>
              <w:spacing w:before="34"/>
              <w:ind w:left="1127"/>
              <w:jc w:val="left"/>
              <w:rPr>
                <w:sz w:val="22"/>
              </w:rPr>
            </w:pPr>
            <w:r>
              <w:rPr>
                <w:sz w:val="22"/>
              </w:rPr>
              <w:t>0.38</w:t>
            </w:r>
          </w:p>
        </w:tc>
        <w:tc>
          <w:tcPr>
            <w:tcW w:w="1239" w:type="dxa"/>
            <w:gridSpan w:val="2"/>
            <w:tcBorders>
              <w:top w:val="single" w:sz="2" w:space="0" w:color="000000"/>
              <w:bottom w:val="single" w:sz="2" w:space="0" w:color="000000"/>
            </w:tcBorders>
          </w:tcPr>
          <w:p>
            <w:pPr>
              <w:pStyle w:val="TableParagraph"/>
              <w:spacing w:before="37"/>
              <w:ind w:left="660" w:right="-27"/>
              <w:jc w:val="left"/>
              <w:rPr>
                <w:sz w:val="22"/>
              </w:rPr>
            </w:pPr>
            <w:r>
              <w:rPr>
                <w:sz w:val="22"/>
              </w:rPr>
              <w:t>0.44</w:t>
            </w:r>
          </w:p>
        </w:tc>
        <w:tc>
          <w:tcPr>
            <w:tcW w:w="2177" w:type="dxa"/>
            <w:gridSpan w:val="4"/>
            <w:tcBorders>
              <w:top w:val="single" w:sz="2" w:space="0" w:color="000000"/>
              <w:bottom w:val="single" w:sz="2" w:space="0" w:color="000000"/>
            </w:tcBorders>
          </w:tcPr>
          <w:p>
            <w:pPr>
              <w:pStyle w:val="TableParagraph"/>
              <w:spacing w:before="37"/>
              <w:ind w:left="1130"/>
              <w:jc w:val="left"/>
              <w:rPr>
                <w:sz w:val="22"/>
              </w:rPr>
            </w:pPr>
            <w:r>
              <w:rPr>
                <w:sz w:val="22"/>
              </w:rPr>
              <w:t>0.40</w:t>
            </w:r>
          </w:p>
        </w:tc>
      </w:tr>
      <w:tr>
        <w:trPr>
          <w:trHeight w:val="607" w:hRule="exact"/>
        </w:trPr>
        <w:tc>
          <w:tcPr>
            <w:tcW w:w="1826" w:type="dxa"/>
          </w:tcPr>
          <w:p>
            <w:pPr>
              <w:pStyle w:val="TableParagraph"/>
              <w:spacing w:before="10"/>
              <w:jc w:val="left"/>
              <w:rPr>
                <w:b/>
                <w:i/>
                <w:sz w:val="17"/>
              </w:rPr>
            </w:pPr>
          </w:p>
          <w:p>
            <w:pPr>
              <w:pStyle w:val="TableParagraph"/>
              <w:ind w:left="458" w:right="447"/>
              <w:rPr>
                <w:b/>
                <w:i/>
                <w:sz w:val="22"/>
              </w:rPr>
            </w:pPr>
            <w:r>
              <w:rPr>
                <w:b/>
                <w:i/>
                <w:sz w:val="22"/>
              </w:rPr>
              <w:t>Refuerzo</w:t>
            </w:r>
          </w:p>
        </w:tc>
        <w:tc>
          <w:tcPr>
            <w:tcW w:w="1239" w:type="dxa"/>
            <w:gridSpan w:val="2"/>
          </w:tcPr>
          <w:p>
            <w:pPr>
              <w:pStyle w:val="TableParagraph"/>
              <w:spacing w:before="1"/>
              <w:ind w:left="533" w:right="-28"/>
              <w:jc w:val="left"/>
              <w:rPr>
                <w:b/>
                <w:i/>
                <w:sz w:val="22"/>
              </w:rPr>
            </w:pPr>
            <w:r>
              <w:rPr>
                <w:b/>
                <w:i/>
                <w:sz w:val="22"/>
              </w:rPr>
              <w:t>% peso</w:t>
            </w:r>
          </w:p>
          <w:p>
            <w:pPr>
              <w:pStyle w:val="TableParagraph"/>
              <w:tabs>
                <w:tab w:pos="146" w:val="left" w:leader="none"/>
                <w:tab w:pos="715" w:val="left" w:leader="none"/>
                <w:tab w:pos="1366" w:val="left" w:leader="none"/>
              </w:tabs>
              <w:spacing w:before="119"/>
              <w:ind w:left="-1812" w:right="-127"/>
              <w:jc w:val="left"/>
              <w:rPr>
                <w:i/>
                <w:sz w:val="22"/>
              </w:rPr>
            </w:pPr>
            <w:r>
              <w:rPr>
                <w:i/>
                <w:w w:val="100"/>
                <w:sz w:val="22"/>
                <w:u w:val="thick"/>
              </w:rPr>
              <w:t> </w:t>
            </w:r>
            <w:r>
              <w:rPr>
                <w:i/>
                <w:sz w:val="22"/>
                <w:u w:val="thick"/>
              </w:rPr>
              <w:tab/>
              <w:t>0.1</w:t>
              <w:tab/>
              <w:t>0.5</w:t>
              <w:tab/>
            </w:r>
          </w:p>
        </w:tc>
        <w:tc>
          <w:tcPr>
            <w:tcW w:w="468" w:type="dxa"/>
          </w:tcPr>
          <w:p>
            <w:pPr>
              <w:pStyle w:val="TableParagraph"/>
              <w:spacing w:before="5"/>
              <w:jc w:val="left"/>
              <w:rPr>
                <w:b/>
                <w:i/>
                <w:sz w:val="32"/>
              </w:rPr>
            </w:pPr>
          </w:p>
          <w:p>
            <w:pPr>
              <w:pStyle w:val="TableParagraph"/>
              <w:tabs>
                <w:tab w:pos="613" w:val="left" w:leader="none"/>
              </w:tabs>
              <w:ind w:left="126" w:right="-147"/>
              <w:jc w:val="left"/>
              <w:rPr>
                <w:i/>
                <w:sz w:val="22"/>
              </w:rPr>
            </w:pPr>
            <w:r>
              <w:rPr>
                <w:i/>
                <w:sz w:val="22"/>
                <w:u w:val="thick"/>
              </w:rPr>
              <w:t>1</w:t>
              <w:tab/>
            </w:r>
          </w:p>
        </w:tc>
        <w:tc>
          <w:tcPr>
            <w:tcW w:w="1707" w:type="dxa"/>
            <w:gridSpan w:val="3"/>
          </w:tcPr>
          <w:p>
            <w:pPr>
              <w:pStyle w:val="TableParagraph"/>
              <w:spacing w:before="33"/>
              <w:ind w:left="532"/>
              <w:jc w:val="left"/>
              <w:rPr>
                <w:b/>
                <w:i/>
                <w:sz w:val="22"/>
              </w:rPr>
            </w:pPr>
            <w:r>
              <w:rPr>
                <w:b/>
                <w:i/>
                <w:sz w:val="22"/>
              </w:rPr>
              <w:t>% peso</w:t>
            </w:r>
          </w:p>
          <w:p>
            <w:pPr>
              <w:pStyle w:val="TableParagraph"/>
              <w:tabs>
                <w:tab w:pos="715" w:val="left" w:leader="none"/>
                <w:tab w:pos="1365" w:val="left" w:leader="none"/>
                <w:tab w:pos="1853" w:val="left" w:leader="none"/>
              </w:tabs>
              <w:spacing w:before="88"/>
              <w:ind w:left="146" w:right="-147"/>
              <w:jc w:val="left"/>
              <w:rPr>
                <w:i/>
                <w:sz w:val="22"/>
              </w:rPr>
            </w:pPr>
            <w:r>
              <w:rPr>
                <w:i/>
                <w:sz w:val="22"/>
                <w:u w:val="thick"/>
              </w:rPr>
              <w:t>0.1</w:t>
              <w:tab/>
              <w:t>0.5</w:t>
              <w:tab/>
              <w:t>1</w:t>
              <w:tab/>
            </w:r>
          </w:p>
        </w:tc>
        <w:tc>
          <w:tcPr>
            <w:tcW w:w="1239" w:type="dxa"/>
            <w:gridSpan w:val="2"/>
          </w:tcPr>
          <w:p>
            <w:pPr>
              <w:pStyle w:val="TableParagraph"/>
              <w:spacing w:before="33"/>
              <w:ind w:left="532" w:right="-27"/>
              <w:jc w:val="left"/>
              <w:rPr>
                <w:b/>
                <w:i/>
                <w:sz w:val="22"/>
              </w:rPr>
            </w:pPr>
            <w:r>
              <w:rPr>
                <w:b/>
                <w:i/>
                <w:sz w:val="22"/>
              </w:rPr>
              <w:t>% peso</w:t>
            </w:r>
          </w:p>
          <w:p>
            <w:pPr>
              <w:pStyle w:val="TableParagraph"/>
              <w:tabs>
                <w:tab w:pos="715" w:val="left" w:leader="none"/>
                <w:tab w:pos="1284" w:val="left" w:leader="none"/>
              </w:tabs>
              <w:spacing w:line="242" w:lineRule="exact" w:before="119"/>
              <w:ind w:left="146" w:right="-46"/>
              <w:jc w:val="left"/>
              <w:rPr>
                <w:i/>
                <w:sz w:val="22"/>
              </w:rPr>
            </w:pPr>
            <w:r>
              <w:rPr>
                <w:i/>
                <w:sz w:val="22"/>
                <w:u w:val="thick"/>
              </w:rPr>
              <w:t>0.1</w:t>
              <w:tab/>
              <w:t>0.3</w:t>
              <w:tab/>
            </w:r>
          </w:p>
        </w:tc>
        <w:tc>
          <w:tcPr>
            <w:tcW w:w="469" w:type="dxa"/>
          </w:tcPr>
          <w:p>
            <w:pPr>
              <w:pStyle w:val="TableParagraph"/>
              <w:jc w:val="left"/>
              <w:rPr>
                <w:b/>
                <w:i/>
                <w:sz w:val="22"/>
              </w:rPr>
            </w:pPr>
          </w:p>
          <w:p>
            <w:pPr>
              <w:pStyle w:val="TableParagraph"/>
              <w:tabs>
                <w:tab w:pos="616" w:val="left" w:leader="none"/>
              </w:tabs>
              <w:spacing w:line="242" w:lineRule="exact" w:before="152"/>
              <w:ind w:left="45" w:right="-148"/>
              <w:jc w:val="left"/>
              <w:rPr>
                <w:i/>
                <w:sz w:val="22"/>
              </w:rPr>
            </w:pPr>
            <w:r>
              <w:rPr>
                <w:i/>
                <w:sz w:val="22"/>
                <w:u w:val="thick"/>
              </w:rPr>
              <w:t>0.5</w:t>
              <w:tab/>
            </w:r>
          </w:p>
        </w:tc>
        <w:tc>
          <w:tcPr>
            <w:tcW w:w="1708" w:type="dxa"/>
            <w:gridSpan w:val="3"/>
          </w:tcPr>
          <w:p>
            <w:pPr>
              <w:pStyle w:val="TableParagraph"/>
              <w:spacing w:before="33"/>
              <w:ind w:left="2"/>
              <w:rPr>
                <w:b/>
                <w:i/>
                <w:sz w:val="22"/>
              </w:rPr>
            </w:pPr>
            <w:r>
              <w:rPr>
                <w:b/>
                <w:i/>
                <w:sz w:val="22"/>
              </w:rPr>
              <w:t>% peso</w:t>
            </w:r>
          </w:p>
          <w:p>
            <w:pPr>
              <w:pStyle w:val="TableParagraph"/>
              <w:tabs>
                <w:tab w:pos="716" w:val="left" w:leader="none"/>
                <w:tab w:pos="1285" w:val="left" w:leader="none"/>
              </w:tabs>
              <w:spacing w:line="242" w:lineRule="exact" w:before="119"/>
              <w:ind w:left="147"/>
              <w:rPr>
                <w:i/>
                <w:sz w:val="22"/>
              </w:rPr>
            </w:pPr>
            <w:r>
              <w:rPr>
                <w:i/>
                <w:sz w:val="22"/>
                <w:u w:val="thick"/>
              </w:rPr>
              <w:t>0.1</w:t>
              <w:tab/>
              <w:t>0.3</w:t>
              <w:tab/>
              <w:t>0.5</w:t>
            </w:r>
            <w:r>
              <w:rPr>
                <w:i/>
                <w:spacing w:val="-19"/>
                <w:sz w:val="22"/>
                <w:u w:val="thick"/>
              </w:rPr>
              <w:t> </w:t>
            </w:r>
          </w:p>
        </w:tc>
      </w:tr>
      <w:tr>
        <w:trPr>
          <w:trHeight w:val="444" w:hRule="exact"/>
        </w:trPr>
        <w:tc>
          <w:tcPr>
            <w:tcW w:w="1826" w:type="dxa"/>
          </w:tcPr>
          <w:p>
            <w:pPr>
              <w:pStyle w:val="TableParagraph"/>
              <w:spacing w:before="124"/>
              <w:ind w:left="458" w:right="447"/>
              <w:rPr>
                <w:b/>
                <w:i/>
                <w:sz w:val="22"/>
              </w:rPr>
            </w:pPr>
            <w:r>
              <w:rPr>
                <w:b/>
                <w:i/>
                <w:sz w:val="22"/>
              </w:rPr>
              <w:t>p-CNT</w:t>
            </w:r>
          </w:p>
        </w:tc>
        <w:tc>
          <w:tcPr>
            <w:tcW w:w="569" w:type="dxa"/>
          </w:tcPr>
          <w:p>
            <w:pPr>
              <w:pStyle w:val="TableParagraph"/>
              <w:spacing w:before="158"/>
              <w:ind w:left="72" w:right="72"/>
              <w:rPr>
                <w:sz w:val="22"/>
              </w:rPr>
            </w:pPr>
            <w:r>
              <w:rPr>
                <w:sz w:val="22"/>
              </w:rPr>
              <w:t>0.44</w:t>
            </w:r>
          </w:p>
        </w:tc>
        <w:tc>
          <w:tcPr>
            <w:tcW w:w="670" w:type="dxa"/>
          </w:tcPr>
          <w:p>
            <w:pPr>
              <w:pStyle w:val="TableParagraph"/>
              <w:spacing w:before="158"/>
              <w:ind w:left="91"/>
              <w:jc w:val="left"/>
              <w:rPr>
                <w:sz w:val="22"/>
              </w:rPr>
            </w:pPr>
            <w:r>
              <w:rPr>
                <w:sz w:val="22"/>
              </w:rPr>
              <w:t>0.44</w:t>
            </w:r>
          </w:p>
        </w:tc>
        <w:tc>
          <w:tcPr>
            <w:tcW w:w="468" w:type="dxa"/>
          </w:tcPr>
          <w:p>
            <w:pPr>
              <w:pStyle w:val="TableParagraph"/>
              <w:spacing w:before="158"/>
              <w:ind w:left="-11" w:right="-147"/>
              <w:jc w:val="left"/>
              <w:rPr>
                <w:sz w:val="22"/>
              </w:rPr>
            </w:pPr>
            <w:r>
              <w:rPr>
                <w:sz w:val="22"/>
              </w:rPr>
              <w:t>0.45</w:t>
            </w:r>
          </w:p>
        </w:tc>
        <w:tc>
          <w:tcPr>
            <w:tcW w:w="569" w:type="dxa"/>
          </w:tcPr>
          <w:p>
            <w:pPr>
              <w:pStyle w:val="TableParagraph"/>
              <w:spacing w:before="158"/>
              <w:ind w:left="71" w:right="71"/>
              <w:rPr>
                <w:sz w:val="22"/>
              </w:rPr>
            </w:pPr>
            <w:r>
              <w:rPr>
                <w:sz w:val="22"/>
              </w:rPr>
              <w:t>0.39</w:t>
            </w:r>
          </w:p>
        </w:tc>
        <w:tc>
          <w:tcPr>
            <w:tcW w:w="569" w:type="dxa"/>
          </w:tcPr>
          <w:p>
            <w:pPr>
              <w:pStyle w:val="TableParagraph"/>
              <w:spacing w:before="158"/>
              <w:ind w:left="71" w:right="71"/>
              <w:rPr>
                <w:sz w:val="22"/>
              </w:rPr>
            </w:pPr>
            <w:r>
              <w:rPr>
                <w:sz w:val="22"/>
              </w:rPr>
              <w:t>0.39</w:t>
            </w:r>
          </w:p>
        </w:tc>
        <w:tc>
          <w:tcPr>
            <w:tcW w:w="569" w:type="dxa"/>
          </w:tcPr>
          <w:p>
            <w:pPr>
              <w:pStyle w:val="TableParagraph"/>
              <w:spacing w:before="158"/>
              <w:ind w:left="72" w:right="72"/>
              <w:rPr>
                <w:sz w:val="22"/>
              </w:rPr>
            </w:pPr>
            <w:r>
              <w:rPr>
                <w:sz w:val="22"/>
              </w:rPr>
              <w:t>0.39</w:t>
            </w:r>
          </w:p>
        </w:tc>
        <w:tc>
          <w:tcPr>
            <w:tcW w:w="569" w:type="dxa"/>
          </w:tcPr>
          <w:p>
            <w:pPr>
              <w:pStyle w:val="TableParagraph"/>
              <w:spacing w:before="158"/>
              <w:ind w:left="72" w:right="72"/>
              <w:rPr>
                <w:sz w:val="22"/>
              </w:rPr>
            </w:pPr>
            <w:r>
              <w:rPr>
                <w:sz w:val="22"/>
              </w:rPr>
              <w:t>0.44</w:t>
            </w:r>
          </w:p>
        </w:tc>
        <w:tc>
          <w:tcPr>
            <w:tcW w:w="670" w:type="dxa"/>
          </w:tcPr>
          <w:p>
            <w:pPr>
              <w:pStyle w:val="TableParagraph"/>
              <w:spacing w:before="158"/>
              <w:ind w:left="91"/>
              <w:jc w:val="left"/>
              <w:rPr>
                <w:sz w:val="22"/>
              </w:rPr>
            </w:pPr>
            <w:r>
              <w:rPr>
                <w:sz w:val="22"/>
              </w:rPr>
              <w:t>0.44</w:t>
            </w:r>
          </w:p>
        </w:tc>
        <w:tc>
          <w:tcPr>
            <w:tcW w:w="469" w:type="dxa"/>
          </w:tcPr>
          <w:p>
            <w:pPr>
              <w:pStyle w:val="TableParagraph"/>
              <w:spacing w:before="158"/>
              <w:ind w:left="-11"/>
              <w:jc w:val="left"/>
              <w:rPr>
                <w:sz w:val="22"/>
              </w:rPr>
            </w:pPr>
            <w:r>
              <w:rPr>
                <w:sz w:val="22"/>
              </w:rPr>
              <w:t>0.44</w:t>
            </w:r>
          </w:p>
        </w:tc>
        <w:tc>
          <w:tcPr>
            <w:tcW w:w="570" w:type="dxa"/>
          </w:tcPr>
          <w:p>
            <w:pPr>
              <w:pStyle w:val="TableParagraph"/>
              <w:spacing w:before="158"/>
              <w:ind w:left="72" w:right="72"/>
              <w:rPr>
                <w:sz w:val="22"/>
              </w:rPr>
            </w:pPr>
            <w:r>
              <w:rPr>
                <w:sz w:val="22"/>
              </w:rPr>
              <w:t>0.39</w:t>
            </w:r>
          </w:p>
        </w:tc>
        <w:tc>
          <w:tcPr>
            <w:tcW w:w="569" w:type="dxa"/>
          </w:tcPr>
          <w:p>
            <w:pPr>
              <w:pStyle w:val="TableParagraph"/>
              <w:spacing w:before="158"/>
              <w:ind w:left="72" w:right="72"/>
              <w:rPr>
                <w:sz w:val="22"/>
              </w:rPr>
            </w:pPr>
            <w:r>
              <w:rPr>
                <w:sz w:val="22"/>
              </w:rPr>
              <w:t>0.39</w:t>
            </w:r>
          </w:p>
        </w:tc>
        <w:tc>
          <w:tcPr>
            <w:tcW w:w="569" w:type="dxa"/>
          </w:tcPr>
          <w:p>
            <w:pPr>
              <w:pStyle w:val="TableParagraph"/>
              <w:spacing w:before="158"/>
              <w:ind w:left="71" w:right="71"/>
              <w:rPr>
                <w:sz w:val="22"/>
              </w:rPr>
            </w:pPr>
            <w:r>
              <w:rPr>
                <w:sz w:val="22"/>
              </w:rPr>
              <w:t>0.39</w:t>
            </w:r>
          </w:p>
        </w:tc>
      </w:tr>
      <w:tr>
        <w:trPr>
          <w:trHeight w:val="330" w:hRule="exact"/>
        </w:trPr>
        <w:tc>
          <w:tcPr>
            <w:tcW w:w="1826" w:type="dxa"/>
          </w:tcPr>
          <w:p>
            <w:pPr>
              <w:pStyle w:val="TableParagraph"/>
              <w:spacing w:before="9"/>
              <w:ind w:left="455" w:right="447"/>
              <w:rPr>
                <w:b/>
                <w:i/>
                <w:sz w:val="22"/>
              </w:rPr>
            </w:pPr>
            <w:r>
              <w:rPr>
                <w:b/>
                <w:i/>
                <w:sz w:val="22"/>
              </w:rPr>
              <w:t>OCNT</w:t>
            </w:r>
          </w:p>
        </w:tc>
        <w:tc>
          <w:tcPr>
            <w:tcW w:w="569" w:type="dxa"/>
          </w:tcPr>
          <w:p>
            <w:pPr>
              <w:pStyle w:val="TableParagraph"/>
              <w:spacing w:before="43"/>
              <w:ind w:left="72" w:right="72"/>
              <w:rPr>
                <w:sz w:val="22"/>
              </w:rPr>
            </w:pPr>
            <w:r>
              <w:rPr>
                <w:sz w:val="22"/>
              </w:rPr>
              <w:t>0.44</w:t>
            </w:r>
          </w:p>
        </w:tc>
        <w:tc>
          <w:tcPr>
            <w:tcW w:w="670" w:type="dxa"/>
          </w:tcPr>
          <w:p>
            <w:pPr>
              <w:pStyle w:val="TableParagraph"/>
              <w:spacing w:before="43"/>
              <w:ind w:left="91"/>
              <w:jc w:val="left"/>
              <w:rPr>
                <w:sz w:val="22"/>
              </w:rPr>
            </w:pPr>
            <w:r>
              <w:rPr>
                <w:sz w:val="22"/>
              </w:rPr>
              <w:t>0.44</w:t>
            </w:r>
          </w:p>
        </w:tc>
        <w:tc>
          <w:tcPr>
            <w:tcW w:w="468" w:type="dxa"/>
          </w:tcPr>
          <w:p>
            <w:pPr>
              <w:pStyle w:val="TableParagraph"/>
              <w:spacing w:before="43"/>
              <w:ind w:left="-11" w:right="-147"/>
              <w:jc w:val="left"/>
              <w:rPr>
                <w:sz w:val="22"/>
              </w:rPr>
            </w:pPr>
            <w:r>
              <w:rPr>
                <w:sz w:val="22"/>
              </w:rPr>
              <w:t>0.45</w:t>
            </w:r>
          </w:p>
        </w:tc>
        <w:tc>
          <w:tcPr>
            <w:tcW w:w="569" w:type="dxa"/>
          </w:tcPr>
          <w:p>
            <w:pPr>
              <w:pStyle w:val="TableParagraph"/>
              <w:spacing w:before="43"/>
              <w:ind w:left="71" w:right="71"/>
              <w:rPr>
                <w:sz w:val="22"/>
              </w:rPr>
            </w:pPr>
            <w:r>
              <w:rPr>
                <w:sz w:val="22"/>
              </w:rPr>
              <w:t>0.38</w:t>
            </w:r>
          </w:p>
        </w:tc>
        <w:tc>
          <w:tcPr>
            <w:tcW w:w="569" w:type="dxa"/>
          </w:tcPr>
          <w:p>
            <w:pPr>
              <w:pStyle w:val="TableParagraph"/>
              <w:spacing w:before="43"/>
              <w:ind w:left="71" w:right="71"/>
              <w:rPr>
                <w:sz w:val="22"/>
              </w:rPr>
            </w:pPr>
            <w:r>
              <w:rPr>
                <w:sz w:val="22"/>
              </w:rPr>
              <w:t>0.39</w:t>
            </w:r>
          </w:p>
        </w:tc>
        <w:tc>
          <w:tcPr>
            <w:tcW w:w="569" w:type="dxa"/>
          </w:tcPr>
          <w:p>
            <w:pPr>
              <w:pStyle w:val="TableParagraph"/>
              <w:spacing w:before="43"/>
              <w:ind w:left="72" w:right="72"/>
              <w:rPr>
                <w:sz w:val="22"/>
              </w:rPr>
            </w:pPr>
            <w:r>
              <w:rPr>
                <w:sz w:val="22"/>
              </w:rPr>
              <w:t>0.39</w:t>
            </w:r>
          </w:p>
        </w:tc>
        <w:tc>
          <w:tcPr>
            <w:tcW w:w="569" w:type="dxa"/>
          </w:tcPr>
          <w:p>
            <w:pPr>
              <w:pStyle w:val="TableParagraph"/>
              <w:spacing w:before="43"/>
              <w:ind w:left="72" w:right="72"/>
              <w:rPr>
                <w:sz w:val="22"/>
              </w:rPr>
            </w:pPr>
            <w:r>
              <w:rPr>
                <w:sz w:val="22"/>
              </w:rPr>
              <w:t>0.43</w:t>
            </w:r>
          </w:p>
        </w:tc>
        <w:tc>
          <w:tcPr>
            <w:tcW w:w="670" w:type="dxa"/>
          </w:tcPr>
          <w:p>
            <w:pPr>
              <w:pStyle w:val="TableParagraph"/>
              <w:spacing w:before="43"/>
              <w:ind w:left="91"/>
              <w:jc w:val="left"/>
              <w:rPr>
                <w:sz w:val="22"/>
              </w:rPr>
            </w:pPr>
            <w:r>
              <w:rPr>
                <w:sz w:val="22"/>
              </w:rPr>
              <w:t>0.44</w:t>
            </w:r>
          </w:p>
        </w:tc>
        <w:tc>
          <w:tcPr>
            <w:tcW w:w="469" w:type="dxa"/>
          </w:tcPr>
          <w:p>
            <w:pPr>
              <w:pStyle w:val="TableParagraph"/>
              <w:spacing w:before="43"/>
              <w:ind w:left="-11"/>
              <w:jc w:val="left"/>
              <w:rPr>
                <w:sz w:val="22"/>
              </w:rPr>
            </w:pPr>
            <w:r>
              <w:rPr>
                <w:sz w:val="22"/>
              </w:rPr>
              <w:t>0.44</w:t>
            </w:r>
          </w:p>
        </w:tc>
        <w:tc>
          <w:tcPr>
            <w:tcW w:w="570" w:type="dxa"/>
          </w:tcPr>
          <w:p>
            <w:pPr>
              <w:pStyle w:val="TableParagraph"/>
              <w:spacing w:before="43"/>
              <w:ind w:left="72" w:right="72"/>
              <w:rPr>
                <w:sz w:val="22"/>
              </w:rPr>
            </w:pPr>
            <w:r>
              <w:rPr>
                <w:sz w:val="22"/>
              </w:rPr>
              <w:t>0.39</w:t>
            </w:r>
          </w:p>
        </w:tc>
        <w:tc>
          <w:tcPr>
            <w:tcW w:w="569" w:type="dxa"/>
          </w:tcPr>
          <w:p>
            <w:pPr>
              <w:pStyle w:val="TableParagraph"/>
              <w:spacing w:before="43"/>
              <w:ind w:left="72" w:right="72"/>
              <w:rPr>
                <w:sz w:val="22"/>
              </w:rPr>
            </w:pPr>
            <w:r>
              <w:rPr>
                <w:sz w:val="22"/>
              </w:rPr>
              <w:t>0.39</w:t>
            </w:r>
          </w:p>
        </w:tc>
        <w:tc>
          <w:tcPr>
            <w:tcW w:w="569" w:type="dxa"/>
          </w:tcPr>
          <w:p>
            <w:pPr>
              <w:pStyle w:val="TableParagraph"/>
              <w:spacing w:before="43"/>
              <w:ind w:left="71" w:right="71"/>
              <w:rPr>
                <w:sz w:val="22"/>
              </w:rPr>
            </w:pPr>
            <w:r>
              <w:rPr>
                <w:sz w:val="22"/>
              </w:rPr>
              <w:t>0.39</w:t>
            </w:r>
          </w:p>
        </w:tc>
      </w:tr>
      <w:tr>
        <w:trPr>
          <w:trHeight w:val="330" w:hRule="exact"/>
        </w:trPr>
        <w:tc>
          <w:tcPr>
            <w:tcW w:w="1826" w:type="dxa"/>
          </w:tcPr>
          <w:p>
            <w:pPr>
              <w:pStyle w:val="TableParagraph"/>
              <w:spacing w:before="10"/>
              <w:ind w:left="458" w:right="444"/>
              <w:rPr>
                <w:b/>
                <w:i/>
                <w:sz w:val="22"/>
              </w:rPr>
            </w:pPr>
            <w:r>
              <w:rPr>
                <w:b/>
                <w:i/>
                <w:sz w:val="22"/>
              </w:rPr>
              <w:t>f-CNT</w:t>
            </w:r>
          </w:p>
        </w:tc>
        <w:tc>
          <w:tcPr>
            <w:tcW w:w="569" w:type="dxa"/>
          </w:tcPr>
          <w:p>
            <w:pPr>
              <w:pStyle w:val="TableParagraph"/>
              <w:spacing w:before="44"/>
              <w:ind w:left="72" w:right="72"/>
              <w:rPr>
                <w:sz w:val="22"/>
              </w:rPr>
            </w:pPr>
            <w:r>
              <w:rPr>
                <w:sz w:val="22"/>
              </w:rPr>
              <w:t>0.44</w:t>
            </w:r>
          </w:p>
        </w:tc>
        <w:tc>
          <w:tcPr>
            <w:tcW w:w="670" w:type="dxa"/>
          </w:tcPr>
          <w:p>
            <w:pPr>
              <w:pStyle w:val="TableParagraph"/>
              <w:spacing w:before="44"/>
              <w:ind w:left="91"/>
              <w:jc w:val="left"/>
              <w:rPr>
                <w:sz w:val="22"/>
              </w:rPr>
            </w:pPr>
            <w:r>
              <w:rPr>
                <w:sz w:val="22"/>
              </w:rPr>
              <w:t>0.44</w:t>
            </w:r>
          </w:p>
        </w:tc>
        <w:tc>
          <w:tcPr>
            <w:tcW w:w="468" w:type="dxa"/>
          </w:tcPr>
          <w:p>
            <w:pPr>
              <w:pStyle w:val="TableParagraph"/>
              <w:spacing w:before="44"/>
              <w:ind w:left="-11" w:right="-147"/>
              <w:jc w:val="left"/>
              <w:rPr>
                <w:sz w:val="22"/>
              </w:rPr>
            </w:pPr>
            <w:r>
              <w:rPr>
                <w:sz w:val="22"/>
              </w:rPr>
              <w:t>0.44</w:t>
            </w:r>
          </w:p>
        </w:tc>
        <w:tc>
          <w:tcPr>
            <w:tcW w:w="569" w:type="dxa"/>
          </w:tcPr>
          <w:p>
            <w:pPr>
              <w:pStyle w:val="TableParagraph"/>
              <w:spacing w:before="44"/>
              <w:ind w:left="71" w:right="71"/>
              <w:rPr>
                <w:sz w:val="22"/>
              </w:rPr>
            </w:pPr>
            <w:r>
              <w:rPr>
                <w:sz w:val="22"/>
              </w:rPr>
              <w:t>0.38</w:t>
            </w:r>
          </w:p>
        </w:tc>
        <w:tc>
          <w:tcPr>
            <w:tcW w:w="569" w:type="dxa"/>
          </w:tcPr>
          <w:p>
            <w:pPr>
              <w:pStyle w:val="TableParagraph"/>
              <w:spacing w:before="44"/>
              <w:ind w:left="71" w:right="71"/>
              <w:rPr>
                <w:sz w:val="22"/>
              </w:rPr>
            </w:pPr>
            <w:r>
              <w:rPr>
                <w:sz w:val="22"/>
              </w:rPr>
              <w:t>0.38</w:t>
            </w:r>
          </w:p>
        </w:tc>
        <w:tc>
          <w:tcPr>
            <w:tcW w:w="569" w:type="dxa"/>
          </w:tcPr>
          <w:p>
            <w:pPr>
              <w:pStyle w:val="TableParagraph"/>
              <w:spacing w:before="44"/>
              <w:ind w:left="72" w:right="72"/>
              <w:rPr>
                <w:sz w:val="22"/>
              </w:rPr>
            </w:pPr>
            <w:r>
              <w:rPr>
                <w:sz w:val="22"/>
              </w:rPr>
              <w:t>0.38</w:t>
            </w:r>
          </w:p>
        </w:tc>
        <w:tc>
          <w:tcPr>
            <w:tcW w:w="569" w:type="dxa"/>
          </w:tcPr>
          <w:p>
            <w:pPr>
              <w:pStyle w:val="TableParagraph"/>
              <w:spacing w:before="44"/>
              <w:ind w:left="72" w:right="72"/>
              <w:rPr>
                <w:sz w:val="22"/>
              </w:rPr>
            </w:pPr>
            <w:r>
              <w:rPr>
                <w:sz w:val="22"/>
              </w:rPr>
              <w:t>0.44</w:t>
            </w:r>
          </w:p>
        </w:tc>
        <w:tc>
          <w:tcPr>
            <w:tcW w:w="670" w:type="dxa"/>
          </w:tcPr>
          <w:p>
            <w:pPr>
              <w:pStyle w:val="TableParagraph"/>
              <w:spacing w:before="44"/>
              <w:ind w:left="91"/>
              <w:jc w:val="left"/>
              <w:rPr>
                <w:sz w:val="22"/>
              </w:rPr>
            </w:pPr>
            <w:r>
              <w:rPr>
                <w:sz w:val="22"/>
              </w:rPr>
              <w:t>0.44</w:t>
            </w:r>
          </w:p>
        </w:tc>
        <w:tc>
          <w:tcPr>
            <w:tcW w:w="469" w:type="dxa"/>
          </w:tcPr>
          <w:p>
            <w:pPr>
              <w:pStyle w:val="TableParagraph"/>
              <w:spacing w:before="44"/>
              <w:ind w:left="-11"/>
              <w:jc w:val="left"/>
              <w:rPr>
                <w:sz w:val="22"/>
              </w:rPr>
            </w:pPr>
            <w:r>
              <w:rPr>
                <w:sz w:val="22"/>
              </w:rPr>
              <w:t>0.44</w:t>
            </w:r>
          </w:p>
        </w:tc>
        <w:tc>
          <w:tcPr>
            <w:tcW w:w="570" w:type="dxa"/>
          </w:tcPr>
          <w:p>
            <w:pPr>
              <w:pStyle w:val="TableParagraph"/>
              <w:spacing w:before="44"/>
              <w:ind w:left="72" w:right="72"/>
              <w:rPr>
                <w:sz w:val="22"/>
              </w:rPr>
            </w:pPr>
            <w:r>
              <w:rPr>
                <w:sz w:val="22"/>
              </w:rPr>
              <w:t>0.39</w:t>
            </w:r>
          </w:p>
        </w:tc>
        <w:tc>
          <w:tcPr>
            <w:tcW w:w="569" w:type="dxa"/>
          </w:tcPr>
          <w:p>
            <w:pPr>
              <w:pStyle w:val="TableParagraph"/>
              <w:spacing w:before="44"/>
              <w:ind w:left="72" w:right="72"/>
              <w:rPr>
                <w:sz w:val="22"/>
              </w:rPr>
            </w:pPr>
            <w:r>
              <w:rPr>
                <w:sz w:val="22"/>
              </w:rPr>
              <w:t>0.39</w:t>
            </w:r>
          </w:p>
        </w:tc>
        <w:tc>
          <w:tcPr>
            <w:tcW w:w="569" w:type="dxa"/>
          </w:tcPr>
          <w:p>
            <w:pPr>
              <w:pStyle w:val="TableParagraph"/>
              <w:spacing w:before="44"/>
              <w:ind w:left="71" w:right="71"/>
              <w:rPr>
                <w:sz w:val="22"/>
              </w:rPr>
            </w:pPr>
            <w:r>
              <w:rPr>
                <w:sz w:val="22"/>
              </w:rPr>
              <w:t>0.39</w:t>
            </w:r>
          </w:p>
        </w:tc>
      </w:tr>
      <w:tr>
        <w:trPr>
          <w:trHeight w:val="330" w:hRule="exact"/>
        </w:trPr>
        <w:tc>
          <w:tcPr>
            <w:tcW w:w="1826" w:type="dxa"/>
          </w:tcPr>
          <w:p>
            <w:pPr>
              <w:pStyle w:val="TableParagraph"/>
              <w:spacing w:before="9"/>
              <w:ind w:left="456" w:right="447"/>
              <w:rPr>
                <w:b/>
                <w:i/>
                <w:sz w:val="22"/>
              </w:rPr>
            </w:pPr>
            <w:r>
              <w:rPr>
                <w:b/>
                <w:i/>
                <w:sz w:val="22"/>
              </w:rPr>
              <w:t>RGO</w:t>
            </w:r>
          </w:p>
        </w:tc>
        <w:tc>
          <w:tcPr>
            <w:tcW w:w="569" w:type="dxa"/>
          </w:tcPr>
          <w:p>
            <w:pPr>
              <w:pStyle w:val="TableParagraph"/>
              <w:spacing w:before="43"/>
              <w:ind w:left="72" w:right="72"/>
              <w:rPr>
                <w:sz w:val="22"/>
              </w:rPr>
            </w:pPr>
            <w:r>
              <w:rPr>
                <w:sz w:val="22"/>
              </w:rPr>
              <w:t>0.44</w:t>
            </w:r>
          </w:p>
        </w:tc>
        <w:tc>
          <w:tcPr>
            <w:tcW w:w="670" w:type="dxa"/>
          </w:tcPr>
          <w:p>
            <w:pPr>
              <w:pStyle w:val="TableParagraph"/>
              <w:spacing w:before="43"/>
              <w:ind w:left="91"/>
              <w:jc w:val="left"/>
              <w:rPr>
                <w:sz w:val="22"/>
              </w:rPr>
            </w:pPr>
            <w:r>
              <w:rPr>
                <w:sz w:val="22"/>
              </w:rPr>
              <w:t>0.44</w:t>
            </w:r>
          </w:p>
        </w:tc>
        <w:tc>
          <w:tcPr>
            <w:tcW w:w="468" w:type="dxa"/>
          </w:tcPr>
          <w:p>
            <w:pPr>
              <w:pStyle w:val="TableParagraph"/>
              <w:spacing w:before="43"/>
              <w:ind w:left="-11" w:right="-147"/>
              <w:jc w:val="left"/>
              <w:rPr>
                <w:sz w:val="22"/>
              </w:rPr>
            </w:pPr>
            <w:r>
              <w:rPr>
                <w:sz w:val="22"/>
              </w:rPr>
              <w:t>0.44</w:t>
            </w:r>
          </w:p>
        </w:tc>
        <w:tc>
          <w:tcPr>
            <w:tcW w:w="569" w:type="dxa"/>
          </w:tcPr>
          <w:p>
            <w:pPr>
              <w:pStyle w:val="TableParagraph"/>
              <w:spacing w:before="43"/>
              <w:ind w:left="71" w:right="71"/>
              <w:rPr>
                <w:sz w:val="22"/>
              </w:rPr>
            </w:pPr>
            <w:r>
              <w:rPr>
                <w:sz w:val="22"/>
              </w:rPr>
              <w:t>0.38</w:t>
            </w:r>
          </w:p>
        </w:tc>
        <w:tc>
          <w:tcPr>
            <w:tcW w:w="569" w:type="dxa"/>
          </w:tcPr>
          <w:p>
            <w:pPr>
              <w:pStyle w:val="TableParagraph"/>
              <w:spacing w:before="43"/>
              <w:ind w:left="71" w:right="71"/>
              <w:rPr>
                <w:sz w:val="22"/>
              </w:rPr>
            </w:pPr>
            <w:r>
              <w:rPr>
                <w:sz w:val="22"/>
              </w:rPr>
              <w:t>0.38</w:t>
            </w:r>
          </w:p>
        </w:tc>
        <w:tc>
          <w:tcPr>
            <w:tcW w:w="569" w:type="dxa"/>
          </w:tcPr>
          <w:p>
            <w:pPr>
              <w:pStyle w:val="TableParagraph"/>
              <w:spacing w:before="43"/>
              <w:ind w:left="72" w:right="72"/>
              <w:rPr>
                <w:sz w:val="22"/>
              </w:rPr>
            </w:pPr>
            <w:r>
              <w:rPr>
                <w:sz w:val="22"/>
              </w:rPr>
              <w:t>0.39</w:t>
            </w:r>
          </w:p>
        </w:tc>
        <w:tc>
          <w:tcPr>
            <w:tcW w:w="569" w:type="dxa"/>
          </w:tcPr>
          <w:p>
            <w:pPr>
              <w:pStyle w:val="TableParagraph"/>
              <w:spacing w:before="43"/>
              <w:ind w:left="72" w:right="72"/>
              <w:rPr>
                <w:sz w:val="22"/>
              </w:rPr>
            </w:pPr>
            <w:r>
              <w:rPr>
                <w:sz w:val="22"/>
              </w:rPr>
              <w:t>0.43</w:t>
            </w:r>
          </w:p>
        </w:tc>
        <w:tc>
          <w:tcPr>
            <w:tcW w:w="670" w:type="dxa"/>
          </w:tcPr>
          <w:p>
            <w:pPr>
              <w:pStyle w:val="TableParagraph"/>
              <w:spacing w:before="43"/>
              <w:ind w:left="91"/>
              <w:jc w:val="left"/>
              <w:rPr>
                <w:sz w:val="22"/>
              </w:rPr>
            </w:pPr>
            <w:r>
              <w:rPr>
                <w:sz w:val="22"/>
              </w:rPr>
              <w:t>0.44</w:t>
            </w:r>
          </w:p>
        </w:tc>
        <w:tc>
          <w:tcPr>
            <w:tcW w:w="469" w:type="dxa"/>
          </w:tcPr>
          <w:p>
            <w:pPr>
              <w:pStyle w:val="TableParagraph"/>
              <w:spacing w:before="43"/>
              <w:ind w:left="-11"/>
              <w:jc w:val="left"/>
              <w:rPr>
                <w:sz w:val="22"/>
              </w:rPr>
            </w:pPr>
            <w:r>
              <w:rPr>
                <w:sz w:val="22"/>
              </w:rPr>
              <w:t>0.44</w:t>
            </w:r>
          </w:p>
        </w:tc>
        <w:tc>
          <w:tcPr>
            <w:tcW w:w="570" w:type="dxa"/>
          </w:tcPr>
          <w:p>
            <w:pPr>
              <w:pStyle w:val="TableParagraph"/>
              <w:spacing w:before="43"/>
              <w:ind w:left="72" w:right="72"/>
              <w:rPr>
                <w:sz w:val="22"/>
              </w:rPr>
            </w:pPr>
            <w:r>
              <w:rPr>
                <w:sz w:val="22"/>
              </w:rPr>
              <w:t>0.39</w:t>
            </w:r>
          </w:p>
        </w:tc>
        <w:tc>
          <w:tcPr>
            <w:tcW w:w="569" w:type="dxa"/>
          </w:tcPr>
          <w:p>
            <w:pPr>
              <w:pStyle w:val="TableParagraph"/>
              <w:spacing w:before="43"/>
              <w:ind w:left="72" w:right="72"/>
              <w:rPr>
                <w:sz w:val="22"/>
              </w:rPr>
            </w:pPr>
            <w:r>
              <w:rPr>
                <w:sz w:val="22"/>
              </w:rPr>
              <w:t>0.39</w:t>
            </w:r>
          </w:p>
        </w:tc>
        <w:tc>
          <w:tcPr>
            <w:tcW w:w="569" w:type="dxa"/>
          </w:tcPr>
          <w:p>
            <w:pPr>
              <w:pStyle w:val="TableParagraph"/>
              <w:spacing w:before="43"/>
              <w:ind w:left="71" w:right="71"/>
              <w:rPr>
                <w:sz w:val="22"/>
              </w:rPr>
            </w:pPr>
            <w:r>
              <w:rPr>
                <w:sz w:val="22"/>
              </w:rPr>
              <w:t>0.39</w:t>
            </w:r>
          </w:p>
        </w:tc>
      </w:tr>
      <w:tr>
        <w:trPr>
          <w:trHeight w:val="330" w:hRule="exact"/>
        </w:trPr>
        <w:tc>
          <w:tcPr>
            <w:tcW w:w="1826" w:type="dxa"/>
          </w:tcPr>
          <w:p>
            <w:pPr>
              <w:pStyle w:val="TableParagraph"/>
              <w:spacing w:before="10"/>
              <w:ind w:left="458" w:right="447"/>
              <w:rPr>
                <w:b/>
                <w:i/>
                <w:sz w:val="22"/>
              </w:rPr>
            </w:pPr>
            <w:r>
              <w:rPr>
                <w:b/>
                <w:i/>
                <w:sz w:val="22"/>
              </w:rPr>
              <w:t>GO</w:t>
            </w:r>
          </w:p>
        </w:tc>
        <w:tc>
          <w:tcPr>
            <w:tcW w:w="569" w:type="dxa"/>
          </w:tcPr>
          <w:p>
            <w:pPr>
              <w:pStyle w:val="TableParagraph"/>
              <w:spacing w:before="44"/>
              <w:ind w:left="72" w:right="72"/>
              <w:rPr>
                <w:sz w:val="22"/>
              </w:rPr>
            </w:pPr>
            <w:r>
              <w:rPr>
                <w:sz w:val="22"/>
              </w:rPr>
              <w:t>0.44</w:t>
            </w:r>
          </w:p>
        </w:tc>
        <w:tc>
          <w:tcPr>
            <w:tcW w:w="670" w:type="dxa"/>
          </w:tcPr>
          <w:p>
            <w:pPr>
              <w:pStyle w:val="TableParagraph"/>
              <w:spacing w:before="44"/>
              <w:ind w:left="91"/>
              <w:jc w:val="left"/>
              <w:rPr>
                <w:sz w:val="22"/>
              </w:rPr>
            </w:pPr>
            <w:r>
              <w:rPr>
                <w:sz w:val="22"/>
              </w:rPr>
              <w:t>0.44</w:t>
            </w:r>
          </w:p>
        </w:tc>
        <w:tc>
          <w:tcPr>
            <w:tcW w:w="468" w:type="dxa"/>
          </w:tcPr>
          <w:p>
            <w:pPr>
              <w:pStyle w:val="TableParagraph"/>
              <w:spacing w:before="44"/>
              <w:ind w:left="-11" w:right="-147"/>
              <w:jc w:val="left"/>
              <w:rPr>
                <w:sz w:val="22"/>
              </w:rPr>
            </w:pPr>
            <w:r>
              <w:rPr>
                <w:sz w:val="22"/>
              </w:rPr>
              <w:t>0.45</w:t>
            </w:r>
          </w:p>
        </w:tc>
        <w:tc>
          <w:tcPr>
            <w:tcW w:w="569" w:type="dxa"/>
          </w:tcPr>
          <w:p>
            <w:pPr>
              <w:pStyle w:val="TableParagraph"/>
              <w:spacing w:before="44"/>
              <w:ind w:left="71" w:right="71"/>
              <w:rPr>
                <w:sz w:val="22"/>
              </w:rPr>
            </w:pPr>
            <w:r>
              <w:rPr>
                <w:sz w:val="22"/>
              </w:rPr>
              <w:t>0.39</w:t>
            </w:r>
          </w:p>
        </w:tc>
        <w:tc>
          <w:tcPr>
            <w:tcW w:w="569" w:type="dxa"/>
          </w:tcPr>
          <w:p>
            <w:pPr>
              <w:pStyle w:val="TableParagraph"/>
              <w:spacing w:before="44"/>
              <w:ind w:left="71" w:right="71"/>
              <w:rPr>
                <w:sz w:val="22"/>
              </w:rPr>
            </w:pPr>
            <w:r>
              <w:rPr>
                <w:sz w:val="22"/>
              </w:rPr>
              <w:t>0.38</w:t>
            </w:r>
          </w:p>
        </w:tc>
        <w:tc>
          <w:tcPr>
            <w:tcW w:w="569" w:type="dxa"/>
          </w:tcPr>
          <w:p>
            <w:pPr>
              <w:pStyle w:val="TableParagraph"/>
              <w:spacing w:before="44"/>
              <w:ind w:left="72" w:right="72"/>
              <w:rPr>
                <w:sz w:val="22"/>
              </w:rPr>
            </w:pPr>
            <w:r>
              <w:rPr>
                <w:sz w:val="22"/>
              </w:rPr>
              <w:t>0.39</w:t>
            </w:r>
          </w:p>
        </w:tc>
        <w:tc>
          <w:tcPr>
            <w:tcW w:w="569" w:type="dxa"/>
          </w:tcPr>
          <w:p>
            <w:pPr>
              <w:pStyle w:val="TableParagraph"/>
              <w:spacing w:before="44"/>
              <w:ind w:left="72" w:right="72"/>
              <w:rPr>
                <w:sz w:val="22"/>
              </w:rPr>
            </w:pPr>
            <w:r>
              <w:rPr>
                <w:sz w:val="22"/>
              </w:rPr>
              <w:t>0.44</w:t>
            </w:r>
          </w:p>
        </w:tc>
        <w:tc>
          <w:tcPr>
            <w:tcW w:w="670" w:type="dxa"/>
          </w:tcPr>
          <w:p>
            <w:pPr>
              <w:pStyle w:val="TableParagraph"/>
              <w:spacing w:before="44"/>
              <w:ind w:left="91"/>
              <w:jc w:val="left"/>
              <w:rPr>
                <w:sz w:val="22"/>
              </w:rPr>
            </w:pPr>
            <w:r>
              <w:rPr>
                <w:sz w:val="22"/>
              </w:rPr>
              <w:t>0.44</w:t>
            </w:r>
          </w:p>
        </w:tc>
        <w:tc>
          <w:tcPr>
            <w:tcW w:w="469" w:type="dxa"/>
          </w:tcPr>
          <w:p>
            <w:pPr>
              <w:pStyle w:val="TableParagraph"/>
              <w:spacing w:before="44"/>
              <w:ind w:left="-11"/>
              <w:jc w:val="left"/>
              <w:rPr>
                <w:sz w:val="22"/>
              </w:rPr>
            </w:pPr>
            <w:r>
              <w:rPr>
                <w:sz w:val="22"/>
              </w:rPr>
              <w:t>0.43</w:t>
            </w:r>
          </w:p>
        </w:tc>
        <w:tc>
          <w:tcPr>
            <w:tcW w:w="570" w:type="dxa"/>
          </w:tcPr>
          <w:p>
            <w:pPr>
              <w:pStyle w:val="TableParagraph"/>
              <w:spacing w:before="44"/>
              <w:ind w:left="72" w:right="72"/>
              <w:rPr>
                <w:sz w:val="22"/>
              </w:rPr>
            </w:pPr>
            <w:r>
              <w:rPr>
                <w:sz w:val="22"/>
              </w:rPr>
              <w:t>0.39</w:t>
            </w:r>
          </w:p>
        </w:tc>
        <w:tc>
          <w:tcPr>
            <w:tcW w:w="569" w:type="dxa"/>
          </w:tcPr>
          <w:p>
            <w:pPr>
              <w:pStyle w:val="TableParagraph"/>
              <w:spacing w:before="44"/>
              <w:ind w:left="72" w:right="72"/>
              <w:rPr>
                <w:sz w:val="22"/>
              </w:rPr>
            </w:pPr>
            <w:r>
              <w:rPr>
                <w:sz w:val="22"/>
              </w:rPr>
              <w:t>0.39</w:t>
            </w:r>
          </w:p>
        </w:tc>
        <w:tc>
          <w:tcPr>
            <w:tcW w:w="569" w:type="dxa"/>
          </w:tcPr>
          <w:p>
            <w:pPr>
              <w:pStyle w:val="TableParagraph"/>
              <w:spacing w:before="44"/>
              <w:ind w:left="71" w:right="71"/>
              <w:rPr>
                <w:sz w:val="22"/>
              </w:rPr>
            </w:pPr>
            <w:r>
              <w:rPr>
                <w:sz w:val="22"/>
              </w:rPr>
              <w:t>0.39</w:t>
            </w:r>
          </w:p>
        </w:tc>
      </w:tr>
      <w:tr>
        <w:trPr>
          <w:trHeight w:val="318" w:hRule="exact"/>
        </w:trPr>
        <w:tc>
          <w:tcPr>
            <w:tcW w:w="1826" w:type="dxa"/>
            <w:tcBorders>
              <w:bottom w:val="single" w:sz="12" w:space="0" w:color="000000"/>
            </w:tcBorders>
          </w:tcPr>
          <w:p>
            <w:pPr>
              <w:pStyle w:val="TableParagraph"/>
              <w:spacing w:before="9"/>
              <w:ind w:left="458" w:right="446"/>
              <w:rPr>
                <w:b/>
                <w:i/>
                <w:sz w:val="22"/>
              </w:rPr>
            </w:pPr>
            <w:r>
              <w:rPr>
                <w:b/>
                <w:i/>
                <w:sz w:val="22"/>
              </w:rPr>
              <w:t>f-Ge</w:t>
            </w:r>
          </w:p>
        </w:tc>
        <w:tc>
          <w:tcPr>
            <w:tcW w:w="569" w:type="dxa"/>
            <w:tcBorders>
              <w:bottom w:val="single" w:sz="12" w:space="0" w:color="000000"/>
            </w:tcBorders>
          </w:tcPr>
          <w:p>
            <w:pPr>
              <w:pStyle w:val="TableParagraph"/>
              <w:spacing w:before="43"/>
              <w:ind w:left="72" w:right="72"/>
              <w:rPr>
                <w:sz w:val="22"/>
              </w:rPr>
            </w:pPr>
            <w:r>
              <w:rPr>
                <w:sz w:val="22"/>
              </w:rPr>
              <w:t>0.44</w:t>
            </w:r>
          </w:p>
        </w:tc>
        <w:tc>
          <w:tcPr>
            <w:tcW w:w="670" w:type="dxa"/>
            <w:tcBorders>
              <w:bottom w:val="single" w:sz="12" w:space="0" w:color="000000"/>
            </w:tcBorders>
          </w:tcPr>
          <w:p>
            <w:pPr>
              <w:pStyle w:val="TableParagraph"/>
              <w:spacing w:before="43"/>
              <w:ind w:left="91"/>
              <w:jc w:val="left"/>
              <w:rPr>
                <w:sz w:val="22"/>
              </w:rPr>
            </w:pPr>
            <w:r>
              <w:rPr>
                <w:sz w:val="22"/>
              </w:rPr>
              <w:t>0.43</w:t>
            </w:r>
          </w:p>
        </w:tc>
        <w:tc>
          <w:tcPr>
            <w:tcW w:w="468" w:type="dxa"/>
            <w:tcBorders>
              <w:bottom w:val="single" w:sz="12" w:space="0" w:color="000000"/>
            </w:tcBorders>
          </w:tcPr>
          <w:p>
            <w:pPr>
              <w:pStyle w:val="TableParagraph"/>
              <w:spacing w:before="43"/>
              <w:ind w:left="-11" w:right="-147"/>
              <w:jc w:val="left"/>
              <w:rPr>
                <w:sz w:val="22"/>
              </w:rPr>
            </w:pPr>
            <w:r>
              <w:rPr>
                <w:sz w:val="22"/>
              </w:rPr>
              <w:t>0.45</w:t>
            </w:r>
          </w:p>
        </w:tc>
        <w:tc>
          <w:tcPr>
            <w:tcW w:w="569" w:type="dxa"/>
            <w:tcBorders>
              <w:bottom w:val="single" w:sz="12" w:space="0" w:color="000000"/>
            </w:tcBorders>
          </w:tcPr>
          <w:p>
            <w:pPr>
              <w:pStyle w:val="TableParagraph"/>
              <w:spacing w:before="43"/>
              <w:ind w:left="71" w:right="71"/>
              <w:rPr>
                <w:sz w:val="22"/>
              </w:rPr>
            </w:pPr>
            <w:r>
              <w:rPr>
                <w:sz w:val="22"/>
              </w:rPr>
              <w:t>0.39</w:t>
            </w:r>
          </w:p>
        </w:tc>
        <w:tc>
          <w:tcPr>
            <w:tcW w:w="569" w:type="dxa"/>
            <w:tcBorders>
              <w:bottom w:val="single" w:sz="12" w:space="0" w:color="000000"/>
            </w:tcBorders>
          </w:tcPr>
          <w:p>
            <w:pPr>
              <w:pStyle w:val="TableParagraph"/>
              <w:spacing w:before="43"/>
              <w:ind w:left="71" w:right="71"/>
              <w:rPr>
                <w:sz w:val="22"/>
              </w:rPr>
            </w:pPr>
            <w:r>
              <w:rPr>
                <w:sz w:val="22"/>
              </w:rPr>
              <w:t>0.38</w:t>
            </w:r>
          </w:p>
        </w:tc>
        <w:tc>
          <w:tcPr>
            <w:tcW w:w="569" w:type="dxa"/>
            <w:tcBorders>
              <w:bottom w:val="single" w:sz="12" w:space="0" w:color="000000"/>
            </w:tcBorders>
          </w:tcPr>
          <w:p>
            <w:pPr>
              <w:pStyle w:val="TableParagraph"/>
              <w:spacing w:before="43"/>
              <w:ind w:left="72" w:right="72"/>
              <w:rPr>
                <w:sz w:val="22"/>
              </w:rPr>
            </w:pPr>
            <w:r>
              <w:rPr>
                <w:sz w:val="22"/>
              </w:rPr>
              <w:t>0.39</w:t>
            </w:r>
          </w:p>
        </w:tc>
        <w:tc>
          <w:tcPr>
            <w:tcW w:w="569" w:type="dxa"/>
            <w:tcBorders>
              <w:bottom w:val="single" w:sz="12" w:space="0" w:color="000000"/>
            </w:tcBorders>
          </w:tcPr>
          <w:p>
            <w:pPr>
              <w:pStyle w:val="TableParagraph"/>
              <w:spacing w:before="43"/>
              <w:ind w:left="72" w:right="72"/>
              <w:rPr>
                <w:sz w:val="22"/>
              </w:rPr>
            </w:pPr>
            <w:r>
              <w:rPr>
                <w:sz w:val="22"/>
              </w:rPr>
              <w:t>0.44</w:t>
            </w:r>
          </w:p>
        </w:tc>
        <w:tc>
          <w:tcPr>
            <w:tcW w:w="670" w:type="dxa"/>
            <w:tcBorders>
              <w:bottom w:val="single" w:sz="12" w:space="0" w:color="000000"/>
            </w:tcBorders>
          </w:tcPr>
          <w:p>
            <w:pPr>
              <w:pStyle w:val="TableParagraph"/>
              <w:spacing w:before="43"/>
              <w:ind w:left="91"/>
              <w:jc w:val="left"/>
              <w:rPr>
                <w:sz w:val="22"/>
              </w:rPr>
            </w:pPr>
            <w:r>
              <w:rPr>
                <w:sz w:val="22"/>
              </w:rPr>
              <w:t>0.44</w:t>
            </w:r>
          </w:p>
        </w:tc>
        <w:tc>
          <w:tcPr>
            <w:tcW w:w="469" w:type="dxa"/>
            <w:tcBorders>
              <w:bottom w:val="single" w:sz="12" w:space="0" w:color="000000"/>
            </w:tcBorders>
          </w:tcPr>
          <w:p>
            <w:pPr>
              <w:pStyle w:val="TableParagraph"/>
              <w:spacing w:before="43"/>
              <w:ind w:left="-11"/>
              <w:jc w:val="left"/>
              <w:rPr>
                <w:sz w:val="22"/>
              </w:rPr>
            </w:pPr>
            <w:r>
              <w:rPr>
                <w:sz w:val="22"/>
              </w:rPr>
              <w:t>0.44</w:t>
            </w:r>
          </w:p>
        </w:tc>
        <w:tc>
          <w:tcPr>
            <w:tcW w:w="570" w:type="dxa"/>
            <w:tcBorders>
              <w:bottom w:val="single" w:sz="12" w:space="0" w:color="000000"/>
            </w:tcBorders>
          </w:tcPr>
          <w:p>
            <w:pPr>
              <w:pStyle w:val="TableParagraph"/>
              <w:spacing w:before="43"/>
              <w:ind w:left="72" w:right="72"/>
              <w:rPr>
                <w:sz w:val="22"/>
              </w:rPr>
            </w:pPr>
            <w:r>
              <w:rPr>
                <w:sz w:val="22"/>
              </w:rPr>
              <w:t>0.39</w:t>
            </w:r>
          </w:p>
        </w:tc>
        <w:tc>
          <w:tcPr>
            <w:tcW w:w="569" w:type="dxa"/>
            <w:tcBorders>
              <w:bottom w:val="single" w:sz="12" w:space="0" w:color="000000"/>
            </w:tcBorders>
          </w:tcPr>
          <w:p>
            <w:pPr>
              <w:pStyle w:val="TableParagraph"/>
              <w:spacing w:before="43"/>
              <w:ind w:left="72" w:right="72"/>
              <w:rPr>
                <w:sz w:val="22"/>
              </w:rPr>
            </w:pPr>
            <w:r>
              <w:rPr>
                <w:sz w:val="22"/>
              </w:rPr>
              <w:t>0.39</w:t>
            </w:r>
          </w:p>
        </w:tc>
        <w:tc>
          <w:tcPr>
            <w:tcW w:w="569" w:type="dxa"/>
            <w:tcBorders>
              <w:bottom w:val="single" w:sz="12" w:space="0" w:color="000000"/>
            </w:tcBorders>
          </w:tcPr>
          <w:p>
            <w:pPr>
              <w:pStyle w:val="TableParagraph"/>
              <w:spacing w:before="43"/>
              <w:ind w:left="71" w:right="71"/>
              <w:rPr>
                <w:sz w:val="22"/>
              </w:rPr>
            </w:pPr>
            <w:r>
              <w:rPr>
                <w:sz w:val="22"/>
              </w:rPr>
              <w:t>0.39</w:t>
            </w:r>
          </w:p>
        </w:tc>
      </w:tr>
    </w:tbl>
    <w:sectPr>
      <w:pgSz w:w="12240" w:h="15840"/>
      <w:pgMar w:header="983" w:footer="1062" w:top="1180" w:bottom="1260" w:left="1580" w:right="15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Cambria Math">
    <w:altName w:val="Cambria Math"/>
    <w:charset w:val="0"/>
    <w:family w:val="roman"/>
    <w:pitch w:val="variable"/>
  </w:font>
  <w:font w:name="Symbol">
    <w:altName w:val="Symbol"/>
    <w:charset w:val="2"/>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6080" from="85.099998pt,726.900024pt" to="527.049998pt,726.900024pt" stroked="true" strokeweight="2pt" strokecolor="#000000">
          <w10:wrap type="none"/>
        </v:line>
      </w:pict>
    </w:r>
    <w:r>
      <w:rPr/>
      <w:pict>
        <v:shape style="position:absolute;margin-left:84.103996pt;margin-top:730.636414pt;width:107.2pt;height:13.05pt;mso-position-horizontal-relative:page;mso-position-vertical-relative:page;z-index:-176056" type="#_x0000_t202" filled="false" stroked="false">
          <v:textbox inset="0,0,0,0">
            <w:txbxContent>
              <w:p>
                <w:pPr>
                  <w:spacing w:line="245" w:lineRule="exact" w:before="0"/>
                  <w:ind w:left="20" w:right="0" w:firstLine="0"/>
                  <w:jc w:val="left"/>
                  <w:rPr>
                    <w:i/>
                    <w:sz w:val="22"/>
                  </w:rPr>
                </w:pPr>
                <w:r>
                  <w:rPr>
                    <w:i/>
                    <w:sz w:val="22"/>
                  </w:rPr>
                  <w:t>Fabiola Navarro Pardo</w:t>
                </w:r>
              </w:p>
            </w:txbxContent>
          </v:textbox>
          <w10:wrap type="none"/>
        </v:shape>
      </w:pict>
    </w:r>
    <w:r>
      <w:rPr/>
      <w:pict>
        <v:shape style="position:absolute;margin-left:291.130005pt;margin-top:730.636414pt;width:32.5500pt;height:13.05pt;mso-position-horizontal-relative:page;mso-position-vertical-relative:page;z-index:-176032" type="#_x0000_t202" filled="false" stroked="false">
          <v:textbox inset="0,0,0,0">
            <w:txbxContent>
              <w:p>
                <w:pPr>
                  <w:spacing w:line="245" w:lineRule="exact" w:before="0"/>
                  <w:ind w:left="20" w:right="0" w:firstLine="0"/>
                  <w:jc w:val="left"/>
                  <w:rPr>
                    <w:i/>
                    <w:sz w:val="22"/>
                  </w:rPr>
                </w:pPr>
                <w:r>
                  <w:rPr>
                    <w:i/>
                    <w:sz w:val="22"/>
                  </w:rPr>
                  <w:t>UAEM</w:t>
                </w:r>
              </w:p>
            </w:txbxContent>
          </v:textbox>
          <w10:wrap type="none"/>
        </v:shape>
      </w:pict>
    </w:r>
    <w:r>
      <w:rPr/>
      <w:pict>
        <v:shape style="position:absolute;margin-left:521.179993pt;margin-top:730.636414pt;width:18.7pt;height:13.05pt;mso-position-horizontal-relative:page;mso-position-vertical-relative:page;z-index:-176008" type="#_x0000_t202" filled="false" stroked="false">
          <v:textbox inset="0,0,0,0">
            <w:txbxContent>
              <w:p>
                <w:pPr>
                  <w:pStyle w:val="BodyText"/>
                  <w:spacing w:line="245" w:lineRule="exact"/>
                  <w:ind w:left="40"/>
                </w:pPr>
                <w:r>
                  <w:rPr/>
                  <w:fldChar w:fldCharType="begin"/>
                </w:r>
                <w:r>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168" from="85.099998pt,727.025024pt" to="527.049998pt,727.025024pt" stroked="true" strokeweight="2.050pt" strokecolor="#000000">
          <w10:wrap type="none"/>
        </v:line>
      </w:pict>
    </w:r>
    <w:r>
      <w:rPr/>
      <w:pict>
        <v:shape style="position:absolute;margin-left:86.863998pt;margin-top:730.876404pt;width:107.25pt;height:13.05pt;mso-position-horizontal-relative:page;mso-position-vertical-relative:page;z-index:-175144" type="#_x0000_t202" filled="false" stroked="false">
          <v:textbox inset="0,0,0,0">
            <w:txbxContent>
              <w:p>
                <w:pPr>
                  <w:spacing w:line="245" w:lineRule="exact" w:before="0"/>
                  <w:ind w:left="20" w:right="0" w:firstLine="0"/>
                  <w:jc w:val="left"/>
                  <w:rPr>
                    <w:i/>
                    <w:sz w:val="22"/>
                  </w:rPr>
                </w:pPr>
                <w:r>
                  <w:rPr>
                    <w:i/>
                    <w:sz w:val="22"/>
                  </w:rPr>
                  <w:t>Fabiola Navarro Pardo</w:t>
                </w:r>
              </w:p>
            </w:txbxContent>
          </v:textbox>
          <w10:wrap type="none"/>
        </v:shape>
      </w:pict>
    </w:r>
    <w:r>
      <w:rPr/>
      <w:pict>
        <v:shape style="position:absolute;margin-left:289.809998pt;margin-top:730.876404pt;width:32.5500pt;height:13.05pt;mso-position-horizontal-relative:page;mso-position-vertical-relative:page;z-index:-175120" type="#_x0000_t202" filled="false" stroked="false">
          <v:textbox inset="0,0,0,0">
            <w:txbxContent>
              <w:p>
                <w:pPr>
                  <w:spacing w:line="245" w:lineRule="exact" w:before="0"/>
                  <w:ind w:left="20" w:right="0" w:firstLine="0"/>
                  <w:jc w:val="left"/>
                  <w:rPr>
                    <w:i/>
                    <w:sz w:val="22"/>
                  </w:rPr>
                </w:pPr>
                <w:r>
                  <w:rPr>
                    <w:i/>
                    <w:sz w:val="22"/>
                  </w:rPr>
                  <w:t>UAEM</w:t>
                </w:r>
              </w:p>
            </w:txbxContent>
          </v:textbox>
          <w10:wrap type="none"/>
        </v:shape>
      </w:pict>
    </w:r>
    <w:r>
      <w:rPr/>
      <w:pict>
        <v:shape style="position:absolute;margin-left:508.459991pt;margin-top:730.876404pt;width:20.6pt;height:13.05pt;mso-position-horizontal-relative:page;mso-position-vertical-relative:page;z-index:-175096"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101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000" from="85.099998pt,727.025024pt" to="527.049998pt,727.025024pt" stroked="true" strokeweight="2.050pt" strokecolor="#000000">
          <w10:wrap type="none"/>
        </v:line>
      </w:pict>
    </w:r>
    <w:r>
      <w:rPr/>
      <w:pict>
        <v:shape style="position:absolute;margin-left:86.863998pt;margin-top:730.876404pt;width:107.2pt;height:13.05pt;mso-position-horizontal-relative:page;mso-position-vertical-relative:page;z-index:-174976" type="#_x0000_t202" filled="false" stroked="false">
          <v:textbox inset="0,0,0,0">
            <w:txbxContent>
              <w:p>
                <w:pPr>
                  <w:spacing w:line="245" w:lineRule="exact" w:before="0"/>
                  <w:ind w:left="20" w:right="0" w:firstLine="0"/>
                  <w:jc w:val="left"/>
                  <w:rPr>
                    <w:i/>
                    <w:sz w:val="22"/>
                  </w:rPr>
                </w:pPr>
                <w:r>
                  <w:rPr>
                    <w:i/>
                    <w:sz w:val="22"/>
                  </w:rPr>
                  <w:t>Fabiola Navarro Pardo</w:t>
                </w:r>
              </w:p>
            </w:txbxContent>
          </v:textbox>
          <w10:wrap type="none"/>
        </v:shape>
      </w:pict>
    </w:r>
    <w:r>
      <w:rPr/>
      <w:pict>
        <v:shape style="position:absolute;margin-left:289.809998pt;margin-top:730.876404pt;width:32.5500pt;height:13.05pt;mso-position-horizontal-relative:page;mso-position-vertical-relative:page;z-index:-174952" type="#_x0000_t202" filled="false" stroked="false">
          <v:textbox inset="0,0,0,0">
            <w:txbxContent>
              <w:p>
                <w:pPr>
                  <w:spacing w:line="245" w:lineRule="exact" w:before="0"/>
                  <w:ind w:left="20" w:right="0" w:firstLine="0"/>
                  <w:jc w:val="left"/>
                  <w:rPr>
                    <w:i/>
                    <w:sz w:val="22"/>
                  </w:rPr>
                </w:pPr>
                <w:r>
                  <w:rPr>
                    <w:i/>
                    <w:sz w:val="22"/>
                  </w:rPr>
                  <w:t>UAEM</w:t>
                </w:r>
              </w:p>
            </w:txbxContent>
          </v:textbox>
          <w10:wrap type="none"/>
        </v:shape>
      </w:pict>
    </w:r>
    <w:r>
      <w:rPr/>
      <w:pict>
        <v:shape style="position:absolute;margin-left:508.459991pt;margin-top:730.876404pt;width:20.6pt;height:13.05pt;mso-position-horizontal-relative:page;mso-position-vertical-relative:page;z-index:-174928"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107</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832" from="85.099998pt,727.025024pt" to="527.049998pt,727.025024pt" stroked="true" strokeweight="2.050pt" strokecolor="#000000">
          <w10:wrap type="none"/>
        </v:line>
      </w:pict>
    </w:r>
    <w:r>
      <w:rPr/>
      <w:pict>
        <v:shape style="position:absolute;margin-left:86.863998pt;margin-top:730.876404pt;width:107.2pt;height:13.05pt;mso-position-horizontal-relative:page;mso-position-vertical-relative:page;z-index:-174808" type="#_x0000_t202" filled="false" stroked="false">
          <v:textbox inset="0,0,0,0">
            <w:txbxContent>
              <w:p>
                <w:pPr>
                  <w:spacing w:line="245" w:lineRule="exact" w:before="0"/>
                  <w:ind w:left="20" w:right="0" w:firstLine="0"/>
                  <w:jc w:val="left"/>
                  <w:rPr>
                    <w:i/>
                    <w:sz w:val="22"/>
                  </w:rPr>
                </w:pPr>
                <w:r>
                  <w:rPr>
                    <w:i/>
                    <w:sz w:val="22"/>
                  </w:rPr>
                  <w:t>Fabiola Navarro Pardo</w:t>
                </w:r>
              </w:p>
            </w:txbxContent>
          </v:textbox>
          <w10:wrap type="none"/>
        </v:shape>
      </w:pict>
    </w:r>
    <w:r>
      <w:rPr/>
      <w:pict>
        <v:shape style="position:absolute;margin-left:289.809998pt;margin-top:730.876404pt;width:32.5500pt;height:13.05pt;mso-position-horizontal-relative:page;mso-position-vertical-relative:page;z-index:-174784" type="#_x0000_t202" filled="false" stroked="false">
          <v:textbox inset="0,0,0,0">
            <w:txbxContent>
              <w:p>
                <w:pPr>
                  <w:spacing w:line="245" w:lineRule="exact" w:before="0"/>
                  <w:ind w:left="20" w:right="0" w:firstLine="0"/>
                  <w:jc w:val="left"/>
                  <w:rPr>
                    <w:i/>
                    <w:sz w:val="22"/>
                  </w:rPr>
                </w:pPr>
                <w:r>
                  <w:rPr>
                    <w:i/>
                    <w:sz w:val="22"/>
                  </w:rPr>
                  <w:t>UAEM</w:t>
                </w:r>
              </w:p>
            </w:txbxContent>
          </v:textbox>
          <w10:wrap type="none"/>
        </v:shape>
      </w:pict>
    </w:r>
    <w:r>
      <w:rPr/>
      <w:pict>
        <v:shape style="position:absolute;margin-left:508.459991pt;margin-top:730.876404pt;width:20.6pt;height:13.05pt;mso-position-horizontal-relative:page;mso-position-vertical-relative:page;z-index:-174760"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123</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712" from="85.099998pt,726.900024pt" to="527.049998pt,726.900024pt" stroked="true" strokeweight="2pt" strokecolor="#000000">
          <w10:wrap type="none"/>
        </v:line>
      </w:pict>
    </w:r>
    <w:r>
      <w:rPr/>
      <w:pict>
        <v:shape style="position:absolute;margin-left:84.103996pt;margin-top:730.756409pt;width:107.25pt;height:13.05pt;mso-position-horizontal-relative:page;mso-position-vertical-relative:page;z-index:-174688" type="#_x0000_t202" filled="false" stroked="false">
          <v:textbox inset="0,0,0,0">
            <w:txbxContent>
              <w:p>
                <w:pPr>
                  <w:spacing w:line="245" w:lineRule="exact" w:before="0"/>
                  <w:ind w:left="20" w:right="0" w:firstLine="0"/>
                  <w:jc w:val="left"/>
                  <w:rPr>
                    <w:i/>
                    <w:sz w:val="22"/>
                  </w:rPr>
                </w:pPr>
                <w:r>
                  <w:rPr>
                    <w:i/>
                    <w:sz w:val="22"/>
                  </w:rPr>
                  <w:t>Fabiola Navarro Pardo</w:t>
                </w:r>
              </w:p>
            </w:txbxContent>
          </v:textbox>
          <w10:wrap type="none"/>
        </v:shape>
      </w:pict>
    </w:r>
    <w:r>
      <w:rPr/>
      <w:pict>
        <v:shape style="position:absolute;margin-left:289.809998pt;margin-top:730.756409pt;width:32.5500pt;height:13.05pt;mso-position-horizontal-relative:page;mso-position-vertical-relative:page;z-index:-174664" type="#_x0000_t202" filled="false" stroked="false">
          <v:textbox inset="0,0,0,0">
            <w:txbxContent>
              <w:p>
                <w:pPr>
                  <w:spacing w:line="245" w:lineRule="exact" w:before="0"/>
                  <w:ind w:left="20" w:right="0" w:firstLine="0"/>
                  <w:jc w:val="left"/>
                  <w:rPr>
                    <w:i/>
                    <w:sz w:val="22"/>
                  </w:rPr>
                </w:pPr>
                <w:r>
                  <w:rPr>
                    <w:i/>
                    <w:sz w:val="22"/>
                  </w:rPr>
                  <w:t>UAEM</w:t>
                </w:r>
              </w:p>
            </w:txbxContent>
          </v:textbox>
          <w10:wrap type="none"/>
        </v:shape>
      </w:pict>
    </w:r>
    <w:r>
      <w:rPr/>
      <w:pict>
        <v:shape style="position:absolute;margin-left:508.459991pt;margin-top:730.756409pt;width:20.6pt;height:13.05pt;mso-position-horizontal-relative:page;mso-position-vertical-relative:page;z-index:-174640"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126</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864" from="85.099998pt,726.900024pt" to="527.049998pt,726.900024pt" stroked="true" strokeweight="2pt" strokecolor="#000000">
          <w10:wrap type="none"/>
        </v:line>
      </w:pict>
    </w:r>
    <w:r>
      <w:rPr/>
      <w:pict>
        <v:shape style="position:absolute;margin-left:84.103996pt;margin-top:730.636414pt;width:107.2pt;height:13.05pt;mso-position-horizontal-relative:page;mso-position-vertical-relative:page;z-index:-175840" type="#_x0000_t202" filled="false" stroked="false">
          <v:textbox inset="0,0,0,0">
            <w:txbxContent>
              <w:p>
                <w:pPr>
                  <w:spacing w:line="245" w:lineRule="exact" w:before="0"/>
                  <w:ind w:left="20" w:right="0" w:firstLine="0"/>
                  <w:jc w:val="left"/>
                  <w:rPr>
                    <w:i/>
                    <w:sz w:val="22"/>
                  </w:rPr>
                </w:pPr>
                <w:r>
                  <w:rPr>
                    <w:i/>
                    <w:sz w:val="22"/>
                  </w:rPr>
                  <w:t>Fabiola Navarro Pardo</w:t>
                </w:r>
              </w:p>
            </w:txbxContent>
          </v:textbox>
          <w10:wrap type="none"/>
        </v:shape>
      </w:pict>
    </w:r>
    <w:r>
      <w:rPr/>
      <w:pict>
        <v:shape style="position:absolute;margin-left:291.130005pt;margin-top:730.636414pt;width:32.5500pt;height:13.05pt;mso-position-horizontal-relative:page;mso-position-vertical-relative:page;z-index:-175816" type="#_x0000_t202" filled="false" stroked="false">
          <v:textbox inset="0,0,0,0">
            <w:txbxContent>
              <w:p>
                <w:pPr>
                  <w:spacing w:line="245" w:lineRule="exact" w:before="0"/>
                  <w:ind w:left="20" w:right="0" w:firstLine="0"/>
                  <w:jc w:val="left"/>
                  <w:rPr>
                    <w:i/>
                    <w:sz w:val="22"/>
                  </w:rPr>
                </w:pPr>
                <w:r>
                  <w:rPr>
                    <w:i/>
                    <w:sz w:val="22"/>
                  </w:rPr>
                  <w:t>UAEM</w:t>
                </w:r>
              </w:p>
            </w:txbxContent>
          </v:textbox>
          <w10:wrap type="none"/>
        </v:shape>
      </w:pict>
    </w:r>
    <w:r>
      <w:rPr/>
      <w:pict>
        <v:shape style="position:absolute;margin-left:521.179993pt;margin-top:730.636414pt;width:15.75pt;height:13.05pt;mso-position-horizontal-relative:page;mso-position-vertical-relative:page;z-index:-175792" type="#_x0000_t202" filled="false" stroked="false">
          <v:textbox inset="0,0,0,0">
            <w:txbxContent>
              <w:p>
                <w:pPr>
                  <w:pStyle w:val="BodyText"/>
                  <w:spacing w:line="245" w:lineRule="exact"/>
                  <w:ind w:left="40"/>
                </w:pPr>
                <w:r>
                  <w:rPr/>
                  <w:fldChar w:fldCharType="begin"/>
                </w:r>
                <w:r>
                  <w:rPr/>
                  <w:instrText> PAGE  \* roman </w:instrText>
                </w:r>
                <w:r>
                  <w:rPr/>
                  <w:fldChar w:fldCharType="separate"/>
                </w:r>
                <w:r>
                  <w:rPr/>
                  <w:t>xii</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696" from="85.099998pt,726.900024pt" to="527.049998pt,726.900024pt" stroked="true" strokeweight="2pt" strokecolor="#000000">
          <w10:wrap type="none"/>
        </v:line>
      </w:pict>
    </w:r>
    <w:r>
      <w:rPr/>
      <w:pict>
        <v:shape style="position:absolute;margin-left:84.103996pt;margin-top:730.636414pt;width:107.2pt;height:13.05pt;mso-position-horizontal-relative:page;mso-position-vertical-relative:page;z-index:-175672" type="#_x0000_t202" filled="false" stroked="false">
          <v:textbox inset="0,0,0,0">
            <w:txbxContent>
              <w:p>
                <w:pPr>
                  <w:spacing w:line="245" w:lineRule="exact" w:before="0"/>
                  <w:ind w:left="20" w:right="0" w:firstLine="0"/>
                  <w:jc w:val="left"/>
                  <w:rPr>
                    <w:i/>
                    <w:sz w:val="22"/>
                  </w:rPr>
                </w:pPr>
                <w:r>
                  <w:rPr>
                    <w:i/>
                    <w:sz w:val="22"/>
                  </w:rPr>
                  <w:t>Fabiola Navarro Pardo</w:t>
                </w:r>
              </w:p>
            </w:txbxContent>
          </v:textbox>
          <w10:wrap type="none"/>
        </v:shape>
      </w:pict>
    </w:r>
    <w:r>
      <w:rPr/>
      <w:pict>
        <v:shape style="position:absolute;margin-left:291.130005pt;margin-top:730.636414pt;width:32.5500pt;height:13.05pt;mso-position-horizontal-relative:page;mso-position-vertical-relative:page;z-index:-175648" type="#_x0000_t202" filled="false" stroked="false">
          <v:textbox inset="0,0,0,0">
            <w:txbxContent>
              <w:p>
                <w:pPr>
                  <w:spacing w:line="245" w:lineRule="exact" w:before="0"/>
                  <w:ind w:left="20" w:right="0" w:firstLine="0"/>
                  <w:jc w:val="left"/>
                  <w:rPr>
                    <w:i/>
                    <w:sz w:val="22"/>
                  </w:rPr>
                </w:pPr>
                <w:r>
                  <w:rPr>
                    <w:i/>
                    <w:sz w:val="22"/>
                  </w:rPr>
                  <w:t>UAEM</w:t>
                </w:r>
              </w:p>
            </w:txbxContent>
          </v:textbox>
          <w10:wrap type="none"/>
        </v:shape>
      </w:pict>
    </w:r>
    <w:r>
      <w:rPr/>
      <w:pict>
        <v:shape style="position:absolute;margin-left:521.179993pt;margin-top:730.636414pt;width:15.05pt;height:13.05pt;mso-position-horizontal-relative:page;mso-position-vertical-relative:page;z-index:-175624"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528" from="85.099998pt,726.900024pt" to="527.049998pt,726.900024pt" stroked="true" strokeweight="2pt" strokecolor="#000000">
          <w10:wrap type="none"/>
        </v:line>
      </w:pict>
    </w:r>
    <w:r>
      <w:rPr/>
      <w:pict>
        <v:shape style="position:absolute;margin-left:84.103996pt;margin-top:730.636414pt;width:107.2pt;height:13.05pt;mso-position-horizontal-relative:page;mso-position-vertical-relative:page;z-index:-175504" type="#_x0000_t202" filled="false" stroked="false">
          <v:textbox inset="0,0,0,0">
            <w:txbxContent>
              <w:p>
                <w:pPr>
                  <w:spacing w:line="245" w:lineRule="exact" w:before="0"/>
                  <w:ind w:left="20" w:right="0" w:firstLine="0"/>
                  <w:jc w:val="left"/>
                  <w:rPr>
                    <w:i/>
                    <w:sz w:val="22"/>
                  </w:rPr>
                </w:pPr>
                <w:r>
                  <w:rPr>
                    <w:i/>
                    <w:sz w:val="22"/>
                  </w:rPr>
                  <w:t>Fabiola Navarro Pardo</w:t>
                </w:r>
              </w:p>
            </w:txbxContent>
          </v:textbox>
          <w10:wrap type="none"/>
        </v:shape>
      </w:pict>
    </w:r>
    <w:r>
      <w:rPr/>
      <w:pict>
        <v:shape style="position:absolute;margin-left:291.130005pt;margin-top:730.636414pt;width:32.5500pt;height:13.05pt;mso-position-horizontal-relative:page;mso-position-vertical-relative:page;z-index:-175480" type="#_x0000_t202" filled="false" stroked="false">
          <v:textbox inset="0,0,0,0">
            <w:txbxContent>
              <w:p>
                <w:pPr>
                  <w:spacing w:line="245" w:lineRule="exact" w:before="0"/>
                  <w:ind w:left="20" w:right="0" w:firstLine="0"/>
                  <w:jc w:val="left"/>
                  <w:rPr>
                    <w:i/>
                    <w:sz w:val="22"/>
                  </w:rPr>
                </w:pPr>
                <w:r>
                  <w:rPr>
                    <w:i/>
                    <w:sz w:val="22"/>
                  </w:rPr>
                  <w:t>UAEM</w:t>
                </w:r>
              </w:p>
            </w:txbxContent>
          </v:textbox>
          <w10:wrap type="none"/>
        </v:shape>
      </w:pict>
    </w:r>
    <w:r>
      <w:rPr/>
      <w:pict>
        <v:shape style="position:absolute;margin-left:521.179993pt;margin-top:730.636414pt;width:15.05pt;height:13.05pt;mso-position-horizontal-relative:page;mso-position-vertical-relative:page;z-index:-175456"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44</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360" from="85.099998pt,727.025024pt" to="527.049998pt,727.025024pt" stroked="true" strokeweight="2.050pt" strokecolor="#000000">
          <w10:wrap type="none"/>
        </v:line>
      </w:pict>
    </w:r>
    <w:r>
      <w:rPr/>
      <w:pict>
        <v:shape style="position:absolute;margin-left:86.863998pt;margin-top:730.876404pt;width:107.25pt;height:13.05pt;mso-position-horizontal-relative:page;mso-position-vertical-relative:page;z-index:-175336" type="#_x0000_t202" filled="false" stroked="false">
          <v:textbox inset="0,0,0,0">
            <w:txbxContent>
              <w:p>
                <w:pPr>
                  <w:spacing w:line="245" w:lineRule="exact" w:before="0"/>
                  <w:ind w:left="20" w:right="0" w:firstLine="0"/>
                  <w:jc w:val="left"/>
                  <w:rPr>
                    <w:i/>
                    <w:sz w:val="22"/>
                  </w:rPr>
                </w:pPr>
                <w:r>
                  <w:rPr>
                    <w:i/>
                    <w:sz w:val="22"/>
                  </w:rPr>
                  <w:t>Fabiola Navarro Pardo</w:t>
                </w:r>
              </w:p>
            </w:txbxContent>
          </v:textbox>
          <w10:wrap type="none"/>
        </v:shape>
      </w:pict>
    </w:r>
    <w:r>
      <w:rPr/>
      <w:pict>
        <v:shape style="position:absolute;margin-left:289.809998pt;margin-top:730.876404pt;width:32.5500pt;height:13.05pt;mso-position-horizontal-relative:page;mso-position-vertical-relative:page;z-index:-175312" type="#_x0000_t202" filled="false" stroked="false">
          <v:textbox inset="0,0,0,0">
            <w:txbxContent>
              <w:p>
                <w:pPr>
                  <w:spacing w:line="245" w:lineRule="exact" w:before="0"/>
                  <w:ind w:left="20" w:right="0" w:firstLine="0"/>
                  <w:jc w:val="left"/>
                  <w:rPr>
                    <w:i/>
                    <w:sz w:val="22"/>
                  </w:rPr>
                </w:pPr>
                <w:r>
                  <w:rPr>
                    <w:i/>
                    <w:sz w:val="22"/>
                  </w:rPr>
                  <w:t>UAEM</w:t>
                </w:r>
              </w:p>
            </w:txbxContent>
          </v:textbox>
          <w10:wrap type="none"/>
        </v:shape>
      </w:pict>
    </w:r>
    <w:r>
      <w:rPr/>
      <w:pict>
        <v:shape style="position:absolute;margin-left:513.979980pt;margin-top:730.876404pt;width:15.05pt;height:13.05pt;mso-position-horizontal-relative:page;mso-position-vertical-relative:page;z-index:-175288"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59</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264" from="85.099998pt,727.025024pt" to="527.049998pt,727.025024pt" stroked="true" strokeweight="2.050pt" strokecolor="#000000">
          <w10:wrap type="none"/>
        </v:line>
      </w:pict>
    </w:r>
    <w:r>
      <w:rPr/>
      <w:pict>
        <v:shape style="position:absolute;margin-left:86.863998pt;margin-top:730.876404pt;width:107.25pt;height:13.05pt;mso-position-horizontal-relative:page;mso-position-vertical-relative:page;z-index:-175240" type="#_x0000_t202" filled="false" stroked="false">
          <v:textbox inset="0,0,0,0">
            <w:txbxContent>
              <w:p>
                <w:pPr>
                  <w:spacing w:line="245" w:lineRule="exact" w:before="0"/>
                  <w:ind w:left="20" w:right="0" w:firstLine="0"/>
                  <w:jc w:val="left"/>
                  <w:rPr>
                    <w:i/>
                    <w:sz w:val="22"/>
                  </w:rPr>
                </w:pPr>
                <w:r>
                  <w:rPr>
                    <w:i/>
                    <w:sz w:val="22"/>
                  </w:rPr>
                  <w:t>Fabiola Navarro Pardo</w:t>
                </w:r>
              </w:p>
            </w:txbxContent>
          </v:textbox>
          <w10:wrap type="none"/>
        </v:shape>
      </w:pict>
    </w:r>
    <w:r>
      <w:rPr/>
      <w:pict>
        <v:shape style="position:absolute;margin-left:289.809998pt;margin-top:730.876404pt;width:32.5500pt;height:13.05pt;mso-position-horizontal-relative:page;mso-position-vertical-relative:page;z-index:-175216" type="#_x0000_t202" filled="false" stroked="false">
          <v:textbox inset="0,0,0,0">
            <w:txbxContent>
              <w:p>
                <w:pPr>
                  <w:spacing w:line="245" w:lineRule="exact" w:before="0"/>
                  <w:ind w:left="20" w:right="0" w:firstLine="0"/>
                  <w:jc w:val="left"/>
                  <w:rPr>
                    <w:i/>
                    <w:sz w:val="22"/>
                  </w:rPr>
                </w:pPr>
                <w:r>
                  <w:rPr>
                    <w:i/>
                    <w:sz w:val="22"/>
                  </w:rPr>
                  <w:t>UAEM</w:t>
                </w:r>
              </w:p>
            </w:txbxContent>
          </v:textbox>
          <w10:wrap type="none"/>
        </v:shape>
      </w:pict>
    </w:r>
    <w:r>
      <w:rPr/>
      <w:pict>
        <v:shape style="position:absolute;margin-left:509.459991pt;margin-top:730.876404pt;width:18.6pt;height:13.05pt;mso-position-horizontal-relative:page;mso-position-vertical-relative:page;z-index:-175192" type="#_x0000_t202" filled="false" stroked="false">
          <v:textbox inset="0,0,0,0">
            <w:txbxContent>
              <w:p>
                <w:pPr>
                  <w:pStyle w:val="BodyText"/>
                  <w:spacing w:line="245" w:lineRule="exact"/>
                  <w:ind w:left="20"/>
                </w:pPr>
                <w:r>
                  <w:rPr/>
                  <w:t>100</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6128" from="85.099998pt,45.174999pt" to="527.049998pt,45.174999pt" stroked="true" strokeweight="2.050pt" strokecolor="#000000">
          <w10:wrap type="none"/>
        </v:line>
      </w:pict>
    </w:r>
    <w:r>
      <w:rPr/>
      <w:pict>
        <v:shapetype id="_x0000_t202" o:spt="202" coordsize="21600,21600" path="m,l,21600r21600,l21600,xe">
          <v:stroke joinstyle="miter"/>
          <v:path gradientshapeok="t" o:connecttype="rect"/>
        </v:shapetype>
        <v:shape style="position:absolute;margin-left:84.103996pt;margin-top:72.414337pt;width:80.95pt;height:22.05pt;mso-position-horizontal-relative:page;mso-position-vertical-relative:page;z-index:-176104" type="#_x0000_t202" filled="false" stroked="false">
          <v:textbox inset="0,0,0,0">
            <w:txbxContent>
              <w:p>
                <w:pPr>
                  <w:spacing w:line="429" w:lineRule="exact" w:before="0"/>
                  <w:ind w:left="20" w:right="0" w:firstLine="0"/>
                  <w:jc w:val="left"/>
                  <w:rPr>
                    <w:b/>
                    <w:sz w:val="40"/>
                  </w:rPr>
                </w:pPr>
                <w:r>
                  <w:rPr>
                    <w:b/>
                    <w:sz w:val="40"/>
                  </w:rPr>
                  <w:t>Resumen</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432" from="85.099998pt,57.775002pt" to="527.049998pt,57.775002pt" stroked="true" strokeweight="2.050pt" strokecolor="#000000">
          <w10:wrap type="none"/>
        </v:line>
      </w:pict>
    </w:r>
    <w:r>
      <w:rPr/>
      <w:pict>
        <v:shape style="position:absolute;margin-left:84.103996pt;margin-top:35.476402pt;width:42.45pt;height:13.05pt;mso-position-horizontal-relative:page;mso-position-vertical-relative:page;z-index:-175408" type="#_x0000_t202" filled="false" stroked="false">
          <v:textbox inset="0,0,0,0">
            <w:txbxContent>
              <w:p>
                <w:pPr>
                  <w:spacing w:line="245" w:lineRule="exact" w:before="0"/>
                  <w:ind w:left="20" w:right="0" w:firstLine="0"/>
                  <w:jc w:val="left"/>
                  <w:rPr>
                    <w:i/>
                    <w:sz w:val="22"/>
                  </w:rPr>
                </w:pPr>
                <w:r>
                  <w:rPr>
                    <w:i/>
                    <w:sz w:val="22"/>
                  </w:rPr>
                  <w:t>Artículos</w:t>
                </w:r>
              </w:p>
            </w:txbxContent>
          </v:textbox>
          <w10:wrap type="none"/>
        </v:shape>
      </w:pict>
    </w:r>
    <w:r>
      <w:rPr/>
      <w:pict>
        <v:shape style="position:absolute;margin-left:479.220001pt;margin-top:35.476402pt;width:48.9pt;height:13.05pt;mso-position-horizontal-relative:page;mso-position-vertical-relative:page;z-index:-175384" type="#_x0000_t202" filled="false" stroked="false">
          <v:textbox inset="0,0,0,0">
            <w:txbxContent>
              <w:p>
                <w:pPr>
                  <w:spacing w:line="245" w:lineRule="exact" w:before="0"/>
                  <w:ind w:left="20" w:right="0" w:firstLine="0"/>
                  <w:jc w:val="left"/>
                  <w:rPr>
                    <w:i/>
                    <w:sz w:val="22"/>
                  </w:rPr>
                </w:pPr>
                <w:r>
                  <w:rPr>
                    <w:i/>
                    <w:sz w:val="22"/>
                  </w:rPr>
                  <w:t>Capítulo 3</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072" from="85.099998pt,57.775002pt" to="527.049998pt,57.775002pt" stroked="true" strokeweight="2.050pt" strokecolor="#000000">
          <w10:wrap type="none"/>
        </v:line>
      </w:pict>
    </w:r>
    <w:r>
      <w:rPr/>
      <w:pict>
        <v:shape style="position:absolute;margin-left:84.103996pt;margin-top:35.476402pt;width:39.450pt;height:13.05pt;mso-position-horizontal-relative:page;mso-position-vertical-relative:page;z-index:-175048" type="#_x0000_t202" filled="false" stroked="false">
          <v:textbox inset="0,0,0,0">
            <w:txbxContent>
              <w:p>
                <w:pPr>
                  <w:spacing w:line="245" w:lineRule="exact" w:before="0"/>
                  <w:ind w:left="20" w:right="0" w:firstLine="0"/>
                  <w:jc w:val="left"/>
                  <w:rPr>
                    <w:i/>
                    <w:sz w:val="22"/>
                  </w:rPr>
                </w:pPr>
                <w:r>
                  <w:rPr>
                    <w:i/>
                    <w:sz w:val="22"/>
                  </w:rPr>
                  <w:t>Sumario</w:t>
                </w:r>
              </w:p>
            </w:txbxContent>
          </v:textbox>
          <w10:wrap type="none"/>
        </v:shape>
      </w:pict>
    </w:r>
    <w:r>
      <w:rPr/>
      <w:pict>
        <v:shape style="position:absolute;margin-left:479.220001pt;margin-top:35.476402pt;width:48.9pt;height:13.05pt;mso-position-horizontal-relative:page;mso-position-vertical-relative:page;z-index:-175024" type="#_x0000_t202" filled="false" stroked="false">
          <v:textbox inset="0,0,0,0">
            <w:txbxContent>
              <w:p>
                <w:pPr>
                  <w:spacing w:line="245" w:lineRule="exact" w:before="0"/>
                  <w:ind w:left="20" w:right="0" w:firstLine="0"/>
                  <w:jc w:val="left"/>
                  <w:rPr>
                    <w:i/>
                    <w:sz w:val="22"/>
                  </w:rPr>
                </w:pPr>
                <w:r>
                  <w:rPr>
                    <w:i/>
                    <w:sz w:val="22"/>
                  </w:rPr>
                  <w:t>Capítulo 4</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904" from="85.099998pt,57.775002pt" to="527.049998pt,57.775002pt" stroked="true" strokeweight="2.050pt" strokecolor="#000000">
          <w10:wrap type="none"/>
        </v:line>
      </w:pict>
    </w:r>
    <w:r>
      <w:rPr/>
      <w:pict>
        <v:shape style="position:absolute;margin-left:84.103996pt;margin-top:35.476402pt;width:61.35pt;height:13.05pt;mso-position-horizontal-relative:page;mso-position-vertical-relative:page;z-index:-174880" type="#_x0000_t202" filled="false" stroked="false">
          <v:textbox inset="0,0,0,0">
            <w:txbxContent>
              <w:p>
                <w:pPr>
                  <w:spacing w:line="245" w:lineRule="exact" w:before="0"/>
                  <w:ind w:left="20" w:right="0" w:firstLine="0"/>
                  <w:jc w:val="left"/>
                  <w:rPr>
                    <w:i/>
                    <w:sz w:val="22"/>
                  </w:rPr>
                </w:pPr>
                <w:r>
                  <w:rPr>
                    <w:i/>
                    <w:sz w:val="22"/>
                  </w:rPr>
                  <w:t>Conclusiones</w:t>
                </w:r>
              </w:p>
            </w:txbxContent>
          </v:textbox>
          <w10:wrap type="none"/>
        </v:shape>
      </w:pict>
    </w:r>
    <w:r>
      <w:rPr/>
      <w:pict>
        <v:shape style="position:absolute;margin-left:479.220001pt;margin-top:35.476402pt;width:48.9pt;height:13.05pt;mso-position-horizontal-relative:page;mso-position-vertical-relative:page;z-index:-174856" type="#_x0000_t202" filled="false" stroked="false">
          <v:textbox inset="0,0,0,0">
            <w:txbxContent>
              <w:p>
                <w:pPr>
                  <w:spacing w:line="245" w:lineRule="exact" w:before="0"/>
                  <w:ind w:left="20" w:right="0" w:firstLine="0"/>
                  <w:jc w:val="left"/>
                  <w:rPr>
                    <w:i/>
                    <w:sz w:val="22"/>
                  </w:rPr>
                </w:pPr>
                <w:r>
                  <w:rPr>
                    <w:i/>
                    <w:sz w:val="22"/>
                  </w:rPr>
                  <w:t>Capítulo 5</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736" from="85.099998pt,58.125pt" to="527.049998pt,58.125pt" stroked="true" strokeweight="2.050pt" strokecolor="#000000">
          <w10:wrap type="none"/>
        </v:lin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984" from="85.099998pt,45.174999pt" to="527.049998pt,45.174999pt" stroked="true" strokeweight="2.050pt" strokecolor="#000000">
          <w10:wrap type="none"/>
        </v:line>
      </w:pict>
    </w:r>
    <w:r>
      <w:rPr/>
      <w:pict>
        <v:shape style="position:absolute;margin-left:84.103996pt;margin-top:72.414337pt;width:76.45pt;height:22.05pt;mso-position-horizontal-relative:page;mso-position-vertical-relative:page;z-index:-175960" type="#_x0000_t202" filled="false" stroked="false">
          <v:textbox inset="0,0,0,0">
            <w:txbxContent>
              <w:p>
                <w:pPr>
                  <w:spacing w:line="429" w:lineRule="exact" w:before="0"/>
                  <w:ind w:left="20" w:right="0" w:firstLine="0"/>
                  <w:jc w:val="left"/>
                  <w:rPr>
                    <w:b/>
                    <w:sz w:val="40"/>
                  </w:rPr>
                </w:pPr>
                <w:r>
                  <w:rPr>
                    <w:b/>
                    <w:sz w:val="40"/>
                  </w:rPr>
                  <w:t>Abstract</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936" from="85.099998pt,45.174999pt" to="527.049998pt,45.174999pt" stroked="true" strokeweight="2.050pt" strokecolor="#000000">
          <w10:wrap type="none"/>
        </v:line>
      </w:pict>
    </w:r>
    <w:r>
      <w:rPr/>
      <w:pict>
        <v:shape style="position:absolute;margin-left:84.103996pt;margin-top:72.414337pt;width:91pt;height:22.05pt;mso-position-horizontal-relative:page;mso-position-vertical-relative:page;z-index:-175912" type="#_x0000_t202" filled="false" stroked="false">
          <v:textbox inset="0,0,0,0">
            <w:txbxContent>
              <w:p>
                <w:pPr>
                  <w:spacing w:line="429" w:lineRule="exact" w:before="0"/>
                  <w:ind w:left="20" w:right="0" w:firstLine="0"/>
                  <w:jc w:val="left"/>
                  <w:rPr>
                    <w:b/>
                    <w:sz w:val="40"/>
                  </w:rPr>
                </w:pPr>
                <w:r>
                  <w:rPr>
                    <w:b/>
                    <w:sz w:val="40"/>
                  </w:rPr>
                  <w:t>Contenido</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888" from="85.099998pt,45.174999pt" to="527.049998pt,45.174999pt" stroked="true" strokeweight="2.050pt" strokecolor="#000000">
          <w10:wrap type="none"/>
        </v:lin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768" from="85.099998pt,57.900002pt" to="527.049998pt,57.900002pt" stroked="true" strokeweight="2pt" strokecolor="#000000">
          <w10:wrap type="none"/>
        </v:line>
      </w:pict>
    </w:r>
    <w:r>
      <w:rPr/>
      <w:pict>
        <v:shape style="position:absolute;margin-left:84.103996pt;margin-top:35.476402pt;width:84.65pt;height:13.05pt;mso-position-horizontal-relative:page;mso-position-vertical-relative:page;z-index:-175744" type="#_x0000_t202" filled="false" stroked="false">
          <v:textbox inset="0,0,0,0">
            <w:txbxContent>
              <w:p>
                <w:pPr>
                  <w:spacing w:line="245" w:lineRule="exact" w:before="0"/>
                  <w:ind w:left="20" w:right="0" w:firstLine="0"/>
                  <w:jc w:val="left"/>
                  <w:rPr>
                    <w:i/>
                    <w:sz w:val="22"/>
                  </w:rPr>
                </w:pPr>
                <w:r>
                  <w:rPr>
                    <w:i/>
                    <w:sz w:val="22"/>
                  </w:rPr>
                  <w:t>Protocolo de Tesis</w:t>
                </w:r>
              </w:p>
            </w:txbxContent>
          </v:textbox>
          <w10:wrap type="none"/>
        </v:shape>
      </w:pict>
    </w:r>
    <w:r>
      <w:rPr/>
      <w:pict>
        <v:shape style="position:absolute;margin-left:479.220001pt;margin-top:35.476402pt;width:48.9pt;height:13.05pt;mso-position-horizontal-relative:page;mso-position-vertical-relative:page;z-index:-175720" type="#_x0000_t202" filled="false" stroked="false">
          <v:textbox inset="0,0,0,0">
            <w:txbxContent>
              <w:p>
                <w:pPr>
                  <w:spacing w:line="245" w:lineRule="exact" w:before="0"/>
                  <w:ind w:left="20" w:right="0" w:firstLine="0"/>
                  <w:jc w:val="left"/>
                  <w:rPr>
                    <w:i/>
                    <w:sz w:val="22"/>
                  </w:rPr>
                </w:pPr>
                <w:r>
                  <w:rPr>
                    <w:i/>
                    <w:sz w:val="22"/>
                  </w:rPr>
                  <w:t>Capítulo 1</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600" from="85.099998pt,57.900002pt" to="527.049998pt,57.900002pt" stroked="true" strokeweight="2pt" strokecolor="#000000">
          <w10:wrap type="none"/>
        </v:line>
      </w:pict>
    </w:r>
    <w:r>
      <w:rPr/>
      <w:pict>
        <v:shape style="position:absolute;margin-left:84.103996pt;margin-top:35.476402pt;width:120.25pt;height:13.05pt;mso-position-horizontal-relative:page;mso-position-vertical-relative:page;z-index:-175576" type="#_x0000_t202" filled="false" stroked="false">
          <v:textbox inset="0,0,0,0">
            <w:txbxContent>
              <w:p>
                <w:pPr>
                  <w:spacing w:line="245" w:lineRule="exact" w:before="0"/>
                  <w:ind w:left="20" w:right="0" w:firstLine="0"/>
                  <w:jc w:val="left"/>
                  <w:rPr>
                    <w:i/>
                    <w:sz w:val="22"/>
                  </w:rPr>
                </w:pPr>
                <w:r>
                  <w:rPr>
                    <w:i/>
                    <w:sz w:val="22"/>
                  </w:rPr>
                  <w:t>Metodología Experimental</w:t>
                </w:r>
              </w:p>
            </w:txbxContent>
          </v:textbox>
          <w10:wrap type="none"/>
        </v:shape>
      </w:pict>
    </w:r>
    <w:r>
      <w:rPr/>
      <w:pict>
        <v:shape style="position:absolute;margin-left:479.220001pt;margin-top:35.476402pt;width:48.9pt;height:13.05pt;mso-position-horizontal-relative:page;mso-position-vertical-relative:page;z-index:-175552" type="#_x0000_t202" filled="false" stroked="false">
          <v:textbox inset="0,0,0,0">
            <w:txbxContent>
              <w:p>
                <w:pPr>
                  <w:spacing w:line="245" w:lineRule="exact" w:before="0"/>
                  <w:ind w:left="20" w:right="0" w:firstLine="0"/>
                  <w:jc w:val="left"/>
                  <w:rPr>
                    <w:i/>
                    <w:sz w:val="22"/>
                  </w:rPr>
                </w:pPr>
                <w:r>
                  <w:rPr>
                    <w:i/>
                    <w:sz w:val="22"/>
                  </w:rPr>
                  <w:t>Capítulo 2</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5">
    <w:multiLevelType w:val="hybridMultilevel"/>
    <w:lvl w:ilvl="0">
      <w:start w:val="4"/>
      <w:numFmt w:val="decimal"/>
      <w:lvlText w:val="%1"/>
      <w:lvlJc w:val="left"/>
      <w:pPr>
        <w:ind w:left="202" w:hanging="348"/>
        <w:jc w:val="left"/>
      </w:pPr>
      <w:rPr>
        <w:rFonts w:hint="default"/>
      </w:rPr>
    </w:lvl>
    <w:lvl w:ilvl="1">
      <w:start w:val="4"/>
      <w:numFmt w:val="decimal"/>
      <w:lvlText w:val="%1.%2"/>
      <w:lvlJc w:val="left"/>
      <w:pPr>
        <w:ind w:left="202" w:hanging="348"/>
        <w:jc w:val="right"/>
      </w:pPr>
      <w:rPr>
        <w:rFonts w:hint="default"/>
        <w:w w:val="100"/>
      </w:rPr>
    </w:lvl>
    <w:lvl w:ilvl="2">
      <w:start w:val="1"/>
      <w:numFmt w:val="decimal"/>
      <w:lvlText w:val="%1.%2.%3"/>
      <w:lvlJc w:val="left"/>
      <w:pPr>
        <w:ind w:left="676" w:hanging="495"/>
        <w:jc w:val="left"/>
      </w:pPr>
      <w:rPr>
        <w:rFonts w:hint="default" w:ascii="Times New Roman" w:hAnsi="Times New Roman" w:eastAsia="Times New Roman" w:cs="Times New Roman"/>
        <w:b/>
        <w:bCs/>
        <w:w w:val="100"/>
        <w:sz w:val="22"/>
        <w:szCs w:val="22"/>
      </w:rPr>
    </w:lvl>
    <w:lvl w:ilvl="3">
      <w:start w:val="1"/>
      <w:numFmt w:val="decimal"/>
      <w:lvlText w:val="%4."/>
      <w:lvlJc w:val="left"/>
      <w:pPr>
        <w:ind w:left="842" w:hanging="360"/>
        <w:jc w:val="right"/>
      </w:pPr>
      <w:rPr>
        <w:rFonts w:hint="default"/>
        <w:w w:val="100"/>
      </w:rPr>
    </w:lvl>
    <w:lvl w:ilvl="4">
      <w:start w:val="1"/>
      <w:numFmt w:val="bullet"/>
      <w:lvlText w:val="•"/>
      <w:lvlJc w:val="left"/>
      <w:pPr>
        <w:ind w:left="2020" w:hanging="360"/>
      </w:pPr>
      <w:rPr>
        <w:rFonts w:hint="default"/>
      </w:rPr>
    </w:lvl>
    <w:lvl w:ilvl="5">
      <w:start w:val="1"/>
      <w:numFmt w:val="bullet"/>
      <w:lvlText w:val="•"/>
      <w:lvlJc w:val="left"/>
      <w:pPr>
        <w:ind w:left="3200" w:hanging="360"/>
      </w:pPr>
      <w:rPr>
        <w:rFonts w:hint="default"/>
      </w:rPr>
    </w:lvl>
    <w:lvl w:ilvl="6">
      <w:start w:val="1"/>
      <w:numFmt w:val="bullet"/>
      <w:lvlText w:val="•"/>
      <w:lvlJc w:val="left"/>
      <w:pPr>
        <w:ind w:left="4380" w:hanging="360"/>
      </w:pPr>
      <w:rPr>
        <w:rFonts w:hint="default"/>
      </w:rPr>
    </w:lvl>
    <w:lvl w:ilvl="7">
      <w:start w:val="1"/>
      <w:numFmt w:val="bullet"/>
      <w:lvlText w:val="•"/>
      <w:lvlJc w:val="left"/>
      <w:pPr>
        <w:ind w:left="5560" w:hanging="360"/>
      </w:pPr>
      <w:rPr>
        <w:rFonts w:hint="default"/>
      </w:rPr>
    </w:lvl>
    <w:lvl w:ilvl="8">
      <w:start w:val="1"/>
      <w:numFmt w:val="bullet"/>
      <w:lvlText w:val="•"/>
      <w:lvlJc w:val="left"/>
      <w:pPr>
        <w:ind w:left="6740" w:hanging="360"/>
      </w:pPr>
      <w:rPr>
        <w:rFonts w:hint="default"/>
      </w:rPr>
    </w:lvl>
  </w:abstractNum>
  <w:abstractNum w:abstractNumId="24">
    <w:multiLevelType w:val="hybridMultilevel"/>
    <w:lvl w:ilvl="0">
      <w:start w:val="4"/>
      <w:numFmt w:val="decimal"/>
      <w:lvlText w:val="%1"/>
      <w:lvlJc w:val="left"/>
      <w:pPr>
        <w:ind w:left="453" w:hanging="332"/>
        <w:jc w:val="left"/>
      </w:pPr>
      <w:rPr>
        <w:rFonts w:hint="default"/>
      </w:rPr>
    </w:lvl>
    <w:lvl w:ilvl="1">
      <w:start w:val="1"/>
      <w:numFmt w:val="decimal"/>
      <w:lvlText w:val="%1.%2"/>
      <w:lvlJc w:val="left"/>
      <w:pPr>
        <w:ind w:left="453" w:hanging="332"/>
        <w:jc w:val="left"/>
      </w:pPr>
      <w:rPr>
        <w:rFonts w:hint="default" w:ascii="Times New Roman" w:hAnsi="Times New Roman" w:eastAsia="Times New Roman" w:cs="Times New Roman"/>
        <w:b/>
        <w:bCs/>
        <w:w w:val="100"/>
        <w:sz w:val="22"/>
        <w:szCs w:val="22"/>
      </w:rPr>
    </w:lvl>
    <w:lvl w:ilvl="2">
      <w:start w:val="1"/>
      <w:numFmt w:val="bullet"/>
      <w:lvlText w:val="•"/>
      <w:lvlJc w:val="left"/>
      <w:pPr>
        <w:ind w:left="1633" w:hanging="332"/>
      </w:pPr>
      <w:rPr>
        <w:rFonts w:hint="default"/>
      </w:rPr>
    </w:lvl>
    <w:lvl w:ilvl="3">
      <w:start w:val="1"/>
      <w:numFmt w:val="bullet"/>
      <w:lvlText w:val="•"/>
      <w:lvlJc w:val="left"/>
      <w:pPr>
        <w:ind w:left="2566" w:hanging="332"/>
      </w:pPr>
      <w:rPr>
        <w:rFonts w:hint="default"/>
      </w:rPr>
    </w:lvl>
    <w:lvl w:ilvl="4">
      <w:start w:val="1"/>
      <w:numFmt w:val="bullet"/>
      <w:lvlText w:val="•"/>
      <w:lvlJc w:val="left"/>
      <w:pPr>
        <w:ind w:left="3500" w:hanging="332"/>
      </w:pPr>
      <w:rPr>
        <w:rFonts w:hint="default"/>
      </w:rPr>
    </w:lvl>
    <w:lvl w:ilvl="5">
      <w:start w:val="1"/>
      <w:numFmt w:val="bullet"/>
      <w:lvlText w:val="•"/>
      <w:lvlJc w:val="left"/>
      <w:pPr>
        <w:ind w:left="4433" w:hanging="332"/>
      </w:pPr>
      <w:rPr>
        <w:rFonts w:hint="default"/>
      </w:rPr>
    </w:lvl>
    <w:lvl w:ilvl="6">
      <w:start w:val="1"/>
      <w:numFmt w:val="bullet"/>
      <w:lvlText w:val="•"/>
      <w:lvlJc w:val="left"/>
      <w:pPr>
        <w:ind w:left="5366" w:hanging="332"/>
      </w:pPr>
      <w:rPr>
        <w:rFonts w:hint="default"/>
      </w:rPr>
    </w:lvl>
    <w:lvl w:ilvl="7">
      <w:start w:val="1"/>
      <w:numFmt w:val="bullet"/>
      <w:lvlText w:val="•"/>
      <w:lvlJc w:val="left"/>
      <w:pPr>
        <w:ind w:left="6300" w:hanging="332"/>
      </w:pPr>
      <w:rPr>
        <w:rFonts w:hint="default"/>
      </w:rPr>
    </w:lvl>
    <w:lvl w:ilvl="8">
      <w:start w:val="1"/>
      <w:numFmt w:val="bullet"/>
      <w:lvlText w:val="•"/>
      <w:lvlJc w:val="left"/>
      <w:pPr>
        <w:ind w:left="7233" w:hanging="332"/>
      </w:pPr>
      <w:rPr>
        <w:rFonts w:hint="default"/>
      </w:rPr>
    </w:lvl>
  </w:abstractNum>
  <w:abstractNum w:abstractNumId="23">
    <w:multiLevelType w:val="hybridMultilevel"/>
    <w:lvl w:ilvl="0">
      <w:start w:val="35"/>
      <w:numFmt w:val="decimal"/>
      <w:lvlText w:val="%1."/>
      <w:lvlJc w:val="left"/>
      <w:pPr>
        <w:ind w:left="405" w:hanging="284"/>
        <w:jc w:val="left"/>
      </w:pPr>
      <w:rPr>
        <w:rFonts w:hint="default" w:ascii="Times New Roman" w:hAnsi="Times New Roman" w:eastAsia="Times New Roman" w:cs="Times New Roman"/>
        <w:w w:val="100"/>
        <w:sz w:val="22"/>
        <w:szCs w:val="22"/>
      </w:rPr>
    </w:lvl>
    <w:lvl w:ilvl="1">
      <w:start w:val="1"/>
      <w:numFmt w:val="bullet"/>
      <w:lvlText w:val="•"/>
      <w:lvlJc w:val="left"/>
      <w:pPr>
        <w:ind w:left="1270" w:hanging="284"/>
      </w:pPr>
      <w:rPr>
        <w:rFonts w:hint="default"/>
      </w:rPr>
    </w:lvl>
    <w:lvl w:ilvl="2">
      <w:start w:val="1"/>
      <w:numFmt w:val="bullet"/>
      <w:lvlText w:val="•"/>
      <w:lvlJc w:val="left"/>
      <w:pPr>
        <w:ind w:left="2140" w:hanging="284"/>
      </w:pPr>
      <w:rPr>
        <w:rFonts w:hint="default"/>
      </w:rPr>
    </w:lvl>
    <w:lvl w:ilvl="3">
      <w:start w:val="1"/>
      <w:numFmt w:val="bullet"/>
      <w:lvlText w:val="•"/>
      <w:lvlJc w:val="left"/>
      <w:pPr>
        <w:ind w:left="3010" w:hanging="284"/>
      </w:pPr>
      <w:rPr>
        <w:rFonts w:hint="default"/>
      </w:rPr>
    </w:lvl>
    <w:lvl w:ilvl="4">
      <w:start w:val="1"/>
      <w:numFmt w:val="bullet"/>
      <w:lvlText w:val="•"/>
      <w:lvlJc w:val="left"/>
      <w:pPr>
        <w:ind w:left="3880" w:hanging="284"/>
      </w:pPr>
      <w:rPr>
        <w:rFonts w:hint="default"/>
      </w:rPr>
    </w:lvl>
    <w:lvl w:ilvl="5">
      <w:start w:val="1"/>
      <w:numFmt w:val="bullet"/>
      <w:lvlText w:val="•"/>
      <w:lvlJc w:val="left"/>
      <w:pPr>
        <w:ind w:left="4750" w:hanging="284"/>
      </w:pPr>
      <w:rPr>
        <w:rFonts w:hint="default"/>
      </w:rPr>
    </w:lvl>
    <w:lvl w:ilvl="6">
      <w:start w:val="1"/>
      <w:numFmt w:val="bullet"/>
      <w:lvlText w:val="•"/>
      <w:lvlJc w:val="left"/>
      <w:pPr>
        <w:ind w:left="5620" w:hanging="284"/>
      </w:pPr>
      <w:rPr>
        <w:rFonts w:hint="default"/>
      </w:rPr>
    </w:lvl>
    <w:lvl w:ilvl="7">
      <w:start w:val="1"/>
      <w:numFmt w:val="bullet"/>
      <w:lvlText w:val="•"/>
      <w:lvlJc w:val="left"/>
      <w:pPr>
        <w:ind w:left="6490" w:hanging="284"/>
      </w:pPr>
      <w:rPr>
        <w:rFonts w:hint="default"/>
      </w:rPr>
    </w:lvl>
    <w:lvl w:ilvl="8">
      <w:start w:val="1"/>
      <w:numFmt w:val="bullet"/>
      <w:lvlText w:val="•"/>
      <w:lvlJc w:val="left"/>
      <w:pPr>
        <w:ind w:left="7360" w:hanging="284"/>
      </w:pPr>
      <w:rPr>
        <w:rFonts w:hint="default"/>
      </w:rPr>
    </w:lvl>
  </w:abstractNum>
  <w:abstractNum w:abstractNumId="22">
    <w:multiLevelType w:val="hybridMultilevel"/>
    <w:lvl w:ilvl="0">
      <w:start w:val="28"/>
      <w:numFmt w:val="decimal"/>
      <w:lvlText w:val="%1."/>
      <w:lvlJc w:val="left"/>
      <w:pPr>
        <w:ind w:left="405" w:hanging="284"/>
        <w:jc w:val="left"/>
      </w:pPr>
      <w:rPr>
        <w:rFonts w:hint="default" w:ascii="Times New Roman" w:hAnsi="Times New Roman" w:eastAsia="Times New Roman" w:cs="Times New Roman"/>
        <w:w w:val="100"/>
        <w:sz w:val="22"/>
        <w:szCs w:val="22"/>
      </w:rPr>
    </w:lvl>
    <w:lvl w:ilvl="1">
      <w:start w:val="1"/>
      <w:numFmt w:val="bullet"/>
      <w:lvlText w:val="•"/>
      <w:lvlJc w:val="left"/>
      <w:pPr>
        <w:ind w:left="1270" w:hanging="284"/>
      </w:pPr>
      <w:rPr>
        <w:rFonts w:hint="default"/>
      </w:rPr>
    </w:lvl>
    <w:lvl w:ilvl="2">
      <w:start w:val="1"/>
      <w:numFmt w:val="bullet"/>
      <w:lvlText w:val="•"/>
      <w:lvlJc w:val="left"/>
      <w:pPr>
        <w:ind w:left="2140" w:hanging="284"/>
      </w:pPr>
      <w:rPr>
        <w:rFonts w:hint="default"/>
      </w:rPr>
    </w:lvl>
    <w:lvl w:ilvl="3">
      <w:start w:val="1"/>
      <w:numFmt w:val="bullet"/>
      <w:lvlText w:val="•"/>
      <w:lvlJc w:val="left"/>
      <w:pPr>
        <w:ind w:left="3010" w:hanging="284"/>
      </w:pPr>
      <w:rPr>
        <w:rFonts w:hint="default"/>
      </w:rPr>
    </w:lvl>
    <w:lvl w:ilvl="4">
      <w:start w:val="1"/>
      <w:numFmt w:val="bullet"/>
      <w:lvlText w:val="•"/>
      <w:lvlJc w:val="left"/>
      <w:pPr>
        <w:ind w:left="3880" w:hanging="284"/>
      </w:pPr>
      <w:rPr>
        <w:rFonts w:hint="default"/>
      </w:rPr>
    </w:lvl>
    <w:lvl w:ilvl="5">
      <w:start w:val="1"/>
      <w:numFmt w:val="bullet"/>
      <w:lvlText w:val="•"/>
      <w:lvlJc w:val="left"/>
      <w:pPr>
        <w:ind w:left="4750" w:hanging="284"/>
      </w:pPr>
      <w:rPr>
        <w:rFonts w:hint="default"/>
      </w:rPr>
    </w:lvl>
    <w:lvl w:ilvl="6">
      <w:start w:val="1"/>
      <w:numFmt w:val="bullet"/>
      <w:lvlText w:val="•"/>
      <w:lvlJc w:val="left"/>
      <w:pPr>
        <w:ind w:left="5620" w:hanging="284"/>
      </w:pPr>
      <w:rPr>
        <w:rFonts w:hint="default"/>
      </w:rPr>
    </w:lvl>
    <w:lvl w:ilvl="7">
      <w:start w:val="1"/>
      <w:numFmt w:val="bullet"/>
      <w:lvlText w:val="•"/>
      <w:lvlJc w:val="left"/>
      <w:pPr>
        <w:ind w:left="6490" w:hanging="284"/>
      </w:pPr>
      <w:rPr>
        <w:rFonts w:hint="default"/>
      </w:rPr>
    </w:lvl>
    <w:lvl w:ilvl="8">
      <w:start w:val="1"/>
      <w:numFmt w:val="bullet"/>
      <w:lvlText w:val="•"/>
      <w:lvlJc w:val="left"/>
      <w:pPr>
        <w:ind w:left="7360" w:hanging="284"/>
      </w:pPr>
      <w:rPr>
        <w:rFonts w:hint="default"/>
      </w:rPr>
    </w:lvl>
  </w:abstractNum>
  <w:abstractNum w:abstractNumId="21">
    <w:multiLevelType w:val="hybridMultilevel"/>
    <w:lvl w:ilvl="0">
      <w:start w:val="23"/>
      <w:numFmt w:val="decimal"/>
      <w:lvlText w:val="%1."/>
      <w:lvlJc w:val="left"/>
      <w:pPr>
        <w:ind w:left="405" w:hanging="284"/>
        <w:jc w:val="left"/>
      </w:pPr>
      <w:rPr>
        <w:rFonts w:hint="default" w:ascii="Times New Roman" w:hAnsi="Times New Roman" w:eastAsia="Times New Roman" w:cs="Times New Roman"/>
        <w:w w:val="100"/>
        <w:sz w:val="22"/>
        <w:szCs w:val="22"/>
      </w:rPr>
    </w:lvl>
    <w:lvl w:ilvl="1">
      <w:start w:val="1"/>
      <w:numFmt w:val="bullet"/>
      <w:lvlText w:val="•"/>
      <w:lvlJc w:val="left"/>
      <w:pPr>
        <w:ind w:left="1270" w:hanging="284"/>
      </w:pPr>
      <w:rPr>
        <w:rFonts w:hint="default"/>
      </w:rPr>
    </w:lvl>
    <w:lvl w:ilvl="2">
      <w:start w:val="1"/>
      <w:numFmt w:val="bullet"/>
      <w:lvlText w:val="•"/>
      <w:lvlJc w:val="left"/>
      <w:pPr>
        <w:ind w:left="2140" w:hanging="284"/>
      </w:pPr>
      <w:rPr>
        <w:rFonts w:hint="default"/>
      </w:rPr>
    </w:lvl>
    <w:lvl w:ilvl="3">
      <w:start w:val="1"/>
      <w:numFmt w:val="bullet"/>
      <w:lvlText w:val="•"/>
      <w:lvlJc w:val="left"/>
      <w:pPr>
        <w:ind w:left="3010" w:hanging="284"/>
      </w:pPr>
      <w:rPr>
        <w:rFonts w:hint="default"/>
      </w:rPr>
    </w:lvl>
    <w:lvl w:ilvl="4">
      <w:start w:val="1"/>
      <w:numFmt w:val="bullet"/>
      <w:lvlText w:val="•"/>
      <w:lvlJc w:val="left"/>
      <w:pPr>
        <w:ind w:left="3880" w:hanging="284"/>
      </w:pPr>
      <w:rPr>
        <w:rFonts w:hint="default"/>
      </w:rPr>
    </w:lvl>
    <w:lvl w:ilvl="5">
      <w:start w:val="1"/>
      <w:numFmt w:val="bullet"/>
      <w:lvlText w:val="•"/>
      <w:lvlJc w:val="left"/>
      <w:pPr>
        <w:ind w:left="4750" w:hanging="284"/>
      </w:pPr>
      <w:rPr>
        <w:rFonts w:hint="default"/>
      </w:rPr>
    </w:lvl>
    <w:lvl w:ilvl="6">
      <w:start w:val="1"/>
      <w:numFmt w:val="bullet"/>
      <w:lvlText w:val="•"/>
      <w:lvlJc w:val="left"/>
      <w:pPr>
        <w:ind w:left="5620" w:hanging="284"/>
      </w:pPr>
      <w:rPr>
        <w:rFonts w:hint="default"/>
      </w:rPr>
    </w:lvl>
    <w:lvl w:ilvl="7">
      <w:start w:val="1"/>
      <w:numFmt w:val="bullet"/>
      <w:lvlText w:val="•"/>
      <w:lvlJc w:val="left"/>
      <w:pPr>
        <w:ind w:left="6490" w:hanging="284"/>
      </w:pPr>
      <w:rPr>
        <w:rFonts w:hint="default"/>
      </w:rPr>
    </w:lvl>
    <w:lvl w:ilvl="8">
      <w:start w:val="1"/>
      <w:numFmt w:val="bullet"/>
      <w:lvlText w:val="•"/>
      <w:lvlJc w:val="left"/>
      <w:pPr>
        <w:ind w:left="7360" w:hanging="284"/>
      </w:pPr>
      <w:rPr>
        <w:rFonts w:hint="default"/>
      </w:rPr>
    </w:lvl>
  </w:abstractNum>
  <w:abstractNum w:abstractNumId="20">
    <w:multiLevelType w:val="hybridMultilevel"/>
    <w:lvl w:ilvl="0">
      <w:start w:val="19"/>
      <w:numFmt w:val="decimal"/>
      <w:lvlText w:val="%1."/>
      <w:lvlJc w:val="left"/>
      <w:pPr>
        <w:ind w:left="122" w:hanging="284"/>
        <w:jc w:val="left"/>
      </w:pPr>
      <w:rPr>
        <w:rFonts w:hint="default" w:ascii="Times New Roman" w:hAnsi="Times New Roman" w:eastAsia="Times New Roman" w:cs="Times New Roman"/>
        <w:w w:val="100"/>
        <w:sz w:val="22"/>
        <w:szCs w:val="22"/>
      </w:rPr>
    </w:lvl>
    <w:lvl w:ilvl="1">
      <w:start w:val="1"/>
      <w:numFmt w:val="bullet"/>
      <w:lvlText w:val="•"/>
      <w:lvlJc w:val="left"/>
      <w:pPr>
        <w:ind w:left="1018" w:hanging="284"/>
      </w:pPr>
      <w:rPr>
        <w:rFonts w:hint="default"/>
      </w:rPr>
    </w:lvl>
    <w:lvl w:ilvl="2">
      <w:start w:val="1"/>
      <w:numFmt w:val="bullet"/>
      <w:lvlText w:val="•"/>
      <w:lvlJc w:val="left"/>
      <w:pPr>
        <w:ind w:left="1916" w:hanging="284"/>
      </w:pPr>
      <w:rPr>
        <w:rFonts w:hint="default"/>
      </w:rPr>
    </w:lvl>
    <w:lvl w:ilvl="3">
      <w:start w:val="1"/>
      <w:numFmt w:val="bullet"/>
      <w:lvlText w:val="•"/>
      <w:lvlJc w:val="left"/>
      <w:pPr>
        <w:ind w:left="2814" w:hanging="284"/>
      </w:pPr>
      <w:rPr>
        <w:rFonts w:hint="default"/>
      </w:rPr>
    </w:lvl>
    <w:lvl w:ilvl="4">
      <w:start w:val="1"/>
      <w:numFmt w:val="bullet"/>
      <w:lvlText w:val="•"/>
      <w:lvlJc w:val="left"/>
      <w:pPr>
        <w:ind w:left="3712" w:hanging="284"/>
      </w:pPr>
      <w:rPr>
        <w:rFonts w:hint="default"/>
      </w:rPr>
    </w:lvl>
    <w:lvl w:ilvl="5">
      <w:start w:val="1"/>
      <w:numFmt w:val="bullet"/>
      <w:lvlText w:val="•"/>
      <w:lvlJc w:val="left"/>
      <w:pPr>
        <w:ind w:left="4610" w:hanging="284"/>
      </w:pPr>
      <w:rPr>
        <w:rFonts w:hint="default"/>
      </w:rPr>
    </w:lvl>
    <w:lvl w:ilvl="6">
      <w:start w:val="1"/>
      <w:numFmt w:val="bullet"/>
      <w:lvlText w:val="•"/>
      <w:lvlJc w:val="left"/>
      <w:pPr>
        <w:ind w:left="5508" w:hanging="284"/>
      </w:pPr>
      <w:rPr>
        <w:rFonts w:hint="default"/>
      </w:rPr>
    </w:lvl>
    <w:lvl w:ilvl="7">
      <w:start w:val="1"/>
      <w:numFmt w:val="bullet"/>
      <w:lvlText w:val="•"/>
      <w:lvlJc w:val="left"/>
      <w:pPr>
        <w:ind w:left="6406" w:hanging="284"/>
      </w:pPr>
      <w:rPr>
        <w:rFonts w:hint="default"/>
      </w:rPr>
    </w:lvl>
    <w:lvl w:ilvl="8">
      <w:start w:val="1"/>
      <w:numFmt w:val="bullet"/>
      <w:lvlText w:val="•"/>
      <w:lvlJc w:val="left"/>
      <w:pPr>
        <w:ind w:left="7304" w:hanging="284"/>
      </w:pPr>
      <w:rPr>
        <w:rFonts w:hint="default"/>
      </w:rPr>
    </w:lvl>
  </w:abstractNum>
  <w:abstractNum w:abstractNumId="19">
    <w:multiLevelType w:val="hybridMultilevel"/>
    <w:lvl w:ilvl="0">
      <w:start w:val="6"/>
      <w:numFmt w:val="decimal"/>
      <w:lvlText w:val="%1."/>
      <w:lvlJc w:val="left"/>
      <w:pPr>
        <w:ind w:left="405" w:hanging="284"/>
        <w:jc w:val="left"/>
      </w:pPr>
      <w:rPr>
        <w:rFonts w:hint="default" w:ascii="Times New Roman" w:hAnsi="Times New Roman" w:eastAsia="Times New Roman" w:cs="Times New Roman"/>
        <w:w w:val="100"/>
        <w:sz w:val="22"/>
        <w:szCs w:val="22"/>
      </w:rPr>
    </w:lvl>
    <w:lvl w:ilvl="1">
      <w:start w:val="1"/>
      <w:numFmt w:val="bullet"/>
      <w:lvlText w:val="•"/>
      <w:lvlJc w:val="left"/>
      <w:pPr>
        <w:ind w:left="1270" w:hanging="284"/>
      </w:pPr>
      <w:rPr>
        <w:rFonts w:hint="default"/>
      </w:rPr>
    </w:lvl>
    <w:lvl w:ilvl="2">
      <w:start w:val="1"/>
      <w:numFmt w:val="bullet"/>
      <w:lvlText w:val="•"/>
      <w:lvlJc w:val="left"/>
      <w:pPr>
        <w:ind w:left="2140" w:hanging="284"/>
      </w:pPr>
      <w:rPr>
        <w:rFonts w:hint="default"/>
      </w:rPr>
    </w:lvl>
    <w:lvl w:ilvl="3">
      <w:start w:val="1"/>
      <w:numFmt w:val="bullet"/>
      <w:lvlText w:val="•"/>
      <w:lvlJc w:val="left"/>
      <w:pPr>
        <w:ind w:left="3010" w:hanging="284"/>
      </w:pPr>
      <w:rPr>
        <w:rFonts w:hint="default"/>
      </w:rPr>
    </w:lvl>
    <w:lvl w:ilvl="4">
      <w:start w:val="1"/>
      <w:numFmt w:val="bullet"/>
      <w:lvlText w:val="•"/>
      <w:lvlJc w:val="left"/>
      <w:pPr>
        <w:ind w:left="3880" w:hanging="284"/>
      </w:pPr>
      <w:rPr>
        <w:rFonts w:hint="default"/>
      </w:rPr>
    </w:lvl>
    <w:lvl w:ilvl="5">
      <w:start w:val="1"/>
      <w:numFmt w:val="bullet"/>
      <w:lvlText w:val="•"/>
      <w:lvlJc w:val="left"/>
      <w:pPr>
        <w:ind w:left="4750" w:hanging="284"/>
      </w:pPr>
      <w:rPr>
        <w:rFonts w:hint="default"/>
      </w:rPr>
    </w:lvl>
    <w:lvl w:ilvl="6">
      <w:start w:val="1"/>
      <w:numFmt w:val="bullet"/>
      <w:lvlText w:val="•"/>
      <w:lvlJc w:val="left"/>
      <w:pPr>
        <w:ind w:left="5620" w:hanging="284"/>
      </w:pPr>
      <w:rPr>
        <w:rFonts w:hint="default"/>
      </w:rPr>
    </w:lvl>
    <w:lvl w:ilvl="7">
      <w:start w:val="1"/>
      <w:numFmt w:val="bullet"/>
      <w:lvlText w:val="•"/>
      <w:lvlJc w:val="left"/>
      <w:pPr>
        <w:ind w:left="6490" w:hanging="284"/>
      </w:pPr>
      <w:rPr>
        <w:rFonts w:hint="default"/>
      </w:rPr>
    </w:lvl>
    <w:lvl w:ilvl="8">
      <w:start w:val="1"/>
      <w:numFmt w:val="bullet"/>
      <w:lvlText w:val="•"/>
      <w:lvlJc w:val="left"/>
      <w:pPr>
        <w:ind w:left="7360" w:hanging="284"/>
      </w:pPr>
      <w:rPr>
        <w:rFonts w:hint="default"/>
      </w:rPr>
    </w:lvl>
  </w:abstractNum>
  <w:abstractNum w:abstractNumId="18">
    <w:multiLevelType w:val="hybridMultilevel"/>
    <w:lvl w:ilvl="0">
      <w:start w:val="19"/>
      <w:numFmt w:val="upperLetter"/>
      <w:lvlText w:val="%1."/>
      <w:lvlJc w:val="left"/>
      <w:pPr>
        <w:ind w:left="122" w:hanging="245"/>
        <w:jc w:val="left"/>
      </w:pPr>
      <w:rPr>
        <w:rFonts w:hint="default" w:ascii="Times New Roman" w:hAnsi="Times New Roman" w:eastAsia="Times New Roman" w:cs="Times New Roman"/>
        <w:w w:val="100"/>
        <w:sz w:val="22"/>
        <w:szCs w:val="22"/>
      </w:rPr>
    </w:lvl>
    <w:lvl w:ilvl="1">
      <w:start w:val="1"/>
      <w:numFmt w:val="decimal"/>
      <w:lvlText w:val="%2."/>
      <w:lvlJc w:val="left"/>
      <w:pPr>
        <w:ind w:left="405" w:hanging="284"/>
        <w:jc w:val="left"/>
      </w:pPr>
      <w:rPr>
        <w:rFonts w:hint="default" w:ascii="Times New Roman" w:hAnsi="Times New Roman" w:eastAsia="Times New Roman" w:cs="Times New Roman"/>
        <w:w w:val="100"/>
        <w:sz w:val="22"/>
        <w:szCs w:val="22"/>
      </w:rPr>
    </w:lvl>
    <w:lvl w:ilvl="2">
      <w:start w:val="1"/>
      <w:numFmt w:val="bullet"/>
      <w:lvlText w:val="•"/>
      <w:lvlJc w:val="left"/>
      <w:pPr>
        <w:ind w:left="1366" w:hanging="284"/>
      </w:pPr>
      <w:rPr>
        <w:rFonts w:hint="default"/>
      </w:rPr>
    </w:lvl>
    <w:lvl w:ilvl="3">
      <w:start w:val="1"/>
      <w:numFmt w:val="bullet"/>
      <w:lvlText w:val="•"/>
      <w:lvlJc w:val="left"/>
      <w:pPr>
        <w:ind w:left="2333" w:hanging="284"/>
      </w:pPr>
      <w:rPr>
        <w:rFonts w:hint="default"/>
      </w:rPr>
    </w:lvl>
    <w:lvl w:ilvl="4">
      <w:start w:val="1"/>
      <w:numFmt w:val="bullet"/>
      <w:lvlText w:val="•"/>
      <w:lvlJc w:val="left"/>
      <w:pPr>
        <w:ind w:left="3300" w:hanging="284"/>
      </w:pPr>
      <w:rPr>
        <w:rFonts w:hint="default"/>
      </w:rPr>
    </w:lvl>
    <w:lvl w:ilvl="5">
      <w:start w:val="1"/>
      <w:numFmt w:val="bullet"/>
      <w:lvlText w:val="•"/>
      <w:lvlJc w:val="left"/>
      <w:pPr>
        <w:ind w:left="4266" w:hanging="284"/>
      </w:pPr>
      <w:rPr>
        <w:rFonts w:hint="default"/>
      </w:rPr>
    </w:lvl>
    <w:lvl w:ilvl="6">
      <w:start w:val="1"/>
      <w:numFmt w:val="bullet"/>
      <w:lvlText w:val="•"/>
      <w:lvlJc w:val="left"/>
      <w:pPr>
        <w:ind w:left="5233" w:hanging="284"/>
      </w:pPr>
      <w:rPr>
        <w:rFonts w:hint="default"/>
      </w:rPr>
    </w:lvl>
    <w:lvl w:ilvl="7">
      <w:start w:val="1"/>
      <w:numFmt w:val="bullet"/>
      <w:lvlText w:val="•"/>
      <w:lvlJc w:val="left"/>
      <w:pPr>
        <w:ind w:left="6200" w:hanging="284"/>
      </w:pPr>
      <w:rPr>
        <w:rFonts w:hint="default"/>
      </w:rPr>
    </w:lvl>
    <w:lvl w:ilvl="8">
      <w:start w:val="1"/>
      <w:numFmt w:val="bullet"/>
      <w:lvlText w:val="•"/>
      <w:lvlJc w:val="left"/>
      <w:pPr>
        <w:ind w:left="7166" w:hanging="284"/>
      </w:pPr>
      <w:rPr>
        <w:rFonts w:hint="default"/>
      </w:rPr>
    </w:lvl>
  </w:abstractNum>
  <w:abstractNum w:abstractNumId="17">
    <w:multiLevelType w:val="hybridMultilevel"/>
    <w:lvl w:ilvl="0">
      <w:start w:val="1"/>
      <w:numFmt w:val="decimal"/>
      <w:lvlText w:val="%1."/>
      <w:lvlJc w:val="left"/>
      <w:pPr>
        <w:ind w:left="582" w:hanging="461"/>
        <w:jc w:val="left"/>
      </w:pPr>
      <w:rPr>
        <w:rFonts w:hint="default" w:ascii="Times New Roman" w:hAnsi="Times New Roman" w:eastAsia="Times New Roman" w:cs="Times New Roman"/>
        <w:w w:val="100"/>
        <w:sz w:val="22"/>
        <w:szCs w:val="22"/>
      </w:rPr>
    </w:lvl>
    <w:lvl w:ilvl="1">
      <w:start w:val="1"/>
      <w:numFmt w:val="bullet"/>
      <w:lvlText w:val="•"/>
      <w:lvlJc w:val="left"/>
      <w:pPr>
        <w:ind w:left="1432" w:hanging="461"/>
      </w:pPr>
      <w:rPr>
        <w:rFonts w:hint="default"/>
      </w:rPr>
    </w:lvl>
    <w:lvl w:ilvl="2">
      <w:start w:val="1"/>
      <w:numFmt w:val="bullet"/>
      <w:lvlText w:val="•"/>
      <w:lvlJc w:val="left"/>
      <w:pPr>
        <w:ind w:left="2284" w:hanging="461"/>
      </w:pPr>
      <w:rPr>
        <w:rFonts w:hint="default"/>
      </w:rPr>
    </w:lvl>
    <w:lvl w:ilvl="3">
      <w:start w:val="1"/>
      <w:numFmt w:val="bullet"/>
      <w:lvlText w:val="•"/>
      <w:lvlJc w:val="left"/>
      <w:pPr>
        <w:ind w:left="3136" w:hanging="461"/>
      </w:pPr>
      <w:rPr>
        <w:rFonts w:hint="default"/>
      </w:rPr>
    </w:lvl>
    <w:lvl w:ilvl="4">
      <w:start w:val="1"/>
      <w:numFmt w:val="bullet"/>
      <w:lvlText w:val="•"/>
      <w:lvlJc w:val="left"/>
      <w:pPr>
        <w:ind w:left="3988" w:hanging="461"/>
      </w:pPr>
      <w:rPr>
        <w:rFonts w:hint="default"/>
      </w:rPr>
    </w:lvl>
    <w:lvl w:ilvl="5">
      <w:start w:val="1"/>
      <w:numFmt w:val="bullet"/>
      <w:lvlText w:val="•"/>
      <w:lvlJc w:val="left"/>
      <w:pPr>
        <w:ind w:left="4840" w:hanging="461"/>
      </w:pPr>
      <w:rPr>
        <w:rFonts w:hint="default"/>
      </w:rPr>
    </w:lvl>
    <w:lvl w:ilvl="6">
      <w:start w:val="1"/>
      <w:numFmt w:val="bullet"/>
      <w:lvlText w:val="•"/>
      <w:lvlJc w:val="left"/>
      <w:pPr>
        <w:ind w:left="5692" w:hanging="461"/>
      </w:pPr>
      <w:rPr>
        <w:rFonts w:hint="default"/>
      </w:rPr>
    </w:lvl>
    <w:lvl w:ilvl="7">
      <w:start w:val="1"/>
      <w:numFmt w:val="bullet"/>
      <w:lvlText w:val="•"/>
      <w:lvlJc w:val="left"/>
      <w:pPr>
        <w:ind w:left="6544" w:hanging="461"/>
      </w:pPr>
      <w:rPr>
        <w:rFonts w:hint="default"/>
      </w:rPr>
    </w:lvl>
    <w:lvl w:ilvl="8">
      <w:start w:val="1"/>
      <w:numFmt w:val="bullet"/>
      <w:lvlText w:val="•"/>
      <w:lvlJc w:val="left"/>
      <w:pPr>
        <w:ind w:left="7396" w:hanging="461"/>
      </w:pPr>
      <w:rPr>
        <w:rFonts w:hint="default"/>
      </w:rPr>
    </w:lvl>
  </w:abstractNum>
  <w:abstractNum w:abstractNumId="16">
    <w:multiLevelType w:val="hybridMultilevel"/>
    <w:lvl w:ilvl="0">
      <w:start w:val="3"/>
      <w:numFmt w:val="decimal"/>
      <w:lvlText w:val="%1"/>
      <w:lvlJc w:val="left"/>
      <w:pPr>
        <w:ind w:left="508" w:hanging="387"/>
        <w:jc w:val="left"/>
      </w:pPr>
      <w:rPr>
        <w:rFonts w:hint="default"/>
      </w:rPr>
    </w:lvl>
    <w:lvl w:ilvl="1">
      <w:start w:val="1"/>
      <w:numFmt w:val="decimal"/>
      <w:lvlText w:val="%1.%2."/>
      <w:lvlJc w:val="left"/>
      <w:pPr>
        <w:ind w:left="508" w:hanging="387"/>
        <w:jc w:val="left"/>
      </w:pPr>
      <w:rPr>
        <w:rFonts w:hint="default" w:ascii="Times New Roman" w:hAnsi="Times New Roman" w:eastAsia="Times New Roman" w:cs="Times New Roman"/>
        <w:i/>
        <w:w w:val="100"/>
        <w:sz w:val="22"/>
        <w:szCs w:val="22"/>
      </w:rPr>
    </w:lvl>
    <w:lvl w:ilvl="2">
      <w:start w:val="1"/>
      <w:numFmt w:val="bullet"/>
      <w:lvlText w:val="•"/>
      <w:lvlJc w:val="left"/>
      <w:pPr>
        <w:ind w:left="2220" w:hanging="387"/>
      </w:pPr>
      <w:rPr>
        <w:rFonts w:hint="default"/>
      </w:rPr>
    </w:lvl>
    <w:lvl w:ilvl="3">
      <w:start w:val="1"/>
      <w:numFmt w:val="bullet"/>
      <w:lvlText w:val="•"/>
      <w:lvlJc w:val="left"/>
      <w:pPr>
        <w:ind w:left="3080" w:hanging="387"/>
      </w:pPr>
      <w:rPr>
        <w:rFonts w:hint="default"/>
      </w:rPr>
    </w:lvl>
    <w:lvl w:ilvl="4">
      <w:start w:val="1"/>
      <w:numFmt w:val="bullet"/>
      <w:lvlText w:val="•"/>
      <w:lvlJc w:val="left"/>
      <w:pPr>
        <w:ind w:left="3940" w:hanging="387"/>
      </w:pPr>
      <w:rPr>
        <w:rFonts w:hint="default"/>
      </w:rPr>
    </w:lvl>
    <w:lvl w:ilvl="5">
      <w:start w:val="1"/>
      <w:numFmt w:val="bullet"/>
      <w:lvlText w:val="•"/>
      <w:lvlJc w:val="left"/>
      <w:pPr>
        <w:ind w:left="4800" w:hanging="387"/>
      </w:pPr>
      <w:rPr>
        <w:rFonts w:hint="default"/>
      </w:rPr>
    </w:lvl>
    <w:lvl w:ilvl="6">
      <w:start w:val="1"/>
      <w:numFmt w:val="bullet"/>
      <w:lvlText w:val="•"/>
      <w:lvlJc w:val="left"/>
      <w:pPr>
        <w:ind w:left="5660" w:hanging="387"/>
      </w:pPr>
      <w:rPr>
        <w:rFonts w:hint="default"/>
      </w:rPr>
    </w:lvl>
    <w:lvl w:ilvl="7">
      <w:start w:val="1"/>
      <w:numFmt w:val="bullet"/>
      <w:lvlText w:val="•"/>
      <w:lvlJc w:val="left"/>
      <w:pPr>
        <w:ind w:left="6520" w:hanging="387"/>
      </w:pPr>
      <w:rPr>
        <w:rFonts w:hint="default"/>
      </w:rPr>
    </w:lvl>
    <w:lvl w:ilvl="8">
      <w:start w:val="1"/>
      <w:numFmt w:val="bullet"/>
      <w:lvlText w:val="•"/>
      <w:lvlJc w:val="left"/>
      <w:pPr>
        <w:ind w:left="7380" w:hanging="387"/>
      </w:pPr>
      <w:rPr>
        <w:rFonts w:hint="default"/>
      </w:rPr>
    </w:lvl>
  </w:abstractNum>
  <w:abstractNum w:abstractNumId="15">
    <w:multiLevelType w:val="hybridMultilevel"/>
    <w:lvl w:ilvl="0">
      <w:start w:val="1"/>
      <w:numFmt w:val="decimal"/>
      <w:lvlText w:val="%1."/>
      <w:lvlJc w:val="left"/>
      <w:pPr>
        <w:ind w:left="362" w:hanging="221"/>
        <w:jc w:val="left"/>
      </w:pPr>
      <w:rPr>
        <w:rFonts w:hint="default" w:ascii="Times New Roman" w:hAnsi="Times New Roman" w:eastAsia="Times New Roman" w:cs="Times New Roman"/>
        <w:b/>
        <w:bCs/>
        <w:w w:val="100"/>
        <w:sz w:val="22"/>
        <w:szCs w:val="22"/>
      </w:rPr>
    </w:lvl>
    <w:lvl w:ilvl="1">
      <w:start w:val="2"/>
      <w:numFmt w:val="lowerLetter"/>
      <w:lvlText w:val="(%2)"/>
      <w:lvlJc w:val="left"/>
      <w:pPr>
        <w:ind w:left="4008" w:hanging="327"/>
        <w:jc w:val="right"/>
      </w:pPr>
      <w:rPr>
        <w:rFonts w:hint="default" w:ascii="Times New Roman" w:hAnsi="Times New Roman" w:eastAsia="Times New Roman" w:cs="Times New Roman"/>
        <w:spacing w:val="-1"/>
        <w:w w:val="100"/>
        <w:sz w:val="22"/>
        <w:szCs w:val="22"/>
      </w:rPr>
    </w:lvl>
    <w:lvl w:ilvl="2">
      <w:start w:val="1"/>
      <w:numFmt w:val="bullet"/>
      <w:lvlText w:val="•"/>
      <w:lvlJc w:val="left"/>
      <w:pPr>
        <w:ind w:left="4566" w:hanging="327"/>
      </w:pPr>
      <w:rPr>
        <w:rFonts w:hint="default"/>
      </w:rPr>
    </w:lvl>
    <w:lvl w:ilvl="3">
      <w:start w:val="1"/>
      <w:numFmt w:val="bullet"/>
      <w:lvlText w:val="•"/>
      <w:lvlJc w:val="left"/>
      <w:pPr>
        <w:ind w:left="5133" w:hanging="327"/>
      </w:pPr>
      <w:rPr>
        <w:rFonts w:hint="default"/>
      </w:rPr>
    </w:lvl>
    <w:lvl w:ilvl="4">
      <w:start w:val="1"/>
      <w:numFmt w:val="bullet"/>
      <w:lvlText w:val="•"/>
      <w:lvlJc w:val="left"/>
      <w:pPr>
        <w:ind w:left="5700" w:hanging="327"/>
      </w:pPr>
      <w:rPr>
        <w:rFonts w:hint="default"/>
      </w:rPr>
    </w:lvl>
    <w:lvl w:ilvl="5">
      <w:start w:val="1"/>
      <w:numFmt w:val="bullet"/>
      <w:lvlText w:val="•"/>
      <w:lvlJc w:val="left"/>
      <w:pPr>
        <w:ind w:left="6266" w:hanging="327"/>
      </w:pPr>
      <w:rPr>
        <w:rFonts w:hint="default"/>
      </w:rPr>
    </w:lvl>
    <w:lvl w:ilvl="6">
      <w:start w:val="1"/>
      <w:numFmt w:val="bullet"/>
      <w:lvlText w:val="•"/>
      <w:lvlJc w:val="left"/>
      <w:pPr>
        <w:ind w:left="6833" w:hanging="327"/>
      </w:pPr>
      <w:rPr>
        <w:rFonts w:hint="default"/>
      </w:rPr>
    </w:lvl>
    <w:lvl w:ilvl="7">
      <w:start w:val="1"/>
      <w:numFmt w:val="bullet"/>
      <w:lvlText w:val="•"/>
      <w:lvlJc w:val="left"/>
      <w:pPr>
        <w:ind w:left="7400" w:hanging="327"/>
      </w:pPr>
      <w:rPr>
        <w:rFonts w:hint="default"/>
      </w:rPr>
    </w:lvl>
    <w:lvl w:ilvl="8">
      <w:start w:val="1"/>
      <w:numFmt w:val="bullet"/>
      <w:lvlText w:val="•"/>
      <w:lvlJc w:val="left"/>
      <w:pPr>
        <w:ind w:left="7966" w:hanging="327"/>
      </w:pPr>
      <w:rPr>
        <w:rFonts w:hint="default"/>
      </w:rPr>
    </w:lvl>
  </w:abstractNum>
  <w:abstractNum w:abstractNumId="14">
    <w:multiLevelType w:val="hybridMultilevel"/>
    <w:lvl w:ilvl="0">
      <w:start w:val="2"/>
      <w:numFmt w:val="decimal"/>
      <w:lvlText w:val="%1"/>
      <w:lvlJc w:val="left"/>
      <w:pPr>
        <w:ind w:left="405" w:hanging="284"/>
        <w:jc w:val="left"/>
      </w:pPr>
      <w:rPr>
        <w:rFonts w:hint="default"/>
      </w:rPr>
    </w:lvl>
    <w:lvl w:ilvl="1">
      <w:start w:val="3"/>
      <w:numFmt w:val="decimal"/>
      <w:lvlText w:val="%1.%2"/>
      <w:lvlJc w:val="left"/>
      <w:pPr>
        <w:ind w:left="405" w:hanging="284"/>
        <w:jc w:val="left"/>
      </w:pPr>
      <w:rPr>
        <w:rFonts w:hint="default" w:ascii="Times New Roman" w:hAnsi="Times New Roman" w:eastAsia="Times New Roman" w:cs="Times New Roman"/>
        <w:b/>
        <w:bCs/>
        <w:w w:val="100"/>
        <w:sz w:val="22"/>
        <w:szCs w:val="22"/>
      </w:rPr>
    </w:lvl>
    <w:lvl w:ilvl="2">
      <w:start w:val="1"/>
      <w:numFmt w:val="decimal"/>
      <w:lvlText w:val="%1.%2.%3"/>
      <w:lvlJc w:val="left"/>
      <w:pPr>
        <w:ind w:left="830" w:hanging="708"/>
        <w:jc w:val="left"/>
      </w:pPr>
      <w:rPr>
        <w:rFonts w:hint="default" w:ascii="Times New Roman" w:hAnsi="Times New Roman" w:eastAsia="Times New Roman" w:cs="Times New Roman"/>
        <w:b/>
        <w:bCs/>
        <w:w w:val="100"/>
        <w:sz w:val="22"/>
        <w:szCs w:val="22"/>
      </w:rPr>
    </w:lvl>
    <w:lvl w:ilvl="3">
      <w:start w:val="1"/>
      <w:numFmt w:val="decimal"/>
      <w:lvlText w:val="%1.%2.%3.%4"/>
      <w:lvlJc w:val="left"/>
      <w:pPr>
        <w:ind w:left="974" w:hanging="852"/>
        <w:jc w:val="left"/>
      </w:pPr>
      <w:rPr>
        <w:rFonts w:hint="default" w:ascii="Times New Roman" w:hAnsi="Times New Roman" w:eastAsia="Times New Roman" w:cs="Times New Roman"/>
        <w:b/>
        <w:bCs/>
        <w:w w:val="100"/>
        <w:sz w:val="22"/>
        <w:szCs w:val="22"/>
      </w:rPr>
    </w:lvl>
    <w:lvl w:ilvl="4">
      <w:start w:val="1"/>
      <w:numFmt w:val="bullet"/>
      <w:lvlText w:val="•"/>
      <w:lvlJc w:val="left"/>
      <w:pPr>
        <w:ind w:left="3040" w:hanging="852"/>
      </w:pPr>
      <w:rPr>
        <w:rFonts w:hint="default"/>
      </w:rPr>
    </w:lvl>
    <w:lvl w:ilvl="5">
      <w:start w:val="1"/>
      <w:numFmt w:val="bullet"/>
      <w:lvlText w:val="•"/>
      <w:lvlJc w:val="left"/>
      <w:pPr>
        <w:ind w:left="4070" w:hanging="852"/>
      </w:pPr>
      <w:rPr>
        <w:rFonts w:hint="default"/>
      </w:rPr>
    </w:lvl>
    <w:lvl w:ilvl="6">
      <w:start w:val="1"/>
      <w:numFmt w:val="bullet"/>
      <w:lvlText w:val="•"/>
      <w:lvlJc w:val="left"/>
      <w:pPr>
        <w:ind w:left="5100" w:hanging="852"/>
      </w:pPr>
      <w:rPr>
        <w:rFonts w:hint="default"/>
      </w:rPr>
    </w:lvl>
    <w:lvl w:ilvl="7">
      <w:start w:val="1"/>
      <w:numFmt w:val="bullet"/>
      <w:lvlText w:val="•"/>
      <w:lvlJc w:val="left"/>
      <w:pPr>
        <w:ind w:left="6130" w:hanging="852"/>
      </w:pPr>
      <w:rPr>
        <w:rFonts w:hint="default"/>
      </w:rPr>
    </w:lvl>
    <w:lvl w:ilvl="8">
      <w:start w:val="1"/>
      <w:numFmt w:val="bullet"/>
      <w:lvlText w:val="•"/>
      <w:lvlJc w:val="left"/>
      <w:pPr>
        <w:ind w:left="7160" w:hanging="852"/>
      </w:pPr>
      <w:rPr>
        <w:rFonts w:hint="default"/>
      </w:rPr>
    </w:lvl>
  </w:abstractNum>
  <w:abstractNum w:abstractNumId="13">
    <w:multiLevelType w:val="hybridMultilevel"/>
    <w:lvl w:ilvl="0">
      <w:start w:val="2"/>
      <w:numFmt w:val="decimal"/>
      <w:lvlText w:val="%1"/>
      <w:lvlJc w:val="left"/>
      <w:pPr>
        <w:ind w:left="830" w:hanging="708"/>
        <w:jc w:val="left"/>
      </w:pPr>
      <w:rPr>
        <w:rFonts w:hint="default"/>
      </w:rPr>
    </w:lvl>
    <w:lvl w:ilvl="1">
      <w:start w:val="2"/>
      <w:numFmt w:val="decimal"/>
      <w:lvlText w:val="%1.%2"/>
      <w:lvlJc w:val="left"/>
      <w:pPr>
        <w:ind w:left="830" w:hanging="708"/>
        <w:jc w:val="left"/>
      </w:pPr>
      <w:rPr>
        <w:rFonts w:hint="default"/>
      </w:rPr>
    </w:lvl>
    <w:lvl w:ilvl="2">
      <w:start w:val="5"/>
      <w:numFmt w:val="decimal"/>
      <w:lvlText w:val="%1.%2.%3"/>
      <w:lvlJc w:val="left"/>
      <w:pPr>
        <w:ind w:left="830" w:hanging="708"/>
        <w:jc w:val="left"/>
      </w:pPr>
      <w:rPr>
        <w:rFonts w:hint="default"/>
        <w:b/>
        <w:bCs/>
        <w:w w:val="100"/>
      </w:rPr>
    </w:lvl>
    <w:lvl w:ilvl="3">
      <w:start w:val="1"/>
      <w:numFmt w:val="bullet"/>
      <w:lvlText w:val="•"/>
      <w:lvlJc w:val="left"/>
      <w:pPr>
        <w:ind w:left="3354" w:hanging="708"/>
      </w:pPr>
      <w:rPr>
        <w:rFonts w:hint="default"/>
      </w:rPr>
    </w:lvl>
    <w:lvl w:ilvl="4">
      <w:start w:val="1"/>
      <w:numFmt w:val="bullet"/>
      <w:lvlText w:val="•"/>
      <w:lvlJc w:val="left"/>
      <w:pPr>
        <w:ind w:left="4192" w:hanging="708"/>
      </w:pPr>
      <w:rPr>
        <w:rFonts w:hint="default"/>
      </w:rPr>
    </w:lvl>
    <w:lvl w:ilvl="5">
      <w:start w:val="1"/>
      <w:numFmt w:val="bullet"/>
      <w:lvlText w:val="•"/>
      <w:lvlJc w:val="left"/>
      <w:pPr>
        <w:ind w:left="5030" w:hanging="708"/>
      </w:pPr>
      <w:rPr>
        <w:rFonts w:hint="default"/>
      </w:rPr>
    </w:lvl>
    <w:lvl w:ilvl="6">
      <w:start w:val="1"/>
      <w:numFmt w:val="bullet"/>
      <w:lvlText w:val="•"/>
      <w:lvlJc w:val="left"/>
      <w:pPr>
        <w:ind w:left="5868" w:hanging="708"/>
      </w:pPr>
      <w:rPr>
        <w:rFonts w:hint="default"/>
      </w:rPr>
    </w:lvl>
    <w:lvl w:ilvl="7">
      <w:start w:val="1"/>
      <w:numFmt w:val="bullet"/>
      <w:lvlText w:val="•"/>
      <w:lvlJc w:val="left"/>
      <w:pPr>
        <w:ind w:left="6706" w:hanging="708"/>
      </w:pPr>
      <w:rPr>
        <w:rFonts w:hint="default"/>
      </w:rPr>
    </w:lvl>
    <w:lvl w:ilvl="8">
      <w:start w:val="1"/>
      <w:numFmt w:val="bullet"/>
      <w:lvlText w:val="•"/>
      <w:lvlJc w:val="left"/>
      <w:pPr>
        <w:ind w:left="7544" w:hanging="708"/>
      </w:pPr>
      <w:rPr>
        <w:rFonts w:hint="default"/>
      </w:rPr>
    </w:lvl>
  </w:abstractNum>
  <w:abstractNum w:abstractNumId="12">
    <w:multiLevelType w:val="hybridMultilevel"/>
    <w:lvl w:ilvl="0">
      <w:start w:val="2"/>
      <w:numFmt w:val="decimal"/>
      <w:lvlText w:val="%1"/>
      <w:lvlJc w:val="left"/>
      <w:pPr>
        <w:ind w:left="549" w:hanging="428"/>
        <w:jc w:val="left"/>
      </w:pPr>
      <w:rPr>
        <w:rFonts w:hint="default"/>
      </w:rPr>
    </w:lvl>
    <w:lvl w:ilvl="1">
      <w:start w:val="1"/>
      <w:numFmt w:val="decimal"/>
      <w:lvlText w:val="%1.%2"/>
      <w:lvlJc w:val="left"/>
      <w:pPr>
        <w:ind w:left="549" w:hanging="428"/>
        <w:jc w:val="left"/>
      </w:pPr>
      <w:rPr>
        <w:rFonts w:hint="default" w:ascii="Times New Roman" w:hAnsi="Times New Roman" w:eastAsia="Times New Roman" w:cs="Times New Roman"/>
        <w:b/>
        <w:bCs/>
        <w:w w:val="100"/>
        <w:sz w:val="22"/>
        <w:szCs w:val="22"/>
      </w:rPr>
    </w:lvl>
    <w:lvl w:ilvl="2">
      <w:start w:val="1"/>
      <w:numFmt w:val="decimal"/>
      <w:lvlText w:val="%1.%2.%3"/>
      <w:lvlJc w:val="left"/>
      <w:pPr>
        <w:ind w:left="688" w:hanging="567"/>
        <w:jc w:val="left"/>
      </w:pPr>
      <w:rPr>
        <w:rFonts w:hint="default" w:ascii="Times New Roman" w:hAnsi="Times New Roman" w:eastAsia="Times New Roman" w:cs="Times New Roman"/>
        <w:b/>
        <w:bCs/>
        <w:w w:val="100"/>
        <w:sz w:val="22"/>
        <w:szCs w:val="22"/>
      </w:rPr>
    </w:lvl>
    <w:lvl w:ilvl="3">
      <w:start w:val="1"/>
      <w:numFmt w:val="bullet"/>
      <w:lvlText w:val="•"/>
      <w:lvlJc w:val="left"/>
      <w:pPr>
        <w:ind w:left="2577" w:hanging="567"/>
      </w:pPr>
      <w:rPr>
        <w:rFonts w:hint="default"/>
      </w:rPr>
    </w:lvl>
    <w:lvl w:ilvl="4">
      <w:start w:val="1"/>
      <w:numFmt w:val="bullet"/>
      <w:lvlText w:val="•"/>
      <w:lvlJc w:val="left"/>
      <w:pPr>
        <w:ind w:left="3526" w:hanging="567"/>
      </w:pPr>
      <w:rPr>
        <w:rFonts w:hint="default"/>
      </w:rPr>
    </w:lvl>
    <w:lvl w:ilvl="5">
      <w:start w:val="1"/>
      <w:numFmt w:val="bullet"/>
      <w:lvlText w:val="•"/>
      <w:lvlJc w:val="left"/>
      <w:pPr>
        <w:ind w:left="4475" w:hanging="567"/>
      </w:pPr>
      <w:rPr>
        <w:rFonts w:hint="default"/>
      </w:rPr>
    </w:lvl>
    <w:lvl w:ilvl="6">
      <w:start w:val="1"/>
      <w:numFmt w:val="bullet"/>
      <w:lvlText w:val="•"/>
      <w:lvlJc w:val="left"/>
      <w:pPr>
        <w:ind w:left="5424" w:hanging="567"/>
      </w:pPr>
      <w:rPr>
        <w:rFonts w:hint="default"/>
      </w:rPr>
    </w:lvl>
    <w:lvl w:ilvl="7">
      <w:start w:val="1"/>
      <w:numFmt w:val="bullet"/>
      <w:lvlText w:val="•"/>
      <w:lvlJc w:val="left"/>
      <w:pPr>
        <w:ind w:left="6373" w:hanging="567"/>
      </w:pPr>
      <w:rPr>
        <w:rFonts w:hint="default"/>
      </w:rPr>
    </w:lvl>
    <w:lvl w:ilvl="8">
      <w:start w:val="1"/>
      <w:numFmt w:val="bullet"/>
      <w:lvlText w:val="•"/>
      <w:lvlJc w:val="left"/>
      <w:pPr>
        <w:ind w:left="7322" w:hanging="567"/>
      </w:pPr>
      <w:rPr>
        <w:rFonts w:hint="default"/>
      </w:rPr>
    </w:lvl>
  </w:abstractNum>
  <w:abstractNum w:abstractNumId="11">
    <w:multiLevelType w:val="hybridMultilevel"/>
    <w:lvl w:ilvl="0">
      <w:start w:val="1"/>
      <w:numFmt w:val="decimal"/>
      <w:lvlText w:val="%1"/>
      <w:lvlJc w:val="left"/>
      <w:pPr>
        <w:ind w:left="647" w:hanging="526"/>
        <w:jc w:val="left"/>
      </w:pPr>
      <w:rPr>
        <w:rFonts w:hint="default"/>
      </w:rPr>
    </w:lvl>
    <w:lvl w:ilvl="1">
      <w:start w:val="4"/>
      <w:numFmt w:val="decimal"/>
      <w:lvlText w:val="%1.%2"/>
      <w:lvlJc w:val="left"/>
      <w:pPr>
        <w:ind w:left="647" w:hanging="526"/>
        <w:jc w:val="left"/>
      </w:pPr>
      <w:rPr>
        <w:rFonts w:hint="default" w:ascii="Times New Roman" w:hAnsi="Times New Roman" w:eastAsia="Times New Roman" w:cs="Times New Roman"/>
        <w:b/>
        <w:bCs/>
        <w:w w:val="100"/>
        <w:sz w:val="22"/>
        <w:szCs w:val="22"/>
      </w:rPr>
    </w:lvl>
    <w:lvl w:ilvl="2">
      <w:start w:val="1"/>
      <w:numFmt w:val="bullet"/>
      <w:lvlText w:val=""/>
      <w:lvlJc w:val="left"/>
      <w:pPr>
        <w:ind w:left="842" w:hanging="360"/>
      </w:pPr>
      <w:rPr>
        <w:rFonts w:hint="default" w:ascii="Symbol" w:hAnsi="Symbol" w:eastAsia="Symbol" w:cs="Symbol"/>
        <w:w w:val="100"/>
        <w:sz w:val="22"/>
        <w:szCs w:val="22"/>
      </w:rPr>
    </w:lvl>
    <w:lvl w:ilvl="3">
      <w:start w:val="1"/>
      <w:numFmt w:val="bullet"/>
      <w:lvlText w:val="•"/>
      <w:lvlJc w:val="left"/>
      <w:pPr>
        <w:ind w:left="2702" w:hanging="360"/>
      </w:pPr>
      <w:rPr>
        <w:rFonts w:hint="default"/>
      </w:rPr>
    </w:lvl>
    <w:lvl w:ilvl="4">
      <w:start w:val="1"/>
      <w:numFmt w:val="bullet"/>
      <w:lvlText w:val="•"/>
      <w:lvlJc w:val="left"/>
      <w:pPr>
        <w:ind w:left="3633" w:hanging="360"/>
      </w:pPr>
      <w:rPr>
        <w:rFonts w:hint="default"/>
      </w:rPr>
    </w:lvl>
    <w:lvl w:ilvl="5">
      <w:start w:val="1"/>
      <w:numFmt w:val="bullet"/>
      <w:lvlText w:val="•"/>
      <w:lvlJc w:val="left"/>
      <w:pPr>
        <w:ind w:left="4564" w:hanging="360"/>
      </w:pPr>
      <w:rPr>
        <w:rFonts w:hint="default"/>
      </w:rPr>
    </w:lvl>
    <w:lvl w:ilvl="6">
      <w:start w:val="1"/>
      <w:numFmt w:val="bullet"/>
      <w:lvlText w:val="•"/>
      <w:lvlJc w:val="left"/>
      <w:pPr>
        <w:ind w:left="5495" w:hanging="360"/>
      </w:pPr>
      <w:rPr>
        <w:rFonts w:hint="default"/>
      </w:rPr>
    </w:lvl>
    <w:lvl w:ilvl="7">
      <w:start w:val="1"/>
      <w:numFmt w:val="bullet"/>
      <w:lvlText w:val="•"/>
      <w:lvlJc w:val="left"/>
      <w:pPr>
        <w:ind w:left="6426" w:hanging="360"/>
      </w:pPr>
      <w:rPr>
        <w:rFonts w:hint="default"/>
      </w:rPr>
    </w:lvl>
    <w:lvl w:ilvl="8">
      <w:start w:val="1"/>
      <w:numFmt w:val="bullet"/>
      <w:lvlText w:val="•"/>
      <w:lvlJc w:val="left"/>
      <w:pPr>
        <w:ind w:left="7357" w:hanging="360"/>
      </w:pPr>
      <w:rPr>
        <w:rFonts w:hint="default"/>
      </w:rPr>
    </w:lvl>
  </w:abstractNum>
  <w:abstractNum w:abstractNumId="10">
    <w:multiLevelType w:val="hybridMultilevel"/>
    <w:lvl w:ilvl="0">
      <w:start w:val="1"/>
      <w:numFmt w:val="decimal"/>
      <w:lvlText w:val="%1"/>
      <w:lvlJc w:val="left"/>
      <w:pPr>
        <w:ind w:left="842" w:hanging="720"/>
        <w:jc w:val="left"/>
      </w:pPr>
      <w:rPr>
        <w:rFonts w:hint="default"/>
      </w:rPr>
    </w:lvl>
    <w:lvl w:ilvl="1">
      <w:start w:val="3"/>
      <w:numFmt w:val="decimal"/>
      <w:lvlText w:val="%1.%2"/>
      <w:lvlJc w:val="left"/>
      <w:pPr>
        <w:ind w:left="842" w:hanging="720"/>
        <w:jc w:val="left"/>
      </w:pPr>
      <w:rPr>
        <w:rFonts w:hint="default"/>
      </w:rPr>
    </w:lvl>
    <w:lvl w:ilvl="2">
      <w:start w:val="5"/>
      <w:numFmt w:val="decimal"/>
      <w:lvlText w:val="%1.%2.%3"/>
      <w:lvlJc w:val="left"/>
      <w:pPr>
        <w:ind w:left="842" w:hanging="720"/>
        <w:jc w:val="left"/>
      </w:pPr>
      <w:rPr>
        <w:rFonts w:hint="default" w:ascii="Times New Roman" w:hAnsi="Times New Roman" w:eastAsia="Times New Roman" w:cs="Times New Roman"/>
        <w:b/>
        <w:bCs/>
        <w:w w:val="100"/>
        <w:sz w:val="22"/>
        <w:szCs w:val="22"/>
      </w:rPr>
    </w:lvl>
    <w:lvl w:ilvl="3">
      <w:start w:val="1"/>
      <w:numFmt w:val="decimal"/>
      <w:lvlText w:val="%1.%2.%3.%4"/>
      <w:lvlJc w:val="left"/>
      <w:pPr>
        <w:ind w:left="974" w:hanging="852"/>
        <w:jc w:val="left"/>
      </w:pPr>
      <w:rPr>
        <w:rFonts w:hint="default" w:ascii="Times New Roman" w:hAnsi="Times New Roman" w:eastAsia="Times New Roman" w:cs="Times New Roman"/>
        <w:b/>
        <w:bCs/>
        <w:w w:val="100"/>
        <w:sz w:val="22"/>
        <w:szCs w:val="22"/>
      </w:rPr>
    </w:lvl>
    <w:lvl w:ilvl="4">
      <w:start w:val="1"/>
      <w:numFmt w:val="bullet"/>
      <w:lvlText w:val="•"/>
      <w:lvlJc w:val="left"/>
      <w:pPr>
        <w:ind w:left="3040" w:hanging="852"/>
      </w:pPr>
      <w:rPr>
        <w:rFonts w:hint="default"/>
      </w:rPr>
    </w:lvl>
    <w:lvl w:ilvl="5">
      <w:start w:val="1"/>
      <w:numFmt w:val="bullet"/>
      <w:lvlText w:val="•"/>
      <w:lvlJc w:val="left"/>
      <w:pPr>
        <w:ind w:left="4070" w:hanging="852"/>
      </w:pPr>
      <w:rPr>
        <w:rFonts w:hint="default"/>
      </w:rPr>
    </w:lvl>
    <w:lvl w:ilvl="6">
      <w:start w:val="1"/>
      <w:numFmt w:val="bullet"/>
      <w:lvlText w:val="•"/>
      <w:lvlJc w:val="left"/>
      <w:pPr>
        <w:ind w:left="5100" w:hanging="852"/>
      </w:pPr>
      <w:rPr>
        <w:rFonts w:hint="default"/>
      </w:rPr>
    </w:lvl>
    <w:lvl w:ilvl="7">
      <w:start w:val="1"/>
      <w:numFmt w:val="bullet"/>
      <w:lvlText w:val="•"/>
      <w:lvlJc w:val="left"/>
      <w:pPr>
        <w:ind w:left="6130" w:hanging="852"/>
      </w:pPr>
      <w:rPr>
        <w:rFonts w:hint="default"/>
      </w:rPr>
    </w:lvl>
    <w:lvl w:ilvl="8">
      <w:start w:val="1"/>
      <w:numFmt w:val="bullet"/>
      <w:lvlText w:val="•"/>
      <w:lvlJc w:val="left"/>
      <w:pPr>
        <w:ind w:left="7160" w:hanging="852"/>
      </w:pPr>
      <w:rPr>
        <w:rFonts w:hint="default"/>
      </w:rPr>
    </w:lvl>
  </w:abstractNum>
  <w:abstractNum w:abstractNumId="9">
    <w:multiLevelType w:val="hybridMultilevel"/>
    <w:lvl w:ilvl="0">
      <w:start w:val="1"/>
      <w:numFmt w:val="decimal"/>
      <w:lvlText w:val="%1"/>
      <w:lvlJc w:val="left"/>
      <w:pPr>
        <w:ind w:left="974" w:hanging="852"/>
        <w:jc w:val="left"/>
      </w:pPr>
      <w:rPr>
        <w:rFonts w:hint="default"/>
      </w:rPr>
    </w:lvl>
    <w:lvl w:ilvl="1">
      <w:start w:val="3"/>
      <w:numFmt w:val="decimal"/>
      <w:lvlText w:val="%1.%2"/>
      <w:lvlJc w:val="left"/>
      <w:pPr>
        <w:ind w:left="974" w:hanging="852"/>
        <w:jc w:val="left"/>
      </w:pPr>
      <w:rPr>
        <w:rFonts w:hint="default"/>
      </w:rPr>
    </w:lvl>
    <w:lvl w:ilvl="2">
      <w:start w:val="4"/>
      <w:numFmt w:val="decimal"/>
      <w:lvlText w:val="%1.%2.%3"/>
      <w:lvlJc w:val="left"/>
      <w:pPr>
        <w:ind w:left="974" w:hanging="852"/>
        <w:jc w:val="left"/>
      </w:pPr>
      <w:rPr>
        <w:rFonts w:hint="default"/>
      </w:rPr>
    </w:lvl>
    <w:lvl w:ilvl="3">
      <w:start w:val="1"/>
      <w:numFmt w:val="decimal"/>
      <w:lvlText w:val="%1.%2.%3.%4"/>
      <w:lvlJc w:val="left"/>
      <w:pPr>
        <w:ind w:left="974" w:hanging="852"/>
        <w:jc w:val="left"/>
      </w:pPr>
      <w:rPr>
        <w:rFonts w:hint="default"/>
        <w:b/>
        <w:bCs/>
        <w:i/>
        <w:w w:val="100"/>
      </w:rPr>
    </w:lvl>
    <w:lvl w:ilvl="4">
      <w:start w:val="1"/>
      <w:numFmt w:val="bullet"/>
      <w:lvlText w:val="•"/>
      <w:lvlJc w:val="left"/>
      <w:pPr>
        <w:ind w:left="4276" w:hanging="852"/>
      </w:pPr>
      <w:rPr>
        <w:rFonts w:hint="default"/>
      </w:rPr>
    </w:lvl>
    <w:lvl w:ilvl="5">
      <w:start w:val="1"/>
      <w:numFmt w:val="bullet"/>
      <w:lvlText w:val="•"/>
      <w:lvlJc w:val="left"/>
      <w:pPr>
        <w:ind w:left="5100" w:hanging="852"/>
      </w:pPr>
      <w:rPr>
        <w:rFonts w:hint="default"/>
      </w:rPr>
    </w:lvl>
    <w:lvl w:ilvl="6">
      <w:start w:val="1"/>
      <w:numFmt w:val="bullet"/>
      <w:lvlText w:val="•"/>
      <w:lvlJc w:val="left"/>
      <w:pPr>
        <w:ind w:left="5924" w:hanging="852"/>
      </w:pPr>
      <w:rPr>
        <w:rFonts w:hint="default"/>
      </w:rPr>
    </w:lvl>
    <w:lvl w:ilvl="7">
      <w:start w:val="1"/>
      <w:numFmt w:val="bullet"/>
      <w:lvlText w:val="•"/>
      <w:lvlJc w:val="left"/>
      <w:pPr>
        <w:ind w:left="6748" w:hanging="852"/>
      </w:pPr>
      <w:rPr>
        <w:rFonts w:hint="default"/>
      </w:rPr>
    </w:lvl>
    <w:lvl w:ilvl="8">
      <w:start w:val="1"/>
      <w:numFmt w:val="bullet"/>
      <w:lvlText w:val="•"/>
      <w:lvlJc w:val="left"/>
      <w:pPr>
        <w:ind w:left="7572" w:hanging="852"/>
      </w:pPr>
      <w:rPr>
        <w:rFonts w:hint="default"/>
      </w:rPr>
    </w:lvl>
  </w:abstractNum>
  <w:abstractNum w:abstractNumId="8">
    <w:multiLevelType w:val="hybridMultilevel"/>
    <w:lvl w:ilvl="0">
      <w:start w:val="1"/>
      <w:numFmt w:val="decimal"/>
      <w:lvlText w:val="%1"/>
      <w:lvlJc w:val="left"/>
      <w:pPr>
        <w:ind w:left="688" w:hanging="567"/>
        <w:jc w:val="left"/>
      </w:pPr>
      <w:rPr>
        <w:rFonts w:hint="default"/>
      </w:rPr>
    </w:lvl>
    <w:lvl w:ilvl="1">
      <w:start w:val="3"/>
      <w:numFmt w:val="decimal"/>
      <w:lvlText w:val="%1.%2"/>
      <w:lvlJc w:val="left"/>
      <w:pPr>
        <w:ind w:left="688" w:hanging="567"/>
        <w:jc w:val="left"/>
      </w:pPr>
      <w:rPr>
        <w:rFonts w:hint="default"/>
      </w:rPr>
    </w:lvl>
    <w:lvl w:ilvl="2">
      <w:start w:val="3"/>
      <w:numFmt w:val="decimal"/>
      <w:lvlText w:val="%1.%2.%3"/>
      <w:lvlJc w:val="left"/>
      <w:pPr>
        <w:ind w:left="688" w:hanging="567"/>
        <w:jc w:val="left"/>
      </w:pPr>
      <w:rPr>
        <w:rFonts w:hint="default" w:ascii="Times New Roman" w:hAnsi="Times New Roman" w:eastAsia="Times New Roman" w:cs="Times New Roman"/>
        <w:b/>
        <w:bCs/>
        <w:w w:val="100"/>
        <w:sz w:val="22"/>
        <w:szCs w:val="22"/>
      </w:rPr>
    </w:lvl>
    <w:lvl w:ilvl="3">
      <w:start w:val="1"/>
      <w:numFmt w:val="lowerLetter"/>
      <w:lvlText w:val="%4)"/>
      <w:lvlJc w:val="left"/>
      <w:pPr>
        <w:ind w:left="842" w:hanging="360"/>
        <w:jc w:val="left"/>
      </w:pPr>
      <w:rPr>
        <w:rFonts w:hint="default" w:ascii="Times New Roman" w:hAnsi="Times New Roman" w:eastAsia="Times New Roman" w:cs="Times New Roman"/>
        <w:w w:val="100"/>
        <w:sz w:val="22"/>
        <w:szCs w:val="22"/>
      </w:rPr>
    </w:lvl>
    <w:lvl w:ilvl="4">
      <w:start w:val="1"/>
      <w:numFmt w:val="bullet"/>
      <w:lvlText w:val="•"/>
      <w:lvlJc w:val="left"/>
      <w:pPr>
        <w:ind w:left="3633" w:hanging="360"/>
      </w:pPr>
      <w:rPr>
        <w:rFonts w:hint="default"/>
      </w:rPr>
    </w:lvl>
    <w:lvl w:ilvl="5">
      <w:start w:val="1"/>
      <w:numFmt w:val="bullet"/>
      <w:lvlText w:val="•"/>
      <w:lvlJc w:val="left"/>
      <w:pPr>
        <w:ind w:left="4564" w:hanging="360"/>
      </w:pPr>
      <w:rPr>
        <w:rFonts w:hint="default"/>
      </w:rPr>
    </w:lvl>
    <w:lvl w:ilvl="6">
      <w:start w:val="1"/>
      <w:numFmt w:val="bullet"/>
      <w:lvlText w:val="•"/>
      <w:lvlJc w:val="left"/>
      <w:pPr>
        <w:ind w:left="5495" w:hanging="360"/>
      </w:pPr>
      <w:rPr>
        <w:rFonts w:hint="default"/>
      </w:rPr>
    </w:lvl>
    <w:lvl w:ilvl="7">
      <w:start w:val="1"/>
      <w:numFmt w:val="bullet"/>
      <w:lvlText w:val="•"/>
      <w:lvlJc w:val="left"/>
      <w:pPr>
        <w:ind w:left="6426" w:hanging="360"/>
      </w:pPr>
      <w:rPr>
        <w:rFonts w:hint="default"/>
      </w:rPr>
    </w:lvl>
    <w:lvl w:ilvl="8">
      <w:start w:val="1"/>
      <w:numFmt w:val="bullet"/>
      <w:lvlText w:val="•"/>
      <w:lvlJc w:val="left"/>
      <w:pPr>
        <w:ind w:left="7357" w:hanging="360"/>
      </w:pPr>
      <w:rPr>
        <w:rFonts w:hint="default"/>
      </w:rPr>
    </w:lvl>
  </w:abstractNum>
  <w:abstractNum w:abstractNumId="7">
    <w:multiLevelType w:val="hybridMultilevel"/>
    <w:lvl w:ilvl="0">
      <w:start w:val="1"/>
      <w:numFmt w:val="decimal"/>
      <w:lvlText w:val="%1"/>
      <w:lvlJc w:val="left"/>
      <w:pPr>
        <w:ind w:left="688" w:hanging="567"/>
        <w:jc w:val="left"/>
      </w:pPr>
      <w:rPr>
        <w:rFonts w:hint="default"/>
      </w:rPr>
    </w:lvl>
    <w:lvl w:ilvl="1">
      <w:start w:val="3"/>
      <w:numFmt w:val="decimal"/>
      <w:lvlText w:val="%1.%2"/>
      <w:lvlJc w:val="left"/>
      <w:pPr>
        <w:ind w:left="688" w:hanging="567"/>
        <w:jc w:val="left"/>
      </w:pPr>
      <w:rPr>
        <w:rFonts w:hint="default"/>
      </w:rPr>
    </w:lvl>
    <w:lvl w:ilvl="2">
      <w:start w:val="2"/>
      <w:numFmt w:val="decimal"/>
      <w:lvlText w:val="%1.%2.%3"/>
      <w:lvlJc w:val="left"/>
      <w:pPr>
        <w:ind w:left="688" w:hanging="567"/>
        <w:jc w:val="left"/>
      </w:pPr>
      <w:rPr>
        <w:rFonts w:hint="default" w:ascii="Times New Roman" w:hAnsi="Times New Roman" w:eastAsia="Times New Roman" w:cs="Times New Roman"/>
        <w:b/>
        <w:bCs/>
        <w:w w:val="100"/>
        <w:sz w:val="22"/>
        <w:szCs w:val="22"/>
      </w:rPr>
    </w:lvl>
    <w:lvl w:ilvl="3">
      <w:start w:val="1"/>
      <w:numFmt w:val="decimal"/>
      <w:lvlText w:val="%1.%2.%3.%4"/>
      <w:lvlJc w:val="left"/>
      <w:pPr>
        <w:ind w:left="974" w:hanging="852"/>
        <w:jc w:val="left"/>
      </w:pPr>
      <w:rPr>
        <w:rFonts w:hint="default" w:ascii="Times New Roman" w:hAnsi="Times New Roman" w:eastAsia="Times New Roman" w:cs="Times New Roman"/>
        <w:b/>
        <w:bCs/>
        <w:w w:val="100"/>
        <w:sz w:val="22"/>
        <w:szCs w:val="22"/>
      </w:rPr>
    </w:lvl>
    <w:lvl w:ilvl="4">
      <w:start w:val="1"/>
      <w:numFmt w:val="decimal"/>
      <w:lvlText w:val="%5."/>
      <w:lvlJc w:val="left"/>
      <w:pPr>
        <w:ind w:left="842" w:hanging="360"/>
        <w:jc w:val="left"/>
      </w:pPr>
      <w:rPr>
        <w:rFonts w:hint="default" w:ascii="Times New Roman" w:hAnsi="Times New Roman" w:eastAsia="Times New Roman" w:cs="Times New Roman"/>
        <w:w w:val="100"/>
        <w:sz w:val="22"/>
        <w:szCs w:val="22"/>
      </w:rPr>
    </w:lvl>
    <w:lvl w:ilvl="5">
      <w:start w:val="1"/>
      <w:numFmt w:val="bullet"/>
      <w:lvlText w:val="•"/>
      <w:lvlJc w:val="left"/>
      <w:pPr>
        <w:ind w:left="4070" w:hanging="360"/>
      </w:pPr>
      <w:rPr>
        <w:rFonts w:hint="default"/>
      </w:rPr>
    </w:lvl>
    <w:lvl w:ilvl="6">
      <w:start w:val="1"/>
      <w:numFmt w:val="bullet"/>
      <w:lvlText w:val="•"/>
      <w:lvlJc w:val="left"/>
      <w:pPr>
        <w:ind w:left="5100" w:hanging="360"/>
      </w:pPr>
      <w:rPr>
        <w:rFonts w:hint="default"/>
      </w:rPr>
    </w:lvl>
    <w:lvl w:ilvl="7">
      <w:start w:val="1"/>
      <w:numFmt w:val="bullet"/>
      <w:lvlText w:val="•"/>
      <w:lvlJc w:val="left"/>
      <w:pPr>
        <w:ind w:left="6130" w:hanging="360"/>
      </w:pPr>
      <w:rPr>
        <w:rFonts w:hint="default"/>
      </w:rPr>
    </w:lvl>
    <w:lvl w:ilvl="8">
      <w:start w:val="1"/>
      <w:numFmt w:val="bullet"/>
      <w:lvlText w:val="•"/>
      <w:lvlJc w:val="left"/>
      <w:pPr>
        <w:ind w:left="7160" w:hanging="360"/>
      </w:pPr>
      <w:rPr>
        <w:rFonts w:hint="default"/>
      </w:rPr>
    </w:lvl>
  </w:abstractNum>
  <w:abstractNum w:abstractNumId="6">
    <w:multiLevelType w:val="hybridMultilevel"/>
    <w:lvl w:ilvl="0">
      <w:start w:val="1"/>
      <w:numFmt w:val="decimal"/>
      <w:lvlText w:val="%1"/>
      <w:lvlJc w:val="left"/>
      <w:pPr>
        <w:ind w:left="830" w:hanging="708"/>
        <w:jc w:val="left"/>
      </w:pPr>
      <w:rPr>
        <w:rFonts w:hint="default"/>
      </w:rPr>
    </w:lvl>
    <w:lvl w:ilvl="1">
      <w:start w:val="3"/>
      <w:numFmt w:val="decimal"/>
      <w:lvlText w:val="%1.%2"/>
      <w:lvlJc w:val="left"/>
      <w:pPr>
        <w:ind w:left="830" w:hanging="708"/>
        <w:jc w:val="left"/>
      </w:pPr>
      <w:rPr>
        <w:rFonts w:hint="default"/>
      </w:rPr>
    </w:lvl>
    <w:lvl w:ilvl="2">
      <w:start w:val="1"/>
      <w:numFmt w:val="decimal"/>
      <w:lvlText w:val="%1.%2.%3"/>
      <w:lvlJc w:val="left"/>
      <w:pPr>
        <w:ind w:left="830" w:hanging="708"/>
        <w:jc w:val="left"/>
      </w:pPr>
      <w:rPr>
        <w:rFonts w:hint="default"/>
      </w:rPr>
    </w:lvl>
    <w:lvl w:ilvl="3">
      <w:start w:val="1"/>
      <w:numFmt w:val="decimal"/>
      <w:lvlText w:val="%1.%2.%3.%4"/>
      <w:lvlJc w:val="left"/>
      <w:pPr>
        <w:ind w:left="830" w:hanging="708"/>
        <w:jc w:val="left"/>
      </w:pPr>
      <w:rPr>
        <w:rFonts w:hint="default" w:ascii="Times New Roman" w:hAnsi="Times New Roman" w:eastAsia="Times New Roman" w:cs="Times New Roman"/>
        <w:b/>
        <w:bCs/>
        <w:w w:val="100"/>
        <w:sz w:val="22"/>
        <w:szCs w:val="22"/>
      </w:rPr>
    </w:lvl>
    <w:lvl w:ilvl="4">
      <w:start w:val="1"/>
      <w:numFmt w:val="bullet"/>
      <w:lvlText w:val="•"/>
      <w:lvlJc w:val="left"/>
      <w:pPr>
        <w:ind w:left="4192" w:hanging="708"/>
      </w:pPr>
      <w:rPr>
        <w:rFonts w:hint="default"/>
      </w:rPr>
    </w:lvl>
    <w:lvl w:ilvl="5">
      <w:start w:val="1"/>
      <w:numFmt w:val="bullet"/>
      <w:lvlText w:val="•"/>
      <w:lvlJc w:val="left"/>
      <w:pPr>
        <w:ind w:left="5030" w:hanging="708"/>
      </w:pPr>
      <w:rPr>
        <w:rFonts w:hint="default"/>
      </w:rPr>
    </w:lvl>
    <w:lvl w:ilvl="6">
      <w:start w:val="1"/>
      <w:numFmt w:val="bullet"/>
      <w:lvlText w:val="•"/>
      <w:lvlJc w:val="left"/>
      <w:pPr>
        <w:ind w:left="5868" w:hanging="708"/>
      </w:pPr>
      <w:rPr>
        <w:rFonts w:hint="default"/>
      </w:rPr>
    </w:lvl>
    <w:lvl w:ilvl="7">
      <w:start w:val="1"/>
      <w:numFmt w:val="bullet"/>
      <w:lvlText w:val="•"/>
      <w:lvlJc w:val="left"/>
      <w:pPr>
        <w:ind w:left="6706" w:hanging="708"/>
      </w:pPr>
      <w:rPr>
        <w:rFonts w:hint="default"/>
      </w:rPr>
    </w:lvl>
    <w:lvl w:ilvl="8">
      <w:start w:val="1"/>
      <w:numFmt w:val="bullet"/>
      <w:lvlText w:val="•"/>
      <w:lvlJc w:val="left"/>
      <w:pPr>
        <w:ind w:left="7544" w:hanging="708"/>
      </w:pPr>
      <w:rPr>
        <w:rFonts w:hint="default"/>
      </w:rPr>
    </w:lvl>
  </w:abstractNum>
  <w:abstractNum w:abstractNumId="5">
    <w:multiLevelType w:val="hybridMultilevel"/>
    <w:lvl w:ilvl="0">
      <w:start w:val="1"/>
      <w:numFmt w:val="decimal"/>
      <w:lvlText w:val="%1"/>
      <w:lvlJc w:val="left"/>
      <w:pPr>
        <w:ind w:left="669" w:hanging="569"/>
        <w:jc w:val="left"/>
      </w:pPr>
      <w:rPr>
        <w:rFonts w:hint="default"/>
      </w:rPr>
    </w:lvl>
    <w:lvl w:ilvl="1">
      <w:start w:val="3"/>
      <w:numFmt w:val="decimal"/>
      <w:lvlText w:val="%1.%2"/>
      <w:lvlJc w:val="left"/>
      <w:pPr>
        <w:ind w:left="669" w:hanging="569"/>
        <w:jc w:val="left"/>
      </w:pPr>
      <w:rPr>
        <w:rFonts w:hint="default" w:ascii="Times New Roman" w:hAnsi="Times New Roman" w:eastAsia="Times New Roman" w:cs="Times New Roman"/>
        <w:b/>
        <w:bCs/>
        <w:w w:val="100"/>
        <w:sz w:val="22"/>
        <w:szCs w:val="22"/>
      </w:rPr>
    </w:lvl>
    <w:lvl w:ilvl="2">
      <w:start w:val="1"/>
      <w:numFmt w:val="decimal"/>
      <w:lvlText w:val="%1.%2.%3"/>
      <w:lvlJc w:val="left"/>
      <w:pPr>
        <w:ind w:left="950" w:hanging="720"/>
        <w:jc w:val="left"/>
      </w:pPr>
      <w:rPr>
        <w:rFonts w:hint="default" w:ascii="Times New Roman" w:hAnsi="Times New Roman" w:eastAsia="Times New Roman" w:cs="Times New Roman"/>
        <w:b/>
        <w:bCs/>
        <w:w w:val="100"/>
        <w:sz w:val="22"/>
        <w:szCs w:val="22"/>
      </w:rPr>
    </w:lvl>
    <w:lvl w:ilvl="3">
      <w:start w:val="1"/>
      <w:numFmt w:val="lowerLetter"/>
      <w:lvlText w:val="%4."/>
      <w:lvlJc w:val="left"/>
      <w:pPr>
        <w:ind w:left="842" w:hanging="360"/>
        <w:jc w:val="left"/>
      </w:pPr>
      <w:rPr>
        <w:rFonts w:hint="default" w:ascii="Times New Roman" w:hAnsi="Times New Roman" w:eastAsia="Times New Roman" w:cs="Times New Roman"/>
        <w:w w:val="100"/>
        <w:sz w:val="22"/>
        <w:szCs w:val="22"/>
      </w:rPr>
    </w:lvl>
    <w:lvl w:ilvl="4">
      <w:start w:val="1"/>
      <w:numFmt w:val="bullet"/>
      <w:lvlText w:val="•"/>
      <w:lvlJc w:val="left"/>
      <w:pPr>
        <w:ind w:left="3025" w:hanging="360"/>
      </w:pPr>
      <w:rPr>
        <w:rFonts w:hint="default"/>
      </w:rPr>
    </w:lvl>
    <w:lvl w:ilvl="5">
      <w:start w:val="1"/>
      <w:numFmt w:val="bullet"/>
      <w:lvlText w:val="•"/>
      <w:lvlJc w:val="left"/>
      <w:pPr>
        <w:ind w:left="4057" w:hanging="360"/>
      </w:pPr>
      <w:rPr>
        <w:rFonts w:hint="default"/>
      </w:rPr>
    </w:lvl>
    <w:lvl w:ilvl="6">
      <w:start w:val="1"/>
      <w:numFmt w:val="bullet"/>
      <w:lvlText w:val="•"/>
      <w:lvlJc w:val="left"/>
      <w:pPr>
        <w:ind w:left="5090" w:hanging="360"/>
      </w:pPr>
      <w:rPr>
        <w:rFonts w:hint="default"/>
      </w:rPr>
    </w:lvl>
    <w:lvl w:ilvl="7">
      <w:start w:val="1"/>
      <w:numFmt w:val="bullet"/>
      <w:lvlText w:val="•"/>
      <w:lvlJc w:val="left"/>
      <w:pPr>
        <w:ind w:left="6122" w:hanging="360"/>
      </w:pPr>
      <w:rPr>
        <w:rFonts w:hint="default"/>
      </w:rPr>
    </w:lvl>
    <w:lvl w:ilvl="8">
      <w:start w:val="1"/>
      <w:numFmt w:val="bullet"/>
      <w:lvlText w:val="•"/>
      <w:lvlJc w:val="left"/>
      <w:pPr>
        <w:ind w:left="7155" w:hanging="360"/>
      </w:pPr>
      <w:rPr>
        <w:rFonts w:hint="default"/>
      </w:rPr>
    </w:lvl>
  </w:abstractNum>
  <w:abstractNum w:abstractNumId="4">
    <w:multiLevelType w:val="hybridMultilevel"/>
    <w:lvl w:ilvl="0">
      <w:start w:val="1"/>
      <w:numFmt w:val="decimal"/>
      <w:lvlText w:val="%1"/>
      <w:lvlJc w:val="left"/>
      <w:pPr>
        <w:ind w:left="830" w:hanging="720"/>
        <w:jc w:val="left"/>
      </w:pPr>
      <w:rPr>
        <w:rFonts w:hint="default"/>
      </w:rPr>
    </w:lvl>
    <w:lvl w:ilvl="1">
      <w:start w:val="2"/>
      <w:numFmt w:val="decimal"/>
      <w:lvlText w:val="%1.%2"/>
      <w:lvlJc w:val="left"/>
      <w:pPr>
        <w:ind w:left="830" w:hanging="720"/>
        <w:jc w:val="left"/>
      </w:pPr>
      <w:rPr>
        <w:rFonts w:hint="default"/>
      </w:rPr>
    </w:lvl>
    <w:lvl w:ilvl="2">
      <w:start w:val="2"/>
      <w:numFmt w:val="decimal"/>
      <w:lvlText w:val="%1.%2.%3"/>
      <w:lvlJc w:val="left"/>
      <w:pPr>
        <w:ind w:left="830" w:hanging="720"/>
        <w:jc w:val="left"/>
      </w:pPr>
      <w:rPr>
        <w:rFonts w:hint="default"/>
      </w:rPr>
    </w:lvl>
    <w:lvl w:ilvl="3">
      <w:start w:val="1"/>
      <w:numFmt w:val="decimal"/>
      <w:lvlText w:val="%1.%2.%3.%4"/>
      <w:lvlJc w:val="left"/>
      <w:pPr>
        <w:ind w:left="830" w:hanging="720"/>
        <w:jc w:val="left"/>
      </w:pPr>
      <w:rPr>
        <w:rFonts w:hint="default" w:ascii="Times New Roman" w:hAnsi="Times New Roman" w:eastAsia="Times New Roman" w:cs="Times New Roman"/>
        <w:b/>
        <w:bCs/>
        <w:w w:val="100"/>
        <w:sz w:val="22"/>
        <w:szCs w:val="22"/>
      </w:rPr>
    </w:lvl>
    <w:lvl w:ilvl="4">
      <w:start w:val="1"/>
      <w:numFmt w:val="bullet"/>
      <w:lvlText w:val="•"/>
      <w:lvlJc w:val="left"/>
      <w:pPr>
        <w:ind w:left="4192" w:hanging="720"/>
      </w:pPr>
      <w:rPr>
        <w:rFonts w:hint="default"/>
      </w:rPr>
    </w:lvl>
    <w:lvl w:ilvl="5">
      <w:start w:val="1"/>
      <w:numFmt w:val="bullet"/>
      <w:lvlText w:val="•"/>
      <w:lvlJc w:val="left"/>
      <w:pPr>
        <w:ind w:left="5030" w:hanging="720"/>
      </w:pPr>
      <w:rPr>
        <w:rFonts w:hint="default"/>
      </w:rPr>
    </w:lvl>
    <w:lvl w:ilvl="6">
      <w:start w:val="1"/>
      <w:numFmt w:val="bullet"/>
      <w:lvlText w:val="•"/>
      <w:lvlJc w:val="left"/>
      <w:pPr>
        <w:ind w:left="5868" w:hanging="720"/>
      </w:pPr>
      <w:rPr>
        <w:rFonts w:hint="default"/>
      </w:rPr>
    </w:lvl>
    <w:lvl w:ilvl="7">
      <w:start w:val="1"/>
      <w:numFmt w:val="bullet"/>
      <w:lvlText w:val="•"/>
      <w:lvlJc w:val="left"/>
      <w:pPr>
        <w:ind w:left="6706" w:hanging="720"/>
      </w:pPr>
      <w:rPr>
        <w:rFonts w:hint="default"/>
      </w:rPr>
    </w:lvl>
    <w:lvl w:ilvl="8">
      <w:start w:val="1"/>
      <w:numFmt w:val="bullet"/>
      <w:lvlText w:val="•"/>
      <w:lvlJc w:val="left"/>
      <w:pPr>
        <w:ind w:left="7544" w:hanging="720"/>
      </w:pPr>
      <w:rPr>
        <w:rFonts w:hint="default"/>
      </w:rPr>
    </w:lvl>
  </w:abstractNum>
  <w:abstractNum w:abstractNumId="3">
    <w:multiLevelType w:val="hybridMultilevel"/>
    <w:lvl w:ilvl="0">
      <w:start w:val="1"/>
      <w:numFmt w:val="decimal"/>
      <w:lvlText w:val="%1"/>
      <w:lvlJc w:val="left"/>
      <w:pPr>
        <w:ind w:left="122" w:hanging="615"/>
        <w:jc w:val="left"/>
      </w:pPr>
      <w:rPr>
        <w:rFonts w:hint="default"/>
      </w:rPr>
    </w:lvl>
    <w:lvl w:ilvl="1">
      <w:start w:val="142"/>
      <w:numFmt w:val="decimal"/>
      <w:lvlText w:val="%1.%2"/>
      <w:lvlJc w:val="left"/>
      <w:pPr>
        <w:ind w:left="122" w:hanging="615"/>
        <w:jc w:val="left"/>
      </w:pPr>
      <w:rPr>
        <w:rFonts w:hint="default" w:ascii="Times New Roman" w:hAnsi="Times New Roman" w:eastAsia="Times New Roman" w:cs="Times New Roman"/>
        <w:w w:val="100"/>
        <w:sz w:val="22"/>
        <w:szCs w:val="22"/>
      </w:rPr>
    </w:lvl>
    <w:lvl w:ilvl="2">
      <w:start w:val="1"/>
      <w:numFmt w:val="lowerLetter"/>
      <w:lvlText w:val="%3)"/>
      <w:lvlJc w:val="left"/>
      <w:pPr>
        <w:ind w:left="1377" w:hanging="228"/>
        <w:jc w:val="left"/>
      </w:pPr>
      <w:rPr>
        <w:rFonts w:hint="default" w:ascii="Times New Roman" w:hAnsi="Times New Roman" w:eastAsia="Times New Roman" w:cs="Times New Roman"/>
        <w:w w:val="100"/>
        <w:sz w:val="22"/>
        <w:szCs w:val="22"/>
      </w:rPr>
    </w:lvl>
    <w:lvl w:ilvl="3">
      <w:start w:val="1"/>
      <w:numFmt w:val="bullet"/>
      <w:lvlText w:val="•"/>
      <w:lvlJc w:val="left"/>
      <w:pPr>
        <w:ind w:left="3122" w:hanging="228"/>
      </w:pPr>
      <w:rPr>
        <w:rFonts w:hint="default"/>
      </w:rPr>
    </w:lvl>
    <w:lvl w:ilvl="4">
      <w:start w:val="1"/>
      <w:numFmt w:val="bullet"/>
      <w:lvlText w:val="•"/>
      <w:lvlJc w:val="left"/>
      <w:pPr>
        <w:ind w:left="3993" w:hanging="228"/>
      </w:pPr>
      <w:rPr>
        <w:rFonts w:hint="default"/>
      </w:rPr>
    </w:lvl>
    <w:lvl w:ilvl="5">
      <w:start w:val="1"/>
      <w:numFmt w:val="bullet"/>
      <w:lvlText w:val="•"/>
      <w:lvlJc w:val="left"/>
      <w:pPr>
        <w:ind w:left="4864" w:hanging="228"/>
      </w:pPr>
      <w:rPr>
        <w:rFonts w:hint="default"/>
      </w:rPr>
    </w:lvl>
    <w:lvl w:ilvl="6">
      <w:start w:val="1"/>
      <w:numFmt w:val="bullet"/>
      <w:lvlText w:val="•"/>
      <w:lvlJc w:val="left"/>
      <w:pPr>
        <w:ind w:left="5735" w:hanging="228"/>
      </w:pPr>
      <w:rPr>
        <w:rFonts w:hint="default"/>
      </w:rPr>
    </w:lvl>
    <w:lvl w:ilvl="7">
      <w:start w:val="1"/>
      <w:numFmt w:val="bullet"/>
      <w:lvlText w:val="•"/>
      <w:lvlJc w:val="left"/>
      <w:pPr>
        <w:ind w:left="6606" w:hanging="228"/>
      </w:pPr>
      <w:rPr>
        <w:rFonts w:hint="default"/>
      </w:rPr>
    </w:lvl>
    <w:lvl w:ilvl="8">
      <w:start w:val="1"/>
      <w:numFmt w:val="bullet"/>
      <w:lvlText w:val="•"/>
      <w:lvlJc w:val="left"/>
      <w:pPr>
        <w:ind w:left="7477" w:hanging="228"/>
      </w:pPr>
      <w:rPr>
        <w:rFonts w:hint="default"/>
      </w:rPr>
    </w:lvl>
  </w:abstractNum>
  <w:abstractNum w:abstractNumId="2">
    <w:multiLevelType w:val="hybridMultilevel"/>
    <w:lvl w:ilvl="0">
      <w:start w:val="1"/>
      <w:numFmt w:val="decimal"/>
      <w:lvlText w:val="%1"/>
      <w:lvlJc w:val="left"/>
      <w:pPr>
        <w:ind w:left="496" w:hanging="375"/>
        <w:jc w:val="left"/>
      </w:pPr>
      <w:rPr>
        <w:rFonts w:hint="default"/>
      </w:rPr>
    </w:lvl>
    <w:lvl w:ilvl="1">
      <w:start w:val="1"/>
      <w:numFmt w:val="decimal"/>
      <w:lvlText w:val="%1.%2"/>
      <w:lvlJc w:val="left"/>
      <w:pPr>
        <w:ind w:left="496" w:hanging="375"/>
        <w:jc w:val="left"/>
      </w:pPr>
      <w:rPr>
        <w:rFonts w:hint="default" w:ascii="Times New Roman" w:hAnsi="Times New Roman" w:eastAsia="Times New Roman" w:cs="Times New Roman"/>
        <w:b/>
        <w:bCs/>
        <w:w w:val="100"/>
        <w:sz w:val="22"/>
        <w:szCs w:val="22"/>
      </w:rPr>
    </w:lvl>
    <w:lvl w:ilvl="2">
      <w:start w:val="1"/>
      <w:numFmt w:val="decimal"/>
      <w:lvlText w:val="%1.%2.%3"/>
      <w:lvlJc w:val="left"/>
      <w:pPr>
        <w:ind w:left="688" w:hanging="567"/>
        <w:jc w:val="left"/>
      </w:pPr>
      <w:rPr>
        <w:rFonts w:hint="default" w:ascii="Times New Roman" w:hAnsi="Times New Roman" w:eastAsia="Times New Roman" w:cs="Times New Roman"/>
        <w:b/>
        <w:bCs/>
        <w:w w:val="100"/>
        <w:sz w:val="22"/>
        <w:szCs w:val="22"/>
      </w:rPr>
    </w:lvl>
    <w:lvl w:ilvl="3">
      <w:start w:val="1"/>
      <w:numFmt w:val="decimal"/>
      <w:lvlText w:val="%1.%2.%3.%4"/>
      <w:lvlJc w:val="left"/>
      <w:pPr>
        <w:ind w:left="974" w:hanging="852"/>
        <w:jc w:val="left"/>
      </w:pPr>
      <w:rPr>
        <w:rFonts w:hint="default" w:ascii="Times New Roman" w:hAnsi="Times New Roman" w:eastAsia="Times New Roman" w:cs="Times New Roman"/>
        <w:b/>
        <w:bCs/>
        <w:w w:val="100"/>
        <w:sz w:val="22"/>
        <w:szCs w:val="22"/>
      </w:rPr>
    </w:lvl>
    <w:lvl w:ilvl="4">
      <w:start w:val="1"/>
      <w:numFmt w:val="bullet"/>
      <w:lvlText w:val="•"/>
      <w:lvlJc w:val="left"/>
      <w:pPr>
        <w:ind w:left="3010" w:hanging="852"/>
      </w:pPr>
      <w:rPr>
        <w:rFonts w:hint="default"/>
      </w:rPr>
    </w:lvl>
    <w:lvl w:ilvl="5">
      <w:start w:val="1"/>
      <w:numFmt w:val="bullet"/>
      <w:lvlText w:val="•"/>
      <w:lvlJc w:val="left"/>
      <w:pPr>
        <w:ind w:left="4025" w:hanging="852"/>
      </w:pPr>
      <w:rPr>
        <w:rFonts w:hint="default"/>
      </w:rPr>
    </w:lvl>
    <w:lvl w:ilvl="6">
      <w:start w:val="1"/>
      <w:numFmt w:val="bullet"/>
      <w:lvlText w:val="•"/>
      <w:lvlJc w:val="left"/>
      <w:pPr>
        <w:ind w:left="5040" w:hanging="852"/>
      </w:pPr>
      <w:rPr>
        <w:rFonts w:hint="default"/>
      </w:rPr>
    </w:lvl>
    <w:lvl w:ilvl="7">
      <w:start w:val="1"/>
      <w:numFmt w:val="bullet"/>
      <w:lvlText w:val="•"/>
      <w:lvlJc w:val="left"/>
      <w:pPr>
        <w:ind w:left="6055" w:hanging="852"/>
      </w:pPr>
      <w:rPr>
        <w:rFonts w:hint="default"/>
      </w:rPr>
    </w:lvl>
    <w:lvl w:ilvl="8">
      <w:start w:val="1"/>
      <w:numFmt w:val="bullet"/>
      <w:lvlText w:val="•"/>
      <w:lvlJc w:val="left"/>
      <w:pPr>
        <w:ind w:left="7070" w:hanging="852"/>
      </w:pPr>
      <w:rPr>
        <w:rFonts w:hint="default"/>
      </w:rPr>
    </w:lvl>
  </w:abstractNum>
  <w:abstractNum w:abstractNumId="1">
    <w:multiLevelType w:val="hybridMultilevel"/>
    <w:lvl w:ilvl="0">
      <w:start w:val="2"/>
      <w:numFmt w:val="decimal"/>
      <w:lvlText w:val="%1"/>
      <w:lvlJc w:val="left"/>
      <w:pPr>
        <w:ind w:left="549" w:hanging="428"/>
        <w:jc w:val="left"/>
      </w:pPr>
      <w:rPr>
        <w:rFonts w:hint="default"/>
      </w:rPr>
    </w:lvl>
    <w:lvl w:ilvl="1">
      <w:start w:val="1"/>
      <w:numFmt w:val="decimal"/>
      <w:lvlText w:val="%1.%2"/>
      <w:lvlJc w:val="left"/>
      <w:pPr>
        <w:ind w:left="549" w:hanging="428"/>
        <w:jc w:val="left"/>
      </w:pPr>
      <w:rPr>
        <w:rFonts w:hint="default" w:ascii="Times New Roman" w:hAnsi="Times New Roman" w:eastAsia="Times New Roman" w:cs="Times New Roman"/>
        <w:w w:val="100"/>
        <w:sz w:val="22"/>
        <w:szCs w:val="22"/>
      </w:rPr>
    </w:lvl>
    <w:lvl w:ilvl="2">
      <w:start w:val="1"/>
      <w:numFmt w:val="decimal"/>
      <w:lvlText w:val="%1.%2.%3"/>
      <w:lvlJc w:val="left"/>
      <w:pPr>
        <w:ind w:left="974" w:hanging="569"/>
        <w:jc w:val="left"/>
      </w:pPr>
      <w:rPr>
        <w:rFonts w:hint="default" w:ascii="Times New Roman" w:hAnsi="Times New Roman" w:eastAsia="Times New Roman" w:cs="Times New Roman"/>
        <w:w w:val="100"/>
        <w:sz w:val="22"/>
        <w:szCs w:val="22"/>
      </w:rPr>
    </w:lvl>
    <w:lvl w:ilvl="3">
      <w:start w:val="1"/>
      <w:numFmt w:val="decimal"/>
      <w:lvlText w:val="%1.%2.%3.%4"/>
      <w:lvlJc w:val="left"/>
      <w:pPr>
        <w:ind w:left="1538" w:hanging="850"/>
        <w:jc w:val="left"/>
      </w:pPr>
      <w:rPr>
        <w:rFonts w:hint="default" w:ascii="Times New Roman" w:hAnsi="Times New Roman" w:eastAsia="Times New Roman" w:cs="Times New Roman"/>
        <w:w w:val="100"/>
        <w:sz w:val="22"/>
        <w:szCs w:val="22"/>
      </w:rPr>
    </w:lvl>
    <w:lvl w:ilvl="4">
      <w:start w:val="1"/>
      <w:numFmt w:val="bullet"/>
      <w:lvlText w:val="•"/>
      <w:lvlJc w:val="left"/>
      <w:pPr>
        <w:ind w:left="1540" w:hanging="850"/>
      </w:pPr>
      <w:rPr>
        <w:rFonts w:hint="default"/>
      </w:rPr>
    </w:lvl>
    <w:lvl w:ilvl="5">
      <w:start w:val="1"/>
      <w:numFmt w:val="bullet"/>
      <w:lvlText w:val="•"/>
      <w:lvlJc w:val="left"/>
      <w:pPr>
        <w:ind w:left="2820" w:hanging="850"/>
      </w:pPr>
      <w:rPr>
        <w:rFonts w:hint="default"/>
      </w:rPr>
    </w:lvl>
    <w:lvl w:ilvl="6">
      <w:start w:val="1"/>
      <w:numFmt w:val="bullet"/>
      <w:lvlText w:val="•"/>
      <w:lvlJc w:val="left"/>
      <w:pPr>
        <w:ind w:left="4100" w:hanging="850"/>
      </w:pPr>
      <w:rPr>
        <w:rFonts w:hint="default"/>
      </w:rPr>
    </w:lvl>
    <w:lvl w:ilvl="7">
      <w:start w:val="1"/>
      <w:numFmt w:val="bullet"/>
      <w:lvlText w:val="•"/>
      <w:lvlJc w:val="left"/>
      <w:pPr>
        <w:ind w:left="5380" w:hanging="850"/>
      </w:pPr>
      <w:rPr>
        <w:rFonts w:hint="default"/>
      </w:rPr>
    </w:lvl>
    <w:lvl w:ilvl="8">
      <w:start w:val="1"/>
      <w:numFmt w:val="bullet"/>
      <w:lvlText w:val="•"/>
      <w:lvlJc w:val="left"/>
      <w:pPr>
        <w:ind w:left="6660" w:hanging="850"/>
      </w:pPr>
      <w:rPr>
        <w:rFonts w:hint="default"/>
      </w:rPr>
    </w:lvl>
  </w:abstractNum>
  <w:abstractNum w:abstractNumId="0">
    <w:multiLevelType w:val="hybridMultilevel"/>
    <w:lvl w:ilvl="0">
      <w:start w:val="1"/>
      <w:numFmt w:val="decimal"/>
      <w:lvlText w:val="%1"/>
      <w:lvlJc w:val="left"/>
      <w:pPr>
        <w:ind w:left="496" w:hanging="375"/>
        <w:jc w:val="left"/>
      </w:pPr>
      <w:rPr>
        <w:rFonts w:hint="default"/>
      </w:rPr>
    </w:lvl>
    <w:lvl w:ilvl="1">
      <w:start w:val="4"/>
      <w:numFmt w:val="decimal"/>
      <w:lvlText w:val="%1.%2"/>
      <w:lvlJc w:val="left"/>
      <w:pPr>
        <w:ind w:left="496" w:hanging="375"/>
        <w:jc w:val="left"/>
      </w:pPr>
      <w:rPr>
        <w:rFonts w:hint="default" w:ascii="Times New Roman" w:hAnsi="Times New Roman" w:eastAsia="Times New Roman" w:cs="Times New Roman"/>
        <w:w w:val="100"/>
        <w:sz w:val="22"/>
        <w:szCs w:val="22"/>
      </w:rPr>
    </w:lvl>
    <w:lvl w:ilvl="2">
      <w:start w:val="1"/>
      <w:numFmt w:val="bullet"/>
      <w:lvlText w:val="•"/>
      <w:lvlJc w:val="left"/>
      <w:pPr>
        <w:ind w:left="1895" w:hanging="375"/>
      </w:pPr>
      <w:rPr>
        <w:rFonts w:hint="default"/>
      </w:rPr>
    </w:lvl>
    <w:lvl w:ilvl="3">
      <w:start w:val="1"/>
      <w:numFmt w:val="bullet"/>
      <w:lvlText w:val="•"/>
      <w:lvlJc w:val="left"/>
      <w:pPr>
        <w:ind w:left="2811" w:hanging="375"/>
      </w:pPr>
      <w:rPr>
        <w:rFonts w:hint="default"/>
      </w:rPr>
    </w:lvl>
    <w:lvl w:ilvl="4">
      <w:start w:val="1"/>
      <w:numFmt w:val="bullet"/>
      <w:lvlText w:val="•"/>
      <w:lvlJc w:val="left"/>
      <w:pPr>
        <w:ind w:left="3726" w:hanging="375"/>
      </w:pPr>
      <w:rPr>
        <w:rFonts w:hint="default"/>
      </w:rPr>
    </w:lvl>
    <w:lvl w:ilvl="5">
      <w:start w:val="1"/>
      <w:numFmt w:val="bullet"/>
      <w:lvlText w:val="•"/>
      <w:lvlJc w:val="left"/>
      <w:pPr>
        <w:ind w:left="4642" w:hanging="375"/>
      </w:pPr>
      <w:rPr>
        <w:rFonts w:hint="default"/>
      </w:rPr>
    </w:lvl>
    <w:lvl w:ilvl="6">
      <w:start w:val="1"/>
      <w:numFmt w:val="bullet"/>
      <w:lvlText w:val="•"/>
      <w:lvlJc w:val="left"/>
      <w:pPr>
        <w:ind w:left="5557" w:hanging="375"/>
      </w:pPr>
      <w:rPr>
        <w:rFonts w:hint="default"/>
      </w:rPr>
    </w:lvl>
    <w:lvl w:ilvl="7">
      <w:start w:val="1"/>
      <w:numFmt w:val="bullet"/>
      <w:lvlText w:val="•"/>
      <w:lvlJc w:val="left"/>
      <w:pPr>
        <w:ind w:left="6473" w:hanging="375"/>
      </w:pPr>
      <w:rPr>
        <w:rFonts w:hint="default"/>
      </w:rPr>
    </w:lvl>
    <w:lvl w:ilvl="8">
      <w:start w:val="1"/>
      <w:numFmt w:val="bullet"/>
      <w:lvlText w:val="•"/>
      <w:lvlJc w:val="left"/>
      <w:pPr>
        <w:ind w:left="7388" w:hanging="375"/>
      </w:pPr>
      <w:rPr>
        <w:rFonts w:hint="default"/>
      </w:rPr>
    </w:lvl>
  </w:abstract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31"/>
      <w:ind w:left="830" w:hanging="708"/>
    </w:pPr>
    <w:rPr>
      <w:rFonts w:ascii="Times New Roman" w:hAnsi="Times New Roman" w:eastAsia="Times New Roman" w:cs="Times New Roman"/>
      <w:b/>
      <w:bCs/>
      <w:sz w:val="22"/>
      <w:szCs w:val="22"/>
    </w:rPr>
  </w:style>
  <w:style w:styleId="TOC2" w:type="paragraph">
    <w:name w:val="TOC 2"/>
    <w:basedOn w:val="Normal"/>
    <w:uiPriority w:val="1"/>
    <w:qFormat/>
    <w:pPr>
      <w:spacing w:before="126"/>
      <w:ind w:left="549" w:hanging="427"/>
    </w:pPr>
    <w:rPr>
      <w:rFonts w:ascii="Times New Roman" w:hAnsi="Times New Roman" w:eastAsia="Times New Roman" w:cs="Times New Roman"/>
      <w:sz w:val="22"/>
      <w:szCs w:val="22"/>
    </w:rPr>
  </w:style>
  <w:style w:styleId="TOC3" w:type="paragraph">
    <w:name w:val="TOC 3"/>
    <w:basedOn w:val="Normal"/>
    <w:uiPriority w:val="1"/>
    <w:qFormat/>
    <w:pPr>
      <w:spacing w:before="126"/>
      <w:ind w:left="974" w:hanging="569"/>
    </w:pPr>
    <w:rPr>
      <w:rFonts w:ascii="Times New Roman" w:hAnsi="Times New Roman" w:eastAsia="Times New Roman" w:cs="Times New Roman"/>
      <w:sz w:val="22"/>
      <w:szCs w:val="22"/>
    </w:rPr>
  </w:style>
  <w:style w:styleId="TOC4" w:type="paragraph">
    <w:name w:val="TOC 4"/>
    <w:basedOn w:val="Normal"/>
    <w:uiPriority w:val="1"/>
    <w:qFormat/>
    <w:pPr>
      <w:spacing w:before="126"/>
      <w:ind w:left="974" w:hanging="569"/>
    </w:pPr>
    <w:rPr>
      <w:rFonts w:ascii="Times New Roman" w:hAnsi="Times New Roman" w:eastAsia="Times New Roman" w:cs="Times New Roman"/>
      <w:i/>
      <w:sz w:val="22"/>
      <w:szCs w:val="22"/>
    </w:rPr>
  </w:style>
  <w:style w:styleId="TOC5" w:type="paragraph">
    <w:name w:val="TOC 5"/>
    <w:basedOn w:val="Normal"/>
    <w:uiPriority w:val="1"/>
    <w:qFormat/>
    <w:pPr>
      <w:spacing w:before="126"/>
      <w:ind w:left="1538" w:hanging="850"/>
    </w:pPr>
    <w:rPr>
      <w:rFonts w:ascii="Times New Roman" w:hAnsi="Times New Roman" w:eastAsia="Times New Roman" w:cs="Times New Roman"/>
      <w:sz w:val="22"/>
      <w:szCs w:val="22"/>
    </w:rPr>
  </w:style>
  <w:style w:styleId="TOC6" w:type="paragraph">
    <w:name w:val="TOC 6"/>
    <w:basedOn w:val="Normal"/>
    <w:uiPriority w:val="1"/>
    <w:qFormat/>
    <w:pPr>
      <w:spacing w:before="72"/>
      <w:ind w:left="765"/>
    </w:pPr>
    <w:rPr>
      <w:rFonts w:ascii="Times New Roman" w:hAnsi="Times New Roman" w:eastAsia="Times New Roman" w:cs="Times New Roman"/>
      <w:sz w:val="22"/>
      <w:szCs w:val="22"/>
    </w:rPr>
  </w:style>
  <w:style w:styleId="TOC7" w:type="paragraph">
    <w:name w:val="TOC 7"/>
    <w:basedOn w:val="Normal"/>
    <w:uiPriority w:val="1"/>
    <w:qFormat/>
    <w:pPr>
      <w:spacing w:before="126"/>
      <w:ind w:left="830"/>
    </w:pPr>
    <w:rPr>
      <w:rFonts w:ascii="Times New Roman" w:hAnsi="Times New Roman" w:eastAsia="Times New Roman" w:cs="Times New Roman"/>
      <w:sz w:val="22"/>
      <w:szCs w:val="22"/>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49"/>
      <w:ind w:left="20"/>
      <w:outlineLvl w:val="1"/>
    </w:pPr>
    <w:rPr>
      <w:rFonts w:ascii="Times New Roman" w:hAnsi="Times New Roman" w:eastAsia="Times New Roman" w:cs="Times New Roman"/>
      <w:b/>
      <w:bCs/>
      <w:sz w:val="40"/>
      <w:szCs w:val="40"/>
    </w:rPr>
  </w:style>
  <w:style w:styleId="Heading2" w:type="paragraph">
    <w:name w:val="Heading 2"/>
    <w:basedOn w:val="Normal"/>
    <w:uiPriority w:val="1"/>
    <w:qFormat/>
    <w:pPr>
      <w:ind w:left="940"/>
      <w:outlineLvl w:val="2"/>
    </w:pPr>
    <w:rPr>
      <w:rFonts w:ascii="Times New Roman" w:hAnsi="Times New Roman" w:eastAsia="Times New Roman" w:cs="Times New Roman"/>
      <w:b/>
      <w:bCs/>
      <w:sz w:val="24"/>
      <w:szCs w:val="24"/>
    </w:rPr>
  </w:style>
  <w:style w:styleId="Heading3" w:type="paragraph">
    <w:name w:val="Heading 3"/>
    <w:basedOn w:val="Normal"/>
    <w:uiPriority w:val="1"/>
    <w:qFormat/>
    <w:pPr>
      <w:ind w:left="158" w:right="41"/>
      <w:outlineLvl w:val="3"/>
    </w:pPr>
    <w:rPr>
      <w:rFonts w:ascii="Times New Roman" w:hAnsi="Times New Roman" w:eastAsia="Times New Roman" w:cs="Times New Roman"/>
      <w:sz w:val="24"/>
      <w:szCs w:val="24"/>
    </w:rPr>
  </w:style>
  <w:style w:styleId="Heading4" w:type="paragraph">
    <w:name w:val="Heading 4"/>
    <w:basedOn w:val="Normal"/>
    <w:uiPriority w:val="1"/>
    <w:qFormat/>
    <w:pPr>
      <w:spacing w:before="135"/>
      <w:ind w:left="122"/>
      <w:outlineLvl w:val="4"/>
    </w:pPr>
    <w:rPr>
      <w:rFonts w:ascii="Times New Roman" w:hAnsi="Times New Roman" w:eastAsia="Times New Roman" w:cs="Times New Roman"/>
      <w:b/>
      <w:bCs/>
      <w:sz w:val="22"/>
      <w:szCs w:val="22"/>
    </w:rPr>
  </w:style>
  <w:style w:styleId="Heading5" w:type="paragraph">
    <w:name w:val="Heading 5"/>
    <w:basedOn w:val="Normal"/>
    <w:uiPriority w:val="1"/>
    <w:qFormat/>
    <w:pPr>
      <w:ind w:left="341"/>
      <w:outlineLvl w:val="5"/>
    </w:pPr>
    <w:rPr>
      <w:rFonts w:ascii="Times New Roman" w:hAnsi="Times New Roman" w:eastAsia="Times New Roman" w:cs="Times New Roman"/>
      <w:b/>
      <w:bCs/>
      <w:i/>
      <w:sz w:val="22"/>
      <w:szCs w:val="22"/>
    </w:rPr>
  </w:style>
  <w:style w:styleId="ListParagraph" w:type="paragraph">
    <w:name w:val="List Paragraph"/>
    <w:basedOn w:val="Normal"/>
    <w:uiPriority w:val="1"/>
    <w:qFormat/>
    <w:pPr>
      <w:spacing w:before="4"/>
      <w:ind w:left="842" w:hanging="360"/>
      <w:jc w:val="both"/>
    </w:pPr>
    <w:rPr>
      <w:rFonts w:ascii="Times New Roman" w:hAnsi="Times New Roman" w:eastAsia="Times New Roman" w:cs="Times New Roman"/>
    </w:rPr>
  </w:style>
  <w:style w:styleId="TableParagraph" w:type="paragraph">
    <w:name w:val="Table Paragraph"/>
    <w:basedOn w:val="Normal"/>
    <w:uiPriority w:val="1"/>
    <w:qFormat/>
    <w:pPr>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header" Target="header4.xml"/><Relationship Id="rId11" Type="http://schemas.openxmlformats.org/officeDocument/2006/relationships/footer" Target="footer2.xml"/><Relationship Id="rId12" Type="http://schemas.openxmlformats.org/officeDocument/2006/relationships/header" Target="header5.xml"/><Relationship Id="rId13" Type="http://schemas.openxmlformats.org/officeDocument/2006/relationships/footer" Target="footer3.xml"/><Relationship Id="rId14" Type="http://schemas.openxmlformats.org/officeDocument/2006/relationships/header" Target="header6.xml"/><Relationship Id="rId15" Type="http://schemas.openxmlformats.org/officeDocument/2006/relationships/footer" Target="footer4.xml"/><Relationship Id="rId16" Type="http://schemas.openxmlformats.org/officeDocument/2006/relationships/image" Target="media/image2.jpeg"/><Relationship Id="rId17" Type="http://schemas.openxmlformats.org/officeDocument/2006/relationships/image" Target="media/image3.jpeg"/><Relationship Id="rId18" Type="http://schemas.openxmlformats.org/officeDocument/2006/relationships/image" Target="media/image4.png"/><Relationship Id="rId19" Type="http://schemas.openxmlformats.org/officeDocument/2006/relationships/image" Target="media/image5.jpeg"/><Relationship Id="rId20" Type="http://schemas.openxmlformats.org/officeDocument/2006/relationships/image" Target="media/image6.jpeg"/><Relationship Id="rId21" Type="http://schemas.openxmlformats.org/officeDocument/2006/relationships/image" Target="media/image7.jpeg"/><Relationship Id="rId22" Type="http://schemas.openxmlformats.org/officeDocument/2006/relationships/image" Target="media/image8.jpeg"/><Relationship Id="rId23" Type="http://schemas.openxmlformats.org/officeDocument/2006/relationships/image" Target="media/image9.png"/><Relationship Id="rId24" Type="http://schemas.openxmlformats.org/officeDocument/2006/relationships/image" Target="media/image10.png"/><Relationship Id="rId25" Type="http://schemas.openxmlformats.org/officeDocument/2006/relationships/image" Target="media/image11.png"/><Relationship Id="rId26" Type="http://schemas.openxmlformats.org/officeDocument/2006/relationships/image" Target="media/image12.png"/><Relationship Id="rId27" Type="http://schemas.openxmlformats.org/officeDocument/2006/relationships/image" Target="media/image13.png"/><Relationship Id="rId28" Type="http://schemas.openxmlformats.org/officeDocument/2006/relationships/image" Target="media/image14.png"/><Relationship Id="rId29" Type="http://schemas.openxmlformats.org/officeDocument/2006/relationships/image" Target="media/image15.png"/><Relationship Id="rId30" Type="http://schemas.openxmlformats.org/officeDocument/2006/relationships/image" Target="media/image16.jpeg"/><Relationship Id="rId31" Type="http://schemas.openxmlformats.org/officeDocument/2006/relationships/image" Target="media/image17.png"/><Relationship Id="rId32" Type="http://schemas.openxmlformats.org/officeDocument/2006/relationships/header" Target="header7.xml"/><Relationship Id="rId33" Type="http://schemas.openxmlformats.org/officeDocument/2006/relationships/footer" Target="footer5.xml"/><Relationship Id="rId34" Type="http://schemas.openxmlformats.org/officeDocument/2006/relationships/header" Target="header8.xml"/><Relationship Id="rId35" Type="http://schemas.openxmlformats.org/officeDocument/2006/relationships/footer" Target="footer6.xml"/><Relationship Id="rId36" Type="http://schemas.openxmlformats.org/officeDocument/2006/relationships/image" Target="media/image18.jpeg"/><Relationship Id="rId37" Type="http://schemas.openxmlformats.org/officeDocument/2006/relationships/image" Target="media/image19.jpeg"/><Relationship Id="rId38" Type="http://schemas.openxmlformats.org/officeDocument/2006/relationships/image" Target="media/image20.jpeg"/><Relationship Id="rId39" Type="http://schemas.openxmlformats.org/officeDocument/2006/relationships/image" Target="media/image21.png"/><Relationship Id="rId40" Type="http://schemas.openxmlformats.org/officeDocument/2006/relationships/header" Target="header9.xml"/><Relationship Id="rId41" Type="http://schemas.openxmlformats.org/officeDocument/2006/relationships/footer" Target="footer7.xml"/><Relationship Id="rId42" Type="http://schemas.openxmlformats.org/officeDocument/2006/relationships/header" Target="header10.xml"/><Relationship Id="rId43" Type="http://schemas.openxmlformats.org/officeDocument/2006/relationships/footer" Target="footer8.xml"/><Relationship Id="rId44" Type="http://schemas.openxmlformats.org/officeDocument/2006/relationships/image" Target="media/image22.jpeg"/><Relationship Id="rId45" Type="http://schemas.openxmlformats.org/officeDocument/2006/relationships/image" Target="media/image23.jpeg"/><Relationship Id="rId46" Type="http://schemas.openxmlformats.org/officeDocument/2006/relationships/image" Target="media/image24.jpeg"/><Relationship Id="rId47" Type="http://schemas.openxmlformats.org/officeDocument/2006/relationships/image" Target="media/image25.jpeg"/><Relationship Id="rId48" Type="http://schemas.openxmlformats.org/officeDocument/2006/relationships/image" Target="media/image26.jpeg"/><Relationship Id="rId49" Type="http://schemas.openxmlformats.org/officeDocument/2006/relationships/image" Target="media/image27.jpeg"/><Relationship Id="rId50" Type="http://schemas.openxmlformats.org/officeDocument/2006/relationships/image" Target="media/image28.jpeg"/><Relationship Id="rId51" Type="http://schemas.openxmlformats.org/officeDocument/2006/relationships/hyperlink" Target="http://www.mdpi.com/journal/materials" TargetMode="External"/><Relationship Id="rId52" Type="http://schemas.openxmlformats.org/officeDocument/2006/relationships/hyperlink" Target="mailto:faby.navpard@gmail.com" TargetMode="External"/><Relationship Id="rId53" Type="http://schemas.openxmlformats.org/officeDocument/2006/relationships/hyperlink" Target="mailto:gonzomartinez02@yahoo.com.mx" TargetMode="External"/><Relationship Id="rId54" Type="http://schemas.openxmlformats.org/officeDocument/2006/relationships/hyperlink" Target="mailto:almh72@gmail.com" TargetMode="External"/><Relationship Id="rId55" Type="http://schemas.openxmlformats.org/officeDocument/2006/relationships/hyperlink" Target="mailto:meneses@unam.mx" TargetMode="External"/><Relationship Id="rId56" Type="http://schemas.openxmlformats.org/officeDocument/2006/relationships/hyperlink" Target="mailto:jlriveraarmenta@itcm.edu.mx" TargetMode="External"/><Relationship Id="rId57" Type="http://schemas.openxmlformats.org/officeDocument/2006/relationships/hyperlink" Target="mailto:francmr@uaslp.mx" TargetMode="External"/><Relationship Id="rId58" Type="http://schemas.openxmlformats.org/officeDocument/2006/relationships/hyperlink" Target="mailto:cylaura@gmail.com" TargetMode="External"/><Relationship Id="rId59" Type="http://schemas.openxmlformats.org/officeDocument/2006/relationships/image" Target="media/image29.png"/><Relationship Id="rId60" Type="http://schemas.openxmlformats.org/officeDocument/2006/relationships/image" Target="media/image30.png"/><Relationship Id="rId61" Type="http://schemas.openxmlformats.org/officeDocument/2006/relationships/image" Target="media/image31.jpeg"/><Relationship Id="rId62" Type="http://schemas.openxmlformats.org/officeDocument/2006/relationships/image" Target="media/image32.jpeg"/><Relationship Id="rId63" Type="http://schemas.openxmlformats.org/officeDocument/2006/relationships/image" Target="media/image33.jpeg"/><Relationship Id="rId64" Type="http://schemas.openxmlformats.org/officeDocument/2006/relationships/image" Target="media/image34.jpeg"/><Relationship Id="rId65" Type="http://schemas.openxmlformats.org/officeDocument/2006/relationships/image" Target="media/image35.jpeg"/><Relationship Id="rId66" Type="http://schemas.openxmlformats.org/officeDocument/2006/relationships/image" Target="media/image36.jpeg"/><Relationship Id="rId67" Type="http://schemas.openxmlformats.org/officeDocument/2006/relationships/image" Target="media/image37.jpeg"/><Relationship Id="rId68" Type="http://schemas.openxmlformats.org/officeDocument/2006/relationships/image" Target="media/image38.jpeg"/><Relationship Id="rId69" Type="http://schemas.openxmlformats.org/officeDocument/2006/relationships/image" Target="media/image39.jpeg"/><Relationship Id="rId70" Type="http://schemas.openxmlformats.org/officeDocument/2006/relationships/image" Target="media/image40.jpeg"/><Relationship Id="rId71" Type="http://schemas.openxmlformats.org/officeDocument/2006/relationships/image" Target="media/image41.jpeg"/><Relationship Id="rId72" Type="http://schemas.openxmlformats.org/officeDocument/2006/relationships/image" Target="media/image42.jpeg"/><Relationship Id="rId73" Type="http://schemas.openxmlformats.org/officeDocument/2006/relationships/hyperlink" Target="http://creativecommons.org/licenses/by/3.0/)" TargetMode="External"/><Relationship Id="rId74" Type="http://schemas.openxmlformats.org/officeDocument/2006/relationships/hyperlink" Target="http://www.abmachinery.com/" TargetMode="External"/><Relationship Id="rId75" Type="http://schemas.openxmlformats.org/officeDocument/2006/relationships/image" Target="media/image43.png"/><Relationship Id="rId76" Type="http://schemas.openxmlformats.org/officeDocument/2006/relationships/image" Target="media/image44.png"/><Relationship Id="rId77" Type="http://schemas.openxmlformats.org/officeDocument/2006/relationships/image" Target="media/image45.png"/><Relationship Id="rId78" Type="http://schemas.openxmlformats.org/officeDocument/2006/relationships/image" Target="media/image46.jpeg"/><Relationship Id="rId79" Type="http://schemas.openxmlformats.org/officeDocument/2006/relationships/image" Target="media/image47.jpeg"/><Relationship Id="rId80" Type="http://schemas.openxmlformats.org/officeDocument/2006/relationships/footer" Target="footer9.xml"/><Relationship Id="rId81" Type="http://schemas.openxmlformats.org/officeDocument/2006/relationships/image" Target="media/image48.jpeg"/><Relationship Id="rId82" Type="http://schemas.openxmlformats.org/officeDocument/2006/relationships/footer" Target="footer10.xml"/><Relationship Id="rId83" Type="http://schemas.openxmlformats.org/officeDocument/2006/relationships/image" Target="media/image49.jpeg"/><Relationship Id="rId84" Type="http://schemas.openxmlformats.org/officeDocument/2006/relationships/header" Target="header11.xml"/><Relationship Id="rId85" Type="http://schemas.openxmlformats.org/officeDocument/2006/relationships/footer" Target="footer11.xml"/><Relationship Id="rId86" Type="http://schemas.openxmlformats.org/officeDocument/2006/relationships/header" Target="header12.xml"/><Relationship Id="rId87" Type="http://schemas.openxmlformats.org/officeDocument/2006/relationships/footer" Target="footer12.xml"/><Relationship Id="rId88" Type="http://schemas.openxmlformats.org/officeDocument/2006/relationships/header" Target="header13.xml"/><Relationship Id="rId89" Type="http://schemas.openxmlformats.org/officeDocument/2006/relationships/footer" Target="footer13.xml"/><Relationship Id="rId90" Type="http://schemas.openxmlformats.org/officeDocument/2006/relationships/header" Target="header14.xml"/><Relationship Id="rId91" Type="http://schemas.openxmlformats.org/officeDocument/2006/relationships/footer" Target="footer14.xml"/><Relationship Id="rId92" Type="http://schemas.openxmlformats.org/officeDocument/2006/relationships/header" Target="header15.xml"/><Relationship Id="rId93" Type="http://schemas.openxmlformats.org/officeDocument/2006/relationships/footer" Target="footer15.xml"/><Relationship Id="rId94" Type="http://schemas.openxmlformats.org/officeDocument/2006/relationships/hyperlink" Target="http://www.springer.com/series/560" TargetMode="External"/><Relationship Id="rId95" Type="http://schemas.openxmlformats.org/officeDocument/2006/relationships/hyperlink" Target="http://www.intechopen.com/books/show/title/carbon-nanotubes-polymer-nanocomposites" TargetMode="External"/><Relationship Id="rId96" Type="http://schemas.openxmlformats.org/officeDocument/2006/relationships/hyperlink" Target="http://www.reinforcedplastics.com/view/1805/us-demand-for-reinforced-plastics-to-reach-36bn-lbs-in-2013" TargetMode="External"/><Relationship Id="rId97" Type="http://schemas.openxmlformats.org/officeDocument/2006/relationships/hyperlink" Target="http://www.google.com.mx/search?hl=es&amp;amp;tbo=p&amp;amp;tbm=bks&amp;amp;q=inauthor%3A%22Paulo%2BR.%2BFernandes%22" TargetMode="External"/><Relationship Id="rId98" Type="http://schemas.openxmlformats.org/officeDocument/2006/relationships/image" Target="media/image50.jpeg"/><Relationship Id="rId99" Type="http://schemas.openxmlformats.org/officeDocument/2006/relationships/image" Target="media/image51.jpeg"/><Relationship Id="rId100" Type="http://schemas.openxmlformats.org/officeDocument/2006/relationships/image" Target="media/image52.jpeg"/><Relationship Id="rId101" Type="http://schemas.openxmlformats.org/officeDocument/2006/relationships/image" Target="media/image53.jpeg"/><Relationship Id="rId102" Type="http://schemas.openxmlformats.org/officeDocument/2006/relationships/image" Target="media/image54.jpeg"/><Relationship Id="rId103" Type="http://schemas.openxmlformats.org/officeDocument/2006/relationships/image" Target="media/image55.jpeg"/><Relationship Id="rId104" Type="http://schemas.openxmlformats.org/officeDocument/2006/relationships/image" Target="media/image56.png"/><Relationship Id="rId105" Type="http://schemas.openxmlformats.org/officeDocument/2006/relationships/image" Target="media/image57.png"/><Relationship Id="rId106" Type="http://schemas.openxmlformats.org/officeDocument/2006/relationships/image" Target="media/image58.png"/><Relationship Id="rId107" Type="http://schemas.openxmlformats.org/officeDocument/2006/relationships/image" Target="media/image59.png"/><Relationship Id="rId108" Type="http://schemas.openxmlformats.org/officeDocument/2006/relationships/image" Target="media/image60.png"/><Relationship Id="rId109" Type="http://schemas.openxmlformats.org/officeDocument/2006/relationships/image" Target="media/image61.png"/><Relationship Id="rId110" Type="http://schemas.openxmlformats.org/officeDocument/2006/relationships/image" Target="media/image62.png"/><Relationship Id="rId111" Type="http://schemas.openxmlformats.org/officeDocument/2006/relationships/image" Target="media/image63.png"/><Relationship Id="rId112" Type="http://schemas.openxmlformats.org/officeDocument/2006/relationships/image" Target="media/image64.png"/><Relationship Id="rId113" Type="http://schemas.openxmlformats.org/officeDocument/2006/relationships/image" Target="media/image65.png"/><Relationship Id="rId114" Type="http://schemas.openxmlformats.org/officeDocument/2006/relationships/image" Target="media/image66.png"/><Relationship Id="rId115" Type="http://schemas.openxmlformats.org/officeDocument/2006/relationships/image" Target="media/image67.png"/><Relationship Id="rId116" Type="http://schemas.openxmlformats.org/officeDocument/2006/relationships/image" Target="media/image68.png"/><Relationship Id="rId117" Type="http://schemas.openxmlformats.org/officeDocument/2006/relationships/image" Target="media/image69.png"/><Relationship Id="rId118" Type="http://schemas.openxmlformats.org/officeDocument/2006/relationships/image" Target="media/image70.png"/><Relationship Id="rId119" Type="http://schemas.openxmlformats.org/officeDocument/2006/relationships/image" Target="media/image71.png"/><Relationship Id="rId120" Type="http://schemas.openxmlformats.org/officeDocument/2006/relationships/image" Target="media/image72.png"/><Relationship Id="rId121" Type="http://schemas.openxmlformats.org/officeDocument/2006/relationships/image" Target="media/image73.png"/><Relationship Id="rId12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2017-05-22T22:03:41Z</dcterms:created>
  <dcterms:modified xsi:type="dcterms:W3CDTF">2017-05-22T22:03:41Z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2017-05-22T00:00:00Z</vt:filetime>
  </property>
</Properties>
</file>