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jpeg" ContentType="image/jpe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Default Extension="png" ContentType="image/png"/>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1"/>
        <w:spacing w:line="242" w:lineRule="auto" w:before="50"/>
        <w:ind w:left="1398" w:right="1386"/>
        <w:jc w:val="center"/>
      </w:pPr>
      <w:r>
        <w:rPr/>
        <w:t>UNIVERSIDAD AUTÓNOMA DEL ESTADO DE MÉXICO FACULTAD DE MEDICINA</w:t>
      </w:r>
    </w:p>
    <w:p>
      <w:pPr>
        <w:spacing w:line="271" w:lineRule="exact" w:before="0" w:after="6"/>
        <w:ind w:left="1391" w:right="1164" w:firstLine="0"/>
        <w:jc w:val="left"/>
        <w:rPr>
          <w:b/>
          <w:sz w:val="24"/>
        </w:rPr>
      </w:pPr>
      <w:r>
        <w:rPr>
          <w:b/>
          <w:sz w:val="24"/>
        </w:rPr>
        <w:t>DEPARTAMENTO DE EVALUACIÓN PROFESIONAL</w:t>
      </w:r>
    </w:p>
    <w:p>
      <w:pPr>
        <w:pStyle w:val="BodyText"/>
        <w:ind w:left="2542"/>
        <w:rPr>
          <w:sz w:val="20"/>
        </w:rPr>
      </w:pPr>
      <w:r>
        <w:rPr>
          <w:sz w:val="20"/>
        </w:rPr>
        <w:drawing>
          <wp:inline distT="0" distB="0" distL="0" distR="0">
            <wp:extent cx="2565745" cy="2401443"/>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6" cstate="print"/>
                    <a:stretch>
                      <a:fillRect/>
                    </a:stretch>
                  </pic:blipFill>
                  <pic:spPr>
                    <a:xfrm>
                      <a:off x="0" y="0"/>
                      <a:ext cx="2565745" cy="2401443"/>
                    </a:xfrm>
                    <a:prstGeom prst="rect">
                      <a:avLst/>
                    </a:prstGeom>
                  </pic:spPr>
                </pic:pic>
              </a:graphicData>
            </a:graphic>
          </wp:inline>
        </w:drawing>
      </w:r>
      <w:r>
        <w:rPr>
          <w:sz w:val="20"/>
        </w:rPr>
      </w:r>
    </w:p>
    <w:p>
      <w:pPr>
        <w:pStyle w:val="BodyText"/>
        <w:spacing w:before="7"/>
        <w:rPr>
          <w:b/>
          <w:sz w:val="20"/>
        </w:rPr>
      </w:pPr>
    </w:p>
    <w:p>
      <w:pPr>
        <w:spacing w:line="240" w:lineRule="auto" w:before="0"/>
        <w:ind w:left="274" w:right="261" w:hanging="1"/>
        <w:jc w:val="center"/>
        <w:rPr>
          <w:b/>
          <w:sz w:val="24"/>
        </w:rPr>
      </w:pPr>
      <w:r>
        <w:rPr>
          <w:b/>
          <w:sz w:val="24"/>
        </w:rPr>
        <w:t>“FUNCIONALIDAD FAMILIAR Y APOYO SOCIAL EN PACIENTES CON PERITONITIS EN DIALISIS PERITONEAL CONTINUA AMBULATORIA, EN EL HGR /CON UMF 220, TOLUCA ESTADO DE MÉXICO, DURANTE 2011’’.</w:t>
      </w:r>
    </w:p>
    <w:p>
      <w:pPr>
        <w:pStyle w:val="BodyText"/>
        <w:rPr>
          <w:b/>
        </w:rPr>
      </w:pPr>
    </w:p>
    <w:p>
      <w:pPr>
        <w:pStyle w:val="BodyText"/>
        <w:rPr>
          <w:b/>
        </w:rPr>
      </w:pPr>
    </w:p>
    <w:p>
      <w:pPr>
        <w:pStyle w:val="BodyText"/>
        <w:rPr>
          <w:b/>
        </w:rPr>
      </w:pPr>
    </w:p>
    <w:p>
      <w:pPr>
        <w:spacing w:line="242" w:lineRule="auto" w:before="0"/>
        <w:ind w:left="1195" w:right="1164" w:firstLine="659"/>
        <w:jc w:val="left"/>
        <w:rPr>
          <w:b/>
          <w:sz w:val="24"/>
        </w:rPr>
      </w:pPr>
      <w:r>
        <w:rPr>
          <w:b/>
          <w:sz w:val="24"/>
        </w:rPr>
        <w:t>INSTITUTO MEXICANO DEL SEGURO SOCIAL UNIDAD DE MEDICINA FAMILIAR 220 TOLUCA, MÉXICO.</w:t>
      </w:r>
    </w:p>
    <w:p>
      <w:pPr>
        <w:pStyle w:val="BodyText"/>
        <w:spacing w:before="8"/>
        <w:rPr>
          <w:b/>
          <w:sz w:val="23"/>
        </w:rPr>
      </w:pPr>
    </w:p>
    <w:p>
      <w:pPr>
        <w:spacing w:line="275" w:lineRule="exact" w:before="1"/>
        <w:ind w:left="1397" w:right="1386" w:firstLine="0"/>
        <w:jc w:val="center"/>
        <w:rPr>
          <w:b/>
          <w:sz w:val="24"/>
        </w:rPr>
      </w:pPr>
      <w:r>
        <w:rPr>
          <w:b/>
          <w:sz w:val="24"/>
        </w:rPr>
        <w:t>TESIS</w:t>
      </w:r>
    </w:p>
    <w:p>
      <w:pPr>
        <w:spacing w:line="242" w:lineRule="auto" w:before="0"/>
        <w:ind w:left="2145" w:right="2131" w:firstLine="59"/>
        <w:jc w:val="center"/>
        <w:rPr>
          <w:b/>
          <w:sz w:val="24"/>
        </w:rPr>
      </w:pPr>
      <w:r>
        <w:rPr>
          <w:b/>
          <w:sz w:val="24"/>
        </w:rPr>
        <w:t>PARA OBTENER EL DIPLOMA DE ESPECIALISTA EN MEDICINA FAMILIAR</w:t>
      </w:r>
    </w:p>
    <w:p>
      <w:pPr>
        <w:pStyle w:val="BodyText"/>
        <w:spacing w:before="8"/>
        <w:rPr>
          <w:b/>
          <w:sz w:val="23"/>
        </w:rPr>
      </w:pPr>
    </w:p>
    <w:p>
      <w:pPr>
        <w:spacing w:line="275" w:lineRule="exact" w:before="1"/>
        <w:ind w:left="1397" w:right="1386" w:firstLine="0"/>
        <w:jc w:val="center"/>
        <w:rPr>
          <w:b/>
          <w:sz w:val="24"/>
        </w:rPr>
      </w:pPr>
      <w:r>
        <w:rPr>
          <w:b/>
          <w:sz w:val="24"/>
        </w:rPr>
        <w:t>PRESENTA</w:t>
      </w:r>
    </w:p>
    <w:p>
      <w:pPr>
        <w:spacing w:line="275" w:lineRule="exact" w:before="0"/>
        <w:ind w:left="2522" w:right="1164" w:firstLine="0"/>
        <w:jc w:val="left"/>
        <w:rPr>
          <w:sz w:val="24"/>
        </w:rPr>
      </w:pPr>
      <w:r>
        <w:rPr>
          <w:b/>
          <w:sz w:val="24"/>
        </w:rPr>
        <w:t>M.C. OLINCA SÁNCHEZ BLANCAS</w:t>
      </w:r>
      <w:r>
        <w:rPr>
          <w:sz w:val="24"/>
        </w:rPr>
        <w:t>.</w:t>
      </w:r>
    </w:p>
    <w:p>
      <w:pPr>
        <w:pStyle w:val="BodyText"/>
      </w:pPr>
    </w:p>
    <w:p>
      <w:pPr>
        <w:spacing w:before="0"/>
        <w:ind w:left="1397" w:right="1386" w:firstLine="0"/>
        <w:jc w:val="center"/>
        <w:rPr>
          <w:b/>
          <w:sz w:val="24"/>
        </w:rPr>
      </w:pPr>
      <w:r>
        <w:rPr>
          <w:b/>
          <w:sz w:val="24"/>
        </w:rPr>
        <w:t>DIRECTOR DE TESIS</w:t>
      </w:r>
    </w:p>
    <w:p>
      <w:pPr>
        <w:spacing w:before="2"/>
        <w:ind w:left="1675" w:right="1164" w:firstLine="0"/>
        <w:jc w:val="left"/>
        <w:rPr>
          <w:b/>
          <w:sz w:val="24"/>
        </w:rPr>
      </w:pPr>
      <w:r>
        <w:rPr>
          <w:b/>
          <w:sz w:val="24"/>
        </w:rPr>
        <w:t>E.  M.F. BLANCA ESTHELA ARIZMENDI MENDOZA</w:t>
      </w:r>
    </w:p>
    <w:p>
      <w:pPr>
        <w:pStyle w:val="BodyText"/>
        <w:rPr>
          <w:b/>
        </w:rPr>
      </w:pPr>
    </w:p>
    <w:p>
      <w:pPr>
        <w:spacing w:line="275" w:lineRule="exact" w:before="0"/>
        <w:ind w:left="1397" w:right="1386" w:firstLine="0"/>
        <w:jc w:val="center"/>
        <w:rPr>
          <w:b/>
          <w:sz w:val="24"/>
        </w:rPr>
      </w:pPr>
      <w:r>
        <w:rPr>
          <w:b/>
          <w:sz w:val="24"/>
        </w:rPr>
        <w:t>DIRECTOR DE TESIS</w:t>
      </w:r>
    </w:p>
    <w:p>
      <w:pPr>
        <w:spacing w:line="275" w:lineRule="exact" w:before="0"/>
        <w:ind w:left="1645" w:right="1164" w:firstLine="0"/>
        <w:jc w:val="left"/>
        <w:rPr>
          <w:b/>
          <w:sz w:val="24"/>
        </w:rPr>
      </w:pPr>
      <w:r>
        <w:rPr>
          <w:b/>
          <w:sz w:val="24"/>
        </w:rPr>
        <w:t>E.M.F. BLANCA ESTHELA ARIZMENDI MENDOZA</w:t>
      </w:r>
    </w:p>
    <w:p>
      <w:pPr>
        <w:pStyle w:val="BodyText"/>
        <w:rPr>
          <w:b/>
        </w:rPr>
      </w:pPr>
    </w:p>
    <w:p>
      <w:pPr>
        <w:spacing w:before="0"/>
        <w:ind w:left="1397" w:right="1386" w:firstLine="0"/>
        <w:jc w:val="center"/>
        <w:rPr>
          <w:b/>
          <w:sz w:val="24"/>
        </w:rPr>
      </w:pPr>
      <w:r>
        <w:rPr>
          <w:b/>
          <w:sz w:val="24"/>
        </w:rPr>
        <w:t>REVISORES DE TESIS</w:t>
      </w:r>
    </w:p>
    <w:p>
      <w:pPr>
        <w:spacing w:line="274" w:lineRule="exact" w:before="7"/>
        <w:ind w:left="1768" w:right="1738" w:firstLine="336"/>
        <w:jc w:val="left"/>
        <w:rPr>
          <w:b/>
          <w:sz w:val="24"/>
        </w:rPr>
      </w:pPr>
      <w:r>
        <w:rPr>
          <w:b/>
          <w:sz w:val="24"/>
        </w:rPr>
        <w:t>PH. D. MARIO ENRIQUE ARCEO GUZMÁN DRA. EN H. MARÍA LUISA PIMENTEL RAMÍREZ</w:t>
      </w:r>
    </w:p>
    <w:p>
      <w:pPr>
        <w:spacing w:line="274" w:lineRule="exact" w:before="0"/>
        <w:ind w:left="2682" w:right="1164" w:firstLine="0"/>
        <w:jc w:val="left"/>
        <w:rPr>
          <w:b/>
          <w:sz w:val="24"/>
        </w:rPr>
      </w:pPr>
      <w:r>
        <w:rPr>
          <w:b/>
          <w:sz w:val="24"/>
        </w:rPr>
        <w:t>E.M.F. MONICA LOPEZ GARCIA</w:t>
      </w:r>
    </w:p>
    <w:p>
      <w:pPr>
        <w:tabs>
          <w:tab w:pos="7556" w:val="left" w:leader="none"/>
        </w:tabs>
        <w:spacing w:line="480" w:lineRule="auto" w:before="0"/>
        <w:ind w:left="116" w:right="1021" w:firstLine="1868"/>
        <w:jc w:val="left"/>
        <w:rPr>
          <w:b/>
          <w:sz w:val="24"/>
        </w:rPr>
      </w:pPr>
      <w:r>
        <w:rPr>
          <w:b/>
          <w:sz w:val="24"/>
        </w:rPr>
        <w:t>E.M.F. MARÍA EMILIANA AVILES SÁNCHEZ TOLUCA, MÉXICO</w:t>
        <w:tab/>
        <w:t>2013</w:t>
      </w:r>
    </w:p>
    <w:p>
      <w:pPr>
        <w:spacing w:after="0" w:line="480" w:lineRule="auto"/>
        <w:jc w:val="left"/>
        <w:rPr>
          <w:sz w:val="24"/>
        </w:rPr>
        <w:sectPr>
          <w:footerReference w:type="default" r:id="rId5"/>
          <w:type w:val="continuous"/>
          <w:pgSz w:w="12240" w:h="15840"/>
          <w:pgMar w:footer="1032" w:top="1360" w:bottom="1220" w:left="1580" w:right="1600"/>
          <w:pgNumType w:start="1"/>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spacing w:line="240" w:lineRule="auto" w:before="189"/>
        <w:ind w:left="134" w:right="261" w:hanging="1"/>
        <w:jc w:val="center"/>
        <w:rPr>
          <w:b/>
          <w:sz w:val="24"/>
        </w:rPr>
      </w:pPr>
      <w:r>
        <w:rPr>
          <w:b/>
          <w:sz w:val="24"/>
        </w:rPr>
        <w:t>‘’FUNCIONALIDAD FAMILIAR Y APOYO SOCIAL EN PACIENTES CON PERITONITIS EN DIALISIS PERITONEAL CONTINUA AMBULATORIA, EN EL HGR /CON UMF 220, TOLUCA ESTADO DE MEXICO, DURANTE 2011’’.</w:t>
      </w:r>
    </w:p>
    <w:p>
      <w:pPr>
        <w:spacing w:after="0" w:line="240" w:lineRule="auto"/>
        <w:jc w:val="center"/>
        <w:rPr>
          <w:sz w:val="24"/>
        </w:rPr>
        <w:sectPr>
          <w:pgSz w:w="12240" w:h="15840"/>
          <w:pgMar w:header="0" w:footer="1032" w:top="1500" w:bottom="1220" w:left="1720" w:right="1600"/>
        </w:sectPr>
      </w:pPr>
    </w:p>
    <w:p>
      <w:pPr>
        <w:pStyle w:val="BodyText"/>
        <w:spacing w:before="4"/>
        <w:rPr>
          <w:b/>
          <w:sz w:val="10"/>
        </w:rPr>
      </w:pPr>
    </w:p>
    <w:p>
      <w:pPr>
        <w:spacing w:before="69"/>
        <w:ind w:left="3732" w:right="0" w:firstLine="0"/>
        <w:jc w:val="left"/>
        <w:rPr>
          <w:b/>
          <w:sz w:val="24"/>
        </w:rPr>
      </w:pPr>
      <w:r>
        <w:rPr>
          <w:b/>
          <w:sz w:val="24"/>
        </w:rPr>
        <w:t>III.  INDICE</w:t>
      </w:r>
    </w:p>
    <w:p>
      <w:pPr>
        <w:spacing w:after="0"/>
        <w:jc w:val="left"/>
        <w:rPr>
          <w:sz w:val="24"/>
        </w:rPr>
        <w:sectPr>
          <w:pgSz w:w="12240" w:h="15840"/>
          <w:pgMar w:header="0" w:footer="1032" w:top="1500" w:bottom="1557" w:left="1720" w:right="1600"/>
        </w:sectPr>
      </w:pPr>
    </w:p>
    <w:sdt>
      <w:sdtPr>
        <w:docPartObj>
          <w:docPartGallery w:val="Table of Contents"/>
          <w:docPartUnique/>
        </w:docPartObj>
      </w:sdtPr>
      <w:sdtEndPr/>
      <w:sdtContent>
        <w:p>
          <w:pPr>
            <w:pStyle w:val="TOC1"/>
            <w:numPr>
              <w:ilvl w:val="0"/>
              <w:numId w:val="1"/>
            </w:numPr>
            <w:tabs>
              <w:tab w:pos="1187" w:val="left" w:leader="none"/>
              <w:tab w:pos="1188" w:val="left" w:leader="none"/>
              <w:tab w:pos="7867" w:val="left" w:leader="dot"/>
            </w:tabs>
            <w:spacing w:line="240" w:lineRule="auto" w:before="591" w:after="0"/>
            <w:ind w:left="1187" w:right="0" w:hanging="360"/>
            <w:jc w:val="left"/>
          </w:pPr>
          <w:hyperlink w:history="true" w:anchor="_TOC_250043">
            <w:r>
              <w:rPr/>
              <w:t>MARCO TEÓRICO Y CONCEPTUAL</w:t>
              <w:tab/>
              <w:t>5</w:t>
            </w:r>
          </w:hyperlink>
        </w:p>
        <w:p>
          <w:pPr>
            <w:pStyle w:val="TOC5"/>
            <w:numPr>
              <w:ilvl w:val="1"/>
              <w:numId w:val="1"/>
            </w:numPr>
            <w:tabs>
              <w:tab w:pos="1737" w:val="left" w:leader="none"/>
              <w:tab w:pos="7882" w:val="left" w:leader="dot"/>
            </w:tabs>
            <w:spacing w:line="240" w:lineRule="auto" w:before="41" w:after="0"/>
            <w:ind w:left="1736" w:right="0" w:hanging="320"/>
            <w:jc w:val="left"/>
          </w:pPr>
          <w:hyperlink w:history="true" w:anchor="_TOC_250042">
            <w:r>
              <w:rPr/>
              <w:t>Funcionalidad Familiar…</w:t>
              <w:tab/>
              <w:t>6</w:t>
            </w:r>
          </w:hyperlink>
        </w:p>
        <w:p>
          <w:pPr>
            <w:pStyle w:val="TOC5"/>
            <w:numPr>
              <w:ilvl w:val="1"/>
              <w:numId w:val="1"/>
            </w:numPr>
            <w:tabs>
              <w:tab w:pos="1737" w:val="left" w:leader="none"/>
              <w:tab w:pos="7896" w:val="left" w:leader="dot"/>
            </w:tabs>
            <w:spacing w:line="240" w:lineRule="auto" w:before="41" w:after="0"/>
            <w:ind w:left="1736" w:right="0" w:hanging="320"/>
            <w:jc w:val="left"/>
          </w:pPr>
          <w:hyperlink w:history="true" w:anchor="_TOC_250041">
            <w:r>
              <w:rPr/>
              <w:t>Escala de Holmes</w:t>
              <w:tab/>
              <w:t>8</w:t>
            </w:r>
          </w:hyperlink>
        </w:p>
        <w:p>
          <w:pPr>
            <w:pStyle w:val="TOC5"/>
            <w:numPr>
              <w:ilvl w:val="1"/>
              <w:numId w:val="1"/>
            </w:numPr>
            <w:tabs>
              <w:tab w:pos="1737" w:val="left" w:leader="none"/>
              <w:tab w:pos="7909" w:val="left" w:leader="dot"/>
            </w:tabs>
            <w:spacing w:line="240" w:lineRule="auto" w:before="41" w:after="0"/>
            <w:ind w:left="1736" w:right="0" w:hanging="320"/>
            <w:jc w:val="left"/>
          </w:pPr>
          <w:hyperlink w:history="true" w:anchor="_TOC_250040">
            <w:r>
              <w:rPr/>
              <w:t>Apoyo Social</w:t>
              <w:tab/>
              <w:t>8</w:t>
            </w:r>
          </w:hyperlink>
        </w:p>
        <w:p>
          <w:pPr>
            <w:pStyle w:val="TOC5"/>
            <w:numPr>
              <w:ilvl w:val="1"/>
              <w:numId w:val="1"/>
            </w:numPr>
            <w:tabs>
              <w:tab w:pos="1737" w:val="left" w:leader="none"/>
              <w:tab w:pos="7869" w:val="left" w:leader="dot"/>
            </w:tabs>
            <w:spacing w:line="240" w:lineRule="auto" w:before="45" w:after="0"/>
            <w:ind w:left="1736" w:right="0" w:hanging="320"/>
            <w:jc w:val="left"/>
          </w:pPr>
          <w:r>
            <w:rPr/>
            <w:t>Componentes y Funciones del Apoyo Social</w:t>
            <w:tab/>
            <w:t>13</w:t>
          </w:r>
        </w:p>
        <w:p>
          <w:pPr>
            <w:pStyle w:val="TOC5"/>
            <w:numPr>
              <w:ilvl w:val="1"/>
              <w:numId w:val="1"/>
            </w:numPr>
            <w:tabs>
              <w:tab w:pos="1737" w:val="left" w:leader="none"/>
              <w:tab w:pos="7848" w:val="left" w:leader="dot"/>
            </w:tabs>
            <w:spacing w:line="240" w:lineRule="auto" w:before="41" w:after="0"/>
            <w:ind w:left="1736" w:right="0" w:hanging="320"/>
            <w:jc w:val="left"/>
          </w:pPr>
          <w:hyperlink w:history="true" w:anchor="_TOC_250039">
            <w:r>
              <w:rPr/>
              <w:t>Prevalencia de la Enfermedad Renal Crónica</w:t>
              <w:tab/>
              <w:t>15</w:t>
            </w:r>
          </w:hyperlink>
        </w:p>
        <w:p>
          <w:pPr>
            <w:pStyle w:val="TOC5"/>
            <w:numPr>
              <w:ilvl w:val="1"/>
              <w:numId w:val="1"/>
            </w:numPr>
            <w:tabs>
              <w:tab w:pos="1737" w:val="left" w:leader="none"/>
              <w:tab w:pos="7823" w:val="left" w:leader="dot"/>
            </w:tabs>
            <w:spacing w:line="240" w:lineRule="auto" w:before="41" w:after="0"/>
            <w:ind w:left="1736" w:right="0" w:hanging="320"/>
            <w:jc w:val="left"/>
          </w:pPr>
          <w:hyperlink w:history="true" w:anchor="_TOC_250038">
            <w:r>
              <w:rPr/>
              <w:t>Peritonitis</w:t>
              <w:tab/>
              <w:t>16</w:t>
            </w:r>
          </w:hyperlink>
        </w:p>
        <w:p>
          <w:pPr>
            <w:pStyle w:val="TOC5"/>
            <w:numPr>
              <w:ilvl w:val="1"/>
              <w:numId w:val="1"/>
            </w:numPr>
            <w:tabs>
              <w:tab w:pos="1737" w:val="left" w:leader="none"/>
              <w:tab w:pos="7836" w:val="left" w:leader="dot"/>
            </w:tabs>
            <w:spacing w:line="240" w:lineRule="auto" w:before="41" w:after="0"/>
            <w:ind w:left="1736" w:right="0" w:hanging="320"/>
            <w:jc w:val="left"/>
          </w:pPr>
          <w:r>
            <w:rPr/>
            <w:t>Etiología</w:t>
            <w:tab/>
            <w:t>16</w:t>
          </w:r>
        </w:p>
        <w:p>
          <w:pPr>
            <w:pStyle w:val="TOC5"/>
            <w:numPr>
              <w:ilvl w:val="1"/>
              <w:numId w:val="1"/>
            </w:numPr>
            <w:tabs>
              <w:tab w:pos="1737" w:val="left" w:leader="none"/>
              <w:tab w:pos="7829" w:val="left" w:leader="dot"/>
            </w:tabs>
            <w:spacing w:line="240" w:lineRule="auto" w:before="41" w:after="0"/>
            <w:ind w:left="1736" w:right="0" w:hanging="320"/>
            <w:jc w:val="left"/>
          </w:pPr>
          <w:hyperlink w:history="true" w:anchor="_TOC_250037">
            <w:r>
              <w:rPr/>
              <w:t>Fisiopatogenia</w:t>
              <w:tab/>
              <w:t>17</w:t>
            </w:r>
          </w:hyperlink>
        </w:p>
        <w:p>
          <w:pPr>
            <w:pStyle w:val="TOC5"/>
            <w:numPr>
              <w:ilvl w:val="1"/>
              <w:numId w:val="1"/>
            </w:numPr>
            <w:tabs>
              <w:tab w:pos="1737" w:val="left" w:leader="none"/>
              <w:tab w:pos="7796" w:val="left" w:leader="dot"/>
            </w:tabs>
            <w:spacing w:line="240" w:lineRule="auto" w:before="41" w:after="0"/>
            <w:ind w:left="1736" w:right="0" w:hanging="320"/>
            <w:jc w:val="left"/>
          </w:pPr>
          <w:hyperlink w:history="true" w:anchor="_TOC_250036">
            <w:r>
              <w:rPr/>
              <w:t>Presentación Clínica</w:t>
              <w:tab/>
              <w:t>18</w:t>
            </w:r>
          </w:hyperlink>
        </w:p>
        <w:p>
          <w:pPr>
            <w:pStyle w:val="TOC5"/>
            <w:numPr>
              <w:ilvl w:val="1"/>
              <w:numId w:val="1"/>
            </w:numPr>
            <w:tabs>
              <w:tab w:pos="1857" w:val="left" w:leader="none"/>
              <w:tab w:pos="7816" w:val="left" w:leader="dot"/>
            </w:tabs>
            <w:spacing w:line="240" w:lineRule="auto" w:before="41" w:after="0"/>
            <w:ind w:left="1856" w:right="0" w:hanging="440"/>
            <w:jc w:val="left"/>
          </w:pPr>
          <w:r>
            <w:rPr/>
            <w:t>Diagnostico…</w:t>
            <w:tab/>
            <w:t>18</w:t>
          </w:r>
        </w:p>
        <w:p>
          <w:pPr>
            <w:pStyle w:val="TOC5"/>
            <w:numPr>
              <w:ilvl w:val="1"/>
              <w:numId w:val="1"/>
            </w:numPr>
            <w:tabs>
              <w:tab w:pos="1857" w:val="left" w:leader="none"/>
              <w:tab w:pos="7829" w:val="left" w:leader="dot"/>
            </w:tabs>
            <w:spacing w:line="240" w:lineRule="auto" w:before="41" w:after="0"/>
            <w:ind w:left="1856" w:right="0" w:hanging="440"/>
            <w:jc w:val="left"/>
          </w:pPr>
          <w:hyperlink w:history="true" w:anchor="_TOC_250035">
            <w:r>
              <w:rPr/>
              <w:t>Tratamiento…</w:t>
              <w:tab/>
              <w:t>19</w:t>
            </w:r>
          </w:hyperlink>
        </w:p>
        <w:p>
          <w:pPr>
            <w:pStyle w:val="TOC1"/>
            <w:numPr>
              <w:ilvl w:val="0"/>
              <w:numId w:val="1"/>
            </w:numPr>
            <w:tabs>
              <w:tab w:pos="1188" w:val="left" w:leader="none"/>
              <w:tab w:pos="7794" w:val="left" w:leader="dot"/>
            </w:tabs>
            <w:spacing w:line="240" w:lineRule="auto" w:before="361" w:after="0"/>
            <w:ind w:left="1187" w:right="0" w:hanging="360"/>
            <w:jc w:val="left"/>
          </w:pPr>
          <w:hyperlink w:history="true" w:anchor="_TOC_250034">
            <w:r>
              <w:rPr/>
              <w:t>PLANTEAMIENTO DEL PROBLEMA</w:t>
              <w:tab/>
              <w:t>20</w:t>
            </w:r>
          </w:hyperlink>
        </w:p>
        <w:p>
          <w:pPr>
            <w:pStyle w:val="TOC3"/>
            <w:numPr>
              <w:ilvl w:val="1"/>
              <w:numId w:val="1"/>
            </w:numPr>
            <w:tabs>
              <w:tab w:pos="1588" w:val="left" w:leader="none"/>
              <w:tab w:pos="6960" w:val="left" w:leader="dot"/>
            </w:tabs>
            <w:spacing w:line="240" w:lineRule="auto" w:before="41" w:after="0"/>
            <w:ind w:left="1587" w:right="0" w:hanging="400"/>
            <w:jc w:val="center"/>
          </w:pPr>
          <w:r>
            <w:rPr/>
            <w:t>Argumentación…</w:t>
            <w:tab/>
            <w:t>20</w:t>
          </w:r>
        </w:p>
        <w:p>
          <w:pPr>
            <w:pStyle w:val="TOC3"/>
            <w:numPr>
              <w:ilvl w:val="1"/>
              <w:numId w:val="1"/>
            </w:numPr>
            <w:tabs>
              <w:tab w:pos="1588" w:val="left" w:leader="none"/>
              <w:tab w:pos="7800" w:val="left" w:leader="dot"/>
            </w:tabs>
            <w:spacing w:line="240" w:lineRule="auto" w:before="41" w:after="0"/>
            <w:ind w:left="1587" w:right="0" w:hanging="400"/>
            <w:jc w:val="left"/>
          </w:pPr>
          <w:r>
            <w:rPr/>
            <w:t>Pregunta de Investigación…</w:t>
            <w:tab/>
            <w:t>21</w:t>
          </w:r>
        </w:p>
        <w:p>
          <w:pPr>
            <w:pStyle w:val="TOC1"/>
            <w:numPr>
              <w:ilvl w:val="0"/>
              <w:numId w:val="1"/>
            </w:numPr>
            <w:tabs>
              <w:tab w:pos="1188" w:val="left" w:leader="none"/>
              <w:tab w:pos="7814" w:val="left" w:leader="dot"/>
            </w:tabs>
            <w:spacing w:line="240" w:lineRule="auto" w:before="356" w:after="0"/>
            <w:ind w:left="1187" w:right="0" w:hanging="360"/>
            <w:jc w:val="left"/>
          </w:pPr>
          <w:hyperlink w:history="true" w:anchor="_TOC_250033">
            <w:r>
              <w:rPr/>
              <w:t>JUSTIFICACIONES</w:t>
              <w:tab/>
              <w:t>22</w:t>
            </w:r>
          </w:hyperlink>
        </w:p>
        <w:p>
          <w:pPr>
            <w:pStyle w:val="TOC4"/>
            <w:numPr>
              <w:ilvl w:val="1"/>
              <w:numId w:val="1"/>
            </w:numPr>
            <w:tabs>
              <w:tab w:pos="1788" w:val="left" w:leader="none"/>
              <w:tab w:pos="7013" w:val="left" w:leader="dot"/>
            </w:tabs>
            <w:spacing w:line="240" w:lineRule="auto" w:before="45" w:after="0"/>
            <w:ind w:left="1787" w:right="0" w:hanging="480"/>
            <w:jc w:val="center"/>
          </w:pPr>
          <w:hyperlink w:history="true" w:anchor="_TOC_250032">
            <w:r>
              <w:rPr/>
              <w:t>Académica</w:t>
              <w:tab/>
              <w:t>22</w:t>
            </w:r>
          </w:hyperlink>
        </w:p>
        <w:p>
          <w:pPr>
            <w:pStyle w:val="TOC4"/>
            <w:numPr>
              <w:ilvl w:val="1"/>
              <w:numId w:val="1"/>
            </w:numPr>
            <w:tabs>
              <w:tab w:pos="1788" w:val="left" w:leader="none"/>
              <w:tab w:pos="6987" w:val="left" w:leader="dot"/>
            </w:tabs>
            <w:spacing w:line="240" w:lineRule="auto" w:before="41" w:after="0"/>
            <w:ind w:left="1787" w:right="0" w:hanging="480"/>
            <w:jc w:val="center"/>
          </w:pPr>
          <w:hyperlink w:history="true" w:anchor="_TOC_250031">
            <w:r>
              <w:rPr/>
              <w:t>Científica</w:t>
              <w:tab/>
              <w:t>22</w:t>
            </w:r>
          </w:hyperlink>
        </w:p>
        <w:p>
          <w:pPr>
            <w:pStyle w:val="TOC4"/>
            <w:numPr>
              <w:ilvl w:val="1"/>
              <w:numId w:val="1"/>
            </w:numPr>
            <w:tabs>
              <w:tab w:pos="1788" w:val="left" w:leader="none"/>
              <w:tab w:pos="7014" w:val="left" w:leader="dot"/>
            </w:tabs>
            <w:spacing w:line="240" w:lineRule="auto" w:before="41" w:after="0"/>
            <w:ind w:left="1787" w:right="0" w:hanging="480"/>
            <w:jc w:val="center"/>
          </w:pPr>
          <w:hyperlink w:history="true" w:anchor="_TOC_250030">
            <w:r>
              <w:rPr/>
              <w:t>Social</w:t>
              <w:tab/>
              <w:t>23</w:t>
            </w:r>
          </w:hyperlink>
        </w:p>
        <w:p>
          <w:pPr>
            <w:pStyle w:val="TOC4"/>
            <w:numPr>
              <w:ilvl w:val="1"/>
              <w:numId w:val="1"/>
            </w:numPr>
            <w:tabs>
              <w:tab w:pos="1788" w:val="left" w:leader="none"/>
              <w:tab w:pos="7014" w:val="left" w:leader="dot"/>
            </w:tabs>
            <w:spacing w:line="240" w:lineRule="auto" w:before="41" w:after="0"/>
            <w:ind w:left="1787" w:right="0" w:hanging="480"/>
            <w:jc w:val="center"/>
          </w:pPr>
          <w:hyperlink w:history="true" w:anchor="_TOC_250029">
            <w:r>
              <w:rPr/>
              <w:t>Económica</w:t>
              <w:tab/>
              <w:t>23</w:t>
            </w:r>
          </w:hyperlink>
        </w:p>
        <w:p>
          <w:pPr>
            <w:pStyle w:val="TOC1"/>
            <w:numPr>
              <w:ilvl w:val="0"/>
              <w:numId w:val="1"/>
            </w:numPr>
            <w:tabs>
              <w:tab w:pos="1188" w:val="left" w:leader="none"/>
              <w:tab w:pos="7821" w:val="left" w:leader="dot"/>
            </w:tabs>
            <w:spacing w:line="240" w:lineRule="auto" w:before="356" w:after="0"/>
            <w:ind w:left="1187" w:right="0" w:hanging="360"/>
            <w:jc w:val="left"/>
          </w:pPr>
          <w:hyperlink w:history="true" w:anchor="_TOC_250028">
            <w:r>
              <w:rPr/>
              <w:t>HIPÓTESIS</w:t>
              <w:tab/>
              <w:t>25</w:t>
            </w:r>
          </w:hyperlink>
        </w:p>
        <w:p>
          <w:pPr>
            <w:pStyle w:val="TOC5"/>
            <w:numPr>
              <w:ilvl w:val="1"/>
              <w:numId w:val="1"/>
            </w:numPr>
            <w:tabs>
              <w:tab w:pos="1887" w:val="left" w:leader="none"/>
              <w:tab w:pos="7812" w:val="left" w:leader="dot"/>
            </w:tabs>
            <w:spacing w:line="240" w:lineRule="auto" w:before="45" w:after="0"/>
            <w:ind w:left="1886" w:right="0" w:hanging="494"/>
            <w:jc w:val="left"/>
          </w:pPr>
          <w:hyperlink w:history="true" w:anchor="_TOC_250027">
            <w:r>
              <w:rPr/>
              <w:t>Elementos de la hipótesis</w:t>
              <w:tab/>
              <w:t>25</w:t>
            </w:r>
          </w:hyperlink>
        </w:p>
        <w:p>
          <w:pPr>
            <w:pStyle w:val="TOC5"/>
            <w:numPr>
              <w:ilvl w:val="2"/>
              <w:numId w:val="1"/>
            </w:numPr>
            <w:tabs>
              <w:tab w:pos="2067" w:val="left" w:leader="none"/>
              <w:tab w:pos="7831" w:val="left" w:leader="dot"/>
            </w:tabs>
            <w:spacing w:line="240" w:lineRule="auto" w:before="41" w:after="0"/>
            <w:ind w:left="2066" w:right="0" w:hanging="674"/>
            <w:jc w:val="left"/>
          </w:pPr>
          <w:hyperlink w:history="true" w:anchor="_TOC_250026">
            <w:r>
              <w:rPr/>
              <w:t>Unidades de Observación…</w:t>
              <w:tab/>
              <w:t>25</w:t>
            </w:r>
          </w:hyperlink>
        </w:p>
        <w:p>
          <w:pPr>
            <w:pStyle w:val="TOC5"/>
            <w:numPr>
              <w:ilvl w:val="2"/>
              <w:numId w:val="1"/>
            </w:numPr>
            <w:tabs>
              <w:tab w:pos="2067" w:val="left" w:leader="none"/>
              <w:tab w:pos="7845" w:val="left" w:leader="dot"/>
            </w:tabs>
            <w:spacing w:line="240" w:lineRule="auto" w:before="41" w:after="0"/>
            <w:ind w:left="2066" w:right="0" w:hanging="674"/>
            <w:jc w:val="left"/>
          </w:pPr>
          <w:hyperlink w:history="true" w:anchor="_TOC_250025">
            <w:r>
              <w:rPr/>
              <w:t>Variables</w:t>
              <w:tab/>
              <w:t>25</w:t>
            </w:r>
          </w:hyperlink>
        </w:p>
        <w:p>
          <w:pPr>
            <w:pStyle w:val="TOC5"/>
            <w:numPr>
              <w:ilvl w:val="3"/>
              <w:numId w:val="1"/>
            </w:numPr>
            <w:tabs>
              <w:tab w:pos="2247" w:val="left" w:leader="none"/>
              <w:tab w:pos="7838" w:val="left" w:leader="dot"/>
            </w:tabs>
            <w:spacing w:line="240" w:lineRule="auto" w:before="41" w:after="0"/>
            <w:ind w:left="2246" w:right="0" w:hanging="854"/>
            <w:jc w:val="left"/>
          </w:pPr>
          <w:hyperlink w:history="true" w:anchor="_TOC_250024">
            <w:r>
              <w:rPr/>
              <w:t>Dependiente</w:t>
              <w:tab/>
              <w:t>25</w:t>
            </w:r>
          </w:hyperlink>
        </w:p>
        <w:p>
          <w:pPr>
            <w:pStyle w:val="TOC5"/>
            <w:numPr>
              <w:ilvl w:val="3"/>
              <w:numId w:val="1"/>
            </w:numPr>
            <w:tabs>
              <w:tab w:pos="2247" w:val="left" w:leader="none"/>
              <w:tab w:pos="7838" w:val="left" w:leader="dot"/>
            </w:tabs>
            <w:spacing w:line="240" w:lineRule="auto" w:before="41" w:after="0"/>
            <w:ind w:left="2246" w:right="0" w:hanging="854"/>
            <w:jc w:val="left"/>
          </w:pPr>
          <w:hyperlink w:history="true" w:anchor="_TOC_250023">
            <w:r>
              <w:rPr/>
              <w:t>Independientes</w:t>
              <w:tab/>
              <w:t>25</w:t>
            </w:r>
          </w:hyperlink>
        </w:p>
        <w:p>
          <w:pPr>
            <w:pStyle w:val="TOC5"/>
            <w:numPr>
              <w:ilvl w:val="2"/>
              <w:numId w:val="1"/>
            </w:numPr>
            <w:tabs>
              <w:tab w:pos="2067" w:val="left" w:leader="none"/>
              <w:tab w:pos="7831" w:val="left" w:leader="dot"/>
            </w:tabs>
            <w:spacing w:line="240" w:lineRule="auto" w:before="41" w:after="0"/>
            <w:ind w:left="2066" w:right="0" w:hanging="674"/>
            <w:jc w:val="left"/>
          </w:pPr>
          <w:hyperlink w:history="true" w:anchor="_TOC_250022">
            <w:r>
              <w:rPr/>
              <w:t>Elementos lógicos de relación…</w:t>
              <w:tab/>
              <w:t>25</w:t>
            </w:r>
          </w:hyperlink>
        </w:p>
        <w:p>
          <w:pPr>
            <w:pStyle w:val="TOC1"/>
            <w:numPr>
              <w:ilvl w:val="0"/>
              <w:numId w:val="1"/>
            </w:numPr>
            <w:tabs>
              <w:tab w:pos="1188" w:val="left" w:leader="none"/>
              <w:tab w:pos="7841" w:val="left" w:leader="dot"/>
            </w:tabs>
            <w:spacing w:line="240" w:lineRule="auto" w:before="356" w:after="0"/>
            <w:ind w:left="1187" w:right="0" w:hanging="360"/>
            <w:jc w:val="left"/>
          </w:pPr>
          <w:r>
            <w:rPr/>
            <w:t>OBJETIVOS</w:t>
            <w:tab/>
            <w:t>26</w:t>
          </w:r>
        </w:p>
        <w:p>
          <w:pPr>
            <w:pStyle w:val="TOC5"/>
            <w:numPr>
              <w:ilvl w:val="1"/>
              <w:numId w:val="1"/>
            </w:numPr>
            <w:tabs>
              <w:tab w:pos="1831" w:val="left" w:leader="none"/>
              <w:tab w:pos="7809" w:val="left" w:leader="dot"/>
            </w:tabs>
            <w:spacing w:line="240" w:lineRule="auto" w:before="45" w:after="0"/>
            <w:ind w:left="1830" w:right="0" w:hanging="414"/>
            <w:jc w:val="left"/>
          </w:pPr>
          <w:r>
            <w:rPr/>
            <w:t>General</w:t>
            <w:tab/>
            <w:t>26</w:t>
          </w:r>
        </w:p>
        <w:p>
          <w:pPr>
            <w:pStyle w:val="TOC5"/>
            <w:numPr>
              <w:ilvl w:val="1"/>
              <w:numId w:val="1"/>
            </w:numPr>
            <w:tabs>
              <w:tab w:pos="1831" w:val="left" w:leader="none"/>
              <w:tab w:pos="7796" w:val="left" w:leader="dot"/>
            </w:tabs>
            <w:spacing w:line="240" w:lineRule="auto" w:before="41" w:after="0"/>
            <w:ind w:left="1830" w:right="0" w:hanging="414"/>
            <w:jc w:val="left"/>
          </w:pPr>
          <w:r>
            <w:rPr/>
            <w:t>Específicos</w:t>
            <w:tab/>
            <w:t>26</w:t>
          </w:r>
        </w:p>
        <w:p>
          <w:pPr>
            <w:pStyle w:val="TOC1"/>
            <w:numPr>
              <w:ilvl w:val="0"/>
              <w:numId w:val="1"/>
            </w:numPr>
            <w:tabs>
              <w:tab w:pos="1188" w:val="left" w:leader="none"/>
              <w:tab w:pos="7801" w:val="left" w:leader="dot"/>
            </w:tabs>
            <w:spacing w:line="240" w:lineRule="auto" w:before="356" w:after="0"/>
            <w:ind w:left="1187" w:right="0" w:hanging="360"/>
            <w:jc w:val="left"/>
          </w:pPr>
          <w:r>
            <w:rPr/>
            <w:t>MÉTODO</w:t>
            <w:tab/>
            <w:t>27</w:t>
          </w:r>
        </w:p>
        <w:p>
          <w:pPr>
            <w:pStyle w:val="TOC2"/>
            <w:numPr>
              <w:ilvl w:val="1"/>
              <w:numId w:val="1"/>
            </w:numPr>
            <w:tabs>
              <w:tab w:pos="1551" w:val="left" w:leader="none"/>
              <w:tab w:pos="6886" w:val="left" w:leader="dot"/>
            </w:tabs>
            <w:spacing w:line="240" w:lineRule="auto" w:before="41" w:after="0"/>
            <w:ind w:left="1550" w:right="0" w:hanging="494"/>
            <w:jc w:val="center"/>
          </w:pPr>
          <w:hyperlink w:history="true" w:anchor="_TOC_250021">
            <w:r>
              <w:rPr/>
              <w:t>Tipo de estudio…</w:t>
              <w:tab/>
              <w:t>27</w:t>
            </w:r>
          </w:hyperlink>
        </w:p>
        <w:p>
          <w:pPr>
            <w:pStyle w:val="TOC2"/>
            <w:numPr>
              <w:ilvl w:val="1"/>
              <w:numId w:val="1"/>
            </w:numPr>
            <w:tabs>
              <w:tab w:pos="1551" w:val="left" w:leader="none"/>
              <w:tab w:pos="7776" w:val="left" w:leader="dot"/>
            </w:tabs>
            <w:spacing w:line="240" w:lineRule="auto" w:before="45" w:after="0"/>
            <w:ind w:left="1550" w:right="0" w:hanging="494"/>
            <w:jc w:val="left"/>
          </w:pPr>
          <w:hyperlink w:history="true" w:anchor="_TOC_250020">
            <w:r>
              <w:rPr/>
              <w:t>Diseño del estudio…</w:t>
              <w:tab/>
              <w:t>27</w:t>
            </w:r>
          </w:hyperlink>
        </w:p>
        <w:p>
          <w:pPr>
            <w:pStyle w:val="TOC8"/>
          </w:pPr>
          <w:r>
            <w:rPr/>
            <w:t>III.  INDICE</w:t>
          </w:r>
        </w:p>
        <w:p>
          <w:pPr>
            <w:pStyle w:val="TOC2"/>
            <w:numPr>
              <w:ilvl w:val="1"/>
              <w:numId w:val="1"/>
            </w:numPr>
            <w:tabs>
              <w:tab w:pos="1551" w:val="left" w:leader="none"/>
              <w:tab w:pos="7774" w:val="left" w:leader="dot"/>
            </w:tabs>
            <w:spacing w:line="240" w:lineRule="auto" w:before="636" w:after="0"/>
            <w:ind w:left="1550" w:right="0" w:hanging="494"/>
            <w:jc w:val="left"/>
          </w:pPr>
          <w:hyperlink w:history="true" w:anchor="_TOC_250019">
            <w:r>
              <w:rPr/>
              <w:t>Operacionalización de las variables</w:t>
              <w:tab/>
              <w:t>27</w:t>
            </w:r>
          </w:hyperlink>
        </w:p>
        <w:p>
          <w:pPr>
            <w:pStyle w:val="TOC2"/>
            <w:numPr>
              <w:ilvl w:val="1"/>
              <w:numId w:val="1"/>
            </w:numPr>
            <w:tabs>
              <w:tab w:pos="1551" w:val="left" w:leader="none"/>
              <w:tab w:pos="7782" w:val="left" w:leader="dot"/>
            </w:tabs>
            <w:spacing w:line="240" w:lineRule="auto" w:before="41" w:after="0"/>
            <w:ind w:left="1550" w:right="0" w:hanging="494"/>
            <w:jc w:val="left"/>
          </w:pPr>
          <w:hyperlink w:history="true" w:anchor="_TOC_250018">
            <w:r>
              <w:rPr/>
              <w:t>Universo de Trabajo…</w:t>
              <w:tab/>
              <w:t>31</w:t>
            </w:r>
          </w:hyperlink>
        </w:p>
        <w:p>
          <w:pPr>
            <w:pStyle w:val="TOC6"/>
            <w:numPr>
              <w:ilvl w:val="2"/>
              <w:numId w:val="1"/>
            </w:numPr>
            <w:tabs>
              <w:tab w:pos="2151" w:val="left" w:leader="none"/>
              <w:tab w:pos="7816" w:val="left" w:leader="dot"/>
            </w:tabs>
            <w:spacing w:line="240" w:lineRule="auto" w:before="41" w:after="0"/>
            <w:ind w:left="2150" w:right="0" w:hanging="674"/>
            <w:jc w:val="left"/>
          </w:pPr>
          <w:hyperlink w:history="true" w:anchor="_TOC_250017">
            <w:r>
              <w:rPr/>
              <w:t>Criterios de inclusión…</w:t>
              <w:tab/>
              <w:t>31</w:t>
            </w:r>
          </w:hyperlink>
        </w:p>
        <w:p>
          <w:pPr>
            <w:pStyle w:val="TOC6"/>
            <w:numPr>
              <w:ilvl w:val="2"/>
              <w:numId w:val="1"/>
            </w:numPr>
            <w:tabs>
              <w:tab w:pos="2151" w:val="left" w:leader="none"/>
              <w:tab w:pos="7796" w:val="left" w:leader="dot"/>
            </w:tabs>
            <w:spacing w:line="240" w:lineRule="auto" w:before="41" w:after="0"/>
            <w:ind w:left="2150" w:right="0" w:hanging="674"/>
            <w:jc w:val="left"/>
          </w:pPr>
          <w:hyperlink w:history="true" w:anchor="_TOC_250016">
            <w:r>
              <w:rPr/>
              <w:t>Criterios de exclusión…</w:t>
              <w:tab/>
              <w:t>31</w:t>
            </w:r>
          </w:hyperlink>
        </w:p>
        <w:p>
          <w:pPr>
            <w:pStyle w:val="TOC6"/>
            <w:numPr>
              <w:ilvl w:val="2"/>
              <w:numId w:val="1"/>
            </w:numPr>
            <w:tabs>
              <w:tab w:pos="2151" w:val="left" w:leader="none"/>
              <w:tab w:pos="7769" w:val="left" w:leader="dot"/>
            </w:tabs>
            <w:spacing w:line="240" w:lineRule="auto" w:before="41" w:after="0"/>
            <w:ind w:left="2150" w:right="0" w:hanging="674"/>
            <w:jc w:val="left"/>
          </w:pPr>
          <w:hyperlink w:history="true" w:anchor="_TOC_250015">
            <w:r>
              <w:rPr/>
              <w:t>Criterios de eliminación…</w:t>
              <w:tab/>
              <w:t>31</w:t>
            </w:r>
          </w:hyperlink>
        </w:p>
        <w:p>
          <w:pPr>
            <w:pStyle w:val="TOC2"/>
            <w:numPr>
              <w:ilvl w:val="1"/>
              <w:numId w:val="1"/>
            </w:numPr>
            <w:tabs>
              <w:tab w:pos="1551" w:val="left" w:leader="none"/>
              <w:tab w:pos="7769" w:val="left" w:leader="dot"/>
            </w:tabs>
            <w:spacing w:line="240" w:lineRule="auto" w:before="41" w:after="0"/>
            <w:ind w:left="1550" w:right="0" w:hanging="494"/>
            <w:jc w:val="left"/>
          </w:pPr>
          <w:hyperlink w:history="true" w:anchor="_TOC_250014">
            <w:r>
              <w:rPr/>
              <w:t>Instrumento de Investigación</w:t>
              <w:tab/>
              <w:t>32</w:t>
            </w:r>
          </w:hyperlink>
        </w:p>
        <w:p>
          <w:pPr>
            <w:pStyle w:val="TOC7"/>
            <w:numPr>
              <w:ilvl w:val="2"/>
              <w:numId w:val="1"/>
            </w:numPr>
            <w:tabs>
              <w:tab w:pos="2211" w:val="left" w:leader="none"/>
              <w:tab w:pos="7749" w:val="left" w:leader="dot"/>
            </w:tabs>
            <w:spacing w:line="240" w:lineRule="auto" w:before="41" w:after="0"/>
            <w:ind w:left="2210" w:right="0" w:hanging="674"/>
            <w:jc w:val="left"/>
          </w:pPr>
          <w:hyperlink w:history="true" w:anchor="_TOC_250013">
            <w:r>
              <w:rPr/>
              <w:t>Descripción…</w:t>
              <w:tab/>
              <w:t>33</w:t>
            </w:r>
          </w:hyperlink>
        </w:p>
        <w:p>
          <w:pPr>
            <w:pStyle w:val="TOC7"/>
            <w:numPr>
              <w:ilvl w:val="2"/>
              <w:numId w:val="1"/>
            </w:numPr>
            <w:tabs>
              <w:tab w:pos="2211" w:val="left" w:leader="none"/>
              <w:tab w:pos="7762" w:val="left" w:leader="dot"/>
            </w:tabs>
            <w:spacing w:line="240" w:lineRule="auto" w:before="45" w:after="0"/>
            <w:ind w:left="2210" w:right="0" w:hanging="674"/>
            <w:jc w:val="left"/>
          </w:pPr>
          <w:hyperlink w:history="true" w:anchor="_TOC_250012">
            <w:r>
              <w:rPr/>
              <w:t>Validación…</w:t>
              <w:tab/>
              <w:t>33</w:t>
            </w:r>
          </w:hyperlink>
        </w:p>
        <w:p>
          <w:pPr>
            <w:pStyle w:val="TOC7"/>
            <w:numPr>
              <w:ilvl w:val="2"/>
              <w:numId w:val="1"/>
            </w:numPr>
            <w:tabs>
              <w:tab w:pos="2211" w:val="left" w:leader="none"/>
              <w:tab w:pos="7762" w:val="left" w:leader="dot"/>
            </w:tabs>
            <w:spacing w:line="240" w:lineRule="auto" w:before="41" w:after="0"/>
            <w:ind w:left="2210" w:right="0" w:hanging="674"/>
            <w:jc w:val="left"/>
          </w:pPr>
          <w:hyperlink w:history="true" w:anchor="_TOC_250011">
            <w:r>
              <w:rPr/>
              <w:t>Aplicación…</w:t>
              <w:tab/>
              <w:t>34</w:t>
            </w:r>
          </w:hyperlink>
        </w:p>
        <w:p>
          <w:pPr>
            <w:pStyle w:val="TOC7"/>
            <w:numPr>
              <w:ilvl w:val="1"/>
              <w:numId w:val="2"/>
            </w:numPr>
            <w:tabs>
              <w:tab w:pos="2031" w:val="left" w:leader="none"/>
              <w:tab w:pos="7789" w:val="left" w:leader="dot"/>
            </w:tabs>
            <w:spacing w:line="240" w:lineRule="auto" w:before="41" w:after="0"/>
            <w:ind w:left="2030" w:right="0" w:hanging="494"/>
            <w:jc w:val="left"/>
          </w:pPr>
          <w:hyperlink w:history="true" w:anchor="_TOC_250010">
            <w:r>
              <w:rPr/>
              <w:t>Desarrollo del Proyecto…</w:t>
              <w:tab/>
              <w:t>34</w:t>
            </w:r>
          </w:hyperlink>
        </w:p>
        <w:p>
          <w:pPr>
            <w:pStyle w:val="TOC6"/>
            <w:numPr>
              <w:ilvl w:val="1"/>
              <w:numId w:val="2"/>
            </w:numPr>
            <w:tabs>
              <w:tab w:pos="1982" w:val="left" w:leader="none"/>
              <w:tab w:pos="7766" w:val="left" w:leader="dot"/>
            </w:tabs>
            <w:spacing w:line="240" w:lineRule="auto" w:before="41" w:after="0"/>
            <w:ind w:left="1981" w:right="0" w:hanging="494"/>
            <w:jc w:val="left"/>
          </w:pPr>
          <w:hyperlink w:history="true" w:anchor="_TOC_250009">
            <w:r>
              <w:rPr/>
              <w:t>Límite de espacio…</w:t>
              <w:tab/>
              <w:t>36</w:t>
            </w:r>
          </w:hyperlink>
        </w:p>
        <w:p>
          <w:pPr>
            <w:pStyle w:val="TOC6"/>
            <w:numPr>
              <w:ilvl w:val="1"/>
              <w:numId w:val="2"/>
            </w:numPr>
            <w:tabs>
              <w:tab w:pos="1982" w:val="left" w:leader="none"/>
              <w:tab w:pos="7773" w:val="left" w:leader="dot"/>
            </w:tabs>
            <w:spacing w:line="240" w:lineRule="auto" w:before="41" w:after="0"/>
            <w:ind w:left="1981" w:right="0" w:hanging="494"/>
            <w:jc w:val="left"/>
          </w:pPr>
          <w:hyperlink w:history="true" w:anchor="_TOC_250008">
            <w:r>
              <w:rPr/>
              <w:t>Límite de tiempo…</w:t>
              <w:tab/>
              <w:t>36</w:t>
            </w:r>
          </w:hyperlink>
        </w:p>
        <w:p>
          <w:pPr>
            <w:pStyle w:val="TOC6"/>
            <w:numPr>
              <w:ilvl w:val="1"/>
              <w:numId w:val="2"/>
            </w:numPr>
            <w:tabs>
              <w:tab w:pos="1982" w:val="left" w:leader="none"/>
              <w:tab w:pos="7754" w:val="left" w:leader="dot"/>
            </w:tabs>
            <w:spacing w:line="240" w:lineRule="auto" w:before="41" w:after="0"/>
            <w:ind w:left="1981" w:right="0" w:hanging="494"/>
            <w:jc w:val="left"/>
          </w:pPr>
          <w:hyperlink w:history="true" w:anchor="_TOC_250007">
            <w:r>
              <w:rPr/>
              <w:t>Diseño de Análisis</w:t>
              <w:tab/>
              <w:t>36</w:t>
            </w:r>
          </w:hyperlink>
        </w:p>
        <w:p>
          <w:pPr>
            <w:pStyle w:val="TOC1"/>
            <w:numPr>
              <w:ilvl w:val="0"/>
              <w:numId w:val="1"/>
            </w:numPr>
            <w:tabs>
              <w:tab w:pos="1572" w:val="left" w:leader="none"/>
              <w:tab w:pos="1573" w:val="left" w:leader="none"/>
              <w:tab w:pos="7753" w:val="left" w:leader="dot"/>
            </w:tabs>
            <w:spacing w:line="240" w:lineRule="auto" w:before="356" w:after="0"/>
            <w:ind w:left="1572" w:right="0" w:hanging="745"/>
            <w:jc w:val="left"/>
          </w:pPr>
          <w:r>
            <w:rPr/>
            <w:t>IMPLICACIONES ÉTICAS</w:t>
            <w:tab/>
            <w:t>37</w:t>
          </w:r>
        </w:p>
        <w:p>
          <w:pPr>
            <w:pStyle w:val="TOC1"/>
            <w:numPr>
              <w:ilvl w:val="0"/>
              <w:numId w:val="1"/>
            </w:numPr>
            <w:tabs>
              <w:tab w:pos="1393" w:val="left" w:leader="none"/>
              <w:tab w:pos="7719" w:val="left" w:leader="dot"/>
            </w:tabs>
            <w:spacing w:line="240" w:lineRule="auto" w:before="361" w:after="0"/>
            <w:ind w:left="1392" w:right="0" w:hanging="565"/>
            <w:jc w:val="left"/>
          </w:pPr>
          <w:hyperlink w:history="true" w:anchor="_TOC_250006">
            <w:r>
              <w:rPr/>
              <w:t>ORGANIZACIÓN</w:t>
              <w:tab/>
              <w:t>38</w:t>
            </w:r>
          </w:hyperlink>
        </w:p>
        <w:p>
          <w:pPr>
            <w:pStyle w:val="TOC1"/>
            <w:numPr>
              <w:ilvl w:val="0"/>
              <w:numId w:val="1"/>
            </w:numPr>
            <w:tabs>
              <w:tab w:pos="1188" w:val="left" w:leader="none"/>
              <w:tab w:pos="7741" w:val="left" w:leader="dot"/>
            </w:tabs>
            <w:spacing w:line="240" w:lineRule="auto" w:before="515" w:after="0"/>
            <w:ind w:left="1187" w:right="0" w:hanging="360"/>
            <w:jc w:val="left"/>
          </w:pPr>
          <w:r>
            <w:rPr/>
            <w:t>RESULTADOS</w:t>
          </w:r>
          <w:r>
            <w:rPr>
              <w:spacing w:val="-1"/>
            </w:rPr>
            <w:t> </w:t>
          </w:r>
          <w:r>
            <w:rPr/>
            <w:t>Y</w:t>
          </w:r>
          <w:r>
            <w:rPr>
              <w:spacing w:val="-1"/>
            </w:rPr>
            <w:t> </w:t>
          </w:r>
          <w:r>
            <w:rPr/>
            <w:t>DISCUSIÓN</w:t>
            <w:tab/>
            <w:t>39</w:t>
          </w:r>
        </w:p>
        <w:p>
          <w:pPr>
            <w:pStyle w:val="TOC1"/>
            <w:numPr>
              <w:ilvl w:val="0"/>
              <w:numId w:val="1"/>
            </w:numPr>
            <w:tabs>
              <w:tab w:pos="1188" w:val="left" w:leader="none"/>
              <w:tab w:pos="7714" w:val="left" w:leader="dot"/>
            </w:tabs>
            <w:spacing w:line="240" w:lineRule="auto" w:before="361" w:after="0"/>
            <w:ind w:left="1187" w:right="0" w:hanging="360"/>
            <w:jc w:val="left"/>
          </w:pPr>
          <w:r>
            <w:rPr/>
            <w:t>CUADROS</w:t>
          </w:r>
          <w:r>
            <w:rPr>
              <w:spacing w:val="-1"/>
            </w:rPr>
            <w:t> </w:t>
          </w:r>
          <w:r>
            <w:rPr/>
            <w:t>Y</w:t>
          </w:r>
          <w:r>
            <w:rPr>
              <w:spacing w:val="-1"/>
            </w:rPr>
            <w:t> </w:t>
          </w:r>
          <w:r>
            <w:rPr/>
            <w:t>GRÁFICOS</w:t>
            <w:tab/>
            <w:t>46</w:t>
          </w:r>
        </w:p>
        <w:p>
          <w:pPr>
            <w:pStyle w:val="TOC1"/>
            <w:numPr>
              <w:ilvl w:val="0"/>
              <w:numId w:val="1"/>
            </w:numPr>
            <w:tabs>
              <w:tab w:pos="1188" w:val="left" w:leader="none"/>
              <w:tab w:pos="7728" w:val="left" w:leader="dot"/>
            </w:tabs>
            <w:spacing w:line="240" w:lineRule="auto" w:before="356" w:after="0"/>
            <w:ind w:left="1187" w:right="0" w:hanging="360"/>
            <w:jc w:val="left"/>
          </w:pPr>
          <w:r>
            <w:rPr/>
            <w:t>CONCLUSIONES</w:t>
            <w:tab/>
            <w:t>51</w:t>
          </w:r>
        </w:p>
        <w:p>
          <w:pPr>
            <w:pStyle w:val="TOC1"/>
            <w:numPr>
              <w:ilvl w:val="0"/>
              <w:numId w:val="1"/>
            </w:numPr>
            <w:tabs>
              <w:tab w:pos="1452" w:val="left" w:leader="none"/>
              <w:tab w:pos="1453" w:val="left" w:leader="none"/>
              <w:tab w:pos="7692" w:val="left" w:leader="dot"/>
            </w:tabs>
            <w:spacing w:line="240" w:lineRule="auto" w:before="361" w:after="0"/>
            <w:ind w:left="1452" w:right="0" w:hanging="625"/>
            <w:jc w:val="left"/>
          </w:pPr>
          <w:hyperlink w:history="true" w:anchor="_TOC_250005">
            <w:r>
              <w:rPr/>
              <w:t>RECOMENDACIONES</w:t>
              <w:tab/>
              <w:t>53</w:t>
            </w:r>
          </w:hyperlink>
        </w:p>
        <w:p>
          <w:pPr>
            <w:pStyle w:val="TOC1"/>
            <w:numPr>
              <w:ilvl w:val="0"/>
              <w:numId w:val="1"/>
            </w:numPr>
            <w:tabs>
              <w:tab w:pos="1393" w:val="left" w:leader="none"/>
              <w:tab w:pos="7693" w:val="left" w:leader="dot"/>
            </w:tabs>
            <w:spacing w:line="240" w:lineRule="auto" w:before="515" w:after="0"/>
            <w:ind w:left="1392" w:right="0" w:hanging="565"/>
            <w:jc w:val="left"/>
          </w:pPr>
          <w:hyperlink w:history="true" w:anchor="_TOC_250004">
            <w:r>
              <w:rPr/>
              <w:t>BIBLIOGRAFÍA</w:t>
              <w:tab/>
              <w:t>54</w:t>
            </w:r>
          </w:hyperlink>
        </w:p>
        <w:p>
          <w:pPr>
            <w:pStyle w:val="TOC1"/>
            <w:numPr>
              <w:ilvl w:val="0"/>
              <w:numId w:val="1"/>
            </w:numPr>
            <w:tabs>
              <w:tab w:pos="1393" w:val="left" w:leader="none"/>
              <w:tab w:pos="7672" w:val="left" w:leader="dot"/>
            </w:tabs>
            <w:spacing w:line="240" w:lineRule="auto" w:before="519" w:after="0"/>
            <w:ind w:left="1392" w:right="0" w:hanging="565"/>
            <w:jc w:val="left"/>
          </w:pPr>
          <w:hyperlink w:history="true" w:anchor="_TOC_250003">
            <w:r>
              <w:rPr/>
              <w:t>ANEXOS</w:t>
              <w:tab/>
              <w:t>58</w:t>
            </w:r>
          </w:hyperlink>
        </w:p>
        <w:p>
          <w:pPr>
            <w:pStyle w:val="TOC3"/>
            <w:numPr>
              <w:ilvl w:val="1"/>
              <w:numId w:val="1"/>
            </w:numPr>
            <w:tabs>
              <w:tab w:pos="1855" w:val="left" w:leader="none"/>
              <w:tab w:pos="7667" w:val="left" w:leader="dot"/>
            </w:tabs>
            <w:spacing w:line="240" w:lineRule="auto" w:before="41" w:after="0"/>
            <w:ind w:left="1854" w:right="0" w:hanging="667"/>
            <w:jc w:val="left"/>
          </w:pPr>
          <w:hyperlink w:history="true" w:anchor="_TOC_250002">
            <w:r>
              <w:rPr/>
              <w:t>Anexo 1  Consentimiento Informado…</w:t>
              <w:tab/>
              <w:t>58</w:t>
            </w:r>
          </w:hyperlink>
        </w:p>
        <w:p>
          <w:pPr>
            <w:pStyle w:val="TOC3"/>
            <w:numPr>
              <w:ilvl w:val="1"/>
              <w:numId w:val="1"/>
            </w:numPr>
            <w:tabs>
              <w:tab w:pos="1855" w:val="left" w:leader="none"/>
              <w:tab w:pos="7666" w:val="left" w:leader="dot"/>
            </w:tabs>
            <w:spacing w:line="240" w:lineRule="auto" w:before="41" w:after="0"/>
            <w:ind w:left="1854" w:right="0" w:hanging="667"/>
            <w:jc w:val="left"/>
          </w:pPr>
          <w:hyperlink w:history="true" w:anchor="_TOC_250001">
            <w:r>
              <w:rPr/>
              <w:t>Anexo 2  Encuesta Personal</w:t>
              <w:tab/>
              <w:t>59</w:t>
            </w:r>
          </w:hyperlink>
        </w:p>
        <w:p>
          <w:pPr>
            <w:pStyle w:val="TOC3"/>
            <w:numPr>
              <w:ilvl w:val="1"/>
              <w:numId w:val="1"/>
            </w:numPr>
            <w:tabs>
              <w:tab w:pos="1855" w:val="left" w:leader="none"/>
              <w:tab w:pos="7687" w:val="left" w:leader="dot"/>
            </w:tabs>
            <w:spacing w:line="240" w:lineRule="auto" w:before="41" w:after="0"/>
            <w:ind w:left="1854" w:right="0" w:hanging="667"/>
            <w:jc w:val="left"/>
          </w:pPr>
          <w:r>
            <w:rPr/>
            <w:t>Anexo 3  Registro de peritonitis</w:t>
            <w:tab/>
            <w:t>61</w:t>
          </w:r>
        </w:p>
        <w:p>
          <w:pPr>
            <w:pStyle w:val="TOC3"/>
            <w:numPr>
              <w:ilvl w:val="1"/>
              <w:numId w:val="1"/>
            </w:numPr>
            <w:tabs>
              <w:tab w:pos="1855" w:val="left" w:leader="none"/>
              <w:tab w:pos="7693" w:val="left" w:leader="dot"/>
            </w:tabs>
            <w:spacing w:line="240" w:lineRule="auto" w:before="41" w:after="0"/>
            <w:ind w:left="1854" w:right="0" w:hanging="667"/>
            <w:jc w:val="left"/>
          </w:pPr>
          <w:hyperlink w:history="true" w:anchor="_TOC_250000">
            <w:r>
              <w:rPr/>
              <w:t>Anexo 4  Escala de Holmes</w:t>
              <w:tab/>
              <w:t>63</w:t>
            </w:r>
          </w:hyperlink>
        </w:p>
        <w:p>
          <w:pPr>
            <w:pStyle w:val="TOC3"/>
            <w:numPr>
              <w:ilvl w:val="1"/>
              <w:numId w:val="1"/>
            </w:numPr>
            <w:tabs>
              <w:tab w:pos="1855" w:val="left" w:leader="none"/>
              <w:tab w:pos="7720" w:val="left" w:leader="dot"/>
            </w:tabs>
            <w:spacing w:line="240" w:lineRule="auto" w:before="45" w:after="0"/>
            <w:ind w:left="1854" w:right="0" w:hanging="667"/>
            <w:jc w:val="left"/>
          </w:pPr>
          <w:r>
            <w:rPr/>
            <w:t>Anexo 5  Escala de ASSIS</w:t>
            <w:tab/>
            <w:t>64</w:t>
          </w:r>
        </w:p>
      </w:sdtContent>
    </w:sdt>
    <w:p>
      <w:pPr>
        <w:spacing w:after="0" w:line="240" w:lineRule="auto"/>
        <w:jc w:val="left"/>
        <w:sectPr>
          <w:type w:val="continuous"/>
          <w:pgSz w:w="12240" w:h="15840"/>
          <w:pgMar w:top="1360" w:bottom="1557" w:left="1720" w:right="1600"/>
        </w:sectPr>
      </w:pPr>
    </w:p>
    <w:p>
      <w:pPr>
        <w:pStyle w:val="BodyText"/>
        <w:spacing w:before="3"/>
        <w:rPr>
          <w:sz w:val="19"/>
        </w:rPr>
      </w:pPr>
    </w:p>
    <w:p>
      <w:pPr>
        <w:pStyle w:val="Heading1"/>
        <w:tabs>
          <w:tab w:pos="2845" w:val="left" w:leader="none"/>
        </w:tabs>
        <w:spacing w:before="1"/>
        <w:ind w:left="2485" w:right="1164"/>
      </w:pPr>
      <w:bookmarkStart w:name="_TOC_250043" w:id="1"/>
      <w:bookmarkEnd w:id="1"/>
      <w:r>
        <w:rPr/>
        <w:t>I.</w:t>
        <w:tab/>
        <w:t>MARCO TEÓRICO Y CONCEPTUAL</w:t>
      </w:r>
    </w:p>
    <w:p>
      <w:pPr>
        <w:pStyle w:val="BodyText"/>
        <w:spacing w:before="5"/>
        <w:rPr>
          <w:b/>
          <w:sz w:val="21"/>
        </w:rPr>
      </w:pPr>
    </w:p>
    <w:p>
      <w:pPr>
        <w:pStyle w:val="BodyText"/>
        <w:ind w:left="116" w:right="103"/>
        <w:jc w:val="both"/>
        <w:rPr>
          <w:b/>
          <w:sz w:val="16"/>
        </w:rPr>
      </w:pPr>
      <w:r>
        <w:rPr/>
        <w:t>La Medicina Familiar se conceptualiza como una especialidad médica cuyo objeto de estudio es la interacción de los patrones que influyen en el proceso salud enfermedad, enfocando como unidad de análisis al individuo y su familia para otorgar servicios médicos primarios, integrales, continuos, con énfasis en la prevención de la salud y la atención a la enfermedad y rehabilitación, en corresponsabilidad con el paciente, su familia y la comunidad.</w:t>
      </w:r>
      <w:r>
        <w:rPr>
          <w:b/>
          <w:position w:val="-2"/>
          <w:sz w:val="16"/>
        </w:rPr>
        <w:t>1</w:t>
      </w:r>
    </w:p>
    <w:p>
      <w:pPr>
        <w:pStyle w:val="BodyText"/>
        <w:spacing w:before="10"/>
        <w:rPr>
          <w:b/>
          <w:sz w:val="22"/>
        </w:rPr>
      </w:pPr>
    </w:p>
    <w:p>
      <w:pPr>
        <w:pStyle w:val="BodyText"/>
        <w:ind w:left="116" w:right="103"/>
        <w:jc w:val="both"/>
        <w:rPr>
          <w:b/>
          <w:sz w:val="16"/>
        </w:rPr>
      </w:pPr>
      <w:r>
        <w:rPr/>
        <w:t>La Salud Familiar es una parte importante de la salud en general, es clave en el desarrollo y en el equilibrio biopsicosocial del ser humano. Es un reflejo de la dinámica e interacción entre los miembros de la familia, así como del grado de cumplimiento de las funciones básicas en cada uno de sus integrantes.</w:t>
      </w:r>
      <w:r>
        <w:rPr>
          <w:b/>
          <w:position w:val="-2"/>
          <w:sz w:val="16"/>
        </w:rPr>
        <w:t>2</w:t>
      </w:r>
    </w:p>
    <w:p>
      <w:pPr>
        <w:pStyle w:val="BodyText"/>
        <w:rPr>
          <w:b/>
        </w:rPr>
      </w:pPr>
    </w:p>
    <w:p>
      <w:pPr>
        <w:pStyle w:val="BodyText"/>
        <w:spacing w:before="7"/>
        <w:rPr>
          <w:b/>
          <w:sz w:val="19"/>
        </w:rPr>
      </w:pPr>
    </w:p>
    <w:p>
      <w:pPr>
        <w:spacing w:before="0"/>
        <w:ind w:left="116" w:right="0" w:firstLine="0"/>
        <w:jc w:val="both"/>
        <w:rPr>
          <w:b/>
          <w:sz w:val="19"/>
        </w:rPr>
      </w:pPr>
      <w:r>
        <w:rPr>
          <w:b/>
          <w:w w:val="105"/>
          <w:sz w:val="19"/>
        </w:rPr>
        <w:t>LA FAMILIA: SU PAPEL EN LA SALUD HUMANA.</w:t>
      </w:r>
    </w:p>
    <w:p>
      <w:pPr>
        <w:pStyle w:val="BodyText"/>
        <w:spacing w:before="4"/>
        <w:rPr>
          <w:b/>
          <w:sz w:val="20"/>
        </w:rPr>
      </w:pPr>
    </w:p>
    <w:p>
      <w:pPr>
        <w:pStyle w:val="BodyText"/>
        <w:ind w:left="116" w:right="103"/>
        <w:jc w:val="both"/>
      </w:pPr>
      <w:r>
        <w:rPr/>
        <w:t>El papel de la familia se refleja en el lugar que esta tiene como vínculo intermedio entre el Individuo y la sociedad, siendo el ente socializador por excelencia, jugando un papel insustituible en la transmisión de hábitos, costumbres, valores, tabúes, mitos, creencias y actitudes, que en el caso de la salud humana, matizan la representación social que se tiene de enfermedad o salud y que por consiguiente genera conductas protectoras o de riesgo en los individuos. Dentro de esos hábitos, costumbres y creencias están incluidas las que  tienen que ver con la salud de los miembros de la familia ya que es la institución con mayores potencialidades en la promoción, prevención y educación de la salud y de los comportamientos saludables de sus miembros. El grupo familiar, además, es un agente formador de la Personalidad, con posibilidades únicas para este fin. En dependencia de sus resultados se formarán individuos más sanos o menos saludables desde el punto de vista personológico en particular y psico-biológico en general y con mejores posibilidades para autorregular su comportamiento en el medio de manera eficiente.</w:t>
      </w:r>
    </w:p>
    <w:p>
      <w:pPr>
        <w:pStyle w:val="BodyText"/>
      </w:pPr>
    </w:p>
    <w:p>
      <w:pPr>
        <w:pStyle w:val="BodyText"/>
        <w:ind w:left="116" w:right="103"/>
        <w:jc w:val="both"/>
        <w:rPr>
          <w:b/>
          <w:sz w:val="16"/>
        </w:rPr>
      </w:pPr>
      <w:r>
        <w:rPr/>
        <w:t>La familia es reconocida como la red de apoyo social más cercana y de más fácil acceso a los individuos, se reconoce su función protectora y amortiguadora en los eventos  estresantes de sus miembros, además la presencia de relaciones familiares, de pareja y su funcionamiento adecuado contribuye al bienestar y la salud, así como su ausencia puede generar malestar y vulnerabilidad al distrés. Apoyo, satisfacción y bienestar, en ocasiones se obvia el hecho de que los conflictos y alteraciones en las relaciones intrafamiliares pueden motivar estrés, malestar y enfermedad en sus</w:t>
      </w:r>
      <w:r>
        <w:rPr>
          <w:spacing w:val="-1"/>
        </w:rPr>
        <w:t> </w:t>
      </w:r>
      <w:r>
        <w:rPr/>
        <w:t>miembros.</w:t>
      </w:r>
      <w:r>
        <w:rPr>
          <w:b/>
          <w:position w:val="-2"/>
          <w:sz w:val="16"/>
        </w:rPr>
        <w:t>3</w:t>
      </w:r>
    </w:p>
    <w:p>
      <w:pPr>
        <w:pStyle w:val="BodyText"/>
        <w:spacing w:before="10"/>
        <w:rPr>
          <w:b/>
          <w:sz w:val="22"/>
        </w:rPr>
      </w:pPr>
    </w:p>
    <w:p>
      <w:pPr>
        <w:pStyle w:val="BodyText"/>
        <w:ind w:left="116" w:right="103"/>
        <w:jc w:val="both"/>
      </w:pPr>
      <w:r>
        <w:rPr/>
        <w:t>Muy vinculado a lo anterior, se identifica como elemento importante en el rol que juega la familia en la determinación de la salud humana, el cumplimiento de las funciones básicas, que facilitan no sólo la satisfacción de las necesidades esenciales de sus miembros, el logro del bienestar y la salud, sino además se relaciona con el nivel de funcionalidad familiar así como los procesos intrafamiliares que están en su base.</w:t>
      </w:r>
    </w:p>
    <w:p>
      <w:pPr>
        <w:spacing w:after="0"/>
        <w:jc w:val="both"/>
        <w:sectPr>
          <w:pgSz w:w="12240" w:h="15840"/>
          <w:pgMar w:header="0" w:footer="1032" w:top="1500" w:bottom="1220" w:left="1580" w:right="1600"/>
        </w:sectPr>
      </w:pPr>
    </w:p>
    <w:p>
      <w:pPr>
        <w:pStyle w:val="Heading1"/>
        <w:numPr>
          <w:ilvl w:val="1"/>
          <w:numId w:val="3"/>
        </w:numPr>
        <w:tabs>
          <w:tab w:pos="511" w:val="left" w:leader="none"/>
        </w:tabs>
        <w:spacing w:line="240" w:lineRule="auto" w:before="50" w:after="0"/>
        <w:ind w:left="510" w:right="0" w:hanging="394"/>
        <w:jc w:val="both"/>
      </w:pPr>
      <w:bookmarkStart w:name="_TOC_250042" w:id="2"/>
      <w:bookmarkEnd w:id="2"/>
      <w:r>
        <w:rPr/>
        <w:t>FUNCIONALIDAD FAMILIAR</w:t>
      </w:r>
    </w:p>
    <w:p>
      <w:pPr>
        <w:pStyle w:val="BodyText"/>
        <w:rPr>
          <w:b/>
        </w:rPr>
      </w:pPr>
    </w:p>
    <w:p>
      <w:pPr>
        <w:pStyle w:val="BodyText"/>
        <w:ind w:left="116" w:right="103"/>
        <w:jc w:val="both"/>
      </w:pPr>
      <w:r>
        <w:rPr/>
        <w:t>La </w:t>
      </w:r>
      <w:r>
        <w:rPr>
          <w:b/>
        </w:rPr>
        <w:t>funcionalidad familiar </w:t>
      </w:r>
      <w:r>
        <w:rPr/>
        <w:t>consiste en la capacidad del sistema familiar para cumplir con sus funciones esenciales al enfrentar y superar cada una de las etapas del ciclo evolutivo,  las crisis por las que atraviesa, y da lugar a patrones que permiten ver la dinámica interna  en función del medio en que se desenvuelve. La funcionalidad familiar se alcanza cuando los objetivos familiares o funciones básicas se cumplen plenamente y cuando se obtiene la finalidad de generar nuevos individuos a la sociedad en una homeostasis sin tensión, mediante una comunicación apropiada y basada en el respeto de las relaciones intrafamiliares.</w:t>
      </w:r>
    </w:p>
    <w:p>
      <w:pPr>
        <w:pStyle w:val="BodyText"/>
        <w:spacing w:line="242" w:lineRule="auto"/>
        <w:ind w:left="116" w:right="103"/>
        <w:jc w:val="both"/>
        <w:rPr>
          <w:b/>
          <w:sz w:val="16"/>
        </w:rPr>
      </w:pPr>
      <w:r>
        <w:rPr/>
        <w:t>Un indicador o síntoma de la disfunción familiar puede ser la descompensación de una enfermedad crónica.</w:t>
      </w:r>
      <w:r>
        <w:rPr>
          <w:b/>
          <w:position w:val="-2"/>
          <w:sz w:val="16"/>
        </w:rPr>
        <w:t>4</w:t>
      </w:r>
    </w:p>
    <w:p>
      <w:pPr>
        <w:pStyle w:val="BodyText"/>
        <w:spacing w:before="7"/>
        <w:rPr>
          <w:b/>
          <w:sz w:val="22"/>
        </w:rPr>
      </w:pPr>
    </w:p>
    <w:p>
      <w:pPr>
        <w:pStyle w:val="BodyText"/>
        <w:ind w:left="116" w:right="103"/>
        <w:jc w:val="both"/>
      </w:pPr>
      <w:r>
        <w:rPr/>
        <w:t>No se puede hablar de Funcionalidad Familiar como algo estable y fijo, sino como un proceso que tiene que reajustarse continuamente, por lo tanto, la principal característica que debe de tener una familia funcional es que promueva un desarrollo favorable a la salud para todos sus miembros, para lo cual es imprescindible que tenga: jerarquías, limites y roles o reglas claras y definidas, comunicación abierta, explicita y afectiva y capacidad de adaptabilidad a los cambios. Al hablar de funcionalidad familiar no existe un criterio único de medición de los indicadores del vínculo familiar. Los más utilizados son: las funciones básicas, la estructura dinámica e interacción y, las dos tareas del desarrollo: el ciclo vital familiar y de enfrentamiento, o crisis familiares no transitorias o paranormativas.</w:t>
      </w:r>
    </w:p>
    <w:p>
      <w:pPr>
        <w:pStyle w:val="BodyText"/>
      </w:pPr>
    </w:p>
    <w:p>
      <w:pPr>
        <w:pStyle w:val="BodyText"/>
        <w:ind w:left="116" w:right="103"/>
        <w:jc w:val="both"/>
      </w:pPr>
      <w:r>
        <w:rPr/>
        <w:t>En la actualidad la categoría Funcionamiento Familiar es reconocida como la que integra a todos los procesos psicológicos que ocurren en el seno de la familia y la que permite un adecuado desarrollo como grupo y de los individuos que la conforman, así como ente amortiguador de todos los trastornos o malestares que puede generar el estrés y otros fenómenos negativos a sus miembros.</w:t>
      </w:r>
    </w:p>
    <w:p>
      <w:pPr>
        <w:pStyle w:val="BodyText"/>
      </w:pPr>
    </w:p>
    <w:p>
      <w:pPr>
        <w:pStyle w:val="BodyText"/>
        <w:ind w:left="116" w:right="103"/>
        <w:jc w:val="both"/>
      </w:pPr>
      <w:r>
        <w:rPr/>
        <w:t>Es interesante el hecho de que a pesar de contar con varias referencias de estudios que evalúan el Funcionamiento Familiar, en pocos se define conceptualmente el término, exponiéndose operacionalmente las variables para medirlo.</w:t>
      </w:r>
    </w:p>
    <w:p>
      <w:pPr>
        <w:pStyle w:val="BodyText"/>
      </w:pPr>
    </w:p>
    <w:p>
      <w:pPr>
        <w:pStyle w:val="BodyText"/>
        <w:ind w:left="116" w:right="103"/>
        <w:jc w:val="both"/>
        <w:rPr>
          <w:b/>
          <w:sz w:val="16"/>
        </w:rPr>
      </w:pPr>
      <w:r>
        <w:rPr/>
        <w:t>En el Capítulo de Atención Familiar que aparece en el texto Temas de Medicina General Integral se dan ideas al respecto que se reflejan a continuación: Según I. Louro el Funcionamiento Familiar constituye la síntesis de las relaciones familiares como un todo interactivo, grupal y sistémico en determinado contexto histórico – social en el cual vive la familia y que propicia la identidad propia como grupo social. </w:t>
      </w:r>
      <w:r>
        <w:rPr>
          <w:b/>
          <w:position w:val="-2"/>
          <w:sz w:val="16"/>
        </w:rPr>
        <w:t>5</w:t>
      </w:r>
    </w:p>
    <w:p>
      <w:pPr>
        <w:pStyle w:val="BodyText"/>
        <w:spacing w:before="10"/>
        <w:rPr>
          <w:b/>
          <w:sz w:val="22"/>
        </w:rPr>
      </w:pPr>
    </w:p>
    <w:p>
      <w:pPr>
        <w:pStyle w:val="BodyText"/>
        <w:ind w:left="116" w:right="103"/>
        <w:jc w:val="both"/>
      </w:pPr>
      <w:r>
        <w:rPr/>
        <w:t>A pesar de que se reconoce su lugar en la determinación de la salud humana, todavía este aspecto es insuficientemente estudiado y se cuenta con poca evidencia teórica que respalde la necesidad de tener en cuenta a la familia no como el grupo que integra a los individuos, sino como unidad de análisis central para evaluar e intervenir en el proceso salud- enfermedad, situación que se debe a que la mayoría de los aportes desde el punto de vista teórico sobre la familia.</w:t>
      </w:r>
    </w:p>
    <w:p>
      <w:pPr>
        <w:spacing w:after="0"/>
        <w:jc w:val="both"/>
        <w:sectPr>
          <w:pgSz w:w="12240" w:h="15840"/>
          <w:pgMar w:header="0" w:footer="1032" w:top="1360" w:bottom="1220" w:left="1580" w:right="1600"/>
        </w:sectPr>
      </w:pPr>
    </w:p>
    <w:p>
      <w:pPr>
        <w:pStyle w:val="BodyText"/>
        <w:spacing w:before="50"/>
        <w:ind w:left="116" w:right="103"/>
        <w:jc w:val="both"/>
        <w:rPr>
          <w:b/>
          <w:sz w:val="16"/>
        </w:rPr>
      </w:pPr>
      <w:r>
        <w:rPr/>
        <w:t>En un estudio desarrollado por D. E. Carriera con el objetivo de caracterizar desde el punto de vista biopsicosocial a 154 familias de un consultorio médico del Municipio Playa, Ciudad de la Habana, se obtuvo que las familias disfuncionales tenían una incidencia más alta de enfermos crónicos con pobre control de su enfermedad; M. C, Aguilera en un estudio comparativo del Funcionamiento Familiar en sujetos sanos y enfermos crónicos comprobó que más de la mitad de los enfermos crónicos estudiados convivían en familias con algún nivel de</w:t>
      </w:r>
      <w:r>
        <w:rPr>
          <w:spacing w:val="-1"/>
        </w:rPr>
        <w:t> </w:t>
      </w:r>
      <w:r>
        <w:rPr/>
        <w:t>disfuncionalidad.</w:t>
      </w:r>
      <w:r>
        <w:rPr>
          <w:b/>
          <w:position w:val="-2"/>
          <w:sz w:val="16"/>
        </w:rPr>
        <w:t>3</w:t>
      </w:r>
    </w:p>
    <w:p>
      <w:pPr>
        <w:pStyle w:val="BodyText"/>
        <w:spacing w:before="10"/>
        <w:rPr>
          <w:b/>
          <w:sz w:val="22"/>
        </w:rPr>
      </w:pPr>
    </w:p>
    <w:p>
      <w:pPr>
        <w:pStyle w:val="BodyText"/>
        <w:spacing w:line="242" w:lineRule="auto"/>
        <w:ind w:left="116" w:right="103"/>
        <w:jc w:val="both"/>
      </w:pPr>
      <w:r>
        <w:rPr/>
        <w:t>Si se habla de evaluación del funcionamiento familiar es necesario referirse a los diferentes enfoques surgidos con este fin destacándose los siguientes:</w:t>
      </w:r>
    </w:p>
    <w:p>
      <w:pPr>
        <w:pStyle w:val="BodyText"/>
        <w:spacing w:before="8"/>
        <w:rPr>
          <w:sz w:val="23"/>
        </w:rPr>
      </w:pPr>
    </w:p>
    <w:p>
      <w:pPr>
        <w:pStyle w:val="ListParagraph"/>
        <w:numPr>
          <w:ilvl w:val="0"/>
          <w:numId w:val="4"/>
        </w:numPr>
        <w:tabs>
          <w:tab w:pos="395" w:val="left" w:leader="none"/>
        </w:tabs>
        <w:spacing w:line="240" w:lineRule="auto" w:before="1" w:after="0"/>
        <w:ind w:left="116" w:right="103" w:firstLine="0"/>
        <w:jc w:val="both"/>
        <w:rPr>
          <w:sz w:val="24"/>
        </w:rPr>
      </w:pPr>
      <w:r>
        <w:rPr>
          <w:sz w:val="24"/>
        </w:rPr>
        <w:t>Louro identifica tres tendencias evaluativas en los estudios de familia, una socio demográfica, donde se contemplan variables que tiene que ver con la caracterización macro social de la familia ( condiciones materiales de vida, cumplimiento de la funciones familiares, fecundidad, divorcialidad, composición de las familias, etc.) obviando lo más particular o micro social; una tendencia psicológica, la cual se centró entre otros elementos en el diagnóstico del funcionamiento familiar, pretendiendo “psicologizar” todos los factores determinantes del desarrollo y funcionamiento de la familia obviando los de carácter social y una tercera e intermedia donde se tratan de integrar estas dos orientaciones anteriores y que conforma la tendencia psicosocial. Esta última le da más importancia a los aspectos socioculturales, económicos y psicológicos que influyen en la familia, donde ésta es vista en su doble dimensión como grupo social y como institución, dándole un carácter más integral y sistémico a dicha evaluación.</w:t>
      </w:r>
    </w:p>
    <w:p>
      <w:pPr>
        <w:pStyle w:val="BodyText"/>
        <w:spacing w:before="2"/>
      </w:pPr>
    </w:p>
    <w:p>
      <w:pPr>
        <w:pStyle w:val="BodyText"/>
        <w:spacing w:line="237" w:lineRule="auto"/>
        <w:ind w:left="116" w:right="103"/>
        <w:jc w:val="both"/>
      </w:pPr>
      <w:r>
        <w:rPr/>
        <w:t>La Dra. Patricia Arés, destacada y prestigiosa investigadora cubana que se ha dedicado al estudio de la familia por décadas, en el año 1990 publicó un modelo para la investigación del Funcionamiento Familiar</w:t>
      </w:r>
      <w:r>
        <w:rPr>
          <w:b/>
          <w:position w:val="-2"/>
          <w:sz w:val="16"/>
        </w:rPr>
        <w:t>6 </w:t>
      </w:r>
      <w:r>
        <w:rPr/>
        <w:t>donde identifica una serie de indicadores funcionales y disfuncionales para su evaluación, que agrupa en un número de variables psicosociales que se reflejan a continuación:</w:t>
      </w:r>
    </w:p>
    <w:p>
      <w:pPr>
        <w:pStyle w:val="BodyText"/>
        <w:spacing w:before="3"/>
        <w:ind w:left="116" w:right="3879"/>
      </w:pPr>
      <w:r>
        <w:rPr/>
        <w:t>Grado de participación en la vida social de la pareja: Indicadores Funcionales: Simetría Positiva Indicadores Disfuncionales: Simetría Negativa</w:t>
      </w:r>
    </w:p>
    <w:p>
      <w:pPr>
        <w:pStyle w:val="BodyText"/>
        <w:spacing w:line="274" w:lineRule="exact"/>
        <w:ind w:left="2816" w:right="1164"/>
      </w:pPr>
      <w:r>
        <w:rPr/>
        <w:t>Asimetría</w:t>
      </w:r>
    </w:p>
    <w:p>
      <w:pPr>
        <w:pStyle w:val="BodyText"/>
      </w:pPr>
    </w:p>
    <w:p>
      <w:pPr>
        <w:pStyle w:val="BodyText"/>
        <w:ind w:left="116" w:right="103"/>
        <w:jc w:val="both"/>
      </w:pPr>
      <w:r>
        <w:rPr/>
        <w:t>El modelo que se acaba de presentar es bastante amplio y diagnostica a la familia en tres dimensiones: la estructural, evolutiva o temporal y la funcional, lo que demuestra que en la base de dicho modelo se encuentra la Teoría General de Sistemas que ve a la familia como un sistema abierto en constante intercambio con la sociedad, que trasciende a la sumatoria de sus miembros alcanzando un nivel cualitativo superior, lo que viene matizado además por la complejidad de la familia (en su doble condición de institución y grupo social) y sus interacciones. Se evidencia que aunque hay una continuidad en el modelo, se eliminan y agregan otras variables para evaluar el Funcionamiento Familiar.</w:t>
      </w:r>
    </w:p>
    <w:p>
      <w:pPr>
        <w:pStyle w:val="BodyText"/>
        <w:spacing w:before="6"/>
        <w:rPr>
          <w:sz w:val="23"/>
        </w:rPr>
      </w:pPr>
    </w:p>
    <w:p>
      <w:pPr>
        <w:pStyle w:val="BodyText"/>
        <w:ind w:left="116" w:right="103"/>
        <w:jc w:val="both"/>
      </w:pPr>
      <w:r>
        <w:rPr/>
        <w:t>Desde el punto de vista evolutivo, las etapas transicionales que se mencionan coinciden con la clasificación de crisis transitorias o no transitorias; consideramos como elemento  positivo de esta clasificación el no identificarlos como crisis, pues existe consenso en la apreciación</w:t>
      </w:r>
      <w:r>
        <w:rPr>
          <w:spacing w:val="22"/>
        </w:rPr>
        <w:t> </w:t>
      </w:r>
      <w:r>
        <w:rPr/>
        <w:t>de</w:t>
      </w:r>
      <w:r>
        <w:rPr>
          <w:spacing w:val="22"/>
        </w:rPr>
        <w:t> </w:t>
      </w:r>
      <w:r>
        <w:rPr/>
        <w:t>que</w:t>
      </w:r>
      <w:r>
        <w:rPr>
          <w:spacing w:val="22"/>
        </w:rPr>
        <w:t> </w:t>
      </w:r>
      <w:r>
        <w:rPr/>
        <w:t>no</w:t>
      </w:r>
      <w:r>
        <w:rPr>
          <w:spacing w:val="22"/>
        </w:rPr>
        <w:t> </w:t>
      </w:r>
      <w:r>
        <w:rPr/>
        <w:t>todo</w:t>
      </w:r>
      <w:r>
        <w:rPr>
          <w:spacing w:val="22"/>
        </w:rPr>
        <w:t> </w:t>
      </w:r>
      <w:r>
        <w:rPr/>
        <w:t>evento</w:t>
      </w:r>
      <w:r>
        <w:rPr>
          <w:spacing w:val="22"/>
        </w:rPr>
        <w:t> </w:t>
      </w:r>
      <w:r>
        <w:rPr/>
        <w:t>evolutivo,</w:t>
      </w:r>
      <w:r>
        <w:rPr>
          <w:spacing w:val="22"/>
        </w:rPr>
        <w:t> </w:t>
      </w:r>
      <w:r>
        <w:rPr/>
        <w:t>ya</w:t>
      </w:r>
      <w:r>
        <w:rPr>
          <w:spacing w:val="22"/>
        </w:rPr>
        <w:t> </w:t>
      </w:r>
      <w:r>
        <w:rPr/>
        <w:t>sea</w:t>
      </w:r>
      <w:r>
        <w:rPr>
          <w:spacing w:val="22"/>
        </w:rPr>
        <w:t> </w:t>
      </w:r>
      <w:r>
        <w:rPr/>
        <w:t>transitorio</w:t>
      </w:r>
      <w:r>
        <w:rPr>
          <w:spacing w:val="22"/>
        </w:rPr>
        <w:t> </w:t>
      </w:r>
      <w:r>
        <w:rPr/>
        <w:t>o</w:t>
      </w:r>
      <w:r>
        <w:rPr>
          <w:spacing w:val="22"/>
        </w:rPr>
        <w:t> </w:t>
      </w:r>
      <w:r>
        <w:rPr/>
        <w:t>no,</w:t>
      </w:r>
      <w:r>
        <w:rPr>
          <w:spacing w:val="22"/>
        </w:rPr>
        <w:t> </w:t>
      </w:r>
      <w:r>
        <w:rPr/>
        <w:t>genera</w:t>
      </w:r>
      <w:r>
        <w:rPr>
          <w:spacing w:val="22"/>
        </w:rPr>
        <w:t> </w:t>
      </w:r>
      <w:r>
        <w:rPr/>
        <w:t>directamente</w:t>
      </w:r>
    </w:p>
    <w:p>
      <w:pPr>
        <w:spacing w:after="0"/>
        <w:jc w:val="both"/>
        <w:sectPr>
          <w:pgSz w:w="12240" w:h="15840"/>
          <w:pgMar w:header="0" w:footer="1032" w:top="1360" w:bottom="1220" w:left="1580" w:right="1600"/>
        </w:sectPr>
      </w:pPr>
    </w:p>
    <w:p>
      <w:pPr>
        <w:pStyle w:val="BodyText"/>
        <w:spacing w:before="50"/>
        <w:ind w:left="116" w:right="103"/>
        <w:jc w:val="both"/>
      </w:pPr>
      <w:r>
        <w:rPr/>
        <w:t>una crisis ya que en esta influyen el nivel de adaptabilidad, funcionabilidad de la familia, así como las características de su afrontamiento y por supuesto el tipo de evento que sea, no permite además identificar el grado de normalidad de ese evento o su carácter fortuito.</w:t>
      </w:r>
    </w:p>
    <w:p>
      <w:pPr>
        <w:pStyle w:val="BodyText"/>
        <w:spacing w:before="2"/>
        <w:ind w:left="116" w:right="103"/>
        <w:jc w:val="both"/>
      </w:pPr>
      <w:r>
        <w:rPr/>
        <w:t>Coincidimos en que las variables funcionales identificadas tienen un valor importante a la hora de diagnosticar el nivel de dicho funcionamiento, aunque consideramos que en el caso específico de la salud familiar, es positivo tener en cuenta dentro de la funcionabilidad familiar este aspecto, pero se está siendo reduccionista en los elementos que se evalúan, ya que la salud familiar es una categoría más general, por lo que debe incluirse el funcionamiento familiar como uno de los aspectos que la caracterizan y no a la inversa.</w:t>
      </w:r>
    </w:p>
    <w:p>
      <w:pPr>
        <w:pStyle w:val="BodyText"/>
      </w:pPr>
    </w:p>
    <w:p>
      <w:pPr>
        <w:pStyle w:val="BodyText"/>
        <w:spacing w:before="2"/>
      </w:pPr>
    </w:p>
    <w:p>
      <w:pPr>
        <w:pStyle w:val="Heading1"/>
        <w:numPr>
          <w:ilvl w:val="1"/>
          <w:numId w:val="3"/>
        </w:numPr>
        <w:tabs>
          <w:tab w:pos="451" w:val="left" w:leader="none"/>
        </w:tabs>
        <w:spacing w:line="240" w:lineRule="auto" w:before="0" w:after="0"/>
        <w:ind w:left="450" w:right="0" w:hanging="334"/>
        <w:jc w:val="both"/>
      </w:pPr>
      <w:bookmarkStart w:name="_TOC_250041" w:id="3"/>
      <w:bookmarkEnd w:id="3"/>
      <w:r>
        <w:rPr/>
        <w:t>ESCALA DE HOLMES</w:t>
      </w:r>
    </w:p>
    <w:p>
      <w:pPr>
        <w:pStyle w:val="BodyText"/>
        <w:rPr>
          <w:b/>
        </w:rPr>
      </w:pPr>
    </w:p>
    <w:p>
      <w:pPr>
        <w:pStyle w:val="BodyText"/>
        <w:ind w:left="116" w:right="103"/>
        <w:jc w:val="both"/>
      </w:pPr>
      <w:r>
        <w:rPr/>
        <w:t>La vida implica inevitables circunstancias que la mayoría de seres humanos aprenden a manejar al adaptar sus respuestas bio-psico-sociales para superarlas. La </w:t>
      </w:r>
      <w:r>
        <w:rPr>
          <w:b/>
        </w:rPr>
        <w:t>Escala de Holmes </w:t>
      </w:r>
      <w:r>
        <w:rPr/>
        <w:t>adjudica un factor determinado a eventos en la vida del hombre que son causantes de estrés, señala 43 ítems, adjudicando un puntaje y cuya sumatoria refleja crisis leve, moderada o severa de acuerdo a los resultados.</w:t>
      </w:r>
    </w:p>
    <w:p>
      <w:pPr>
        <w:pStyle w:val="BodyText"/>
      </w:pPr>
    </w:p>
    <w:p>
      <w:pPr>
        <w:pStyle w:val="BodyText"/>
        <w:ind w:left="116" w:right="103"/>
        <w:jc w:val="both"/>
      </w:pPr>
      <w:r>
        <w:rPr/>
        <w:t>La enfermedad crónica es un padecimiento de larga evolución, con desarrollo generalmente insidioso, progresivo, con gran deterioro físico, mental, o ambos, no curable, que origina complicaciones, con gran repercusión individual y familiar.</w:t>
      </w:r>
    </w:p>
    <w:p>
      <w:pPr>
        <w:pStyle w:val="BodyText"/>
      </w:pPr>
    </w:p>
    <w:p>
      <w:pPr>
        <w:pStyle w:val="BodyText"/>
        <w:ind w:left="116" w:right="103"/>
        <w:jc w:val="both"/>
      </w:pPr>
      <w:r>
        <w:rPr/>
        <w:t>La experiencia de enfermedad no se circunscribe únicamente al miembro enfermo sino que se extiende a su familia, lo que va a desencadenar situaciones de preocupación, tensión e incertidumbre ante la aparición de signos y síntomas que condicionaran cambios en la forma de vida de la familia en una amplia gama de situaciones, desde limitaciones y modificaciones en las actividades de la vida diaria y laboral, así como en aspectos económicos por generación de gastos en medicamentos, utensilios, u hospitalizaciones, temores ante las complicaciones y que modificaran patrones, limites y jerarquías en el núcleo familiar.</w:t>
      </w:r>
    </w:p>
    <w:p>
      <w:pPr>
        <w:pStyle w:val="BodyText"/>
      </w:pPr>
    </w:p>
    <w:p>
      <w:pPr>
        <w:pStyle w:val="BodyText"/>
        <w:ind w:left="116" w:right="103"/>
        <w:jc w:val="both"/>
        <w:rPr>
          <w:b/>
          <w:sz w:val="16"/>
        </w:rPr>
      </w:pPr>
      <w:r>
        <w:rPr/>
        <w:t>El impacto psicosocial de la enfermedad crónica en los miembros de la familia es considerable, requiriendo un cambio de roles y una redistribución de las tareas, además la adaptabilidad de la familia se pone a prueba.</w:t>
      </w:r>
      <w:r>
        <w:rPr>
          <w:b/>
          <w:position w:val="-2"/>
          <w:sz w:val="16"/>
        </w:rPr>
        <w:t>7</w:t>
      </w:r>
    </w:p>
    <w:p>
      <w:pPr>
        <w:pStyle w:val="BodyText"/>
        <w:rPr>
          <w:b/>
        </w:rPr>
      </w:pPr>
    </w:p>
    <w:p>
      <w:pPr>
        <w:pStyle w:val="BodyText"/>
        <w:spacing w:before="1"/>
        <w:rPr>
          <w:b/>
          <w:sz w:val="23"/>
        </w:rPr>
      </w:pPr>
    </w:p>
    <w:p>
      <w:pPr>
        <w:pStyle w:val="Heading1"/>
        <w:numPr>
          <w:ilvl w:val="1"/>
          <w:numId w:val="3"/>
        </w:numPr>
        <w:tabs>
          <w:tab w:pos="451" w:val="left" w:leader="none"/>
        </w:tabs>
        <w:spacing w:line="240" w:lineRule="auto" w:before="0" w:after="0"/>
        <w:ind w:left="450" w:right="0" w:hanging="334"/>
        <w:jc w:val="both"/>
      </w:pPr>
      <w:bookmarkStart w:name="_TOC_250040" w:id="4"/>
      <w:bookmarkEnd w:id="4"/>
      <w:r>
        <w:rPr/>
        <w:t>APOYO SOCIAL</w:t>
      </w:r>
    </w:p>
    <w:p>
      <w:pPr>
        <w:pStyle w:val="BodyText"/>
        <w:rPr>
          <w:b/>
        </w:rPr>
      </w:pPr>
    </w:p>
    <w:p>
      <w:pPr>
        <w:pStyle w:val="BodyText"/>
        <w:ind w:left="116" w:right="103"/>
        <w:jc w:val="both"/>
      </w:pPr>
      <w:r>
        <w:rPr/>
        <w:t>Apoyo Social: es la información, ayuda material/instrumental y soporte emocional que se recibe de una red recíproca de vínculos sociales, dentro de un marco de aceptación, comunicación y obligación mutua, con la finalidad de amortiguar los efectos adversos de un evento estresante (Ovejero, 1990; Rodríguez, 1995; Saranson, Saranson y Pierce, 1990; Thoits, 1995).</w:t>
      </w:r>
    </w:p>
    <w:p>
      <w:pPr>
        <w:pStyle w:val="BodyText"/>
      </w:pPr>
    </w:p>
    <w:p>
      <w:pPr>
        <w:pStyle w:val="BodyText"/>
        <w:spacing w:line="242" w:lineRule="auto"/>
        <w:ind w:left="116" w:right="103"/>
        <w:jc w:val="both"/>
      </w:pPr>
      <w:r>
        <w:rPr/>
        <w:t>Apoyo Social: de acuerdo con Barrera (1981) puede ser clasificado en componentes y funciones, tales como:</w:t>
      </w:r>
    </w:p>
    <w:p>
      <w:pPr>
        <w:pStyle w:val="BodyText"/>
        <w:spacing w:before="7"/>
        <w:rPr>
          <w:sz w:val="10"/>
        </w:rPr>
      </w:pPr>
    </w:p>
    <w:p>
      <w:pPr>
        <w:pStyle w:val="BodyText"/>
        <w:spacing w:before="69"/>
        <w:ind w:right="103"/>
        <w:jc w:val="right"/>
      </w:pPr>
      <w:r>
        <w:rPr/>
        <w:t>8</w:t>
      </w:r>
    </w:p>
    <w:p>
      <w:pPr>
        <w:spacing w:after="0"/>
        <w:jc w:val="right"/>
        <w:sectPr>
          <w:footerReference w:type="default" r:id="rId7"/>
          <w:pgSz w:w="12240" w:h="15840"/>
          <w:pgMar w:footer="0" w:header="0" w:top="1360" w:bottom="280" w:left="1580" w:right="1600"/>
        </w:sectPr>
      </w:pPr>
    </w:p>
    <w:p>
      <w:pPr>
        <w:pStyle w:val="ListParagraph"/>
        <w:numPr>
          <w:ilvl w:val="0"/>
          <w:numId w:val="5"/>
        </w:numPr>
        <w:tabs>
          <w:tab w:pos="357" w:val="left" w:leader="none"/>
        </w:tabs>
        <w:spacing w:line="240" w:lineRule="auto" w:before="50" w:after="0"/>
        <w:ind w:left="356" w:right="0" w:hanging="240"/>
        <w:jc w:val="both"/>
        <w:rPr>
          <w:sz w:val="24"/>
        </w:rPr>
      </w:pPr>
      <w:r>
        <w:rPr>
          <w:sz w:val="24"/>
        </w:rPr>
        <w:t>Componentes</w:t>
      </w:r>
    </w:p>
    <w:p>
      <w:pPr>
        <w:pStyle w:val="ListParagraph"/>
        <w:numPr>
          <w:ilvl w:val="0"/>
          <w:numId w:val="6"/>
        </w:numPr>
        <w:tabs>
          <w:tab w:pos="364" w:val="left" w:leader="none"/>
        </w:tabs>
        <w:spacing w:line="275" w:lineRule="exact" w:before="2" w:after="0"/>
        <w:ind w:left="363" w:right="0" w:hanging="247"/>
        <w:jc w:val="both"/>
        <w:rPr>
          <w:sz w:val="24"/>
        </w:rPr>
      </w:pPr>
      <w:r>
        <w:rPr>
          <w:sz w:val="24"/>
        </w:rPr>
        <w:t>Apoyo Social Percibido, es la valoración cognitiva de contar con ayuda.</w:t>
      </w:r>
    </w:p>
    <w:p>
      <w:pPr>
        <w:pStyle w:val="ListParagraph"/>
        <w:numPr>
          <w:ilvl w:val="0"/>
          <w:numId w:val="6"/>
        </w:numPr>
        <w:tabs>
          <w:tab w:pos="377" w:val="left" w:leader="none"/>
        </w:tabs>
        <w:spacing w:line="275" w:lineRule="exact" w:before="0" w:after="0"/>
        <w:ind w:left="376" w:right="0" w:hanging="260"/>
        <w:jc w:val="both"/>
        <w:rPr>
          <w:sz w:val="24"/>
        </w:rPr>
      </w:pPr>
      <w:r>
        <w:rPr>
          <w:sz w:val="24"/>
        </w:rPr>
        <w:t>Apoyo Social Efectivo, es la ayuda real de la que se dispone.</w:t>
      </w:r>
    </w:p>
    <w:p>
      <w:pPr>
        <w:pStyle w:val="BodyText"/>
      </w:pPr>
    </w:p>
    <w:p>
      <w:pPr>
        <w:pStyle w:val="ListParagraph"/>
        <w:numPr>
          <w:ilvl w:val="0"/>
          <w:numId w:val="5"/>
        </w:numPr>
        <w:tabs>
          <w:tab w:pos="357" w:val="left" w:leader="none"/>
        </w:tabs>
        <w:spacing w:line="240" w:lineRule="auto" w:before="0" w:after="0"/>
        <w:ind w:left="356" w:right="0" w:hanging="240"/>
        <w:jc w:val="both"/>
        <w:rPr>
          <w:sz w:val="24"/>
        </w:rPr>
      </w:pPr>
      <w:r>
        <w:rPr>
          <w:sz w:val="24"/>
        </w:rPr>
        <w:t>Funciones</w:t>
      </w:r>
    </w:p>
    <w:p>
      <w:pPr>
        <w:pStyle w:val="ListParagraph"/>
        <w:numPr>
          <w:ilvl w:val="0"/>
          <w:numId w:val="7"/>
        </w:numPr>
        <w:tabs>
          <w:tab w:pos="469" w:val="left" w:leader="none"/>
        </w:tabs>
        <w:spacing w:line="274" w:lineRule="exact" w:before="7" w:after="0"/>
        <w:ind w:left="116" w:right="103" w:firstLine="0"/>
        <w:jc w:val="both"/>
        <w:rPr>
          <w:sz w:val="24"/>
        </w:rPr>
      </w:pPr>
      <w:r>
        <w:rPr>
          <w:sz w:val="24"/>
        </w:rPr>
        <w:t>Interacción íntima, se refiere a la necesidad de compartir asuntos de carácter estrictamente personal.</w:t>
      </w:r>
    </w:p>
    <w:p>
      <w:pPr>
        <w:pStyle w:val="ListParagraph"/>
        <w:numPr>
          <w:ilvl w:val="0"/>
          <w:numId w:val="7"/>
        </w:numPr>
        <w:tabs>
          <w:tab w:pos="377" w:val="left" w:leader="none"/>
        </w:tabs>
        <w:spacing w:line="274" w:lineRule="exact" w:before="0" w:after="0"/>
        <w:ind w:left="376" w:right="0" w:hanging="260"/>
        <w:jc w:val="both"/>
        <w:rPr>
          <w:sz w:val="24"/>
        </w:rPr>
      </w:pPr>
      <w:r>
        <w:rPr>
          <w:sz w:val="24"/>
        </w:rPr>
        <w:t>Ayuda material, se refiere al apoyo brindado en recursos materiales, dinero o bienes.</w:t>
      </w:r>
    </w:p>
    <w:p>
      <w:pPr>
        <w:pStyle w:val="ListParagraph"/>
        <w:numPr>
          <w:ilvl w:val="0"/>
          <w:numId w:val="7"/>
        </w:numPr>
        <w:tabs>
          <w:tab w:pos="423" w:val="left" w:leader="none"/>
        </w:tabs>
        <w:spacing w:line="240" w:lineRule="auto" w:before="0" w:after="0"/>
        <w:ind w:left="116" w:right="103" w:firstLine="0"/>
        <w:jc w:val="both"/>
        <w:rPr>
          <w:sz w:val="24"/>
        </w:rPr>
      </w:pPr>
      <w:r>
        <w:rPr>
          <w:sz w:val="24"/>
        </w:rPr>
        <w:t>Consejo e información, se refiere a la necesidad de contar con alguien que pueda proporcionar opiniones y orientaciones sobre asuntos de gravedad en la vida personal, así como información para afrontar adecuadamente situaciones difíciles.</w:t>
      </w:r>
    </w:p>
    <w:p>
      <w:pPr>
        <w:pStyle w:val="ListParagraph"/>
        <w:numPr>
          <w:ilvl w:val="0"/>
          <w:numId w:val="7"/>
        </w:numPr>
        <w:tabs>
          <w:tab w:pos="390" w:val="left" w:leader="none"/>
        </w:tabs>
        <w:spacing w:line="274" w:lineRule="exact" w:before="7" w:after="0"/>
        <w:ind w:left="116" w:right="103" w:firstLine="0"/>
        <w:jc w:val="both"/>
        <w:rPr>
          <w:sz w:val="24"/>
        </w:rPr>
      </w:pPr>
      <w:r>
        <w:rPr>
          <w:sz w:val="24"/>
        </w:rPr>
        <w:t>Información positiva, se refiere a la respuesta dada a las necesidades de reconocimiento  y valoración de los estilos personales de vida o de las formas personales de hacer las cosas.</w:t>
      </w:r>
    </w:p>
    <w:p>
      <w:pPr>
        <w:pStyle w:val="ListParagraph"/>
        <w:numPr>
          <w:ilvl w:val="0"/>
          <w:numId w:val="7"/>
        </w:numPr>
        <w:tabs>
          <w:tab w:pos="413" w:val="left" w:leader="none"/>
        </w:tabs>
        <w:spacing w:line="274" w:lineRule="exact" w:before="4" w:after="0"/>
        <w:ind w:left="116" w:right="103" w:firstLine="0"/>
        <w:jc w:val="both"/>
        <w:rPr>
          <w:sz w:val="24"/>
        </w:rPr>
      </w:pPr>
      <w:r>
        <w:rPr>
          <w:sz w:val="24"/>
        </w:rPr>
        <w:t>Asistencia, se refiere a la satisfacción de las necesidades de compañía para realizar determinadas tareas o resolver algunas situaciones problemáticas.</w:t>
      </w:r>
    </w:p>
    <w:p>
      <w:pPr>
        <w:pStyle w:val="ListParagraph"/>
        <w:numPr>
          <w:ilvl w:val="0"/>
          <w:numId w:val="7"/>
        </w:numPr>
        <w:tabs>
          <w:tab w:pos="337" w:val="left" w:leader="none"/>
        </w:tabs>
        <w:spacing w:line="274" w:lineRule="exact" w:before="0" w:after="0"/>
        <w:ind w:left="336" w:right="0" w:hanging="220"/>
        <w:jc w:val="both"/>
        <w:rPr>
          <w:sz w:val="24"/>
        </w:rPr>
      </w:pPr>
      <w:r>
        <w:rPr>
          <w:sz w:val="24"/>
        </w:rPr>
        <w:t>Participación social, se refiere a la atención de las necesidades de esparcimiento.</w:t>
      </w:r>
    </w:p>
    <w:p>
      <w:pPr>
        <w:pStyle w:val="ListParagraph"/>
        <w:numPr>
          <w:ilvl w:val="0"/>
          <w:numId w:val="7"/>
        </w:numPr>
        <w:tabs>
          <w:tab w:pos="443" w:val="left" w:leader="none"/>
        </w:tabs>
        <w:spacing w:line="240" w:lineRule="auto" w:before="0" w:after="0"/>
        <w:ind w:left="116" w:right="103" w:firstLine="0"/>
        <w:jc w:val="both"/>
        <w:rPr>
          <w:sz w:val="24"/>
        </w:rPr>
      </w:pPr>
      <w:r>
        <w:rPr>
          <w:sz w:val="24"/>
        </w:rPr>
        <w:t>Interacción negativa, se refiere a las personas con las que se pudiera tener algún conflicto. Si bien no puede ser considerada como una función propiamente dicha, es muy útil su conocimiento pues permite saber si esas personas son también fuente de soporte.</w:t>
      </w:r>
    </w:p>
    <w:p>
      <w:pPr>
        <w:pStyle w:val="BodyText"/>
      </w:pPr>
    </w:p>
    <w:p>
      <w:pPr>
        <w:pStyle w:val="BodyText"/>
        <w:ind w:left="116" w:right="103"/>
        <w:jc w:val="both"/>
      </w:pPr>
      <w:r>
        <w:rPr/>
        <w:t>El hecho de contar con redes de apoyo social tiene un impacto significativo en la calidad de vida de los pacientes. Existe evidencia de que las relaciones y las transferencias que se establecen en las redes cumplen un papel protector ante el deterioro de la salud.</w:t>
      </w:r>
    </w:p>
    <w:p>
      <w:pPr>
        <w:pStyle w:val="BodyText"/>
      </w:pPr>
    </w:p>
    <w:p>
      <w:pPr>
        <w:pStyle w:val="BodyText"/>
        <w:ind w:left="116" w:right="103"/>
        <w:jc w:val="both"/>
      </w:pPr>
      <w:r>
        <w:rPr/>
        <w:t>A partir de los años 60 y 70 comienza a surgir con una gran fuerza el término de Apoyo Social, teniendo como antecedente al sociólogo Emile Durkheim que a finales del siglo  XIX destacó la importancia de las relaciones interpersonales en la salud.</w:t>
      </w:r>
    </w:p>
    <w:p>
      <w:pPr>
        <w:pStyle w:val="BodyText"/>
      </w:pPr>
    </w:p>
    <w:p>
      <w:pPr>
        <w:pStyle w:val="BodyText"/>
        <w:ind w:left="116"/>
        <w:jc w:val="both"/>
      </w:pPr>
      <w:r>
        <w:rPr/>
        <w:t>A pesar de las diferentes conceptualizaciones de apoyo social existe consenso en que:</w:t>
      </w:r>
    </w:p>
    <w:p>
      <w:pPr>
        <w:pStyle w:val="ListParagraph"/>
        <w:numPr>
          <w:ilvl w:val="0"/>
          <w:numId w:val="8"/>
        </w:numPr>
        <w:tabs>
          <w:tab w:pos="403" w:val="left" w:leader="none"/>
        </w:tabs>
        <w:spacing w:line="240" w:lineRule="auto" w:before="2" w:after="0"/>
        <w:ind w:left="116" w:right="103" w:firstLine="0"/>
        <w:jc w:val="both"/>
        <w:rPr>
          <w:sz w:val="24"/>
        </w:rPr>
      </w:pPr>
      <w:r>
        <w:rPr>
          <w:sz w:val="24"/>
        </w:rPr>
        <w:t>El Apoyo Social posee una estructura que está definida por las características cuantitativas u objetivas de la red de apoyo social, tales como tamaño, densidad, dispersión geográfica, etc., así como las características de los contactos y los vínculos sociales que tienen lugar dentro de ella (homogeneidad, reciprocidad o multiplicidad de contactos, entre otras).</w:t>
      </w:r>
    </w:p>
    <w:p>
      <w:pPr>
        <w:pStyle w:val="BodyText"/>
      </w:pPr>
    </w:p>
    <w:p>
      <w:pPr>
        <w:pStyle w:val="ListParagraph"/>
        <w:numPr>
          <w:ilvl w:val="0"/>
          <w:numId w:val="8"/>
        </w:numPr>
        <w:tabs>
          <w:tab w:pos="346" w:val="left" w:leader="none"/>
        </w:tabs>
        <w:spacing w:line="240" w:lineRule="auto" w:before="0" w:after="0"/>
        <w:ind w:left="116" w:right="103" w:firstLine="0"/>
        <w:jc w:val="both"/>
        <w:rPr>
          <w:sz w:val="24"/>
        </w:rPr>
      </w:pPr>
      <w:r>
        <w:rPr>
          <w:sz w:val="24"/>
        </w:rPr>
        <w:t>El Apoyo Social también cuenta con una dimensión funcional donde se analizan los efectos o consecuencias que le producen al sujeto el apoyo, es decir se refiere a la calidad del apoyo social existente y en este sentido se destacan la valoración subjetiva y la disponibilidad de éste (apoyo percibido vs apoyo recibido) y el que se refiere a los diferentes tipos de apoyo, así como al grado de satisfacción con éste (las cuales también son varios según el autor que las clasifique). La clasificación propuesta por Peggy Throis en 1986, la cual establece las diferencias entre apoyo instrumental, informativo y socioemocional.</w:t>
      </w:r>
    </w:p>
    <w:p>
      <w:pPr>
        <w:pStyle w:val="BodyText"/>
      </w:pPr>
    </w:p>
    <w:p>
      <w:pPr>
        <w:pStyle w:val="ListParagraph"/>
        <w:numPr>
          <w:ilvl w:val="0"/>
          <w:numId w:val="8"/>
        </w:numPr>
        <w:tabs>
          <w:tab w:pos="317" w:val="left" w:leader="none"/>
        </w:tabs>
        <w:spacing w:line="240" w:lineRule="auto" w:before="0" w:after="0"/>
        <w:ind w:left="116" w:right="103" w:firstLine="0"/>
        <w:jc w:val="both"/>
        <w:rPr>
          <w:sz w:val="24"/>
        </w:rPr>
      </w:pPr>
      <w:r>
        <w:rPr>
          <w:sz w:val="24"/>
        </w:rPr>
        <w:t>El Apoyo Social como proceso, es el que le da una connotación dinámica al constructo, se refiere a los diferentes elementos que influyen en la movilización y la efectividad de éste en el tiempo, lo que está vinculado a su vez por la contextualización del proceso (etapa vital</w:t>
      </w:r>
    </w:p>
    <w:p>
      <w:pPr>
        <w:pStyle w:val="BodyText"/>
        <w:spacing w:before="194"/>
        <w:ind w:right="103"/>
        <w:jc w:val="right"/>
      </w:pPr>
      <w:r>
        <w:rPr/>
        <w:t>9</w:t>
      </w:r>
    </w:p>
    <w:p>
      <w:pPr>
        <w:spacing w:after="0"/>
        <w:jc w:val="right"/>
        <w:sectPr>
          <w:footerReference w:type="default" r:id="rId8"/>
          <w:pgSz w:w="12240" w:h="15840"/>
          <w:pgMar w:footer="0" w:header="0" w:top="1360" w:bottom="280" w:left="1580" w:right="1600"/>
        </w:sectPr>
      </w:pPr>
    </w:p>
    <w:p>
      <w:pPr>
        <w:pStyle w:val="BodyText"/>
        <w:spacing w:line="242" w:lineRule="auto" w:before="50"/>
        <w:ind w:left="116" w:right="103"/>
        <w:jc w:val="both"/>
      </w:pPr>
      <w:r>
        <w:rPr/>
        <w:t>del individuo, tipo de problema al que se enfrente, condiciones socioeconómicas y culturales, etc.)</w:t>
      </w:r>
    </w:p>
    <w:p>
      <w:pPr>
        <w:pStyle w:val="BodyText"/>
        <w:spacing w:before="8"/>
        <w:rPr>
          <w:sz w:val="23"/>
        </w:rPr>
      </w:pPr>
    </w:p>
    <w:p>
      <w:pPr>
        <w:pStyle w:val="BodyText"/>
        <w:spacing w:before="1"/>
        <w:ind w:left="116" w:right="103"/>
        <w:jc w:val="both"/>
        <w:rPr>
          <w:b/>
          <w:sz w:val="16"/>
        </w:rPr>
      </w:pPr>
      <w:r>
        <w:rPr/>
        <w:t>El concepto de Roca, entiende por Apoyo Social los recursos sociales existentes, de diferentes naturalezas que recibe un individuo en una situación dada, en su vínculo con el ambiente a través de las relaciones interpersonales y que pueden ser percibidos de manera positiva o negativa, influyendo en su bienestar y capacidad de funcionamiento frente a la enfermedad de manera dinámica.</w:t>
      </w:r>
      <w:r>
        <w:rPr>
          <w:b/>
          <w:position w:val="-2"/>
          <w:sz w:val="16"/>
        </w:rPr>
        <w:t>8</w:t>
      </w:r>
    </w:p>
    <w:p>
      <w:pPr>
        <w:pStyle w:val="BodyText"/>
        <w:spacing w:line="242" w:lineRule="auto" w:before="215"/>
        <w:ind w:left="116" w:right="103"/>
        <w:jc w:val="both"/>
      </w:pPr>
      <w:r>
        <w:rPr/>
        <w:t>De manera general la tendencia ha sido a asumir dos posiciones teóricas respecto al papel del Apoyo Social en la salud que detallamos a continuación:</w:t>
      </w:r>
    </w:p>
    <w:p>
      <w:pPr>
        <w:pStyle w:val="BodyText"/>
        <w:ind w:left="116" w:right="103"/>
        <w:jc w:val="both"/>
      </w:pPr>
      <w:r>
        <w:rPr/>
        <w:t>La hipótesis sobre los efectos principales o directos (denominada como variable  antecedente por Rodríguez Marín) plantea que los efectos de la relación entre apoyo social  y salud son independientes del grado de estrés que el individuo experimente ya que el Apoyo Social aumenta de manera directa y por sí solo el bienestar, la autoestima y la salud; es decir, se establece una relación directamente proporcional entre apoyo y salud, por lo  que si aumenta el apoyo social, también aumenta la salud. A pesar de que existe consenso en este planteamiento no cuenta con el suficiente fundamento teórico ni empírico.</w:t>
      </w:r>
    </w:p>
    <w:p>
      <w:pPr>
        <w:pStyle w:val="BodyText"/>
      </w:pPr>
    </w:p>
    <w:p>
      <w:pPr>
        <w:pStyle w:val="BodyText"/>
        <w:ind w:left="116" w:right="103"/>
        <w:jc w:val="both"/>
      </w:pPr>
      <w:r>
        <w:rPr/>
        <w:t>Por su parte la hipótesis amortiguadora plantea que el Apoyo Social sirve de protector o amortiguador del distrés o de los efectos negativos generados por los eventos vitales estresantes. Este modelo manifiesta que el efecto rehabilitador del apoyo social tiene dos vías de acción fundamentales:</w:t>
      </w:r>
    </w:p>
    <w:p>
      <w:pPr>
        <w:pStyle w:val="BodyText"/>
        <w:spacing w:before="4"/>
      </w:pPr>
    </w:p>
    <w:p>
      <w:pPr>
        <w:pStyle w:val="ListParagraph"/>
        <w:numPr>
          <w:ilvl w:val="0"/>
          <w:numId w:val="9"/>
        </w:numPr>
        <w:tabs>
          <w:tab w:pos="353" w:val="left" w:leader="none"/>
        </w:tabs>
        <w:spacing w:line="274" w:lineRule="exact" w:before="1" w:after="0"/>
        <w:ind w:left="116" w:right="103" w:firstLine="0"/>
        <w:jc w:val="both"/>
        <w:rPr>
          <w:sz w:val="24"/>
        </w:rPr>
      </w:pPr>
      <w:r>
        <w:rPr>
          <w:sz w:val="24"/>
        </w:rPr>
        <w:t>La intervención del Apoyo Social entre el evento estresor y/o sus expectativas y la situación estresante como tal, a través de la disminución o prevención de la respuesta de estrés, lo que favorece la respuesta eficaz ante la amenaza o su enfrentamiento adecuado.</w:t>
      </w:r>
    </w:p>
    <w:p>
      <w:pPr>
        <w:pStyle w:val="BodyText"/>
        <w:spacing w:before="8"/>
        <w:rPr>
          <w:sz w:val="23"/>
        </w:rPr>
      </w:pPr>
    </w:p>
    <w:p>
      <w:pPr>
        <w:pStyle w:val="ListParagraph"/>
        <w:numPr>
          <w:ilvl w:val="0"/>
          <w:numId w:val="9"/>
        </w:numPr>
        <w:tabs>
          <w:tab w:pos="307" w:val="left" w:leader="none"/>
        </w:tabs>
        <w:spacing w:line="240" w:lineRule="auto" w:before="0" w:after="0"/>
        <w:ind w:left="116" w:right="103" w:firstLine="0"/>
        <w:jc w:val="both"/>
        <w:rPr>
          <w:sz w:val="24"/>
        </w:rPr>
      </w:pPr>
      <w:r>
        <w:rPr>
          <w:sz w:val="24"/>
        </w:rPr>
        <w:t>La intervención del Apoyo Social entre el estrés y sus consecuencias patológicas a través de medidas para reducir la percepción del estrés o comportamientos que influyan de manera directa en la enfermedad y los procesos patológicos.</w:t>
      </w:r>
    </w:p>
    <w:p>
      <w:pPr>
        <w:pStyle w:val="BodyText"/>
        <w:spacing w:before="2"/>
        <w:rPr>
          <w:sz w:val="20"/>
        </w:rPr>
      </w:pPr>
    </w:p>
    <w:p>
      <w:pPr>
        <w:pStyle w:val="BodyText"/>
        <w:spacing w:before="1"/>
        <w:ind w:left="116" w:right="103"/>
        <w:jc w:val="both"/>
        <w:rPr>
          <w:b/>
          <w:sz w:val="16"/>
        </w:rPr>
      </w:pPr>
      <w:r>
        <w:rPr/>
        <w:t>Roca y Rodríguez Marín plantean que no siempre el Apoyo Social tiene una connotación positiva a pesar de lo que semánticamente nos sugiera el término “apoyo”, refieren que para esto es necesario que el apoyo esté basado en las necesidades reales del que lo recibe, que  el proveedor esté capacitado para darlo, que quiera darlo, que se haga en el momento oportuno y que no genere dependencia o conductas sobreprotectoras.</w:t>
      </w:r>
      <w:r>
        <w:rPr>
          <w:b/>
          <w:position w:val="-2"/>
          <w:sz w:val="16"/>
        </w:rPr>
        <w:t>8,</w:t>
      </w:r>
      <w:r>
        <w:rPr>
          <w:b/>
          <w:spacing w:val="-2"/>
          <w:position w:val="-2"/>
          <w:sz w:val="16"/>
        </w:rPr>
        <w:t> </w:t>
      </w:r>
      <w:r>
        <w:rPr>
          <w:b/>
          <w:position w:val="-2"/>
          <w:sz w:val="16"/>
        </w:rPr>
        <w:t>9</w:t>
      </w:r>
    </w:p>
    <w:p>
      <w:pPr>
        <w:pStyle w:val="BodyText"/>
        <w:spacing w:before="10"/>
        <w:rPr>
          <w:b/>
          <w:sz w:val="22"/>
        </w:rPr>
      </w:pPr>
    </w:p>
    <w:p>
      <w:pPr>
        <w:pStyle w:val="BodyText"/>
        <w:spacing w:line="275" w:lineRule="exact"/>
        <w:ind w:left="116"/>
        <w:jc w:val="both"/>
      </w:pPr>
      <w:r>
        <w:rPr/>
        <w:t>Según Roca el apoyo social necesitado y (o) efectivo está en dependencia de:</w:t>
      </w:r>
    </w:p>
    <w:p>
      <w:pPr>
        <w:pStyle w:val="ListParagraph"/>
        <w:numPr>
          <w:ilvl w:val="0"/>
          <w:numId w:val="10"/>
        </w:numPr>
        <w:tabs>
          <w:tab w:pos="261" w:val="left" w:leader="none"/>
        </w:tabs>
        <w:spacing w:line="275" w:lineRule="exact" w:before="0" w:after="0"/>
        <w:ind w:left="116" w:right="0" w:firstLine="0"/>
        <w:jc w:val="both"/>
        <w:rPr>
          <w:sz w:val="24"/>
        </w:rPr>
      </w:pPr>
      <w:r>
        <w:rPr>
          <w:sz w:val="24"/>
        </w:rPr>
        <w:t>Si el problema que presenta el individuo es transitorio o de fácil solución o prolongado.</w:t>
      </w:r>
    </w:p>
    <w:p>
      <w:pPr>
        <w:pStyle w:val="ListParagraph"/>
        <w:numPr>
          <w:ilvl w:val="0"/>
          <w:numId w:val="10"/>
        </w:numPr>
        <w:tabs>
          <w:tab w:pos="261" w:val="left" w:leader="none"/>
        </w:tabs>
        <w:spacing w:line="275" w:lineRule="exact" w:before="2" w:after="0"/>
        <w:ind w:left="260" w:right="0" w:hanging="144"/>
        <w:jc w:val="both"/>
        <w:rPr>
          <w:sz w:val="24"/>
        </w:rPr>
      </w:pPr>
      <w:r>
        <w:rPr>
          <w:sz w:val="24"/>
        </w:rPr>
        <w:t>Si el sujeto padece una enfermedad crónica o aguda.</w:t>
      </w:r>
    </w:p>
    <w:p>
      <w:pPr>
        <w:pStyle w:val="ListParagraph"/>
        <w:numPr>
          <w:ilvl w:val="0"/>
          <w:numId w:val="10"/>
        </w:numPr>
        <w:tabs>
          <w:tab w:pos="261" w:val="left" w:leader="none"/>
        </w:tabs>
        <w:spacing w:line="275" w:lineRule="exact" w:before="0" w:after="0"/>
        <w:ind w:left="260" w:right="0" w:hanging="144"/>
        <w:jc w:val="both"/>
        <w:rPr>
          <w:sz w:val="24"/>
        </w:rPr>
      </w:pPr>
      <w:r>
        <w:rPr>
          <w:sz w:val="24"/>
        </w:rPr>
        <w:t>Si los problemas tienen una causa en el interior del individuo o en el exterior.</w:t>
      </w:r>
    </w:p>
    <w:p>
      <w:pPr>
        <w:pStyle w:val="BodyText"/>
        <w:spacing w:before="2"/>
        <w:ind w:left="116"/>
        <w:jc w:val="both"/>
        <w:rPr>
          <w:b/>
          <w:sz w:val="16"/>
        </w:rPr>
      </w:pPr>
      <w:r>
        <w:rPr/>
        <w:t>•Si estos problemas influyen o no en la autoestima del individuo.</w:t>
      </w:r>
      <w:r>
        <w:rPr>
          <w:b/>
          <w:position w:val="-2"/>
          <w:sz w:val="16"/>
        </w:rPr>
        <w:t>8</w:t>
      </w:r>
    </w:p>
    <w:p>
      <w:pPr>
        <w:pStyle w:val="BodyText"/>
        <w:spacing w:before="11"/>
        <w:rPr>
          <w:b/>
        </w:rPr>
      </w:pPr>
    </w:p>
    <w:p>
      <w:pPr>
        <w:pStyle w:val="BodyText"/>
        <w:ind w:left="116" w:right="103"/>
        <w:jc w:val="both"/>
      </w:pPr>
      <w:r>
        <w:rPr/>
        <w:t>Schwarzer y Leppin consideran que el grado de la asociación entre Apoyo Social y Salud dependen de las circunstancias, la población, los conceptos y las medidas utilizadas en los diferentes  estudios,  por  eso  es  tan  difícil  la  interpretación  de  los  resultados  de     </w:t>
      </w:r>
      <w:r>
        <w:rPr>
          <w:spacing w:val="58"/>
        </w:rPr>
        <w:t> </w:t>
      </w:r>
      <w:r>
        <w:rPr/>
        <w:t>las</w:t>
      </w:r>
    </w:p>
    <w:p>
      <w:pPr>
        <w:spacing w:after="0"/>
        <w:jc w:val="both"/>
        <w:sectPr>
          <w:footerReference w:type="default" r:id="rId9"/>
          <w:pgSz w:w="12240" w:h="15840"/>
          <w:pgMar w:footer="1032" w:header="0" w:top="1360" w:bottom="1220" w:left="1580" w:right="1600"/>
          <w:pgNumType w:start="10"/>
        </w:sectPr>
      </w:pPr>
    </w:p>
    <w:p>
      <w:pPr>
        <w:pStyle w:val="BodyText"/>
        <w:spacing w:line="242" w:lineRule="auto" w:before="50"/>
        <w:ind w:left="116" w:right="103"/>
        <w:jc w:val="both"/>
        <w:rPr>
          <w:b/>
          <w:sz w:val="16"/>
        </w:rPr>
      </w:pPr>
      <w:r>
        <w:rPr/>
        <w:t>investigaciones sin tener referencias a estos aspectos, además de la dificultad que implica la generalización de éstos.</w:t>
      </w:r>
      <w:r>
        <w:rPr>
          <w:b/>
          <w:position w:val="-2"/>
          <w:sz w:val="16"/>
        </w:rPr>
        <w:t>9</w:t>
      </w:r>
    </w:p>
    <w:p>
      <w:pPr>
        <w:pStyle w:val="BodyText"/>
        <w:spacing w:before="9"/>
        <w:rPr>
          <w:b/>
          <w:sz w:val="22"/>
        </w:rPr>
      </w:pPr>
    </w:p>
    <w:p>
      <w:pPr>
        <w:pStyle w:val="BodyText"/>
        <w:spacing w:line="237" w:lineRule="auto" w:before="1"/>
        <w:ind w:left="116" w:right="135"/>
        <w:rPr>
          <w:b/>
          <w:sz w:val="16"/>
        </w:rPr>
      </w:pPr>
      <w:r>
        <w:rPr/>
        <w:t>Roca manifiesta que la relación entre Apoyo Social y enfermedad está vinculada no solamente con la causalidad o etiología de estas sino con todo el proceso salud enfermedad (prevención, afrontamiento, recuperación o rehabilitación, estadios terminales y muerte).</w:t>
      </w:r>
      <w:r>
        <w:rPr>
          <w:b/>
          <w:position w:val="-2"/>
          <w:sz w:val="16"/>
        </w:rPr>
        <w:t>8 </w:t>
      </w:r>
      <w:r>
        <w:rPr/>
        <w:t>Otros estudiosos del tema como Cohen y Syme refieren que determinadas características que poseen los individuos están vinculadas con el Apoyo Social destacándose las relacionadas con la sociabilidad, por otro lado Heller y Swindle mencionan a la competencia social, Boyce, Kay, Uitti y Ekenrode a las habilidades cognitivas y Roca a los estados emocionales.</w:t>
      </w:r>
      <w:r>
        <w:rPr>
          <w:spacing w:val="-1"/>
        </w:rPr>
        <w:t> </w:t>
      </w:r>
      <w:r>
        <w:rPr>
          <w:b/>
          <w:position w:val="-2"/>
          <w:sz w:val="16"/>
        </w:rPr>
        <w:t>8</w:t>
      </w:r>
    </w:p>
    <w:p>
      <w:pPr>
        <w:pStyle w:val="BodyText"/>
        <w:spacing w:before="10"/>
        <w:rPr>
          <w:b/>
          <w:sz w:val="22"/>
        </w:rPr>
      </w:pPr>
    </w:p>
    <w:p>
      <w:pPr>
        <w:pStyle w:val="BodyText"/>
        <w:spacing w:before="1"/>
        <w:ind w:left="116" w:right="103"/>
        <w:jc w:val="both"/>
      </w:pPr>
      <w:r>
        <w:rPr/>
        <w:t>En nuestro criterio, son fundamentalmente las habilidades sociales y de competencia social las que tienen un papel importante a la hora de evaluar el papel de la personalidad de los individuos que lo hacen un posible receptor de Apoyo Social.</w:t>
      </w:r>
    </w:p>
    <w:p>
      <w:pPr>
        <w:pStyle w:val="BodyText"/>
      </w:pPr>
    </w:p>
    <w:p>
      <w:pPr>
        <w:pStyle w:val="BodyText"/>
        <w:ind w:left="116" w:right="103"/>
        <w:jc w:val="both"/>
        <w:rPr>
          <w:b/>
          <w:sz w:val="16"/>
        </w:rPr>
      </w:pPr>
      <w:r>
        <w:rPr/>
        <w:t>También se valora la influencia de determinadas variables sociodemográficas en el apoyo social destacando dentro de estas: el sexo, la edad, el nivel educacional y el estado civil, conjuntamente con las características del vínculo.</w:t>
      </w:r>
      <w:r>
        <w:rPr>
          <w:b/>
          <w:position w:val="-2"/>
          <w:sz w:val="16"/>
        </w:rPr>
        <w:t>8</w:t>
      </w:r>
    </w:p>
    <w:p>
      <w:pPr>
        <w:pStyle w:val="BodyText"/>
        <w:spacing w:before="10"/>
        <w:rPr>
          <w:b/>
          <w:sz w:val="22"/>
        </w:rPr>
      </w:pPr>
    </w:p>
    <w:p>
      <w:pPr>
        <w:pStyle w:val="BodyText"/>
        <w:spacing w:line="242" w:lineRule="auto"/>
        <w:ind w:left="116" w:right="103"/>
        <w:jc w:val="both"/>
      </w:pPr>
      <w:r>
        <w:rPr/>
        <w:t>A modo de resumen se puede decir que los aspectos en el estudio del Apoyo donde existe consenso, son los siguientes:</w:t>
      </w:r>
    </w:p>
    <w:p>
      <w:pPr>
        <w:pStyle w:val="BodyText"/>
        <w:spacing w:before="2"/>
      </w:pPr>
    </w:p>
    <w:p>
      <w:pPr>
        <w:pStyle w:val="ListParagraph"/>
        <w:numPr>
          <w:ilvl w:val="0"/>
          <w:numId w:val="10"/>
        </w:numPr>
        <w:tabs>
          <w:tab w:pos="289" w:val="left" w:leader="none"/>
        </w:tabs>
        <w:spacing w:line="274" w:lineRule="exact" w:before="0" w:after="0"/>
        <w:ind w:left="116" w:right="103" w:firstLine="0"/>
        <w:jc w:val="both"/>
        <w:rPr>
          <w:sz w:val="24"/>
        </w:rPr>
      </w:pPr>
      <w:r>
        <w:rPr>
          <w:sz w:val="24"/>
        </w:rPr>
        <w:t>La accesibilidad de una red de apoyo social no garantiza la presencia de Apoyo Social adecuado.</w:t>
      </w:r>
    </w:p>
    <w:p>
      <w:pPr>
        <w:pStyle w:val="ListParagraph"/>
        <w:numPr>
          <w:ilvl w:val="0"/>
          <w:numId w:val="10"/>
        </w:numPr>
        <w:tabs>
          <w:tab w:pos="268" w:val="left" w:leader="none"/>
        </w:tabs>
        <w:spacing w:line="274" w:lineRule="exact" w:before="4" w:after="0"/>
        <w:ind w:left="116" w:right="103" w:firstLine="0"/>
        <w:jc w:val="both"/>
        <w:rPr>
          <w:sz w:val="24"/>
        </w:rPr>
      </w:pPr>
      <w:r>
        <w:rPr>
          <w:sz w:val="24"/>
        </w:rPr>
        <w:t>La dimensión funcional del Apoyo Social (apoyo social percibido y satisfacción con éste) es la determinante en el momento de definir su influencia en la salud.</w:t>
      </w:r>
    </w:p>
    <w:p>
      <w:pPr>
        <w:pStyle w:val="ListParagraph"/>
        <w:numPr>
          <w:ilvl w:val="0"/>
          <w:numId w:val="10"/>
        </w:numPr>
        <w:tabs>
          <w:tab w:pos="264" w:val="left" w:leader="none"/>
        </w:tabs>
        <w:spacing w:line="274" w:lineRule="exact" w:before="4" w:after="0"/>
        <w:ind w:left="116" w:right="103" w:firstLine="0"/>
        <w:jc w:val="both"/>
        <w:rPr>
          <w:sz w:val="24"/>
        </w:rPr>
      </w:pPr>
      <w:r>
        <w:rPr>
          <w:sz w:val="24"/>
        </w:rPr>
        <w:t>El Apoyo Social no siempre tiene una connotación positiva, muchas veces el ofrecimiento de éste de manera indiscriminada puede ser nocivo.</w:t>
      </w:r>
    </w:p>
    <w:p>
      <w:pPr>
        <w:pStyle w:val="ListParagraph"/>
        <w:numPr>
          <w:ilvl w:val="0"/>
          <w:numId w:val="10"/>
        </w:numPr>
        <w:tabs>
          <w:tab w:pos="327" w:val="left" w:leader="none"/>
        </w:tabs>
        <w:spacing w:line="274" w:lineRule="exact" w:before="4" w:after="0"/>
        <w:ind w:left="116" w:right="103" w:firstLine="0"/>
        <w:jc w:val="both"/>
        <w:rPr>
          <w:sz w:val="24"/>
        </w:rPr>
      </w:pPr>
      <w:r>
        <w:rPr>
          <w:sz w:val="24"/>
        </w:rPr>
        <w:t>El Apoyo social influye en la salud aunque todavía se sea incapaz de explicar su mecanismo de acción.</w:t>
      </w:r>
    </w:p>
    <w:p>
      <w:pPr>
        <w:pStyle w:val="ListParagraph"/>
        <w:numPr>
          <w:ilvl w:val="0"/>
          <w:numId w:val="10"/>
        </w:numPr>
        <w:tabs>
          <w:tab w:pos="261" w:val="left" w:leader="none"/>
        </w:tabs>
        <w:spacing w:line="274" w:lineRule="exact" w:before="0" w:after="0"/>
        <w:ind w:left="260" w:right="0" w:hanging="144"/>
        <w:jc w:val="both"/>
        <w:rPr>
          <w:sz w:val="24"/>
        </w:rPr>
      </w:pPr>
      <w:r>
        <w:rPr>
          <w:sz w:val="24"/>
        </w:rPr>
        <w:t>La familia es la red de apoyo social más significativa e importante del individuo.</w:t>
      </w:r>
    </w:p>
    <w:p>
      <w:pPr>
        <w:pStyle w:val="ListParagraph"/>
        <w:numPr>
          <w:ilvl w:val="0"/>
          <w:numId w:val="10"/>
        </w:numPr>
        <w:tabs>
          <w:tab w:pos="380" w:val="left" w:leader="none"/>
        </w:tabs>
        <w:spacing w:line="240" w:lineRule="auto" w:before="0" w:after="0"/>
        <w:ind w:left="116" w:right="103" w:firstLine="0"/>
        <w:jc w:val="both"/>
        <w:rPr>
          <w:sz w:val="24"/>
        </w:rPr>
      </w:pPr>
      <w:r>
        <w:rPr>
          <w:sz w:val="24"/>
        </w:rPr>
        <w:t>El apoyo social está influenciado por las características sociodemográficas del beneficiario del apoyo y sus características personales (asertividad, habilidades sociales, etc.)</w:t>
      </w:r>
    </w:p>
    <w:p>
      <w:pPr>
        <w:pStyle w:val="BodyText"/>
      </w:pPr>
    </w:p>
    <w:p>
      <w:pPr>
        <w:pStyle w:val="BodyText"/>
        <w:ind w:left="116"/>
        <w:jc w:val="both"/>
      </w:pPr>
      <w:r>
        <w:rPr/>
        <w:t>El Apoyo Social en Insuficiencia Renal Crónica:</w:t>
      </w:r>
    </w:p>
    <w:p>
      <w:pPr>
        <w:pStyle w:val="BodyText"/>
      </w:pPr>
    </w:p>
    <w:p>
      <w:pPr>
        <w:pStyle w:val="BodyText"/>
        <w:ind w:left="116" w:right="103"/>
        <w:jc w:val="both"/>
      </w:pPr>
      <w:r>
        <w:rPr/>
        <w:t>El estudio del Apoyo Social, se hace particularmente necesario en las enfermedades crónicas, pues su nivel de cronicidad va deteriorando progresivamente a los sujetos que la padecen y hace que este recurso sea de gran importancia para estas personas, debido a su influencia en los niveles de salud y como amortiguador de las consecuencias negativas de estas enfermedades; otra razón que avala dicha necesidad, es la gran incidencia de estas enfermedades en el mundo contemporáneo.</w:t>
      </w:r>
    </w:p>
    <w:p>
      <w:pPr>
        <w:spacing w:after="0"/>
        <w:jc w:val="both"/>
        <w:sectPr>
          <w:pgSz w:w="12240" w:h="15840"/>
          <w:pgMar w:header="0" w:footer="1032" w:top="1360" w:bottom="1220" w:left="1580" w:right="1600"/>
        </w:sectPr>
      </w:pPr>
    </w:p>
    <w:p>
      <w:pPr>
        <w:pStyle w:val="BodyText"/>
        <w:spacing w:before="50"/>
        <w:ind w:left="116" w:right="103"/>
        <w:jc w:val="both"/>
        <w:rPr>
          <w:b/>
          <w:sz w:val="16"/>
        </w:rPr>
      </w:pPr>
      <w:r>
        <w:rPr/>
        <w:t>De manera contradictoria con lo planteado, M. A. Roca refiere que los problemas que se prolongan en el tiempo o que tienden a sugerir que a pesar de la ayuda brindada no habrá ningún cambio en la situación (las enfermedades crónicas y estadios terminales) favorecen el retiro del apoyo y la disminución de la disponibilidad de este recurso, con la consecuente influencia negativa sobre la salud del individuo enfermo que genera la soledad y el aislamiento, lo que en nuestra opinión justifican el interés creciente que se le brinda al Apoyo Social en las enfermedades crónicas.</w:t>
      </w:r>
      <w:r>
        <w:rPr>
          <w:b/>
          <w:position w:val="-2"/>
          <w:sz w:val="16"/>
        </w:rPr>
        <w:t>8</w:t>
      </w:r>
    </w:p>
    <w:p>
      <w:pPr>
        <w:pStyle w:val="BodyText"/>
        <w:spacing w:before="10"/>
        <w:rPr>
          <w:b/>
          <w:sz w:val="22"/>
        </w:rPr>
      </w:pPr>
    </w:p>
    <w:p>
      <w:pPr>
        <w:pStyle w:val="BodyText"/>
        <w:ind w:left="116" w:right="103"/>
        <w:jc w:val="both"/>
      </w:pPr>
      <w:r>
        <w:rPr/>
        <w:t>La relación entre Apoyo Social y enfermedades crónicas se establece fundamentalmente en el proceso de afrontamiento y la adaptación a la enfermedad, se identifica además como modulador del estrés que genera ser portador de una enfermedad con esas características.</w:t>
      </w:r>
    </w:p>
    <w:p>
      <w:pPr>
        <w:pStyle w:val="BodyText"/>
        <w:spacing w:before="2"/>
        <w:ind w:left="116" w:right="103"/>
        <w:jc w:val="both"/>
        <w:rPr>
          <w:b/>
          <w:sz w:val="16"/>
        </w:rPr>
      </w:pPr>
      <w:r>
        <w:rPr/>
        <w:t>A nivel mundial las enfermedades crónicas han tenido un amplio abordaje en el estudio del Apoyo Social, destacándose las enfermedades del corazón, la hipertensión arterial, la diabetes mellitus y los tumores malignos.</w:t>
      </w:r>
      <w:r>
        <w:rPr>
          <w:b/>
          <w:position w:val="-2"/>
          <w:sz w:val="16"/>
        </w:rPr>
        <w:t>8,9,10,11.</w:t>
      </w:r>
    </w:p>
    <w:p>
      <w:pPr>
        <w:pStyle w:val="BodyText"/>
        <w:spacing w:before="3"/>
        <w:rPr>
          <w:b/>
          <w:sz w:val="23"/>
        </w:rPr>
      </w:pPr>
    </w:p>
    <w:p>
      <w:pPr>
        <w:pStyle w:val="BodyText"/>
        <w:spacing w:line="274" w:lineRule="exact"/>
        <w:ind w:left="116" w:right="103"/>
        <w:jc w:val="both"/>
      </w:pPr>
      <w:r>
        <w:rPr/>
        <w:t>También es evaluado con gran frecuencia el Apoyo Social que reciben los sujetos cuidadores de los enfermos crónicos.</w:t>
      </w:r>
      <w:r>
        <w:rPr>
          <w:b/>
          <w:position w:val="-2"/>
          <w:sz w:val="16"/>
        </w:rPr>
        <w:t>12,13</w:t>
      </w:r>
      <w:r>
        <w:rPr/>
        <w:t>.</w:t>
      </w:r>
    </w:p>
    <w:p>
      <w:pPr>
        <w:pStyle w:val="BodyText"/>
        <w:spacing w:before="8"/>
        <w:rPr>
          <w:sz w:val="23"/>
        </w:rPr>
      </w:pPr>
    </w:p>
    <w:p>
      <w:pPr>
        <w:pStyle w:val="BodyText"/>
        <w:ind w:left="116" w:right="103"/>
        <w:jc w:val="both"/>
        <w:rPr>
          <w:b/>
          <w:sz w:val="16"/>
        </w:rPr>
      </w:pPr>
      <w:r>
        <w:rPr/>
        <w:t>El periodo evolutivo de la tercera edad ha sido privilegiado por los estudiosos del Apoyo Social, por ser esta etapa donde más se reflejan las consecuencias de ser un enfermo crónico, además de ser demandada cada vez más la intervención de las relaciones interpersonales y su importancia para el bienestar subjetivo del anciano</w:t>
      </w:r>
      <w:r>
        <w:rPr>
          <w:b/>
          <w:position w:val="-2"/>
          <w:sz w:val="16"/>
        </w:rPr>
        <w:t>. 8,14,15,16.</w:t>
      </w:r>
    </w:p>
    <w:p>
      <w:pPr>
        <w:pStyle w:val="BodyText"/>
        <w:spacing w:before="10"/>
        <w:rPr>
          <w:b/>
          <w:sz w:val="22"/>
        </w:rPr>
      </w:pPr>
    </w:p>
    <w:p>
      <w:pPr>
        <w:pStyle w:val="BodyText"/>
        <w:ind w:left="116" w:right="103"/>
        <w:jc w:val="both"/>
        <w:rPr>
          <w:b/>
          <w:sz w:val="16"/>
        </w:rPr>
      </w:pPr>
      <w:r>
        <w:rPr/>
        <w:t>En la actualidad se encuentran referidos en la bibliografía un gran número de estudios con  el fin de construir y validar en diferentes contextos y enfermedades disímiles cuestionarios de Apoyo</w:t>
      </w:r>
      <w:r>
        <w:rPr>
          <w:spacing w:val="-4"/>
        </w:rPr>
        <w:t> </w:t>
      </w:r>
      <w:r>
        <w:rPr/>
        <w:t>Social.</w:t>
      </w:r>
      <w:r>
        <w:rPr>
          <w:b/>
          <w:position w:val="-2"/>
          <w:sz w:val="16"/>
        </w:rPr>
        <w:t>17,18</w:t>
      </w:r>
    </w:p>
    <w:p>
      <w:pPr>
        <w:pStyle w:val="BodyText"/>
        <w:spacing w:before="10"/>
        <w:rPr>
          <w:b/>
          <w:sz w:val="22"/>
        </w:rPr>
      </w:pPr>
    </w:p>
    <w:p>
      <w:pPr>
        <w:pStyle w:val="BodyText"/>
        <w:ind w:left="116" w:right="103"/>
        <w:jc w:val="both"/>
        <w:rPr>
          <w:b/>
          <w:sz w:val="13"/>
        </w:rPr>
      </w:pPr>
      <w:r>
        <w:rPr/>
        <w:t>Otra vertiente actual dentro del estudio del Apoyo Social en los enfermos crónicos, es la referida a su evaluación en los Enfermos Renales Crónicos, muchas veces vinculados con estudios de calidad de vida. Así tenemos referencia de un estudio desarrollado por Samir  SP y cols, con el objetivo de investigar la interrelación existente entre las creencias religiosas, factores psicosociales y médicos y donde encuentran que las creencias religiosas están relacionadas con la percepción de depresión, de los efectos de la enfermedad, el  apoyo social, y la calidad de vida independientemente de los aspectos médicos de enfermedad</w:t>
      </w:r>
      <w:r>
        <w:rPr>
          <w:sz w:val="19"/>
        </w:rPr>
        <w:t>.</w:t>
      </w:r>
      <w:r>
        <w:rPr>
          <w:b/>
          <w:position w:val="-2"/>
          <w:sz w:val="13"/>
        </w:rPr>
        <w:t>19</w:t>
      </w:r>
    </w:p>
    <w:p>
      <w:pPr>
        <w:pStyle w:val="BodyText"/>
        <w:spacing w:before="3"/>
        <w:rPr>
          <w:b/>
          <w:sz w:val="19"/>
        </w:rPr>
      </w:pPr>
    </w:p>
    <w:p>
      <w:pPr>
        <w:pStyle w:val="BodyText"/>
        <w:ind w:left="116" w:right="103"/>
        <w:jc w:val="both"/>
        <w:rPr>
          <w:b/>
          <w:sz w:val="16"/>
        </w:rPr>
      </w:pPr>
      <w:r>
        <w:rPr/>
        <w:t>En un estudio sobre la relación entre Calidad de Vida y las relaciones psicosociales en los pacientes con Insuficiencia Renal Crónica, desarrollado por Shidler NE y cols se determinó que los niveles de Apoyo Social percibido no correlacionaron con otras variables del estudio (depresión, calidad de vida, percepción de la enfermedad), que el nivel medio de apoyo social percibido era más bajo entre los pacientes con IRC que en los pacientes con IRCT, por lo que el Apoyo Social puede jugar un papel importante para los individuos que empiezan a experimentar un declive en su función</w:t>
      </w:r>
      <w:r>
        <w:rPr>
          <w:spacing w:val="-2"/>
        </w:rPr>
        <w:t> </w:t>
      </w:r>
      <w:r>
        <w:rPr/>
        <w:t>renal.</w:t>
      </w:r>
      <w:r>
        <w:rPr>
          <w:b/>
          <w:position w:val="-2"/>
          <w:sz w:val="16"/>
        </w:rPr>
        <w:t>20</w:t>
      </w:r>
    </w:p>
    <w:p>
      <w:pPr>
        <w:spacing w:after="0"/>
        <w:jc w:val="both"/>
        <w:rPr>
          <w:sz w:val="16"/>
        </w:rPr>
        <w:sectPr>
          <w:pgSz w:w="12240" w:h="15840"/>
          <w:pgMar w:header="0" w:footer="1032" w:top="1360" w:bottom="1220" w:left="1580" w:right="1600"/>
        </w:sectPr>
      </w:pPr>
    </w:p>
    <w:p>
      <w:pPr>
        <w:pStyle w:val="BodyText"/>
        <w:spacing w:before="50"/>
        <w:ind w:left="116" w:right="103"/>
        <w:jc w:val="both"/>
        <w:rPr>
          <w:b/>
          <w:sz w:val="16"/>
        </w:rPr>
      </w:pPr>
      <w:r>
        <w:rPr/>
        <w:t>También ha sido investigada la relación entre Apoyo Social y mortalidad en estos  pacientes. En un estudio prospectivo realizado en EUA por Mc Clellan y cols se determinó que fue superior la cantidad de sujetos sobrevivientes que ofrecieron Apoyo Social a sus familiares y amigos, que no hubo diferencias además, en el riesgo de morir en ambos  grupos (sobrevivientes y fallecidos) respecto al apoyo recibido, por lo que plantean que el Apoyo Social es un factor de riesgo independiente para la mortalidad entre los nuevos pacientes en</w:t>
      </w:r>
      <w:r>
        <w:rPr>
          <w:spacing w:val="-2"/>
        </w:rPr>
        <w:t> </w:t>
      </w:r>
      <w:r>
        <w:rPr/>
        <w:t>diálisis.</w:t>
      </w:r>
      <w:r>
        <w:rPr>
          <w:b/>
          <w:position w:val="-2"/>
          <w:sz w:val="16"/>
        </w:rPr>
        <w:t>21</w:t>
      </w:r>
    </w:p>
    <w:p>
      <w:pPr>
        <w:pStyle w:val="BodyText"/>
        <w:spacing w:before="10"/>
        <w:rPr>
          <w:b/>
          <w:sz w:val="22"/>
        </w:rPr>
      </w:pPr>
    </w:p>
    <w:p>
      <w:pPr>
        <w:pStyle w:val="BodyText"/>
        <w:ind w:left="116" w:right="103"/>
        <w:jc w:val="both"/>
        <w:rPr>
          <w:b/>
          <w:sz w:val="13"/>
        </w:rPr>
      </w:pPr>
      <w:r>
        <w:rPr/>
        <w:t>Un estudio realizado en la Ciudad de México con el objetivo de evaluar el efecto que tiene la red familiar de apoyo en la asistencia al paciente con IRC, determinó que la red familiar influyó de manera significativa en la asistencia y cuidados que recibe el paciente, situación vinculada con el funcionamiento familiar</w:t>
      </w:r>
      <w:r>
        <w:rPr>
          <w:sz w:val="19"/>
        </w:rPr>
        <w:t>.</w:t>
      </w:r>
      <w:r>
        <w:rPr>
          <w:b/>
          <w:position w:val="-2"/>
          <w:sz w:val="13"/>
        </w:rPr>
        <w:t>22</w:t>
      </w:r>
    </w:p>
    <w:p>
      <w:pPr>
        <w:pStyle w:val="BodyText"/>
        <w:spacing w:before="3"/>
        <w:rPr>
          <w:b/>
          <w:sz w:val="19"/>
        </w:rPr>
      </w:pPr>
    </w:p>
    <w:p>
      <w:pPr>
        <w:pStyle w:val="BodyText"/>
        <w:ind w:left="116" w:right="103"/>
        <w:jc w:val="both"/>
        <w:rPr>
          <w:b/>
          <w:sz w:val="16"/>
        </w:rPr>
      </w:pPr>
      <w:r>
        <w:rPr/>
        <w:t>De manera general se infiere que el apoyo social influye en la salud física de las personas y se ha planteado en el caso específico de los pacientes con IRCT que la presencia de apoyo socio-familiar facilita la adaptación al tratamiento dialítico.</w:t>
      </w:r>
      <w:r>
        <w:rPr>
          <w:b/>
          <w:position w:val="-2"/>
          <w:sz w:val="16"/>
        </w:rPr>
        <w:t>23</w:t>
      </w:r>
    </w:p>
    <w:p>
      <w:pPr>
        <w:pStyle w:val="BodyText"/>
        <w:spacing w:before="10"/>
        <w:rPr>
          <w:b/>
          <w:sz w:val="22"/>
        </w:rPr>
      </w:pPr>
    </w:p>
    <w:p>
      <w:pPr>
        <w:pStyle w:val="BodyText"/>
        <w:ind w:left="116" w:right="103"/>
        <w:jc w:val="both"/>
      </w:pPr>
      <w:r>
        <w:rPr/>
        <w:t>Los estudios que evalúan el Apoyo Social en los pacientes con IRC son bastante limitados  y los aportes teóricos al respecto, así como su sistematización están por revelarse, por lo  que el estudio del tema en estos pacientes se abre como un campo con muchas  posibilidades futuras de desarrollo.</w:t>
      </w:r>
    </w:p>
    <w:p>
      <w:pPr>
        <w:pStyle w:val="BodyText"/>
      </w:pPr>
    </w:p>
    <w:p>
      <w:pPr>
        <w:pStyle w:val="BodyText"/>
        <w:ind w:left="116" w:right="103"/>
        <w:jc w:val="both"/>
      </w:pPr>
      <w:r>
        <w:rPr/>
        <w:t>En todo el proceso de enfermar, influye de manera importante la familia, la cual como principal ente socializador del individuo, trasmite hábitos, actitudes, costumbres, creencias  y conductas vinculadas a la percepción de salud y de enfermedad. Es precisamente este grupo social conjuntamente con el Apoyo Social lo que se investiga en los pacientes con Insuficiencia Renal Crónica Terminal, pues es conocida la función fundamental de la familia como generadora de Apoyo Social a sus miembros, ya que es el primer grupo humano donde se desarrolla el individuo y con el cual se establecen vínculos más estrechos y de donde los sujetos aspiran a recibir la mayor fuente de apoyo.</w:t>
      </w:r>
    </w:p>
    <w:p>
      <w:pPr>
        <w:pStyle w:val="BodyText"/>
      </w:pPr>
    </w:p>
    <w:p>
      <w:pPr>
        <w:pStyle w:val="BodyText"/>
        <w:spacing w:before="9"/>
        <w:rPr>
          <w:sz w:val="23"/>
        </w:rPr>
      </w:pPr>
    </w:p>
    <w:p>
      <w:pPr>
        <w:pStyle w:val="Heading1"/>
        <w:numPr>
          <w:ilvl w:val="1"/>
          <w:numId w:val="3"/>
        </w:numPr>
        <w:tabs>
          <w:tab w:pos="451" w:val="left" w:leader="none"/>
        </w:tabs>
        <w:spacing w:line="240" w:lineRule="auto" w:before="0" w:after="0"/>
        <w:ind w:left="450" w:right="0" w:hanging="334"/>
        <w:jc w:val="both"/>
        <w:rPr>
          <w:b w:val="0"/>
        </w:rPr>
      </w:pPr>
      <w:r>
        <w:rPr/>
        <w:t>COMPONENTES Y FUNCIONES DEL SOPORTE</w:t>
      </w:r>
      <w:r>
        <w:rPr>
          <w:spacing w:val="-1"/>
        </w:rPr>
        <w:t> </w:t>
      </w:r>
      <w:r>
        <w:rPr/>
        <w:t>SOCIAL</w:t>
      </w:r>
      <w:r>
        <w:rPr>
          <w:b w:val="0"/>
        </w:rPr>
        <w:t>.</w:t>
      </w:r>
    </w:p>
    <w:p>
      <w:pPr>
        <w:pStyle w:val="BodyText"/>
      </w:pPr>
    </w:p>
    <w:p>
      <w:pPr>
        <w:pStyle w:val="BodyText"/>
        <w:ind w:left="116" w:right="103"/>
        <w:jc w:val="both"/>
      </w:pPr>
      <w:r>
        <w:rPr/>
        <w:t>El concepto de soporte social y sus operacionalizaciones pueden ser organizadas en tres categorías amplias: redes sociales, soporte social percibido, y soporte social efectivo. La primera se refiere a las conexiones que los individuos tienen para significar a otros en su medio social, teniendo un sentimiento psicológico de comunidad. La segunda representa la valoración cognitiva que hace la persona respecto a quiénes les pueden proveer  determinada ayuda en momentos de necesidad. Estas personas no dan soporte social efectivo, pero constituyen para el sujeto personas disponibles o recursos para situaciones problemáticas, lo que le proporciona seguridad dentro y fuera de las situaciones estresantes.</w:t>
      </w:r>
    </w:p>
    <w:p>
      <w:pPr>
        <w:pStyle w:val="BodyText"/>
        <w:spacing w:before="4"/>
      </w:pPr>
    </w:p>
    <w:p>
      <w:pPr>
        <w:pStyle w:val="BodyText"/>
        <w:spacing w:line="274" w:lineRule="exact" w:before="1"/>
        <w:ind w:left="116" w:right="103"/>
        <w:jc w:val="both"/>
      </w:pPr>
      <w:r>
        <w:rPr/>
        <w:t>Finalmente, el soporte social efectivo simboliza las acciones soportivas mismas, a la ayuda efectiva, y a las acciones que recibe de los otros en momentos de necesidades.</w:t>
      </w:r>
    </w:p>
    <w:p>
      <w:pPr>
        <w:spacing w:after="0" w:line="274" w:lineRule="exact"/>
        <w:jc w:val="both"/>
        <w:sectPr>
          <w:pgSz w:w="12240" w:h="15840"/>
          <w:pgMar w:header="0" w:footer="1032" w:top="1360" w:bottom="1220" w:left="1580" w:right="1600"/>
        </w:sectPr>
      </w:pPr>
    </w:p>
    <w:p>
      <w:pPr>
        <w:pStyle w:val="BodyText"/>
        <w:spacing w:before="50"/>
        <w:ind w:left="116" w:right="103"/>
        <w:jc w:val="both"/>
      </w:pPr>
      <w:r>
        <w:rPr/>
        <w:t>Respecto a la función del apoyo social se reconocen cuatro tipos, el emocional que provee al individuo sentimientos de estima, afecto, confianza, seguridad; el valorativo, representa  la sensación percibida por el individuo en la que puede contar con alguien, y sentirse acompañado socialmente; el informacional, también conocido como consejo o guía cognitiva, que ayuda a definir y enfrentar los eventos problemáticos mediante  asesoramiento por parte de la red; el instrumental constituye la ayuda tangible y material en la solución a un problema.</w:t>
      </w:r>
    </w:p>
    <w:p>
      <w:pPr>
        <w:pStyle w:val="BodyText"/>
      </w:pPr>
    </w:p>
    <w:p>
      <w:pPr>
        <w:pStyle w:val="BodyText"/>
        <w:ind w:left="116" w:right="103"/>
        <w:jc w:val="both"/>
      </w:pPr>
      <w:r>
        <w:rPr/>
        <w:t>También se ha relacionado la carencia de apoyo con la aparición de enfermedades mentales como la depresión, la neurosis, se ha visto como las personas que sufren trastornos de esta índole poseen redes sociales pequeñas, menos intercambios de recursos y relaciones no recíprocas.</w:t>
      </w:r>
    </w:p>
    <w:p>
      <w:pPr>
        <w:pStyle w:val="BodyText"/>
      </w:pPr>
    </w:p>
    <w:p>
      <w:pPr>
        <w:pStyle w:val="BodyText"/>
        <w:ind w:left="116" w:right="103"/>
        <w:jc w:val="both"/>
      </w:pPr>
      <w:r>
        <w:rPr/>
        <w:t>Se ha encontrado que los pacientes con diversas enfermedades crónicas que tienen un alto nivel de satisfacción en relación al apoyo social presentan un mejor grado de adaptación a  la enfermedad y es más importante la percepción que tiene el paciente de lo adecuado del soporte social que el soporte que realmente recibe. La percepción de disponer de apoyo protege a las personas de los efectos patogénicos de los eventos estresantes.</w:t>
      </w:r>
    </w:p>
    <w:p>
      <w:pPr>
        <w:pStyle w:val="BodyText"/>
        <w:spacing w:before="4"/>
      </w:pPr>
    </w:p>
    <w:p>
      <w:pPr>
        <w:pStyle w:val="BodyText"/>
        <w:spacing w:line="274" w:lineRule="exact" w:before="1"/>
        <w:ind w:left="116" w:right="103"/>
        <w:jc w:val="both"/>
      </w:pPr>
      <w:r>
        <w:rPr/>
        <w:t>Estas tres perspectivas recogen los tres aspectos de las relaciones sociales: cantidad, estructura, y función, que están lógica y empíricamente interrelacionados.</w:t>
      </w:r>
    </w:p>
    <w:p>
      <w:pPr>
        <w:pStyle w:val="BodyText"/>
        <w:spacing w:before="8"/>
        <w:rPr>
          <w:sz w:val="23"/>
        </w:rPr>
      </w:pPr>
    </w:p>
    <w:p>
      <w:pPr>
        <w:pStyle w:val="BodyText"/>
        <w:ind w:left="116" w:right="103"/>
        <w:jc w:val="both"/>
      </w:pPr>
      <w:r>
        <w:rPr/>
        <w:t>En primer caso, el “apoyo social” se refiere a la existencia, cantidad y frecuencia de relaciones sociales que una persona tiene. Estos son los indicadores más utilizados para evaluar la integración y participación social de un sujeto. Medirlos nos asegura la existencia de relaciones sociales, requisito previo para analizar la estructura y consecuencias de esas relaciones. Pero conocer su existencia no aclara los efectos que sobre el sujeto tiene el mantenimiento de esas relaciones sociales, ni si son proveedoras de apoyo.</w:t>
      </w:r>
    </w:p>
    <w:p>
      <w:pPr>
        <w:pStyle w:val="BodyText"/>
      </w:pPr>
    </w:p>
    <w:p>
      <w:pPr>
        <w:pStyle w:val="BodyText"/>
        <w:ind w:left="116" w:right="103"/>
        <w:jc w:val="both"/>
      </w:pPr>
      <w:r>
        <w:rPr/>
        <w:t>En el segundo caso, se define el “apoyo social” como la estructura de las relaciones sociales de la persona. El termino red social describirá los vínculos establecidos entre los componentes de ella. El análisis de dichos vínculos y de sus efectos sobre las relaciones sociales, estaría encaminado a la obtención de distintos patrones estructurales que pudiesen explicar diferencialmente dichos efectos. Aunque este tipo de estudios resulta interesante para conocer de forma exhaustiva el entorno del sujeto, no se han podido establecer relaciones importantes entre aspectos estructurales de las redes sociales e indicadores de salud.</w:t>
      </w:r>
    </w:p>
    <w:p>
      <w:pPr>
        <w:pStyle w:val="BodyText"/>
      </w:pPr>
    </w:p>
    <w:p>
      <w:pPr>
        <w:pStyle w:val="BodyText"/>
        <w:ind w:left="116" w:right="103"/>
        <w:jc w:val="both"/>
      </w:pPr>
      <w:r>
        <w:rPr/>
        <w:t>La enfermedad crónica suele tener un impacto negativo sobre la propia red social del enfermo, produciéndose un efecto de retroalimentación, por el cual el deterioro de la red social lleva al deterioro del funcionamiento social, y finalmente al deterioro de la calidad de vida. Esto es particularmente evidente en el caso del sistema familiar. La familia juega un papel importante en el afrontamiento de la enfermedad crónica.</w:t>
      </w:r>
    </w:p>
    <w:p>
      <w:pPr>
        <w:spacing w:after="0"/>
        <w:jc w:val="both"/>
        <w:sectPr>
          <w:pgSz w:w="12240" w:h="15840"/>
          <w:pgMar w:header="0" w:footer="1032" w:top="1360" w:bottom="1220" w:left="1580" w:right="1600"/>
        </w:sectPr>
      </w:pPr>
    </w:p>
    <w:p>
      <w:pPr>
        <w:pStyle w:val="Heading1"/>
        <w:numPr>
          <w:ilvl w:val="1"/>
          <w:numId w:val="3"/>
        </w:numPr>
        <w:tabs>
          <w:tab w:pos="451" w:val="left" w:leader="none"/>
        </w:tabs>
        <w:spacing w:line="240" w:lineRule="auto" w:before="50" w:after="0"/>
        <w:ind w:left="450" w:right="0" w:hanging="334"/>
        <w:jc w:val="both"/>
      </w:pPr>
      <w:bookmarkStart w:name="_TOC_250039" w:id="5"/>
      <w:bookmarkEnd w:id="5"/>
      <w:r>
        <w:rPr/>
        <w:t>PREVALENCIA DE LA ENFERMEDAD RENAL CRÓNICA</w:t>
      </w:r>
    </w:p>
    <w:p>
      <w:pPr>
        <w:pStyle w:val="BodyText"/>
        <w:rPr>
          <w:b/>
        </w:rPr>
      </w:pPr>
    </w:p>
    <w:p>
      <w:pPr>
        <w:pStyle w:val="BodyText"/>
        <w:ind w:left="116" w:right="103"/>
        <w:jc w:val="both"/>
        <w:rPr>
          <w:b/>
          <w:sz w:val="16"/>
        </w:rPr>
      </w:pPr>
      <w:r>
        <w:rPr/>
        <w:t>El Instituto Mexicano del Seguro Social al mes de Febrero de 2010, contaba con poco más de 51 millones de derechohabientes registrados, que generan cada año aproximadamente 25 millones de consultas de Especialidades, de las cuales 1.5% corresponden a pacientes con </w:t>
      </w:r>
      <w:r>
        <w:rPr>
          <w:b/>
        </w:rPr>
        <w:t>Insuficiencia Renal Crónica (IRC) </w:t>
      </w:r>
      <w:r>
        <w:rPr/>
        <w:t>(379,281 consultas al cierre de 2011)</w:t>
      </w:r>
      <w:r>
        <w:rPr>
          <w:b/>
          <w:position w:val="-2"/>
          <w:sz w:val="16"/>
        </w:rPr>
        <w:t>24</w:t>
      </w:r>
    </w:p>
    <w:p>
      <w:pPr>
        <w:pStyle w:val="BodyText"/>
        <w:spacing w:before="3"/>
        <w:rPr>
          <w:b/>
          <w:sz w:val="23"/>
        </w:rPr>
      </w:pPr>
    </w:p>
    <w:p>
      <w:pPr>
        <w:pStyle w:val="BodyText"/>
        <w:spacing w:line="235" w:lineRule="auto"/>
        <w:ind w:left="116" w:right="103"/>
        <w:jc w:val="both"/>
      </w:pPr>
      <w:r>
        <w:rPr/>
        <w:t>Esta patología tiene una importante Incidencia en la población adulta productiva así como en los adultos mayores (principalmente entre los 55 a los 69 años de edad).</w:t>
      </w:r>
      <w:r>
        <w:rPr>
          <w:position w:val="-2"/>
          <w:sz w:val="16"/>
        </w:rPr>
        <w:t>5 </w:t>
      </w:r>
      <w:r>
        <w:rPr/>
        <w:t>en América Latina, por ejemplo, se estima, que 40% de los casos incidentes se presentan en población mayor de 65 años.</w:t>
      </w:r>
      <w:r>
        <w:rPr>
          <w:position w:val="-2"/>
          <w:sz w:val="16"/>
        </w:rPr>
        <w:t>6 </w:t>
      </w:r>
      <w:r>
        <w:rPr/>
        <w:t>Este hecho, aunado al aumento en la esperanza de vida de la población, ha derivado en un incremento significativo en el gasto Institucional para atender este padecimiento, el cual aumentó 57% entre 2003 y 2011.</w:t>
      </w:r>
    </w:p>
    <w:p>
      <w:pPr>
        <w:pStyle w:val="BodyText"/>
        <w:spacing w:before="1"/>
      </w:pPr>
    </w:p>
    <w:p>
      <w:pPr>
        <w:pStyle w:val="BodyText"/>
        <w:ind w:left="116" w:right="103"/>
        <w:jc w:val="both"/>
        <w:rPr>
          <w:b/>
          <w:sz w:val="16"/>
        </w:rPr>
      </w:pPr>
      <w:r>
        <w:rPr/>
        <w:t>A nivel mundial, se estima que 56% de la población con IRC ingresa a un programa de Hemodiálisis, 23% a uno de Diálisis Peritoneal (en cualquier modalidad) y sólo 21% recibe un Trasplante Renal, aunque la proporción de pacientes en cada modalidad varía de acuerdo a tendencias regionales. En Estados Unidos de Norteamérica (EUA), en donde, de acuerdo con un estudio de 2010 realizado a 167 mil pacientes en tratamiento por IRC, 60% de esos pacientes recibió Hemodiálisis, 10% Diálisis Peritoneal y 28% Trasplante Renal. En México, en cambio, 86% de la población está en programa de Diálisis Peritoneal y 14% en Hemodiálisis.</w:t>
      </w:r>
      <w:r>
        <w:rPr>
          <w:b/>
          <w:position w:val="-2"/>
          <w:sz w:val="16"/>
        </w:rPr>
        <w:t>25</w:t>
      </w:r>
    </w:p>
    <w:p>
      <w:pPr>
        <w:pStyle w:val="BodyText"/>
        <w:spacing w:before="10"/>
        <w:rPr>
          <w:b/>
          <w:sz w:val="22"/>
        </w:rPr>
      </w:pPr>
    </w:p>
    <w:p>
      <w:pPr>
        <w:pStyle w:val="BodyText"/>
        <w:ind w:left="116" w:right="103"/>
        <w:jc w:val="both"/>
      </w:pPr>
      <w:r>
        <w:rPr/>
        <w:t>En los últimos años, el IMSS ha presentado un incremento sustancial de pacientes en tratamiento de Diálisis Peritoneal, principalmente en la modalidad de DPA: la tasa anual de crecimiento de los últimos 5 años es de 6.6% para DPCA y de 33.2% para DPA. En números absolutos, entre 2006 y 2010, los pacientes en DPCA pasaron de 13,219 a 18,111.</w:t>
      </w:r>
    </w:p>
    <w:p>
      <w:pPr>
        <w:pStyle w:val="BodyText"/>
      </w:pPr>
    </w:p>
    <w:p>
      <w:pPr>
        <w:pStyle w:val="BodyText"/>
        <w:ind w:left="116" w:right="103"/>
        <w:jc w:val="both"/>
        <w:rPr>
          <w:b/>
          <w:sz w:val="16"/>
        </w:rPr>
      </w:pPr>
      <w:r>
        <w:rPr/>
        <w:t>La </w:t>
      </w:r>
      <w:r>
        <w:rPr>
          <w:b/>
        </w:rPr>
        <w:t>Diálisis Peritoneal </w:t>
      </w:r>
      <w:r>
        <w:rPr/>
        <w:t>es uno de los tres tratamientos existentes en la actualidad para el paciente con Enfermedad Renal Crónica en Estadio V. Es el Método Terapéutico de reemplazo Renal usado por aproximadamente 120.000 pacientes en el Mundo. Desde la introducción de la DPCA (Diálisis Peritoneal Continua Ambulatoria) hace 30 años, su popularidad se ha incrementado mucho, fundamentalmente por su simplicidad,  conveniencia y relativamente bajo</w:t>
      </w:r>
      <w:r>
        <w:rPr>
          <w:spacing w:val="-2"/>
        </w:rPr>
        <w:t> </w:t>
      </w:r>
      <w:r>
        <w:rPr/>
        <w:t>costo.</w:t>
      </w:r>
      <w:r>
        <w:rPr>
          <w:b/>
          <w:position w:val="-2"/>
          <w:sz w:val="16"/>
        </w:rPr>
        <w:t>26</w:t>
      </w:r>
    </w:p>
    <w:p>
      <w:pPr>
        <w:pStyle w:val="BodyText"/>
        <w:spacing w:before="10"/>
        <w:rPr>
          <w:b/>
          <w:sz w:val="22"/>
        </w:rPr>
      </w:pPr>
    </w:p>
    <w:p>
      <w:pPr>
        <w:pStyle w:val="BodyText"/>
        <w:ind w:left="116" w:right="103"/>
        <w:jc w:val="both"/>
        <w:rPr>
          <w:b/>
          <w:sz w:val="16"/>
        </w:rPr>
      </w:pPr>
      <w:r>
        <w:rPr/>
        <w:t>Dentro de los datos registrados se refiere que aproximadamente 86% de los pacientes bajo el esquema de Diálisis Peritoneal sobreviven a un año de haberla iniciado pero, lamentablemente, esta cifra disminuye a 38% a los cinco años. Tal variación en las expectativas de vida obedece las características propias del paciente, la enfermedad y padecimientos coexistentes, como puede ser la edad, presencia de Diabetes Mellitus, Hipertensión Arterial, Malnutrición (desnutrición y obesidad), inicio tardío del tratamiento  y eventos de peritonitis, entre</w:t>
      </w:r>
      <w:r>
        <w:rPr>
          <w:spacing w:val="-2"/>
        </w:rPr>
        <w:t> </w:t>
      </w:r>
      <w:r>
        <w:rPr/>
        <w:t>otros.</w:t>
      </w:r>
      <w:r>
        <w:rPr>
          <w:b/>
          <w:position w:val="-2"/>
          <w:sz w:val="16"/>
        </w:rPr>
        <w:t>27</w:t>
      </w:r>
    </w:p>
    <w:p>
      <w:pPr>
        <w:pStyle w:val="BodyText"/>
        <w:spacing w:before="5"/>
        <w:rPr>
          <w:b/>
          <w:sz w:val="22"/>
        </w:rPr>
      </w:pPr>
    </w:p>
    <w:p>
      <w:pPr>
        <w:pStyle w:val="BodyText"/>
        <w:ind w:left="116" w:right="103"/>
        <w:jc w:val="both"/>
      </w:pPr>
      <w:r>
        <w:rPr/>
        <w:t>La etiología de las complicaciones puede estar asociada tanto al procedimiento mismo  como a las condiciones clínicas propias del paciente. Las publicaciones especializadas señalan el siguiente orden en la frecuencia de morbilidad presentada por estos pacientes: Peritonitis</w:t>
      </w:r>
      <w:r>
        <w:rPr>
          <w:spacing w:val="28"/>
        </w:rPr>
        <w:t> </w:t>
      </w:r>
      <w:r>
        <w:rPr/>
        <w:t>(21%),</w:t>
      </w:r>
      <w:r>
        <w:rPr>
          <w:spacing w:val="28"/>
        </w:rPr>
        <w:t> </w:t>
      </w:r>
      <w:r>
        <w:rPr/>
        <w:t>Infección</w:t>
      </w:r>
      <w:r>
        <w:rPr>
          <w:spacing w:val="28"/>
        </w:rPr>
        <w:t> </w:t>
      </w:r>
      <w:r>
        <w:rPr/>
        <w:t>no</w:t>
      </w:r>
      <w:r>
        <w:rPr>
          <w:spacing w:val="28"/>
        </w:rPr>
        <w:t> </w:t>
      </w:r>
      <w:r>
        <w:rPr/>
        <w:t>Peritoneal</w:t>
      </w:r>
      <w:r>
        <w:rPr>
          <w:spacing w:val="28"/>
        </w:rPr>
        <w:t> </w:t>
      </w:r>
      <w:r>
        <w:rPr/>
        <w:t>(16%),</w:t>
      </w:r>
      <w:r>
        <w:rPr>
          <w:spacing w:val="28"/>
        </w:rPr>
        <w:t> </w:t>
      </w:r>
      <w:r>
        <w:rPr/>
        <w:t>Enfermedad</w:t>
      </w:r>
      <w:r>
        <w:rPr>
          <w:spacing w:val="28"/>
        </w:rPr>
        <w:t> </w:t>
      </w:r>
      <w:r>
        <w:rPr/>
        <w:t>Vascular</w:t>
      </w:r>
      <w:r>
        <w:rPr>
          <w:spacing w:val="28"/>
        </w:rPr>
        <w:t> </w:t>
      </w:r>
      <w:r>
        <w:rPr/>
        <w:t>Periférica</w:t>
      </w:r>
      <w:r>
        <w:rPr>
          <w:spacing w:val="28"/>
        </w:rPr>
        <w:t> </w:t>
      </w:r>
      <w:r>
        <w:rPr/>
        <w:t>(14%),</w:t>
      </w:r>
    </w:p>
    <w:p>
      <w:pPr>
        <w:spacing w:after="0"/>
        <w:jc w:val="both"/>
        <w:sectPr>
          <w:pgSz w:w="12240" w:h="15840"/>
          <w:pgMar w:header="0" w:footer="1032" w:top="1360" w:bottom="1220" w:left="1580" w:right="1600"/>
        </w:sectPr>
      </w:pPr>
    </w:p>
    <w:p>
      <w:pPr>
        <w:pStyle w:val="BodyText"/>
        <w:spacing w:before="50"/>
        <w:ind w:left="116"/>
        <w:jc w:val="both"/>
      </w:pPr>
      <w:r>
        <w:rPr/>
        <w:t>Problemas Cardiacos (13%), Gastrointestinales (13%), Metabólicos (8%) y Enfermedad</w:t>
      </w:r>
    </w:p>
    <w:p>
      <w:pPr>
        <w:pStyle w:val="BodyText"/>
        <w:spacing w:before="2"/>
        <w:ind w:left="116"/>
        <w:jc w:val="both"/>
        <w:rPr>
          <w:b/>
          <w:sz w:val="16"/>
        </w:rPr>
      </w:pPr>
      <w:r>
        <w:rPr/>
        <w:t>Cerebral Vascular (3%).</w:t>
      </w:r>
      <w:r>
        <w:rPr>
          <w:b/>
          <w:position w:val="-2"/>
          <w:sz w:val="16"/>
        </w:rPr>
        <w:t>28</w:t>
      </w:r>
    </w:p>
    <w:p>
      <w:pPr>
        <w:pStyle w:val="BodyText"/>
        <w:rPr>
          <w:b/>
        </w:rPr>
      </w:pPr>
    </w:p>
    <w:p>
      <w:pPr>
        <w:pStyle w:val="BodyText"/>
        <w:spacing w:before="7"/>
        <w:rPr>
          <w:b/>
          <w:sz w:val="22"/>
        </w:rPr>
      </w:pPr>
    </w:p>
    <w:p>
      <w:pPr>
        <w:pStyle w:val="BodyText"/>
        <w:spacing w:before="1"/>
        <w:ind w:left="116" w:right="103"/>
        <w:jc w:val="both"/>
        <w:rPr>
          <w:b/>
          <w:sz w:val="16"/>
        </w:rPr>
      </w:pPr>
      <w:r>
        <w:rPr/>
        <w:t>En nuestro medio, la </w:t>
      </w:r>
      <w:r>
        <w:rPr>
          <w:b/>
        </w:rPr>
        <w:t>Peritonitis </w:t>
      </w:r>
      <w:r>
        <w:rPr/>
        <w:t>asociada al catéter permanente y la infección en el sitio de salida constituyen las complicaciones más frecuentes en pacientes con IRC, con un  episodio cada 18.6 meses, en el primer caso, y entre 0.6 y 0.7 veces por</w:t>
      </w:r>
      <w:r>
        <w:rPr>
          <w:spacing w:val="-2"/>
        </w:rPr>
        <w:t> </w:t>
      </w:r>
      <w:r>
        <w:rPr/>
        <w:t>año.</w:t>
      </w:r>
      <w:r>
        <w:rPr>
          <w:b/>
          <w:position w:val="-2"/>
          <w:sz w:val="16"/>
        </w:rPr>
        <w:t>29</w:t>
      </w:r>
    </w:p>
    <w:p>
      <w:pPr>
        <w:pStyle w:val="BodyText"/>
        <w:spacing w:before="10"/>
        <w:rPr>
          <w:b/>
          <w:sz w:val="22"/>
        </w:rPr>
      </w:pPr>
    </w:p>
    <w:p>
      <w:pPr>
        <w:pStyle w:val="BodyText"/>
        <w:ind w:left="116" w:right="103"/>
        <w:jc w:val="both"/>
        <w:rPr>
          <w:b/>
          <w:sz w:val="16"/>
        </w:rPr>
      </w:pPr>
      <w:r>
        <w:rPr/>
        <w:t>Como se señaló, la complicación más grave y frecuente es la presencia de peritonitis (infección e inflamación del peritoneo), que se mide básicamente de dos formas: la primera, de manera anual, como el número de casos de peritonitis que se han presentado en una población en un periodo determinado (años) y, la segunda, por meses- paciente, definida como la periodicidad (en meses) en que un paciente presenta un episodio de peritonitis. Actualmente los parámetros aceptados son: O tasa de incidencia de peritonitis en pacientes con DPCA= 0.7 a 1.3 episodios/ año.</w:t>
      </w:r>
      <w:r>
        <w:rPr>
          <w:b/>
          <w:position w:val="-2"/>
          <w:sz w:val="16"/>
        </w:rPr>
        <w:t>30</w:t>
      </w:r>
    </w:p>
    <w:p>
      <w:pPr>
        <w:pStyle w:val="BodyText"/>
        <w:rPr>
          <w:b/>
        </w:rPr>
      </w:pPr>
    </w:p>
    <w:p>
      <w:pPr>
        <w:pStyle w:val="BodyText"/>
        <w:spacing w:before="1"/>
        <w:rPr>
          <w:b/>
          <w:sz w:val="23"/>
        </w:rPr>
      </w:pPr>
    </w:p>
    <w:p>
      <w:pPr>
        <w:pStyle w:val="Heading1"/>
        <w:numPr>
          <w:ilvl w:val="1"/>
          <w:numId w:val="3"/>
        </w:numPr>
        <w:tabs>
          <w:tab w:pos="511" w:val="left" w:leader="none"/>
        </w:tabs>
        <w:spacing w:line="240" w:lineRule="auto" w:before="0" w:after="0"/>
        <w:ind w:left="510" w:right="0" w:hanging="394"/>
        <w:jc w:val="both"/>
      </w:pPr>
      <w:bookmarkStart w:name="_TOC_250038" w:id="6"/>
      <w:bookmarkEnd w:id="6"/>
      <w:r>
        <w:rPr/>
        <w:t>PERITONITIS</w:t>
      </w:r>
    </w:p>
    <w:p>
      <w:pPr>
        <w:pStyle w:val="BodyText"/>
        <w:rPr>
          <w:b/>
        </w:rPr>
      </w:pPr>
    </w:p>
    <w:p>
      <w:pPr>
        <w:pStyle w:val="BodyText"/>
        <w:ind w:left="116" w:right="103"/>
        <w:jc w:val="both"/>
      </w:pPr>
      <w:r>
        <w:rPr/>
        <w:t>El término “peritonitis” representa un síndrome de respuesta inflamatoria local, el cual se reconoce como LIRS (Local Inflammatory Response Syndrome), cuya causa más frecuente es la infección peritoneal y constituye un factor esencial de morbilidad y mortalidad asociadas con esta técnica. Este síndrome podría considerarse un análogo intra-abdominal del síndrome de respuesta inflamatoria generalizada.</w:t>
      </w:r>
    </w:p>
    <w:p>
      <w:pPr>
        <w:pStyle w:val="BodyText"/>
        <w:spacing w:before="4"/>
      </w:pPr>
    </w:p>
    <w:p>
      <w:pPr>
        <w:pStyle w:val="BodyText"/>
        <w:spacing w:line="274" w:lineRule="exact" w:before="1"/>
        <w:ind w:left="116" w:right="103"/>
        <w:jc w:val="both"/>
      </w:pPr>
      <w:r>
        <w:rPr/>
        <w:t>Peritonitis se define como la manifestación de dos de los siguientes signos y síntomas clínicos:</w:t>
      </w:r>
    </w:p>
    <w:p>
      <w:pPr>
        <w:pStyle w:val="ListParagraph"/>
        <w:numPr>
          <w:ilvl w:val="0"/>
          <w:numId w:val="10"/>
        </w:numPr>
        <w:tabs>
          <w:tab w:pos="261" w:val="left" w:leader="none"/>
        </w:tabs>
        <w:spacing w:line="274" w:lineRule="exact" w:before="4" w:after="0"/>
        <w:ind w:left="116" w:right="4005" w:firstLine="0"/>
        <w:jc w:val="left"/>
        <w:rPr>
          <w:sz w:val="24"/>
        </w:rPr>
      </w:pPr>
      <w:r>
        <w:rPr>
          <w:sz w:val="24"/>
        </w:rPr>
        <w:t>Dolor abdominal, náusea, vómito, diarrea o fiebre Más cualquiera de las siguientes condiciones:</w:t>
      </w:r>
    </w:p>
    <w:p>
      <w:pPr>
        <w:pStyle w:val="ListParagraph"/>
        <w:numPr>
          <w:ilvl w:val="0"/>
          <w:numId w:val="10"/>
        </w:numPr>
        <w:tabs>
          <w:tab w:pos="261" w:val="left" w:leader="none"/>
        </w:tabs>
        <w:spacing w:line="274" w:lineRule="exact" w:before="0" w:after="0"/>
        <w:ind w:left="260" w:right="0" w:hanging="144"/>
        <w:jc w:val="both"/>
        <w:rPr>
          <w:sz w:val="24"/>
        </w:rPr>
      </w:pPr>
      <w:r>
        <w:rPr>
          <w:sz w:val="24"/>
        </w:rPr>
        <w:t>Líquido de diálisis turbio</w:t>
      </w:r>
    </w:p>
    <w:p>
      <w:pPr>
        <w:pStyle w:val="ListParagraph"/>
        <w:numPr>
          <w:ilvl w:val="0"/>
          <w:numId w:val="10"/>
        </w:numPr>
        <w:tabs>
          <w:tab w:pos="261" w:val="left" w:leader="none"/>
        </w:tabs>
        <w:spacing w:line="275" w:lineRule="exact" w:before="0" w:after="0"/>
        <w:ind w:left="260" w:right="0" w:hanging="144"/>
        <w:jc w:val="both"/>
        <w:rPr>
          <w:sz w:val="24"/>
        </w:rPr>
      </w:pPr>
      <w:r>
        <w:rPr>
          <w:sz w:val="24"/>
        </w:rPr>
        <w:t>Cuenta leucocitaria &gt; 100/mm3, con 50% de leucocitos polimorfo nucleares (LPMN)</w:t>
      </w:r>
    </w:p>
    <w:p>
      <w:pPr>
        <w:pStyle w:val="ListParagraph"/>
        <w:numPr>
          <w:ilvl w:val="0"/>
          <w:numId w:val="10"/>
        </w:numPr>
        <w:tabs>
          <w:tab w:pos="261" w:val="left" w:leader="none"/>
        </w:tabs>
        <w:spacing w:line="275" w:lineRule="exact" w:before="2" w:after="0"/>
        <w:ind w:left="260" w:right="0" w:hanging="144"/>
        <w:jc w:val="both"/>
        <w:rPr>
          <w:sz w:val="24"/>
        </w:rPr>
      </w:pPr>
      <w:r>
        <w:rPr>
          <w:sz w:val="24"/>
        </w:rPr>
        <w:t>Tinción grampositiva</w:t>
      </w:r>
    </w:p>
    <w:p>
      <w:pPr>
        <w:pStyle w:val="ListParagraph"/>
        <w:numPr>
          <w:ilvl w:val="0"/>
          <w:numId w:val="10"/>
        </w:numPr>
        <w:tabs>
          <w:tab w:pos="261" w:val="left" w:leader="none"/>
        </w:tabs>
        <w:spacing w:line="275" w:lineRule="exact" w:before="0" w:after="0"/>
        <w:ind w:left="260" w:right="0" w:hanging="144"/>
        <w:jc w:val="both"/>
        <w:rPr>
          <w:sz w:val="24"/>
        </w:rPr>
      </w:pPr>
      <w:r>
        <w:rPr>
          <w:sz w:val="24"/>
        </w:rPr>
        <w:t>Cultivo positivo</w:t>
      </w:r>
    </w:p>
    <w:p>
      <w:pPr>
        <w:pStyle w:val="BodyText"/>
      </w:pPr>
    </w:p>
    <w:p>
      <w:pPr>
        <w:pStyle w:val="BodyText"/>
        <w:spacing w:before="2"/>
      </w:pPr>
    </w:p>
    <w:p>
      <w:pPr>
        <w:pStyle w:val="Heading1"/>
        <w:numPr>
          <w:ilvl w:val="1"/>
          <w:numId w:val="3"/>
        </w:numPr>
        <w:tabs>
          <w:tab w:pos="451" w:val="left" w:leader="none"/>
        </w:tabs>
        <w:spacing w:line="240" w:lineRule="auto" w:before="0" w:after="0"/>
        <w:ind w:left="450" w:right="0" w:hanging="334"/>
        <w:jc w:val="both"/>
      </w:pPr>
      <w:r>
        <w:rPr/>
        <w:t>ETIOLOGIA</w:t>
      </w:r>
    </w:p>
    <w:p>
      <w:pPr>
        <w:pStyle w:val="BodyText"/>
        <w:spacing w:before="4"/>
        <w:rPr>
          <w:b/>
        </w:rPr>
      </w:pPr>
    </w:p>
    <w:p>
      <w:pPr>
        <w:pStyle w:val="BodyText"/>
        <w:spacing w:line="274" w:lineRule="exact" w:before="1"/>
        <w:ind w:left="116" w:right="103"/>
        <w:jc w:val="both"/>
      </w:pPr>
      <w:r>
        <w:rPr/>
        <w:t>El origen microbiano relacionado con la peritonitis provocada por diálisis peritoneal es causa determinante y objeto de directrices y lineamientos de tratamiento.</w:t>
      </w:r>
    </w:p>
    <w:p>
      <w:pPr>
        <w:pStyle w:val="BodyText"/>
        <w:spacing w:before="8"/>
        <w:rPr>
          <w:sz w:val="23"/>
        </w:rPr>
      </w:pPr>
    </w:p>
    <w:p>
      <w:pPr>
        <w:pStyle w:val="BodyText"/>
        <w:ind w:left="116" w:right="103"/>
        <w:jc w:val="both"/>
      </w:pPr>
      <w:r>
        <w:rPr/>
        <w:t>La piel es la fuente de infección más importante, donde los agentes grampositivos contribuyen con 60 a 80% de los agentes infecciosos: Staphylococcus epidermidis, Staphylococcus aureus y Streptococcus spp, que pueden encontrarse en 27 a 45, 10 a 20 y 5 a 10% de los casos, respectivamente. Otros agentes grampositivos son menos frecuentes. Las bacterias gramnegativas, como Pseudomonas aeruginosa, Escherichia coli y Klebsiella pneumoniae, son causantes de peritonitis en 7.1, 6.8 y 5.2%, respectivamente.</w:t>
      </w:r>
    </w:p>
    <w:p>
      <w:pPr>
        <w:spacing w:after="0"/>
        <w:jc w:val="both"/>
        <w:sectPr>
          <w:pgSz w:w="12240" w:h="15840"/>
          <w:pgMar w:header="0" w:footer="1032" w:top="1360" w:bottom="1220" w:left="1580" w:right="1600"/>
        </w:sectPr>
      </w:pPr>
    </w:p>
    <w:p>
      <w:pPr>
        <w:pStyle w:val="BodyText"/>
        <w:spacing w:before="50"/>
        <w:ind w:left="116" w:right="103" w:firstLine="60"/>
        <w:jc w:val="both"/>
      </w:pPr>
      <w:r>
        <w:rPr/>
        <w:t>La peritonitis fúngica es infrecuente pero no rara. El incremento de la resistencia de los microorganismos descritos es un problema creciente, con magnitud variable en cada centro hospitalario.</w:t>
      </w:r>
    </w:p>
    <w:p>
      <w:pPr>
        <w:pStyle w:val="BodyText"/>
      </w:pPr>
    </w:p>
    <w:p>
      <w:pPr>
        <w:pStyle w:val="BodyText"/>
        <w:ind w:left="116"/>
        <w:jc w:val="both"/>
      </w:pPr>
      <w:r>
        <w:rPr/>
        <w:t>Los factores que intervienen en el origen son:</w:t>
      </w:r>
    </w:p>
    <w:p>
      <w:pPr>
        <w:pStyle w:val="ListParagraph"/>
        <w:numPr>
          <w:ilvl w:val="0"/>
          <w:numId w:val="10"/>
        </w:numPr>
        <w:tabs>
          <w:tab w:pos="261" w:val="left" w:leader="none"/>
        </w:tabs>
        <w:spacing w:line="275" w:lineRule="exact" w:before="2" w:after="0"/>
        <w:ind w:left="260" w:right="0" w:hanging="144"/>
        <w:jc w:val="both"/>
        <w:rPr>
          <w:sz w:val="24"/>
        </w:rPr>
      </w:pPr>
      <w:r>
        <w:rPr>
          <w:sz w:val="24"/>
        </w:rPr>
        <w:t>Tipo y duración del tratamiento antimicrobiano</w:t>
      </w:r>
    </w:p>
    <w:p>
      <w:pPr>
        <w:pStyle w:val="ListParagraph"/>
        <w:numPr>
          <w:ilvl w:val="0"/>
          <w:numId w:val="10"/>
        </w:numPr>
        <w:tabs>
          <w:tab w:pos="261" w:val="left" w:leader="none"/>
        </w:tabs>
        <w:spacing w:line="275" w:lineRule="exact" w:before="0" w:after="0"/>
        <w:ind w:left="260" w:right="0" w:hanging="144"/>
        <w:jc w:val="both"/>
        <w:rPr>
          <w:sz w:val="24"/>
        </w:rPr>
      </w:pPr>
      <w:r>
        <w:rPr>
          <w:sz w:val="24"/>
        </w:rPr>
        <w:t>Tipo de adquisición de la infección: comunitaria u hospitalaria</w:t>
      </w:r>
    </w:p>
    <w:p>
      <w:pPr>
        <w:pStyle w:val="ListParagraph"/>
        <w:numPr>
          <w:ilvl w:val="0"/>
          <w:numId w:val="10"/>
        </w:numPr>
        <w:tabs>
          <w:tab w:pos="261" w:val="left" w:leader="none"/>
        </w:tabs>
        <w:spacing w:line="275" w:lineRule="exact" w:before="2" w:after="0"/>
        <w:ind w:left="260" w:right="0" w:hanging="144"/>
        <w:jc w:val="both"/>
        <w:rPr>
          <w:sz w:val="24"/>
        </w:rPr>
      </w:pPr>
      <w:r>
        <w:rPr>
          <w:sz w:val="24"/>
        </w:rPr>
        <w:t>Modalidad de diálisis</w:t>
      </w:r>
    </w:p>
    <w:p>
      <w:pPr>
        <w:pStyle w:val="ListParagraph"/>
        <w:numPr>
          <w:ilvl w:val="0"/>
          <w:numId w:val="10"/>
        </w:numPr>
        <w:tabs>
          <w:tab w:pos="261" w:val="left" w:leader="none"/>
        </w:tabs>
        <w:spacing w:line="275" w:lineRule="exact" w:before="0" w:after="0"/>
        <w:ind w:left="260" w:right="0" w:hanging="144"/>
        <w:jc w:val="both"/>
        <w:rPr>
          <w:sz w:val="24"/>
        </w:rPr>
      </w:pPr>
      <w:r>
        <w:rPr>
          <w:sz w:val="24"/>
        </w:rPr>
        <w:t>Enfermedades subyacentes y tratamiento inmunosupresor.</w:t>
      </w:r>
    </w:p>
    <w:p>
      <w:pPr>
        <w:pStyle w:val="BodyText"/>
      </w:pPr>
    </w:p>
    <w:p>
      <w:pPr>
        <w:pStyle w:val="BodyText"/>
        <w:spacing w:before="2"/>
      </w:pPr>
    </w:p>
    <w:p>
      <w:pPr>
        <w:pStyle w:val="Heading1"/>
        <w:spacing w:line="275" w:lineRule="exact"/>
        <w:jc w:val="both"/>
      </w:pPr>
      <w:r>
        <w:rPr/>
        <w:t>FUENTES DE INFECCIÓN</w:t>
      </w:r>
    </w:p>
    <w:p>
      <w:pPr>
        <w:pStyle w:val="BodyText"/>
        <w:spacing w:line="242" w:lineRule="auto"/>
        <w:ind w:left="116" w:right="103"/>
        <w:jc w:val="both"/>
      </w:pPr>
      <w:r>
        <w:rPr/>
        <w:t>Las vías más importantes de contaminación peritoneal en diálisis peritoneal son: intraluminal y periluminal.</w:t>
      </w:r>
    </w:p>
    <w:p>
      <w:pPr>
        <w:pStyle w:val="BodyText"/>
        <w:spacing w:before="8"/>
        <w:rPr>
          <w:sz w:val="23"/>
        </w:rPr>
      </w:pPr>
    </w:p>
    <w:p>
      <w:pPr>
        <w:pStyle w:val="BodyText"/>
        <w:spacing w:before="1"/>
        <w:ind w:left="116" w:right="103"/>
        <w:jc w:val="both"/>
        <w:rPr>
          <w:b/>
        </w:rPr>
      </w:pPr>
      <w:r>
        <w:rPr/>
        <w:t>Los factores de predisposición incluyen: técnica inadecuada, desconocimiento para realizar el procedimiento (paciente y personal médico), fallas en la técnica de colocación y recolocación del catéter, tiempo no oportuno de inicio de tratamiento, deficiente estado nutricional, que repercute en los mecanismos de defensa inmunológicos de la cavidad peritoneal y, por último, mala selección del paciente a un tratamiento de diálisis  peritoneal.</w:t>
      </w:r>
      <w:r>
        <w:rPr>
          <w:b/>
        </w:rPr>
        <w:t>*</w:t>
      </w:r>
    </w:p>
    <w:p>
      <w:pPr>
        <w:pStyle w:val="BodyText"/>
        <w:rPr>
          <w:b/>
        </w:rPr>
      </w:pPr>
    </w:p>
    <w:p>
      <w:pPr>
        <w:pStyle w:val="BodyText"/>
        <w:ind w:left="116" w:right="103"/>
        <w:jc w:val="both"/>
      </w:pPr>
      <w:r>
        <w:rPr/>
        <w:t>Otra fuente de contaminación la constituye la flora del tubo digestivo (enfermedad diverticular y constipación) y algunas afecciones relacionadas con las vías urinarias (uropatía obstructiva) y los genitales femeninos; sin embargo, su participación se limita a pocos casos.</w:t>
      </w:r>
    </w:p>
    <w:p>
      <w:pPr>
        <w:pStyle w:val="BodyText"/>
      </w:pPr>
    </w:p>
    <w:p>
      <w:pPr>
        <w:pStyle w:val="BodyText"/>
        <w:spacing w:before="9"/>
        <w:rPr>
          <w:sz w:val="23"/>
        </w:rPr>
      </w:pPr>
    </w:p>
    <w:p>
      <w:pPr>
        <w:pStyle w:val="Heading1"/>
        <w:numPr>
          <w:ilvl w:val="1"/>
          <w:numId w:val="3"/>
        </w:numPr>
        <w:tabs>
          <w:tab w:pos="451" w:val="left" w:leader="none"/>
        </w:tabs>
        <w:spacing w:line="240" w:lineRule="auto" w:before="0" w:after="0"/>
        <w:ind w:left="450" w:right="0" w:hanging="334"/>
        <w:jc w:val="both"/>
      </w:pPr>
      <w:bookmarkStart w:name="_TOC_250037" w:id="7"/>
      <w:bookmarkEnd w:id="7"/>
      <w:r>
        <w:rPr/>
        <w:t>FISIOPATOGENIA</w:t>
      </w:r>
    </w:p>
    <w:p>
      <w:pPr>
        <w:pStyle w:val="BodyText"/>
        <w:rPr>
          <w:b/>
        </w:rPr>
      </w:pPr>
    </w:p>
    <w:p>
      <w:pPr>
        <w:pStyle w:val="BodyText"/>
        <w:ind w:left="116" w:right="103"/>
        <w:jc w:val="both"/>
      </w:pPr>
      <w:r>
        <w:rPr/>
        <w:t>En condiciones normales la cavidad peritoneal es un espacio virtual estéril, que posee mecanismos inmunológicos celulares y humorales. Entre los primeros se encuentra el sistema monocito/macrófago y las células mesoteliales, mientras que en los segundos se encuentran las inmunoglobulinas y citocinas con capacidad quimiotáctica. Los inóculos pequeños de microorganismos con capacidad patogénica limitada pueden eliminarse por los mecanismos descritos; sin embargo, los inóculos mayores o microorganismos con  capacidad más patogénica pueden ocasionar una reacción inflamatoria local, con mayor o menor repercusión sistémica.</w:t>
      </w:r>
    </w:p>
    <w:p>
      <w:pPr>
        <w:pStyle w:val="BodyText"/>
      </w:pPr>
    </w:p>
    <w:p>
      <w:pPr>
        <w:pStyle w:val="BodyText"/>
        <w:ind w:left="116" w:right="103"/>
        <w:jc w:val="both"/>
      </w:pPr>
      <w:r>
        <w:rPr/>
        <w:t>El proceso inflamatorio del peritoneo origina liberación y depósito de fibrina, así como alteración en el transporte peritoneal, que se distingue por el traspaso rápido de solutos de  la solución dializante a la sangre, lo que genera pérdida del gradiente osmótico y, en consecuencia, falla en la ultrafiltración peritoneal. La composición de la solución dializante puede exacerbar la respuesta inflamatoria local, debido a su acidez y osmolaridad principalmente, que en conjunto puede ocasionar esclerosis peritoneal y pérdida definitiva de su capacidad de diálisis.</w:t>
      </w:r>
    </w:p>
    <w:p>
      <w:pPr>
        <w:spacing w:after="0"/>
        <w:jc w:val="both"/>
        <w:sectPr>
          <w:pgSz w:w="12240" w:h="15840"/>
          <w:pgMar w:header="0" w:footer="1032" w:top="1360" w:bottom="1220" w:left="1580" w:right="1600"/>
        </w:sectPr>
      </w:pPr>
    </w:p>
    <w:p>
      <w:pPr>
        <w:pStyle w:val="BodyText"/>
        <w:spacing w:before="4"/>
        <w:rPr>
          <w:sz w:val="10"/>
        </w:rPr>
      </w:pPr>
    </w:p>
    <w:p>
      <w:pPr>
        <w:pStyle w:val="Heading1"/>
        <w:numPr>
          <w:ilvl w:val="1"/>
          <w:numId w:val="3"/>
        </w:numPr>
        <w:tabs>
          <w:tab w:pos="511" w:val="left" w:leader="none"/>
        </w:tabs>
        <w:spacing w:line="240" w:lineRule="auto" w:before="69" w:after="0"/>
        <w:ind w:left="510" w:right="0" w:hanging="394"/>
        <w:jc w:val="both"/>
      </w:pPr>
      <w:bookmarkStart w:name="_TOC_250036" w:id="8"/>
      <w:bookmarkEnd w:id="8"/>
      <w:r>
        <w:rPr/>
        <w:t>PRESENTACIÓN CLÍNICA</w:t>
      </w:r>
    </w:p>
    <w:p>
      <w:pPr>
        <w:pStyle w:val="BodyText"/>
        <w:rPr>
          <w:b/>
        </w:rPr>
      </w:pPr>
    </w:p>
    <w:p>
      <w:pPr>
        <w:pStyle w:val="BodyText"/>
        <w:ind w:left="116" w:right="103"/>
        <w:jc w:val="both"/>
      </w:pPr>
      <w:r>
        <w:rPr/>
        <w:t>La existencia de fluido turbio (aproximadamente 6% de los pacientes pueden no tenerlo), dolor abdominal o fiebre es la constante en todos los casos de peritonitis, asociada ésta a una cuenta leucocitaria &gt; 100 células/ mm3 de neutrófilos polimorfo nucleares, que es un signo patognomónico en pacientes que reciben diálisis peritoneal. De observarse estos datos clínicos en cualquier momento del ciclo diario de tratamiento el paciente deberá sospechar  y notificar de inmediato a su centro de diálisis para recibir instrucciones e, incluso, evaluación y manejo clínico.</w:t>
      </w:r>
    </w:p>
    <w:p>
      <w:pPr>
        <w:pStyle w:val="BodyText"/>
      </w:pPr>
    </w:p>
    <w:p>
      <w:pPr>
        <w:pStyle w:val="BodyText"/>
        <w:spacing w:before="9"/>
        <w:rPr>
          <w:sz w:val="23"/>
        </w:rPr>
      </w:pPr>
    </w:p>
    <w:p>
      <w:pPr>
        <w:pStyle w:val="Heading1"/>
        <w:numPr>
          <w:ilvl w:val="1"/>
          <w:numId w:val="3"/>
        </w:numPr>
        <w:tabs>
          <w:tab w:pos="691" w:val="left" w:leader="none"/>
        </w:tabs>
        <w:spacing w:line="240" w:lineRule="auto" w:before="0" w:after="0"/>
        <w:ind w:left="690" w:right="0" w:hanging="574"/>
        <w:jc w:val="both"/>
      </w:pPr>
      <w:r>
        <w:rPr/>
        <w:t>DIAGNÓSTICO</w:t>
      </w:r>
    </w:p>
    <w:p>
      <w:pPr>
        <w:pStyle w:val="BodyText"/>
        <w:rPr>
          <w:b/>
        </w:rPr>
      </w:pPr>
    </w:p>
    <w:p>
      <w:pPr>
        <w:pStyle w:val="BodyText"/>
        <w:ind w:left="116" w:right="103"/>
        <w:jc w:val="both"/>
      </w:pPr>
      <w:r>
        <w:rPr/>
        <w:t>El diagnóstico de Peritonitis se basa en el cuadro clínico y exámenes de laboratorio. El cuadro clínico puede variar cuando se trata de pacientes con diálisis peritoneal continua ambulatoria y diálisis peritoneal automatizada. En el primer caso los síntomas principales son: dolor abdominal, fiebre y líquido turbio, aunque existen otros síntomas, como: náusea, vómito, diarrea, edema y alteraciones en la entrada y salida del líquido de diálisis, que pueden sugerir peritonitis.</w:t>
      </w:r>
    </w:p>
    <w:p>
      <w:pPr>
        <w:pStyle w:val="BodyText"/>
      </w:pPr>
    </w:p>
    <w:p>
      <w:pPr>
        <w:pStyle w:val="BodyText"/>
        <w:ind w:left="116" w:right="103"/>
        <w:jc w:val="both"/>
      </w:pPr>
      <w:r>
        <w:rPr/>
        <w:t>En la diálisis peritoneal automatizada los síntomas y signos son menos profusos, el dolor abdominal es de menor intensidad o puede estar ausente, y el líquido puede ser menos turbio o de aspecto normal.</w:t>
      </w:r>
    </w:p>
    <w:p>
      <w:pPr>
        <w:pStyle w:val="BodyText"/>
      </w:pPr>
    </w:p>
    <w:p>
      <w:pPr>
        <w:pStyle w:val="BodyText"/>
        <w:ind w:left="116" w:right="103"/>
        <w:jc w:val="both"/>
      </w:pPr>
      <w:r>
        <w:rPr/>
        <w:t>Ante la sospecha clínica de peritonitis deberá obtenerse una muestra del líquido de diálisis. En el paciente con diálisis peritoneal continua ambulatoria la muestra para cultivo deberá ser de 10 mL, obtenida la bolsa del líquido drenado (con más de tres horas de permanencia en la cavidad peritoneal). Cuando sea posible es conveniente tomar una muestra mayor (50 mL), lo que asegura mejores resultados de la determinación.</w:t>
      </w:r>
    </w:p>
    <w:p>
      <w:pPr>
        <w:pStyle w:val="BodyText"/>
      </w:pPr>
    </w:p>
    <w:p>
      <w:pPr>
        <w:pStyle w:val="BodyText"/>
        <w:ind w:left="116" w:right="103"/>
        <w:jc w:val="both"/>
      </w:pPr>
      <w:r>
        <w:rPr/>
        <w:t>Ante la sospecha de peritonitis se efectuará un examen citológico del líquido peritoneal, en donde la existencia de 100 células/mm3 o más, con 50% o más de leucocitos polimorfonucleares apoyan el diagnóstico y sugiere el inicio de tratamiento antimicrobiano empírico inmediato. En caso de predominio de mononucleares deberán considerarse otras causas.</w:t>
      </w:r>
    </w:p>
    <w:p>
      <w:pPr>
        <w:pStyle w:val="BodyText"/>
      </w:pPr>
    </w:p>
    <w:p>
      <w:pPr>
        <w:pStyle w:val="BodyText"/>
        <w:ind w:left="116" w:right="103"/>
        <w:jc w:val="both"/>
      </w:pPr>
      <w:r>
        <w:rPr/>
        <w:t>Una muestra del líquido de diálisis peritoneal deberá exponerse a tinción de Gram y cultivo aerobio. La existencia de cocos grampositivos en la tinción deberá hacer sospechar la posibilidad de Staphylococcus spp o, bien, de enterococos. El hallazgo de bacilos gramnegativos orienta a la existencia de enterobacterias o Pseudomonas spp. Las levaduras son sugerentes de infección por Cándida spp.</w:t>
      </w:r>
    </w:p>
    <w:p>
      <w:pPr>
        <w:spacing w:after="0"/>
        <w:jc w:val="both"/>
        <w:sectPr>
          <w:pgSz w:w="12240" w:h="15840"/>
          <w:pgMar w:header="0" w:footer="1032" w:top="1500" w:bottom="1220" w:left="1580" w:right="1600"/>
        </w:sectPr>
      </w:pPr>
    </w:p>
    <w:p>
      <w:pPr>
        <w:pStyle w:val="Heading1"/>
        <w:numPr>
          <w:ilvl w:val="1"/>
          <w:numId w:val="3"/>
        </w:numPr>
        <w:tabs>
          <w:tab w:pos="631" w:val="left" w:leader="none"/>
        </w:tabs>
        <w:spacing w:line="240" w:lineRule="auto" w:before="50" w:after="0"/>
        <w:ind w:left="630" w:right="0" w:hanging="514"/>
        <w:jc w:val="both"/>
      </w:pPr>
      <w:bookmarkStart w:name="_TOC_250035" w:id="9"/>
      <w:bookmarkEnd w:id="9"/>
      <w:r>
        <w:rPr/>
        <w:t>TRATAMIENTO</w:t>
      </w:r>
    </w:p>
    <w:p>
      <w:pPr>
        <w:pStyle w:val="BodyText"/>
        <w:rPr>
          <w:b/>
        </w:rPr>
      </w:pPr>
    </w:p>
    <w:p>
      <w:pPr>
        <w:pStyle w:val="BodyText"/>
        <w:ind w:left="116" w:right="103"/>
        <w:jc w:val="both"/>
      </w:pPr>
      <w:r>
        <w:rPr/>
        <w:t>Una vez establecido el diagnóstico de peritonitis infecciosa asociada a diálisis en un servicio de urgencias o en la unidad de diálisis de cada centro hospitalario es necesario evaluar la repercusión clínica general. La manifestación de fiebre, dolor abdominal intenso y alteraciones hemodinámicas son indicadores de tratamiento intrahospitalario.</w:t>
      </w:r>
    </w:p>
    <w:p>
      <w:pPr>
        <w:pStyle w:val="BodyText"/>
      </w:pPr>
    </w:p>
    <w:p>
      <w:pPr>
        <w:pStyle w:val="BodyText"/>
        <w:ind w:left="116" w:right="103"/>
        <w:jc w:val="both"/>
      </w:pPr>
      <w:r>
        <w:rPr/>
        <w:t>Por lo que se refiere a la indicación de diálisis peritoneal los tres primeros recambios (baños) deberán ser de “entrada por salida”, para evitar la acumulación de fibrina y la disfunción del catéter, con la subsecuente mejoría del dolor.</w:t>
      </w:r>
    </w:p>
    <w:p>
      <w:pPr>
        <w:pStyle w:val="BodyText"/>
      </w:pPr>
    </w:p>
    <w:p>
      <w:pPr>
        <w:pStyle w:val="BodyText"/>
        <w:ind w:left="116" w:right="103"/>
        <w:jc w:val="both"/>
      </w:pPr>
      <w:r>
        <w:rPr/>
        <w:t>Los recambios posteriores requerirán estancia intraperitoneal mínima de cuatro horas, de preferencia con soluciones de diálisis de baja osmolaridad (1.5% de glucosa). Lo anterior favorece la acción del sistema inmunitario intraperitoneal; sin embargo, dicha indicación está sujeta al estado hemodinámico y electrolítico de cada paciente, tanto en la frecuencia de los recambios como en la concentración de glucosa.</w:t>
      </w:r>
    </w:p>
    <w:p>
      <w:pPr>
        <w:pStyle w:val="BodyText"/>
      </w:pPr>
    </w:p>
    <w:p>
      <w:pPr>
        <w:pStyle w:val="BodyText"/>
        <w:ind w:left="116" w:right="103"/>
        <w:jc w:val="both"/>
      </w:pPr>
      <w:r>
        <w:rPr/>
        <w:t>La peritonitis produce pérdida diaria importante de proteínas (&gt; 40 g/día), lo que repercute en el estado nutricional y de volemia del paciente, por lo que el aporte proteínico diario en la dieta debe ser de 1.5 g/kg de peso. Asimismo, son necesarios el control estricto de líquidos, la medición diaria de volumen del ultrafiltrado peritoneal, la medición del peso corporal y de la tensión arterial, así como la realización de un conteo citológico diario.</w:t>
      </w:r>
    </w:p>
    <w:p>
      <w:pPr>
        <w:pStyle w:val="BodyText"/>
      </w:pPr>
    </w:p>
    <w:p>
      <w:pPr>
        <w:pStyle w:val="BodyText"/>
        <w:spacing w:before="9"/>
        <w:rPr>
          <w:sz w:val="23"/>
        </w:rPr>
      </w:pPr>
    </w:p>
    <w:p>
      <w:pPr>
        <w:pStyle w:val="Heading1"/>
        <w:jc w:val="both"/>
      </w:pPr>
      <w:r>
        <w:rPr/>
        <w:t>Tratamiento Empírico con más de 100 ml. de orina en 24 horas</w:t>
      </w:r>
    </w:p>
    <w:p>
      <w:pPr>
        <w:pStyle w:val="BodyText"/>
        <w:spacing w:line="275" w:lineRule="exact" w:before="2"/>
        <w:ind w:left="116"/>
        <w:jc w:val="both"/>
      </w:pPr>
      <w:r>
        <w:rPr/>
        <w:t>Posibilidad etiológica:</w:t>
      </w:r>
    </w:p>
    <w:p>
      <w:pPr>
        <w:pStyle w:val="ListParagraph"/>
        <w:numPr>
          <w:ilvl w:val="0"/>
          <w:numId w:val="10"/>
        </w:numPr>
        <w:tabs>
          <w:tab w:pos="261" w:val="left" w:leader="none"/>
        </w:tabs>
        <w:spacing w:line="275" w:lineRule="exact" w:before="0" w:after="0"/>
        <w:ind w:left="260" w:right="0" w:hanging="144"/>
        <w:jc w:val="both"/>
        <w:rPr>
          <w:sz w:val="24"/>
        </w:rPr>
      </w:pPr>
      <w:r>
        <w:rPr>
          <w:sz w:val="24"/>
        </w:rPr>
        <w:t>Staphylococcus aureus y Staphylococcus coagulasa negativo</w:t>
      </w:r>
    </w:p>
    <w:p>
      <w:pPr>
        <w:pStyle w:val="ListParagraph"/>
        <w:numPr>
          <w:ilvl w:val="0"/>
          <w:numId w:val="10"/>
        </w:numPr>
        <w:tabs>
          <w:tab w:pos="261" w:val="left" w:leader="none"/>
        </w:tabs>
        <w:spacing w:line="275" w:lineRule="exact" w:before="2" w:after="0"/>
        <w:ind w:left="260" w:right="0" w:hanging="144"/>
        <w:jc w:val="both"/>
        <w:rPr>
          <w:sz w:val="24"/>
        </w:rPr>
      </w:pPr>
      <w:r>
        <w:rPr>
          <w:sz w:val="24"/>
        </w:rPr>
        <w:t>Klebsiella pneumoniae</w:t>
      </w:r>
    </w:p>
    <w:p>
      <w:pPr>
        <w:pStyle w:val="ListParagraph"/>
        <w:numPr>
          <w:ilvl w:val="0"/>
          <w:numId w:val="10"/>
        </w:numPr>
        <w:tabs>
          <w:tab w:pos="261" w:val="left" w:leader="none"/>
        </w:tabs>
        <w:spacing w:line="275" w:lineRule="exact" w:before="0" w:after="0"/>
        <w:ind w:left="260" w:right="0" w:hanging="144"/>
        <w:jc w:val="both"/>
        <w:rPr>
          <w:sz w:val="24"/>
        </w:rPr>
      </w:pPr>
      <w:r>
        <w:rPr>
          <w:sz w:val="24"/>
        </w:rPr>
        <w:t>Escherichia coli</w:t>
      </w:r>
    </w:p>
    <w:p>
      <w:pPr>
        <w:pStyle w:val="ListParagraph"/>
        <w:numPr>
          <w:ilvl w:val="0"/>
          <w:numId w:val="10"/>
        </w:numPr>
        <w:tabs>
          <w:tab w:pos="261" w:val="left" w:leader="none"/>
        </w:tabs>
        <w:spacing w:line="240" w:lineRule="auto" w:before="2" w:after="0"/>
        <w:ind w:left="260" w:right="0" w:hanging="144"/>
        <w:jc w:val="both"/>
        <w:rPr>
          <w:sz w:val="24"/>
        </w:rPr>
      </w:pPr>
      <w:r>
        <w:rPr>
          <w:sz w:val="24"/>
        </w:rPr>
        <w:t>Pseudomonas aeruginosa</w:t>
      </w:r>
    </w:p>
    <w:p>
      <w:pPr>
        <w:pStyle w:val="BodyText"/>
      </w:pPr>
    </w:p>
    <w:p>
      <w:pPr>
        <w:pStyle w:val="BodyText"/>
        <w:ind w:left="116"/>
        <w:jc w:val="both"/>
      </w:pPr>
      <w:r>
        <w:rPr/>
        <w:t>En el tratamiento empírico de Staphylococcus aureus y Staphylococcus coagulasa negativo:</w:t>
      </w:r>
    </w:p>
    <w:p>
      <w:pPr>
        <w:pStyle w:val="BodyText"/>
        <w:spacing w:before="4"/>
      </w:pPr>
    </w:p>
    <w:p>
      <w:pPr>
        <w:pStyle w:val="ListParagraph"/>
        <w:numPr>
          <w:ilvl w:val="0"/>
          <w:numId w:val="10"/>
        </w:numPr>
        <w:tabs>
          <w:tab w:pos="306" w:val="left" w:leader="none"/>
        </w:tabs>
        <w:spacing w:line="274" w:lineRule="exact" w:before="1" w:after="0"/>
        <w:ind w:left="116" w:right="103" w:firstLine="0"/>
        <w:jc w:val="both"/>
        <w:rPr>
          <w:sz w:val="24"/>
        </w:rPr>
      </w:pPr>
      <w:r>
        <w:rPr>
          <w:sz w:val="24"/>
        </w:rPr>
        <w:t>En nuestro medio la primera opción es: dicloxacilina, 500 mg en cada recambio, vía intraperitoneal. El recambio debe permanecer en la cavidad de cuatro a seis horas.</w:t>
      </w:r>
    </w:p>
    <w:p>
      <w:pPr>
        <w:pStyle w:val="ListParagraph"/>
        <w:numPr>
          <w:ilvl w:val="0"/>
          <w:numId w:val="10"/>
        </w:numPr>
        <w:tabs>
          <w:tab w:pos="265" w:val="left" w:leader="none"/>
        </w:tabs>
        <w:spacing w:line="274" w:lineRule="exact" w:before="4" w:after="0"/>
        <w:ind w:left="116" w:right="103" w:firstLine="0"/>
        <w:jc w:val="both"/>
        <w:rPr>
          <w:sz w:val="24"/>
        </w:rPr>
      </w:pPr>
      <w:r>
        <w:rPr>
          <w:sz w:val="24"/>
        </w:rPr>
        <w:t>Como segunda opción es: cefazolina, 1 g intraperitoneal en la bolsa nocturna o 250 mg en cada recambio.</w:t>
      </w:r>
    </w:p>
    <w:p>
      <w:pPr>
        <w:pStyle w:val="ListParagraph"/>
        <w:numPr>
          <w:ilvl w:val="0"/>
          <w:numId w:val="10"/>
        </w:numPr>
        <w:tabs>
          <w:tab w:pos="261" w:val="left" w:leader="none"/>
        </w:tabs>
        <w:spacing w:line="274" w:lineRule="exact" w:before="0" w:after="0"/>
        <w:ind w:left="260" w:right="0" w:hanging="144"/>
        <w:jc w:val="both"/>
        <w:rPr>
          <w:sz w:val="24"/>
        </w:rPr>
      </w:pPr>
      <w:r>
        <w:rPr>
          <w:sz w:val="24"/>
        </w:rPr>
        <w:t>En tercer lugar: cefalotina, en la misma dosis y vía de aplicación de cefazolina.</w:t>
      </w:r>
    </w:p>
    <w:p>
      <w:pPr>
        <w:pStyle w:val="ListParagraph"/>
        <w:numPr>
          <w:ilvl w:val="0"/>
          <w:numId w:val="10"/>
        </w:numPr>
        <w:tabs>
          <w:tab w:pos="264" w:val="left" w:leader="none"/>
        </w:tabs>
        <w:spacing w:line="240" w:lineRule="auto" w:before="0" w:after="0"/>
        <w:ind w:left="116" w:right="103" w:firstLine="0"/>
        <w:jc w:val="both"/>
        <w:rPr>
          <w:sz w:val="24"/>
        </w:rPr>
      </w:pPr>
      <w:r>
        <w:rPr>
          <w:sz w:val="24"/>
        </w:rPr>
        <w:t>Cuando la frecuencia de Staphylococcus coagulasa negativo resistente a meticilina es alta, según la epidemiología local, una alternativa recomendable es: vancomicina, 1 g intraperitoneal en el recambio nocturno como dosis única semanal.</w:t>
      </w:r>
    </w:p>
    <w:p>
      <w:pPr>
        <w:pStyle w:val="BodyText"/>
        <w:spacing w:line="275" w:lineRule="exact" w:before="2"/>
        <w:ind w:left="116"/>
        <w:jc w:val="both"/>
      </w:pPr>
      <w:r>
        <w:rPr/>
        <w:t>A lo anterior adicionar (como tratamiento empírico para microorganismos gramnegativos):</w:t>
      </w:r>
    </w:p>
    <w:p>
      <w:pPr>
        <w:pStyle w:val="ListParagraph"/>
        <w:numPr>
          <w:ilvl w:val="0"/>
          <w:numId w:val="10"/>
        </w:numPr>
        <w:tabs>
          <w:tab w:pos="267" w:val="left" w:leader="none"/>
        </w:tabs>
        <w:spacing w:line="274" w:lineRule="exact" w:before="3" w:after="0"/>
        <w:ind w:left="116" w:right="103" w:firstLine="0"/>
        <w:jc w:val="both"/>
        <w:rPr>
          <w:sz w:val="24"/>
        </w:rPr>
      </w:pPr>
      <w:r>
        <w:rPr>
          <w:sz w:val="24"/>
        </w:rPr>
        <w:t>Ceftazidima, 1 g vía intraperitoneal como dosis de impregnación, y continuar con 250 mg en cada recambio, éste debe permanecer en la cavidad de cuatro a seis horas.</w:t>
      </w:r>
    </w:p>
    <w:p>
      <w:pPr>
        <w:pStyle w:val="BodyText"/>
        <w:ind w:left="116" w:right="103"/>
        <w:jc w:val="both"/>
        <w:rPr>
          <w:b/>
          <w:sz w:val="16"/>
        </w:rPr>
      </w:pPr>
      <w:r>
        <w:rPr/>
        <w:t>Si se prefiere el uso de monoterapia una alternativa recomendable es cefepima, a dosis de 1 a 2 g intraperitoneal como impregnación, y 250 mg en cada recambio posterior, como dosis de mantenimiento.</w:t>
      </w:r>
      <w:r>
        <w:rPr>
          <w:b/>
          <w:position w:val="-2"/>
          <w:sz w:val="16"/>
        </w:rPr>
        <w:t>31</w:t>
      </w:r>
    </w:p>
    <w:p>
      <w:pPr>
        <w:spacing w:after="0"/>
        <w:jc w:val="both"/>
        <w:rPr>
          <w:sz w:val="16"/>
        </w:rPr>
        <w:sectPr>
          <w:pgSz w:w="12240" w:h="15840"/>
          <w:pgMar w:header="0" w:footer="1032" w:top="1360" w:bottom="1220" w:left="1580" w:right="1600"/>
        </w:sectPr>
      </w:pPr>
    </w:p>
    <w:p>
      <w:pPr>
        <w:pStyle w:val="Heading1"/>
        <w:numPr>
          <w:ilvl w:val="0"/>
          <w:numId w:val="4"/>
        </w:numPr>
        <w:tabs>
          <w:tab w:pos="2972" w:val="left" w:leader="none"/>
          <w:tab w:pos="2973" w:val="left" w:leader="none"/>
        </w:tabs>
        <w:spacing w:line="240" w:lineRule="auto" w:before="45" w:after="0"/>
        <w:ind w:left="2972" w:right="0" w:hanging="720"/>
        <w:jc w:val="left"/>
      </w:pPr>
      <w:bookmarkStart w:name="_TOC_250034" w:id="10"/>
      <w:bookmarkEnd w:id="10"/>
      <w:r>
        <w:rPr/>
        <w:t>PLANTEAMIENTO DEL PROBLEMA.</w:t>
      </w:r>
    </w:p>
    <w:p>
      <w:pPr>
        <w:pStyle w:val="BodyText"/>
        <w:rPr>
          <w:b/>
        </w:rPr>
      </w:pPr>
    </w:p>
    <w:p>
      <w:pPr>
        <w:pStyle w:val="BodyText"/>
        <w:spacing w:before="3"/>
        <w:rPr>
          <w:b/>
          <w:sz w:val="21"/>
        </w:rPr>
      </w:pPr>
    </w:p>
    <w:p>
      <w:pPr>
        <w:pStyle w:val="BodyText"/>
        <w:ind w:left="116" w:right="103"/>
        <w:jc w:val="both"/>
        <w:rPr>
          <w:sz w:val="16"/>
        </w:rPr>
      </w:pPr>
      <w:r>
        <w:rPr/>
        <w:t>En México la Peritonitis asociada con Diálisis Peritoneal Continua Ambulatoria es un problema de salud importante y que impacta en la calidad de vida, supervivencia y estado nutricional del paciente, sino también en la funcionalidad y viabilidad del tratamiento</w:t>
      </w:r>
      <w:r>
        <w:rPr>
          <w:position w:val="-2"/>
          <w:sz w:val="16"/>
        </w:rPr>
        <w:t>.</w:t>
      </w:r>
    </w:p>
    <w:p>
      <w:pPr>
        <w:pStyle w:val="BodyText"/>
        <w:spacing w:before="10"/>
        <w:rPr>
          <w:sz w:val="22"/>
        </w:rPr>
      </w:pPr>
    </w:p>
    <w:p>
      <w:pPr>
        <w:pStyle w:val="BodyText"/>
        <w:ind w:left="116" w:right="103"/>
        <w:jc w:val="both"/>
        <w:rPr>
          <w:b/>
          <w:sz w:val="16"/>
        </w:rPr>
      </w:pPr>
      <w:r>
        <w:rPr/>
        <w:t>En México, se calcula que estas infecciones cuestan al sector salud cerca de 1,500 millones de dólares, como consecuencia de estancias hospitalarias prolongadas, reingresos, discapacidad, gastos médicos y en menor medida, demandas legales</w:t>
      </w:r>
      <w:r>
        <w:rPr>
          <w:position w:val="-2"/>
          <w:sz w:val="16"/>
        </w:rPr>
        <w:t>. </w:t>
      </w:r>
      <w:r>
        <w:rPr>
          <w:b/>
          <w:position w:val="-2"/>
          <w:sz w:val="16"/>
        </w:rPr>
        <w:t>32</w:t>
      </w:r>
    </w:p>
    <w:p>
      <w:pPr>
        <w:pStyle w:val="BodyText"/>
        <w:spacing w:before="10"/>
        <w:rPr>
          <w:b/>
          <w:sz w:val="22"/>
        </w:rPr>
      </w:pPr>
    </w:p>
    <w:p>
      <w:pPr>
        <w:pStyle w:val="BodyText"/>
        <w:ind w:left="116" w:right="103"/>
        <w:jc w:val="both"/>
      </w:pPr>
      <w:r>
        <w:rPr/>
        <w:t>Las infecciones son una causa de falla técnica en los programas de Diálisis Peritoneal. Por ello, los índices de Peritonitis han sido utilizados como una medida de comparación entre los diferentes servicios especializados de atención y la evaluación del  desempeño  de nuevas técnicas.</w:t>
      </w:r>
    </w:p>
    <w:p>
      <w:pPr>
        <w:pStyle w:val="BodyText"/>
      </w:pPr>
    </w:p>
    <w:p>
      <w:pPr>
        <w:pStyle w:val="BodyText"/>
        <w:ind w:left="116" w:right="103"/>
        <w:jc w:val="both"/>
      </w:pPr>
      <w:r>
        <w:rPr/>
        <w:t>La Peritonitis asociada con la Diálisis (PAD) es la principal complicación de este tipo de terapéutica. En México se estima que los pacientes con IRCT sometidos a Diálisis Peritoneal presentan de dos a tres eventos de PAD anuales. Estas infecciones comprometen la viabilidad peritoneal como membrana dialítica, afectando de manera negativa la sobrevida. También requieren hospitalizaciones iterativas y repercute adversamente en el pronóstico del paciente por su elevada morbilidad y mortalidad.</w:t>
      </w:r>
    </w:p>
    <w:p>
      <w:pPr>
        <w:pStyle w:val="BodyText"/>
      </w:pPr>
    </w:p>
    <w:p>
      <w:pPr>
        <w:pStyle w:val="BodyText"/>
        <w:ind w:left="116" w:right="103"/>
        <w:jc w:val="both"/>
      </w:pPr>
      <w:r>
        <w:rPr/>
        <w:t>Si bien los avances en las medidas para evitar la PAD han disminuido su incidencia, no han logrado erradicarla, ya que los factores que predisponen a la Peritonitis no sólo dependen  de la técnica y el sistema de dializado, sino que influyen factores relacionados con el paciente y su entorno.</w:t>
      </w:r>
    </w:p>
    <w:p>
      <w:pPr>
        <w:pStyle w:val="BodyText"/>
      </w:pPr>
    </w:p>
    <w:p>
      <w:pPr>
        <w:pStyle w:val="BodyText"/>
        <w:ind w:left="116" w:right="103"/>
        <w:jc w:val="both"/>
        <w:rPr>
          <w:sz w:val="16"/>
        </w:rPr>
      </w:pPr>
      <w:r>
        <w:rPr/>
        <w:t>Para plantear soluciones a los problemas de Salud como en este caso lo representa la Peritonitis secundaria a DPCA se requieren estrategias enfocadas a la prevención de los eventos adversos, para lo cual es indispensable tener un amplio conocimiento de la Incidencia y Prevalencia del evento (Peritonitis), así como de los factores de riesgo asociados a esta. con el fin de intervenir de manera temprana, desde el Primer Nivel de Atención Médica (Medicina Familiar) y con esto lograr disminuir no solo las peritonitis secundarias DPCA sino también disminuir el número de personas que se transfieren a otra terapia, en este caso la hemodiálisis, y en condiciones más complicadas, la muerte del paciente</w:t>
      </w:r>
      <w:r>
        <w:rPr>
          <w:position w:val="-2"/>
          <w:sz w:val="16"/>
        </w:rPr>
        <w:t>.</w:t>
      </w:r>
    </w:p>
    <w:p>
      <w:pPr>
        <w:pStyle w:val="BodyText"/>
        <w:spacing w:before="10"/>
        <w:rPr>
          <w:sz w:val="22"/>
        </w:rPr>
      </w:pPr>
    </w:p>
    <w:p>
      <w:pPr>
        <w:pStyle w:val="BodyText"/>
        <w:ind w:left="116" w:right="103"/>
        <w:jc w:val="both"/>
      </w:pPr>
      <w:r>
        <w:rPr/>
        <w:t>La Insuficiencia Renal Crónica genera en el paciente y su cuidador incertidumbre, desgaste físico, dependencia, cambios en el estilo de vida y tiene repercusiones sobre el área  personal y social del individuo.</w:t>
      </w:r>
    </w:p>
    <w:p>
      <w:pPr>
        <w:pStyle w:val="BodyText"/>
        <w:spacing w:line="242" w:lineRule="auto"/>
        <w:ind w:left="116" w:right="103"/>
        <w:jc w:val="both"/>
      </w:pPr>
      <w:r>
        <w:rPr/>
        <w:t>La familia como recurso; es la fuente principal de apoyo social con que cuenta el paciente crónico para afrontar con éxito los problemas a que da lugar la enfermedad.</w:t>
      </w:r>
    </w:p>
    <w:p>
      <w:pPr>
        <w:pStyle w:val="BodyText"/>
        <w:spacing w:line="242" w:lineRule="auto"/>
        <w:ind w:left="116" w:right="103"/>
        <w:jc w:val="both"/>
      </w:pPr>
      <w:r>
        <w:rPr/>
        <w:t>Los investigadores han sugerido que el apoyo social reduce las consecuencias negativas de los acontecimientos estresantes que se producen en el cuidado de enfermos crónicos.</w:t>
      </w:r>
    </w:p>
    <w:p>
      <w:pPr>
        <w:pStyle w:val="BodyText"/>
        <w:spacing w:line="242" w:lineRule="auto"/>
        <w:ind w:left="116" w:right="103"/>
        <w:jc w:val="both"/>
      </w:pPr>
      <w:r>
        <w:rPr/>
        <w:t>La conservación de las relaciones sociales y el nivel de integración social del enfermo es un determinante de su calidad de vida, en general, y de su salud en particular.</w:t>
      </w:r>
    </w:p>
    <w:p>
      <w:pPr>
        <w:spacing w:after="0" w:line="242" w:lineRule="auto"/>
        <w:jc w:val="both"/>
        <w:sectPr>
          <w:footerReference w:type="default" r:id="rId10"/>
          <w:pgSz w:w="12240" w:h="15840"/>
          <w:pgMar w:footer="972" w:header="0" w:top="1360" w:bottom="1160" w:left="1580" w:right="1600"/>
          <w:pgNumType w:start="20"/>
        </w:sectPr>
      </w:pPr>
    </w:p>
    <w:p>
      <w:pPr>
        <w:pStyle w:val="BodyText"/>
        <w:spacing w:before="50"/>
        <w:ind w:left="116" w:right="103"/>
        <w:jc w:val="both"/>
      </w:pPr>
      <w:r>
        <w:rPr/>
        <w:t>Por ello es importante conocer las dimensiones del apoyo social brindado a Pacientes con Peritonitis en Dialisis Peritoneal, y las principales características de sus redes de apoyo. Asimismo evaluar el apoyo social.</w:t>
      </w:r>
    </w:p>
    <w:p>
      <w:pPr>
        <w:pStyle w:val="BodyText"/>
      </w:pPr>
    </w:p>
    <w:p>
      <w:pPr>
        <w:pStyle w:val="BodyText"/>
        <w:ind w:left="116" w:right="103"/>
        <w:jc w:val="both"/>
      </w:pPr>
      <w:r>
        <w:rPr/>
        <w:t>De ahí surge el interés por realizar esta investigación; con el fin de identificar el número de casos de Peritonitis, así como sus factores de funcionalidad familiar y apoyo social asociados, y de esta forma realizar propuestas para mejorar la prevención de casos, preservar la salud del paciente, el prestar una atención médica segura y de calidad contribuyendo en la disminución de los índices la morbilidad y la mortalidad atribuibles a  la infección en DPCA en pacientes con IRCT, así como los costos excesivos.</w:t>
      </w:r>
    </w:p>
    <w:p>
      <w:pPr>
        <w:pStyle w:val="BodyText"/>
      </w:pPr>
    </w:p>
    <w:p>
      <w:pPr>
        <w:pStyle w:val="BodyText"/>
        <w:ind w:left="116"/>
        <w:jc w:val="both"/>
      </w:pPr>
      <w:r>
        <w:rPr/>
        <w:t>Con base a lo expuesto anteriormente, se plantea la siguiente  pregunta de investigación:</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Heading1"/>
        <w:ind w:left="149" w:right="135"/>
        <w:jc w:val="center"/>
      </w:pPr>
      <w:r>
        <w:rPr/>
        <w:t>¿CUÁL ES LA RELACIÓN QUE EXISTE ENTRE FUNCIONALIDAD FAMILIAR Y APOYO SOCIAL EN PACIENTES CON PERITONITIS EN DIALISIS PERITONEAL CONTINUA AMBULATORIA, EN EL HGR /CON UMF 220, TOLUCA ESTADO DE MEXICO, DURANTE 2011?</w:t>
      </w:r>
    </w:p>
    <w:p>
      <w:pPr>
        <w:spacing w:after="0"/>
        <w:jc w:val="center"/>
        <w:sectPr>
          <w:pgSz w:w="12240" w:h="15840"/>
          <w:pgMar w:header="0" w:footer="972" w:top="1360" w:bottom="1220" w:left="1580" w:right="1600"/>
        </w:sectPr>
      </w:pPr>
    </w:p>
    <w:p>
      <w:pPr>
        <w:pStyle w:val="Heading1"/>
        <w:numPr>
          <w:ilvl w:val="0"/>
          <w:numId w:val="4"/>
        </w:numPr>
        <w:tabs>
          <w:tab w:pos="3982" w:val="left" w:leader="none"/>
          <w:tab w:pos="3983" w:val="left" w:leader="none"/>
        </w:tabs>
        <w:spacing w:line="240" w:lineRule="auto" w:before="50" w:after="0"/>
        <w:ind w:left="3982" w:right="0" w:hanging="720"/>
        <w:jc w:val="left"/>
      </w:pPr>
      <w:bookmarkStart w:name="_TOC_250033" w:id="11"/>
      <w:bookmarkEnd w:id="11"/>
      <w:r>
        <w:rPr/>
        <w:t>JUSTIFICACIONES</w:t>
      </w:r>
    </w:p>
    <w:p>
      <w:pPr>
        <w:pStyle w:val="BodyText"/>
        <w:rPr>
          <w:b/>
        </w:rPr>
      </w:pPr>
    </w:p>
    <w:p>
      <w:pPr>
        <w:pStyle w:val="BodyText"/>
        <w:spacing w:before="7"/>
        <w:rPr>
          <w:b/>
          <w:sz w:val="34"/>
        </w:rPr>
      </w:pPr>
    </w:p>
    <w:p>
      <w:pPr>
        <w:pStyle w:val="Heading1"/>
        <w:numPr>
          <w:ilvl w:val="1"/>
          <w:numId w:val="11"/>
        </w:numPr>
        <w:tabs>
          <w:tab w:pos="1969" w:val="left" w:leader="none"/>
        </w:tabs>
        <w:spacing w:line="240" w:lineRule="auto" w:before="0" w:after="0"/>
        <w:ind w:left="1968" w:right="0" w:hanging="521"/>
        <w:jc w:val="left"/>
      </w:pPr>
      <w:bookmarkStart w:name="_TOC_250032" w:id="12"/>
      <w:bookmarkEnd w:id="12"/>
      <w:r>
        <w:rPr/>
        <w:t>ACADÉMICA</w:t>
      </w:r>
    </w:p>
    <w:p>
      <w:pPr>
        <w:pStyle w:val="BodyText"/>
        <w:rPr>
          <w:b/>
          <w:sz w:val="21"/>
        </w:rPr>
      </w:pPr>
    </w:p>
    <w:p>
      <w:pPr>
        <w:pStyle w:val="BodyText"/>
        <w:spacing w:before="1"/>
        <w:ind w:left="116" w:right="103"/>
        <w:jc w:val="both"/>
      </w:pPr>
      <w:r>
        <w:rPr/>
        <w:t>Se ha podido comprobar en nuestra labor asistencial la creciente necesidad del Apoyo  Social de los pacientes con Insuficiencia Renal Terminal por las características propias de  la enfermedad crónica. MA Roca y otros investigadores del Apoyo Social reconocen que los pacientes con IRCT  requieren de más apoyo que otros y que a su vez corren el riesgo  de no contar con este.</w:t>
      </w:r>
    </w:p>
    <w:p>
      <w:pPr>
        <w:pStyle w:val="BodyText"/>
      </w:pPr>
    </w:p>
    <w:p>
      <w:pPr>
        <w:pStyle w:val="BodyText"/>
        <w:ind w:left="116" w:right="103"/>
        <w:jc w:val="both"/>
      </w:pPr>
      <w:r>
        <w:rPr/>
        <w:t>También hemos observado en nuestra labor profesional la peculiaridad de la familia de  estos pacientes, en cuanto al nivel de demanda que le es impuesto, no sólo por ser consideradas como familias con exigencias adicionales al contar en su seno con un paciente crónico, sino además, por asumir ciertos roles que son característicos de las familias de pacientes con IRCT en nuestro medio (siempre acompañan al paciente al tratamiento, se privilegia en muchas ocasiones la atención al enfermo por lo que algunos miembros abandonan el trabajo para ocuparse de ellos).</w:t>
      </w:r>
    </w:p>
    <w:p>
      <w:pPr>
        <w:pStyle w:val="BodyText"/>
      </w:pPr>
    </w:p>
    <w:p>
      <w:pPr>
        <w:pStyle w:val="BodyText"/>
        <w:spacing w:line="242" w:lineRule="auto"/>
        <w:ind w:left="116" w:right="103"/>
        <w:jc w:val="both"/>
      </w:pPr>
      <w:r>
        <w:rPr/>
        <w:t>Esta situación pone a la familia en riesgo de una disfuncionalidad familiar si no afronta de manera adecuada el hecho de contar con un sujeto enfermo en su seno.</w:t>
      </w:r>
    </w:p>
    <w:p>
      <w:pPr>
        <w:pStyle w:val="BodyText"/>
        <w:spacing w:before="8"/>
        <w:rPr>
          <w:sz w:val="23"/>
        </w:rPr>
      </w:pPr>
    </w:p>
    <w:p>
      <w:pPr>
        <w:pStyle w:val="BodyText"/>
        <w:spacing w:before="1"/>
        <w:ind w:left="116" w:right="103"/>
        <w:jc w:val="both"/>
      </w:pPr>
      <w:r>
        <w:rPr/>
        <w:t>Esta investigación se relaciona con acciones sugeridas por el Programa de Prevención de la Insuficiencia Renal Crónica y permite al Médico Especialista en formación adquirir experiencia en uno de los Padecimientos más relevantes en nuestro País y demandantes de atención, y sugiere las rutas de intervención para otorgar servicios médicos primarios, integrales, continuos, con énfasis en la prevención de complicaciones y la atención de la enfermedad y rehabilitación, en corresponsabilidad con el paciente, su familia y la comunidad.</w:t>
      </w:r>
    </w:p>
    <w:p>
      <w:pPr>
        <w:pStyle w:val="BodyText"/>
      </w:pPr>
    </w:p>
    <w:p>
      <w:pPr>
        <w:pStyle w:val="BodyText"/>
      </w:pPr>
    </w:p>
    <w:p>
      <w:pPr>
        <w:pStyle w:val="BodyText"/>
        <w:spacing w:before="6"/>
        <w:rPr>
          <w:sz w:val="23"/>
        </w:rPr>
      </w:pPr>
    </w:p>
    <w:p>
      <w:pPr>
        <w:pStyle w:val="Heading1"/>
        <w:numPr>
          <w:ilvl w:val="1"/>
          <w:numId w:val="11"/>
        </w:numPr>
        <w:tabs>
          <w:tab w:pos="1969" w:val="left" w:leader="none"/>
        </w:tabs>
        <w:spacing w:line="240" w:lineRule="auto" w:before="0" w:after="0"/>
        <w:ind w:left="1968" w:right="0" w:hanging="521"/>
        <w:jc w:val="left"/>
        <w:rPr>
          <w:b w:val="0"/>
        </w:rPr>
      </w:pPr>
      <w:bookmarkStart w:name="_TOC_250031" w:id="13"/>
      <w:r>
        <w:rPr/>
        <w:t>CIENTÍFICA</w:t>
      </w:r>
      <w:bookmarkEnd w:id="13"/>
      <w:r>
        <w:rPr>
          <w:b w:val="0"/>
        </w:rPr>
        <w:t>.</w:t>
      </w:r>
    </w:p>
    <w:p>
      <w:pPr>
        <w:pStyle w:val="BodyText"/>
        <w:spacing w:before="5"/>
        <w:rPr>
          <w:sz w:val="21"/>
        </w:rPr>
      </w:pPr>
    </w:p>
    <w:p>
      <w:pPr>
        <w:pStyle w:val="BodyText"/>
        <w:ind w:left="116" w:right="103"/>
        <w:jc w:val="both"/>
      </w:pPr>
      <w:r>
        <w:rPr/>
        <w:t>Desde el punto de vista científico aportaría al estudio desde el análisis del proceso salud familiar, el papel del Apoyo Social en la recuperación y evolución del paciente y la función protagónica de la Familia como generadora de apoyo para los pacientes con Insuficiencia Renal Crónica. Factores asociados fundamentales para la vigilancia de los mismos por el Médico Familiar y recomendar las medidas preventivas más representativos efectivas y/o terapia familiar y profiláctica, con menos efectos colaterales, que sea más seguro para el paciente, y de esta forma tratar de disminuir las hospitalizaciones por esta causa y brindar un mejor estilo de vida al paciente con Insuficiencia Renal, impactando en la reducción de costos y optimización de los servicios.</w:t>
      </w:r>
    </w:p>
    <w:p>
      <w:pPr>
        <w:spacing w:after="0"/>
        <w:jc w:val="both"/>
        <w:sectPr>
          <w:pgSz w:w="12240" w:h="15840"/>
          <w:pgMar w:header="0" w:footer="972" w:top="1360" w:bottom="1220" w:left="1580" w:right="1600"/>
        </w:sectPr>
      </w:pPr>
    </w:p>
    <w:p>
      <w:pPr>
        <w:pStyle w:val="Heading1"/>
        <w:numPr>
          <w:ilvl w:val="1"/>
          <w:numId w:val="11"/>
        </w:numPr>
        <w:tabs>
          <w:tab w:pos="1969" w:val="left" w:leader="none"/>
        </w:tabs>
        <w:spacing w:line="240" w:lineRule="auto" w:before="45" w:after="0"/>
        <w:ind w:left="1968" w:right="0" w:hanging="521"/>
        <w:jc w:val="left"/>
      </w:pPr>
      <w:bookmarkStart w:name="_TOC_250030" w:id="14"/>
      <w:bookmarkEnd w:id="14"/>
      <w:r>
        <w:rPr/>
        <w:t>SOCIAL</w:t>
      </w:r>
    </w:p>
    <w:p>
      <w:pPr>
        <w:pStyle w:val="BodyText"/>
        <w:spacing w:before="5"/>
        <w:rPr>
          <w:b/>
          <w:sz w:val="21"/>
        </w:rPr>
      </w:pPr>
    </w:p>
    <w:p>
      <w:pPr>
        <w:pStyle w:val="BodyText"/>
        <w:ind w:left="116" w:right="103"/>
        <w:jc w:val="both"/>
      </w:pPr>
      <w:r>
        <w:rPr/>
        <w:t>La importancia de esta investigación radica en que, desde el punto de vista social y médico, se contaría con un estudio que ofrecería detalles sobre cómo se estructuran y funcionan las redes de apoyo social en los pacientes con Insuficiencia Renal Crónica, así como elementos que caracterizan a la familia de estos pacientes que permitirían generar hipótesis sobre la relación entre Apoyo Social y Funcionamiento Familiar, así como la influencia de estas categorías en el nivel de adaptación a la enfermedad alcanzado por los pacientes, lo que abriría el campo en la profundización del estudio de elementos socio psicológicos en la Insuficiencia Renal Crónica, y permitiría al Médico Familiar una intervención más eficaz, así como conocer a los pacientes que requieren de mayor apoyo social institucional, sugerir métodos para el desarrollo de programas interventivos para estos pacientes, de acuerdo con los datos obtenidos en el diagnóstico, lo que optimizaría a corto plazo la atención integral de los mismos, impactando en la reducción de complicaciones y elevando la calidad de vida del paciente.</w:t>
      </w:r>
    </w:p>
    <w:p>
      <w:pPr>
        <w:pStyle w:val="BodyText"/>
      </w:pPr>
    </w:p>
    <w:p>
      <w:pPr>
        <w:pStyle w:val="BodyText"/>
        <w:spacing w:before="9"/>
        <w:rPr>
          <w:sz w:val="23"/>
        </w:rPr>
      </w:pPr>
    </w:p>
    <w:p>
      <w:pPr>
        <w:pStyle w:val="Heading1"/>
        <w:numPr>
          <w:ilvl w:val="1"/>
          <w:numId w:val="11"/>
        </w:numPr>
        <w:tabs>
          <w:tab w:pos="1838" w:val="left" w:leader="none"/>
        </w:tabs>
        <w:spacing w:line="240" w:lineRule="auto" w:before="0" w:after="0"/>
        <w:ind w:left="1837" w:right="0" w:hanging="521"/>
        <w:jc w:val="left"/>
      </w:pPr>
      <w:bookmarkStart w:name="_TOC_250029" w:id="15"/>
      <w:bookmarkEnd w:id="15"/>
      <w:r>
        <w:rPr/>
        <w:t>ECONÓMICA</w:t>
      </w:r>
    </w:p>
    <w:p>
      <w:pPr>
        <w:pStyle w:val="BodyText"/>
        <w:rPr>
          <w:b/>
        </w:rPr>
      </w:pPr>
    </w:p>
    <w:p>
      <w:pPr>
        <w:pStyle w:val="BodyText"/>
        <w:ind w:left="116" w:right="103"/>
        <w:jc w:val="both"/>
      </w:pPr>
      <w:r>
        <w:rPr/>
        <w:t>La Insuficiencia Renal Crónica (IRC) es catalogada como una enfermedad emergente por el número creciente de casos, el rezago en la atención, los elevados costos, la alta mortalidad  y los recursos limitados, que requiere una razonada aplicación financiera.</w:t>
      </w:r>
    </w:p>
    <w:p>
      <w:pPr>
        <w:pStyle w:val="BodyText"/>
      </w:pPr>
    </w:p>
    <w:p>
      <w:pPr>
        <w:pStyle w:val="BodyText"/>
        <w:ind w:left="116" w:right="103"/>
        <w:jc w:val="both"/>
      </w:pPr>
      <w:r>
        <w:rPr/>
        <w:t>El Instituto Mexicano del Seguro Social al mes de Febrero de 2010, contaba con poco más de 51 millones de derechohabientes registrados, que generan cada año aproximadamente 25 millones de consultas de Especialidades, de las cuales 1.5% corresponden a pacientes con </w:t>
      </w:r>
      <w:r>
        <w:rPr>
          <w:b/>
        </w:rPr>
        <w:t>Insuficiencia Renal Crónica (IRC) </w:t>
      </w:r>
      <w:r>
        <w:rPr/>
        <w:t>(379,281 consultas al cierre de 2011)</w:t>
      </w:r>
    </w:p>
    <w:p>
      <w:pPr>
        <w:pStyle w:val="BodyText"/>
      </w:pPr>
    </w:p>
    <w:p>
      <w:pPr>
        <w:pStyle w:val="BodyText"/>
        <w:ind w:left="116" w:right="103"/>
        <w:jc w:val="both"/>
      </w:pPr>
      <w:r>
        <w:rPr/>
        <w:t>En los últimos años, el IMSS ha presentado un incremento sustancial de pacientes en tratamiento de Diálisis Peritoneal, la tasa anual de crecimiento de los últimos 5 años es de 6.6% para DPCA y de 33.2% para DPA. En números absolutos, entre 2006 y 2010, los pacientes en DP pasaron de 13,219 a 18,111.</w:t>
      </w:r>
    </w:p>
    <w:p>
      <w:pPr>
        <w:pStyle w:val="BodyText"/>
      </w:pPr>
    </w:p>
    <w:p>
      <w:pPr>
        <w:pStyle w:val="BodyText"/>
        <w:ind w:left="116" w:right="103"/>
        <w:jc w:val="both"/>
      </w:pPr>
      <w:r>
        <w:rPr/>
        <w:t>En nuestro medio, la </w:t>
      </w:r>
      <w:r>
        <w:rPr>
          <w:b/>
        </w:rPr>
        <w:t>Peritonitis </w:t>
      </w:r>
      <w:r>
        <w:rPr/>
        <w:t>asociada al catéter permanente y la infección en el sitio de salida constituyen las complicaciones más frecuentes en pacientes con IRC, con un  episodio cada 18.6 meses, en el primer caso, y entre 0.6 y 0.7 veces por año.</w:t>
      </w:r>
    </w:p>
    <w:p>
      <w:pPr>
        <w:pStyle w:val="BodyText"/>
      </w:pPr>
    </w:p>
    <w:p>
      <w:pPr>
        <w:pStyle w:val="BodyText"/>
        <w:ind w:left="116" w:right="103"/>
        <w:jc w:val="both"/>
      </w:pPr>
      <w:r>
        <w:rPr/>
        <w:t>La alta frecuencia de la Insuficiencia Renal en la población y su importante tasa de mortalidad, las alternativas de procedimientos terapéuticos para dicha enfermedad limitados, siendo el más ofertado en nuestra unidad asistencial la DPCA, reportándose  como complicación más frecuente la Peritonitis conllevando en ocasiones al retiro del catéter; el costo que genera tanto para la Institución como para el paciente el tiempo de resolución de dicha complicación, los pocos estudios en nuestro país sobre este tema, y la prioritaria necesidad de prevención de eventos y tratamiento ambulatorio en el Primer Nivel de Atención.</w:t>
      </w:r>
    </w:p>
    <w:p>
      <w:pPr>
        <w:spacing w:after="0"/>
        <w:jc w:val="both"/>
        <w:sectPr>
          <w:pgSz w:w="12240" w:h="15840"/>
          <w:pgMar w:header="0" w:footer="972" w:top="1360" w:bottom="1220" w:left="1580" w:right="1600"/>
        </w:sectPr>
      </w:pPr>
    </w:p>
    <w:p>
      <w:pPr>
        <w:pStyle w:val="BodyText"/>
        <w:spacing w:before="50"/>
        <w:ind w:left="116" w:right="103"/>
        <w:jc w:val="both"/>
      </w:pPr>
      <w:r>
        <w:rPr/>
        <w:t>De ahí surge el interés por realizar esta investigación; con el fin de identificar el número de casos de Peritonitis, así como sus factores de funcionalidad familiar y apoyo social asociados, y de esta forma realizar propuestas para mejorar la prevención de casos, preservar la salud del paciente, el prestar una atención médica segura y de calidad contribuyendo en la disminución de los índices la morbilidad y la mortalidad atribuibles a  la infección en DPCA en pacientes con IRCT, así como los costos excesivos.</w:t>
      </w:r>
    </w:p>
    <w:p>
      <w:pPr>
        <w:spacing w:after="0"/>
        <w:jc w:val="both"/>
        <w:sectPr>
          <w:pgSz w:w="12240" w:h="15840"/>
          <w:pgMar w:header="0" w:footer="972" w:top="1360" w:bottom="1220" w:left="1580" w:right="1600"/>
        </w:sectPr>
      </w:pPr>
    </w:p>
    <w:p>
      <w:pPr>
        <w:pStyle w:val="Heading1"/>
        <w:numPr>
          <w:ilvl w:val="0"/>
          <w:numId w:val="4"/>
        </w:numPr>
        <w:tabs>
          <w:tab w:pos="4428" w:val="left" w:leader="none"/>
          <w:tab w:pos="4429" w:val="left" w:leader="none"/>
        </w:tabs>
        <w:spacing w:line="240" w:lineRule="auto" w:before="45" w:after="0"/>
        <w:ind w:left="4428" w:right="0" w:hanging="720"/>
        <w:jc w:val="left"/>
      </w:pPr>
      <w:bookmarkStart w:name="_TOC_250028" w:id="16"/>
      <w:bookmarkEnd w:id="16"/>
      <w:r>
        <w:rPr/>
        <w:t>HIPÓTESIS</w:t>
      </w:r>
    </w:p>
    <w:p>
      <w:pPr>
        <w:pStyle w:val="BodyText"/>
        <w:spacing w:before="5"/>
        <w:rPr>
          <w:b/>
          <w:sz w:val="21"/>
        </w:rPr>
      </w:pPr>
    </w:p>
    <w:p>
      <w:pPr>
        <w:pStyle w:val="BodyText"/>
        <w:ind w:left="476" w:right="103"/>
        <w:jc w:val="both"/>
      </w:pPr>
      <w:r>
        <w:rPr/>
        <w:t>Los Pacientes con Insuficiencia Renal Crónica en DPCA, que presentaron Peritonitis,  en el HGR /con UMF 220, Toluca Estado de México, durante 2011, tendrán una relación directamente proporcional entre la Funcionalidad Familiar y Apoyo Social.</w:t>
      </w:r>
    </w:p>
    <w:p>
      <w:pPr>
        <w:pStyle w:val="BodyText"/>
      </w:pPr>
    </w:p>
    <w:p>
      <w:pPr>
        <w:pStyle w:val="BodyText"/>
        <w:spacing w:before="9"/>
        <w:rPr>
          <w:sz w:val="23"/>
        </w:rPr>
      </w:pPr>
    </w:p>
    <w:p>
      <w:pPr>
        <w:pStyle w:val="Heading1"/>
        <w:numPr>
          <w:ilvl w:val="1"/>
          <w:numId w:val="12"/>
        </w:numPr>
        <w:tabs>
          <w:tab w:pos="2959" w:val="left" w:leader="none"/>
        </w:tabs>
        <w:spacing w:line="240" w:lineRule="auto" w:before="0" w:after="0"/>
        <w:ind w:left="2958" w:right="0" w:hanging="507"/>
        <w:jc w:val="left"/>
      </w:pPr>
      <w:bookmarkStart w:name="_TOC_250027" w:id="17"/>
      <w:bookmarkEnd w:id="17"/>
      <w:r>
        <w:rPr/>
        <w:t>ELEMENTOS DE LA HIPÓTESIS</w:t>
      </w:r>
    </w:p>
    <w:p>
      <w:pPr>
        <w:pStyle w:val="BodyText"/>
        <w:rPr>
          <w:b/>
        </w:rPr>
      </w:pPr>
    </w:p>
    <w:p>
      <w:pPr>
        <w:pStyle w:val="BodyText"/>
        <w:rPr>
          <w:b/>
        </w:rPr>
      </w:pPr>
    </w:p>
    <w:p>
      <w:pPr>
        <w:pStyle w:val="BodyText"/>
        <w:spacing w:before="9"/>
        <w:rPr>
          <w:b/>
        </w:rPr>
      </w:pPr>
    </w:p>
    <w:p>
      <w:pPr>
        <w:pStyle w:val="Heading1"/>
        <w:numPr>
          <w:ilvl w:val="2"/>
          <w:numId w:val="12"/>
        </w:numPr>
        <w:tabs>
          <w:tab w:pos="3133" w:val="left" w:leader="none"/>
        </w:tabs>
        <w:spacing w:line="240" w:lineRule="auto" w:before="0" w:after="0"/>
        <w:ind w:left="3132" w:right="0" w:hanging="687"/>
        <w:jc w:val="left"/>
      </w:pPr>
      <w:bookmarkStart w:name="_TOC_250026" w:id="18"/>
      <w:bookmarkEnd w:id="18"/>
      <w:r>
        <w:rPr/>
        <w:t>UNIDADES DE OBSERVACIÓN</w:t>
      </w:r>
    </w:p>
    <w:p>
      <w:pPr>
        <w:pStyle w:val="BodyText"/>
        <w:rPr>
          <w:b/>
        </w:rPr>
      </w:pPr>
    </w:p>
    <w:p>
      <w:pPr>
        <w:pStyle w:val="BodyText"/>
        <w:ind w:left="116" w:right="103"/>
        <w:jc w:val="both"/>
      </w:pPr>
      <w:r>
        <w:rPr/>
        <w:t>Pacientes mayores de 15 años, ambos sexos, portadores de Enfermedad Renal Crónica en tratamiento sustitutivo con Diálisis Peritoneal Continua Ambulatoria, en vigilancia en la Unidad de Diálisis en el HGR /con UMF 220, Toluca Estado de México, que desarrollaron Peritonitis durante 2011.</w:t>
      </w:r>
    </w:p>
    <w:p>
      <w:pPr>
        <w:pStyle w:val="BodyText"/>
      </w:pPr>
    </w:p>
    <w:p>
      <w:pPr>
        <w:pStyle w:val="BodyText"/>
        <w:spacing w:before="2"/>
      </w:pPr>
    </w:p>
    <w:p>
      <w:pPr>
        <w:pStyle w:val="Heading1"/>
        <w:numPr>
          <w:ilvl w:val="2"/>
          <w:numId w:val="12"/>
        </w:numPr>
        <w:tabs>
          <w:tab w:pos="4785" w:val="left" w:leader="none"/>
        </w:tabs>
        <w:spacing w:line="240" w:lineRule="auto" w:before="0" w:after="0"/>
        <w:ind w:left="4784" w:right="0" w:hanging="687"/>
        <w:jc w:val="left"/>
      </w:pPr>
      <w:bookmarkStart w:name="_TOC_250025" w:id="19"/>
      <w:bookmarkEnd w:id="19"/>
      <w:r>
        <w:rPr/>
        <w:t>VARIABLES</w:t>
      </w:r>
    </w:p>
    <w:p>
      <w:pPr>
        <w:pStyle w:val="BodyText"/>
        <w:rPr>
          <w:b/>
        </w:rPr>
      </w:pPr>
    </w:p>
    <w:p>
      <w:pPr>
        <w:pStyle w:val="BodyText"/>
        <w:spacing w:before="7"/>
        <w:rPr>
          <w:b/>
          <w:sz w:val="34"/>
        </w:rPr>
      </w:pPr>
    </w:p>
    <w:p>
      <w:pPr>
        <w:pStyle w:val="Heading1"/>
        <w:numPr>
          <w:ilvl w:val="3"/>
          <w:numId w:val="12"/>
        </w:numPr>
        <w:tabs>
          <w:tab w:pos="4708" w:val="left" w:leader="none"/>
        </w:tabs>
        <w:spacing w:line="240" w:lineRule="auto" w:before="0" w:after="0"/>
        <w:ind w:left="4707" w:right="0" w:hanging="866"/>
        <w:jc w:val="center"/>
      </w:pPr>
      <w:bookmarkStart w:name="_TOC_250024" w:id="20"/>
      <w:bookmarkEnd w:id="20"/>
      <w:r>
        <w:rPr/>
        <w:t>DEPENDIENTE</w:t>
      </w:r>
    </w:p>
    <w:p>
      <w:pPr>
        <w:pStyle w:val="BodyText"/>
        <w:spacing w:before="41"/>
        <w:ind w:left="1398" w:right="176"/>
        <w:jc w:val="center"/>
      </w:pPr>
      <w:r>
        <w:rPr/>
        <w:t>Funcionalidad Familiar</w:t>
      </w:r>
    </w:p>
    <w:p>
      <w:pPr>
        <w:pStyle w:val="BodyText"/>
        <w:spacing w:before="5"/>
        <w:rPr>
          <w:sz w:val="31"/>
        </w:rPr>
      </w:pPr>
    </w:p>
    <w:p>
      <w:pPr>
        <w:pStyle w:val="Heading1"/>
        <w:numPr>
          <w:ilvl w:val="3"/>
          <w:numId w:val="12"/>
        </w:numPr>
        <w:tabs>
          <w:tab w:pos="4508" w:val="left" w:leader="none"/>
        </w:tabs>
        <w:spacing w:line="240" w:lineRule="auto" w:before="1" w:after="0"/>
        <w:ind w:left="4507" w:right="0" w:hanging="867"/>
        <w:jc w:val="center"/>
      </w:pPr>
      <w:bookmarkStart w:name="_TOC_250023" w:id="21"/>
      <w:bookmarkEnd w:id="21"/>
      <w:r>
        <w:rPr/>
        <w:t>INDEPENDIENTES</w:t>
      </w:r>
    </w:p>
    <w:p>
      <w:pPr>
        <w:pStyle w:val="BodyText"/>
        <w:spacing w:before="41"/>
        <w:ind w:left="1398" w:right="176"/>
        <w:jc w:val="center"/>
      </w:pPr>
      <w:r>
        <w:rPr/>
        <w:t>Apoyo Social.</w:t>
      </w:r>
    </w:p>
    <w:p>
      <w:pPr>
        <w:pStyle w:val="BodyText"/>
      </w:pPr>
    </w:p>
    <w:p>
      <w:pPr>
        <w:pStyle w:val="BodyText"/>
        <w:spacing w:before="2"/>
        <w:rPr>
          <w:sz w:val="34"/>
        </w:rPr>
      </w:pPr>
    </w:p>
    <w:p>
      <w:pPr>
        <w:pStyle w:val="Heading1"/>
        <w:numPr>
          <w:ilvl w:val="2"/>
          <w:numId w:val="12"/>
        </w:numPr>
        <w:tabs>
          <w:tab w:pos="3261" w:val="left" w:leader="none"/>
        </w:tabs>
        <w:spacing w:line="240" w:lineRule="auto" w:before="0" w:after="0"/>
        <w:ind w:left="3260" w:right="0" w:hanging="686"/>
        <w:jc w:val="center"/>
      </w:pPr>
      <w:bookmarkStart w:name="_TOC_250022" w:id="22"/>
      <w:bookmarkEnd w:id="22"/>
      <w:r>
        <w:rPr/>
        <w:t>ELEMENTOS LÓGICOS DE RELACIÓN</w:t>
      </w:r>
    </w:p>
    <w:p>
      <w:pPr>
        <w:pStyle w:val="BodyText"/>
        <w:spacing w:before="5"/>
        <w:rPr>
          <w:b/>
          <w:sz w:val="21"/>
        </w:rPr>
      </w:pPr>
    </w:p>
    <w:p>
      <w:pPr>
        <w:pStyle w:val="BodyText"/>
        <w:ind w:left="3376" w:right="1164"/>
      </w:pPr>
      <w:r>
        <w:rPr/>
        <w:t>Los, con,  relación, entre, y.</w:t>
      </w:r>
    </w:p>
    <w:p>
      <w:pPr>
        <w:spacing w:after="0"/>
        <w:sectPr>
          <w:pgSz w:w="12240" w:h="15840"/>
          <w:pgMar w:header="0" w:footer="972" w:top="1360" w:bottom="1220" w:left="1580" w:right="1600"/>
        </w:sectPr>
      </w:pPr>
    </w:p>
    <w:p>
      <w:pPr>
        <w:pStyle w:val="BodyText"/>
        <w:spacing w:before="4"/>
        <w:rPr>
          <w:sz w:val="10"/>
        </w:rPr>
      </w:pPr>
    </w:p>
    <w:p>
      <w:pPr>
        <w:pStyle w:val="ListParagraph"/>
        <w:numPr>
          <w:ilvl w:val="0"/>
          <w:numId w:val="4"/>
        </w:numPr>
        <w:tabs>
          <w:tab w:pos="4409" w:val="left" w:leader="none"/>
          <w:tab w:pos="4410" w:val="left" w:leader="none"/>
        </w:tabs>
        <w:spacing w:line="240" w:lineRule="auto" w:before="78" w:after="0"/>
        <w:ind w:left="4409" w:right="0" w:hanging="720"/>
        <w:jc w:val="left"/>
        <w:rPr>
          <w:b/>
          <w:sz w:val="21"/>
        </w:rPr>
      </w:pPr>
      <w:r>
        <w:rPr>
          <w:b/>
          <w:w w:val="105"/>
          <w:sz w:val="21"/>
        </w:rPr>
        <w:t>OBJETIVOS:</w:t>
      </w:r>
    </w:p>
    <w:p>
      <w:pPr>
        <w:pStyle w:val="BodyText"/>
        <w:rPr>
          <w:b/>
          <w:sz w:val="22"/>
        </w:rPr>
      </w:pPr>
    </w:p>
    <w:p>
      <w:pPr>
        <w:pStyle w:val="BodyText"/>
        <w:rPr>
          <w:b/>
          <w:sz w:val="22"/>
        </w:rPr>
      </w:pPr>
    </w:p>
    <w:p>
      <w:pPr>
        <w:pStyle w:val="BodyText"/>
        <w:spacing w:before="9"/>
        <w:rPr>
          <w:b/>
          <w:sz w:val="26"/>
        </w:rPr>
      </w:pPr>
    </w:p>
    <w:p>
      <w:pPr>
        <w:pStyle w:val="ListParagraph"/>
        <w:numPr>
          <w:ilvl w:val="1"/>
          <w:numId w:val="13"/>
        </w:numPr>
        <w:tabs>
          <w:tab w:pos="1576" w:val="left" w:leader="none"/>
        </w:tabs>
        <w:spacing w:line="240" w:lineRule="auto" w:before="0" w:after="0"/>
        <w:ind w:left="1575" w:right="0" w:hanging="379"/>
        <w:jc w:val="left"/>
        <w:rPr>
          <w:b/>
          <w:sz w:val="21"/>
        </w:rPr>
      </w:pPr>
      <w:r>
        <w:rPr>
          <w:b/>
          <w:w w:val="105"/>
          <w:sz w:val="21"/>
        </w:rPr>
        <w:t>OBJETIVO</w:t>
      </w:r>
      <w:r>
        <w:rPr>
          <w:b/>
          <w:spacing w:val="-16"/>
          <w:w w:val="105"/>
          <w:sz w:val="21"/>
        </w:rPr>
        <w:t> </w:t>
      </w:r>
      <w:r>
        <w:rPr>
          <w:b/>
          <w:w w:val="105"/>
          <w:sz w:val="21"/>
        </w:rPr>
        <w:t>GENERAL:</w:t>
      </w:r>
    </w:p>
    <w:p>
      <w:pPr>
        <w:pStyle w:val="BodyText"/>
        <w:rPr>
          <w:b/>
          <w:sz w:val="22"/>
        </w:rPr>
      </w:pPr>
    </w:p>
    <w:p>
      <w:pPr>
        <w:pStyle w:val="BodyText"/>
        <w:rPr>
          <w:b/>
          <w:sz w:val="22"/>
        </w:rPr>
      </w:pPr>
    </w:p>
    <w:p>
      <w:pPr>
        <w:pStyle w:val="BodyText"/>
        <w:spacing w:before="8"/>
        <w:rPr>
          <w:b/>
          <w:sz w:val="27"/>
        </w:rPr>
      </w:pPr>
    </w:p>
    <w:p>
      <w:pPr>
        <w:pStyle w:val="ListParagraph"/>
        <w:numPr>
          <w:ilvl w:val="0"/>
          <w:numId w:val="14"/>
        </w:numPr>
        <w:tabs>
          <w:tab w:pos="442" w:val="left" w:leader="none"/>
        </w:tabs>
        <w:spacing w:line="240" w:lineRule="auto" w:before="0" w:after="0"/>
        <w:ind w:left="116" w:right="103" w:firstLine="0"/>
        <w:jc w:val="both"/>
        <w:rPr>
          <w:sz w:val="24"/>
        </w:rPr>
      </w:pPr>
      <w:r>
        <w:rPr>
          <w:sz w:val="24"/>
        </w:rPr>
        <w:t>Identificar la relación existente entre Funcionalidad Familiar y Apoyo Social en Pacientes con Peritonitis en Diálisis Peritoneal Continua Ambulatoria en el HGR /con UMF 220, Toluca Estado de México, durante 2011.</w:t>
      </w:r>
    </w:p>
    <w:p>
      <w:pPr>
        <w:pStyle w:val="BodyText"/>
      </w:pPr>
    </w:p>
    <w:p>
      <w:pPr>
        <w:pStyle w:val="BodyText"/>
      </w:pPr>
    </w:p>
    <w:p>
      <w:pPr>
        <w:pStyle w:val="BodyText"/>
        <w:rPr>
          <w:sz w:val="26"/>
        </w:rPr>
      </w:pPr>
    </w:p>
    <w:p>
      <w:pPr>
        <w:pStyle w:val="ListParagraph"/>
        <w:numPr>
          <w:ilvl w:val="1"/>
          <w:numId w:val="13"/>
        </w:numPr>
        <w:tabs>
          <w:tab w:pos="1576" w:val="left" w:leader="none"/>
        </w:tabs>
        <w:spacing w:line="240" w:lineRule="auto" w:before="0" w:after="0"/>
        <w:ind w:left="1575" w:right="0" w:hanging="379"/>
        <w:jc w:val="left"/>
        <w:rPr>
          <w:b/>
          <w:sz w:val="21"/>
        </w:rPr>
      </w:pPr>
      <w:r>
        <w:rPr>
          <w:b/>
          <w:w w:val="105"/>
          <w:sz w:val="21"/>
        </w:rPr>
        <w:t>OBJETIVOS</w:t>
      </w:r>
      <w:r>
        <w:rPr>
          <w:b/>
          <w:spacing w:val="-18"/>
          <w:w w:val="105"/>
          <w:sz w:val="21"/>
        </w:rPr>
        <w:t> </w:t>
      </w:r>
      <w:r>
        <w:rPr>
          <w:b/>
          <w:w w:val="105"/>
          <w:sz w:val="21"/>
        </w:rPr>
        <w:t>ESPECIFICOS:</w:t>
      </w:r>
    </w:p>
    <w:p>
      <w:pPr>
        <w:pStyle w:val="BodyText"/>
        <w:rPr>
          <w:b/>
          <w:sz w:val="22"/>
        </w:rPr>
      </w:pPr>
    </w:p>
    <w:p>
      <w:pPr>
        <w:pStyle w:val="BodyText"/>
        <w:rPr>
          <w:b/>
          <w:sz w:val="22"/>
        </w:rPr>
      </w:pPr>
    </w:p>
    <w:p>
      <w:pPr>
        <w:pStyle w:val="BodyText"/>
        <w:spacing w:before="3"/>
        <w:rPr>
          <w:b/>
          <w:sz w:val="27"/>
        </w:rPr>
      </w:pPr>
    </w:p>
    <w:p>
      <w:pPr>
        <w:pStyle w:val="ListParagraph"/>
        <w:numPr>
          <w:ilvl w:val="0"/>
          <w:numId w:val="14"/>
        </w:numPr>
        <w:tabs>
          <w:tab w:pos="478" w:val="left" w:leader="none"/>
        </w:tabs>
        <w:spacing w:line="242" w:lineRule="auto" w:before="0" w:after="0"/>
        <w:ind w:left="116" w:right="103" w:firstLine="0"/>
        <w:jc w:val="both"/>
        <w:rPr>
          <w:sz w:val="24"/>
        </w:rPr>
      </w:pPr>
      <w:r>
        <w:rPr>
          <w:sz w:val="24"/>
        </w:rPr>
        <w:t>Identificar la Prevalencia de Peritonitis en Pacientes con Diálisis Peritoneal Continua Ambulatoria, en el HGR /con UMF 220, Toluca Estado de México, durante 2011.</w:t>
      </w:r>
    </w:p>
    <w:p>
      <w:pPr>
        <w:pStyle w:val="BodyText"/>
        <w:spacing w:before="2"/>
      </w:pPr>
    </w:p>
    <w:p>
      <w:pPr>
        <w:pStyle w:val="ListParagraph"/>
        <w:numPr>
          <w:ilvl w:val="0"/>
          <w:numId w:val="14"/>
        </w:numPr>
        <w:tabs>
          <w:tab w:pos="422" w:val="left" w:leader="none"/>
        </w:tabs>
        <w:spacing w:line="274" w:lineRule="exact" w:before="0" w:after="0"/>
        <w:ind w:left="116" w:right="103" w:firstLine="0"/>
        <w:jc w:val="both"/>
        <w:rPr>
          <w:sz w:val="24"/>
        </w:rPr>
      </w:pPr>
      <w:r>
        <w:rPr>
          <w:sz w:val="24"/>
        </w:rPr>
        <w:t>Determinar mediante la Escala de Holmes el nivel de Funcionalidad Familiar en Pacientes con Peritonitis en  Diálisis Peritoneal Continua Ambulatoria.</w:t>
      </w:r>
    </w:p>
    <w:p>
      <w:pPr>
        <w:pStyle w:val="BodyText"/>
        <w:spacing w:before="8"/>
        <w:rPr>
          <w:sz w:val="23"/>
        </w:rPr>
      </w:pPr>
    </w:p>
    <w:p>
      <w:pPr>
        <w:pStyle w:val="ListParagraph"/>
        <w:numPr>
          <w:ilvl w:val="0"/>
          <w:numId w:val="14"/>
        </w:numPr>
        <w:tabs>
          <w:tab w:pos="417" w:val="left" w:leader="none"/>
        </w:tabs>
        <w:spacing w:line="242" w:lineRule="auto" w:before="0" w:after="0"/>
        <w:ind w:left="116" w:right="103" w:firstLine="0"/>
        <w:jc w:val="both"/>
        <w:rPr>
          <w:sz w:val="24"/>
        </w:rPr>
      </w:pPr>
      <w:r>
        <w:rPr>
          <w:sz w:val="24"/>
        </w:rPr>
        <w:t>Identificar las principales características de las Redes de Apoyo en Pacientes con DPCA con Peritonitis.</w:t>
      </w:r>
    </w:p>
    <w:p>
      <w:pPr>
        <w:pStyle w:val="BodyText"/>
        <w:spacing w:before="2"/>
      </w:pPr>
    </w:p>
    <w:p>
      <w:pPr>
        <w:pStyle w:val="ListParagraph"/>
        <w:numPr>
          <w:ilvl w:val="0"/>
          <w:numId w:val="14"/>
        </w:numPr>
        <w:tabs>
          <w:tab w:pos="423" w:val="left" w:leader="none"/>
        </w:tabs>
        <w:spacing w:line="274" w:lineRule="exact" w:before="0" w:after="0"/>
        <w:ind w:left="116" w:right="103" w:firstLine="0"/>
        <w:jc w:val="both"/>
        <w:rPr>
          <w:sz w:val="24"/>
        </w:rPr>
      </w:pPr>
      <w:r>
        <w:rPr>
          <w:sz w:val="24"/>
        </w:rPr>
        <w:t>Caracterizar el Apoyo Social brindado a Pacientes en Diálisis Peritoneal Continua Ambulatoria, portadores de Peritonitis.</w:t>
      </w:r>
    </w:p>
    <w:p>
      <w:pPr>
        <w:pStyle w:val="BodyText"/>
        <w:spacing w:before="8"/>
        <w:rPr>
          <w:sz w:val="23"/>
        </w:rPr>
      </w:pPr>
    </w:p>
    <w:p>
      <w:pPr>
        <w:pStyle w:val="ListParagraph"/>
        <w:numPr>
          <w:ilvl w:val="0"/>
          <w:numId w:val="14"/>
        </w:numPr>
        <w:tabs>
          <w:tab w:pos="421" w:val="left" w:leader="none"/>
        </w:tabs>
        <w:spacing w:line="242" w:lineRule="auto" w:before="0" w:after="0"/>
        <w:ind w:left="116" w:right="103" w:firstLine="0"/>
        <w:jc w:val="both"/>
        <w:rPr>
          <w:sz w:val="24"/>
        </w:rPr>
      </w:pPr>
      <w:r>
        <w:rPr>
          <w:sz w:val="24"/>
        </w:rPr>
        <w:t>Describir las dimensiones del Apoyo Social de Pacientes en Diálisis Peritoneal Continua Ambulatoria, portadores de Peritonitis.</w:t>
      </w:r>
    </w:p>
    <w:p>
      <w:pPr>
        <w:pStyle w:val="BodyText"/>
        <w:spacing w:before="2"/>
      </w:pPr>
    </w:p>
    <w:p>
      <w:pPr>
        <w:pStyle w:val="ListParagraph"/>
        <w:numPr>
          <w:ilvl w:val="0"/>
          <w:numId w:val="14"/>
        </w:numPr>
        <w:tabs>
          <w:tab w:pos="540" w:val="left" w:leader="none"/>
        </w:tabs>
        <w:spacing w:line="274" w:lineRule="exact" w:before="0" w:after="0"/>
        <w:ind w:left="116" w:right="103" w:firstLine="0"/>
        <w:jc w:val="both"/>
        <w:rPr>
          <w:sz w:val="24"/>
        </w:rPr>
      </w:pPr>
      <w:r>
        <w:rPr>
          <w:sz w:val="24"/>
        </w:rPr>
        <w:t>Identificar los Aspectos Funcionales del Apoyo Social de Pacientes en Diálisis Peritoneal Continua Ambulatoria, portadores de Peritonitis.</w:t>
      </w:r>
    </w:p>
    <w:p>
      <w:pPr>
        <w:spacing w:after="0" w:line="274" w:lineRule="exact"/>
        <w:jc w:val="both"/>
        <w:rPr>
          <w:sz w:val="24"/>
        </w:rPr>
        <w:sectPr>
          <w:pgSz w:w="12240" w:h="15840"/>
          <w:pgMar w:header="0" w:footer="972" w:top="1500" w:bottom="1220" w:left="1580" w:right="16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1"/>
        </w:rPr>
      </w:pPr>
    </w:p>
    <w:p>
      <w:pPr>
        <w:pStyle w:val="ListParagraph"/>
        <w:numPr>
          <w:ilvl w:val="0"/>
          <w:numId w:val="4"/>
        </w:numPr>
        <w:tabs>
          <w:tab w:pos="4574" w:val="left" w:leader="none"/>
          <w:tab w:pos="4575" w:val="left" w:leader="none"/>
        </w:tabs>
        <w:spacing w:line="240" w:lineRule="auto" w:before="0" w:after="0"/>
        <w:ind w:left="4574" w:right="0" w:hanging="720"/>
        <w:jc w:val="left"/>
        <w:rPr>
          <w:b/>
          <w:sz w:val="21"/>
        </w:rPr>
      </w:pPr>
      <w:r>
        <w:rPr>
          <w:b/>
          <w:w w:val="105"/>
          <w:sz w:val="21"/>
        </w:rPr>
        <w:t>MÉTODO</w:t>
      </w:r>
    </w:p>
    <w:p>
      <w:pPr>
        <w:pStyle w:val="BodyText"/>
        <w:spacing w:before="4"/>
        <w:rPr>
          <w:b/>
        </w:rPr>
      </w:pPr>
    </w:p>
    <w:p>
      <w:pPr>
        <w:pStyle w:val="Heading1"/>
        <w:numPr>
          <w:ilvl w:val="1"/>
          <w:numId w:val="15"/>
        </w:numPr>
        <w:tabs>
          <w:tab w:pos="1704" w:val="left" w:leader="none"/>
        </w:tabs>
        <w:spacing w:line="240" w:lineRule="auto" w:before="69" w:after="0"/>
        <w:ind w:left="1703" w:right="0" w:hanging="507"/>
        <w:jc w:val="left"/>
      </w:pPr>
      <w:bookmarkStart w:name="_TOC_250021" w:id="23"/>
      <w:bookmarkEnd w:id="23"/>
      <w:r>
        <w:rPr/>
        <w:t>Tipo de estudio</w:t>
      </w:r>
    </w:p>
    <w:p>
      <w:pPr>
        <w:pStyle w:val="BodyText"/>
        <w:spacing w:before="5"/>
        <w:rPr>
          <w:b/>
          <w:sz w:val="21"/>
        </w:rPr>
      </w:pPr>
    </w:p>
    <w:p>
      <w:pPr>
        <w:pStyle w:val="BodyText"/>
        <w:ind w:left="116"/>
        <w:jc w:val="both"/>
      </w:pPr>
      <w:r>
        <w:rPr/>
        <w:t>El presente estudio es de tipo observacional, prospectivo, transversal, y descriptivo.</w:t>
      </w:r>
    </w:p>
    <w:p>
      <w:pPr>
        <w:pStyle w:val="BodyText"/>
        <w:spacing w:before="6"/>
        <w:rPr>
          <w:sz w:val="23"/>
        </w:rPr>
      </w:pPr>
    </w:p>
    <w:p>
      <w:pPr>
        <w:pStyle w:val="Heading1"/>
        <w:numPr>
          <w:ilvl w:val="1"/>
          <w:numId w:val="15"/>
        </w:numPr>
        <w:tabs>
          <w:tab w:pos="1704" w:val="left" w:leader="none"/>
        </w:tabs>
        <w:spacing w:line="240" w:lineRule="auto" w:before="0" w:after="0"/>
        <w:ind w:left="1703" w:right="0" w:hanging="507"/>
        <w:jc w:val="left"/>
      </w:pPr>
      <w:bookmarkStart w:name="_TOC_250020" w:id="24"/>
      <w:bookmarkEnd w:id="24"/>
      <w:r>
        <w:rPr/>
        <w:t>Diseño del estudio</w:t>
      </w:r>
    </w:p>
    <w:p>
      <w:pPr>
        <w:pStyle w:val="BodyText"/>
        <w:spacing w:before="5"/>
        <w:rPr>
          <w:b/>
          <w:sz w:val="21"/>
        </w:rPr>
      </w:pPr>
    </w:p>
    <w:p>
      <w:pPr>
        <w:pStyle w:val="BodyText"/>
        <w:ind w:left="116" w:right="103"/>
        <w:jc w:val="both"/>
      </w:pPr>
      <w:r>
        <w:rPr/>
        <w:t>El presente estudio se llevó a cabo en un período de 12 meses, en el servicio de Diálisis Peritoneal, durante los cuales se realizó interrogatorio dirigido y análisis de Expediente Clínico, Cárdex de DPCA, hoja de registros de peritonitis del programa para pacientes adscritos al programa de DPCA para el llenado del la encuesta personal y “ Cedula de Registro de Peritonitis” a una población de 651 pacientes con Insuficiencia Renal Crónica Terminal Se detectaron 251 casos de Peritonitis, se Identificó la Prevalencia de Peritonitis.</w:t>
      </w:r>
    </w:p>
    <w:p>
      <w:pPr>
        <w:pStyle w:val="BodyText"/>
      </w:pPr>
    </w:p>
    <w:p>
      <w:pPr>
        <w:pStyle w:val="BodyText"/>
        <w:spacing w:line="242" w:lineRule="auto"/>
        <w:ind w:left="116" w:right="103"/>
        <w:jc w:val="both"/>
      </w:pPr>
      <w:r>
        <w:rPr/>
        <w:t>Se clasifico mediante la Escala de Holmes el grado de Funcionalidad Familiar de los Pacientes portadores de Peritonitis</w:t>
      </w:r>
    </w:p>
    <w:p>
      <w:pPr>
        <w:pStyle w:val="BodyText"/>
        <w:spacing w:before="8"/>
        <w:rPr>
          <w:sz w:val="23"/>
        </w:rPr>
      </w:pPr>
    </w:p>
    <w:p>
      <w:pPr>
        <w:pStyle w:val="BodyText"/>
        <w:spacing w:before="1"/>
        <w:ind w:left="116" w:right="103"/>
        <w:jc w:val="both"/>
      </w:pPr>
      <w:r>
        <w:rPr/>
        <w:t>Se Identificaron mediante la escala ASSIS (Arizona Social Support Interview Schedule)   las principales características de las Redes de Apoyo, señalando el Nivel de Apoyo brindado, describiendo las dimensiones del Apoyo Social en Pacientes portadores de Peritonitis.</w:t>
      </w:r>
    </w:p>
    <w:p>
      <w:pPr>
        <w:spacing w:after="0"/>
        <w:jc w:val="both"/>
        <w:sectPr>
          <w:pgSz w:w="12240" w:h="15840"/>
          <w:pgMar w:header="0" w:footer="972" w:top="1500" w:bottom="1220" w:left="1580" w:right="1600"/>
        </w:sectPr>
      </w:pPr>
    </w:p>
    <w:p>
      <w:pPr>
        <w:pStyle w:val="Heading1"/>
        <w:numPr>
          <w:ilvl w:val="1"/>
          <w:numId w:val="15"/>
        </w:numPr>
        <w:tabs>
          <w:tab w:pos="3202" w:val="left" w:leader="none"/>
        </w:tabs>
        <w:spacing w:line="240" w:lineRule="auto" w:before="50" w:after="0"/>
        <w:ind w:left="3202" w:right="0" w:hanging="567"/>
        <w:jc w:val="left"/>
      </w:pPr>
      <w:bookmarkStart w:name="_TOC_250019" w:id="25"/>
      <w:bookmarkEnd w:id="25"/>
      <w:r>
        <w:rPr/>
        <w:t>OPERACIONALIZACIÓN DE LAS VARIABLES</w:t>
      </w:r>
    </w:p>
    <w:p>
      <w:pPr>
        <w:pStyle w:val="BodyText"/>
        <w:spacing w:before="6"/>
        <w:rPr>
          <w:b/>
          <w:sz w:val="25"/>
        </w:rPr>
      </w:pPr>
    </w:p>
    <w:tbl>
      <w:tblPr>
        <w:tblW w:w="0" w:type="auto"/>
        <w:jc w:val="left"/>
        <w:tblInd w:w="118" w:type="dxa"/>
        <w:tblBorders>
          <w:top w:val="single" w:sz="2" w:space="0" w:color="CDCDCD"/>
          <w:left w:val="single" w:sz="2" w:space="0" w:color="CDCDCD"/>
          <w:bottom w:val="single" w:sz="2" w:space="0" w:color="CDCDCD"/>
          <w:right w:val="single" w:sz="2" w:space="0" w:color="CDCDCD"/>
          <w:insideH w:val="single" w:sz="2" w:space="0" w:color="CDCDCD"/>
          <w:insideV w:val="single" w:sz="2" w:space="0" w:color="CDCDCD"/>
        </w:tblBorders>
        <w:tblLayout w:type="fixed"/>
        <w:tblCellMar>
          <w:top w:w="0" w:type="dxa"/>
          <w:left w:w="0" w:type="dxa"/>
          <w:bottom w:w="0" w:type="dxa"/>
          <w:right w:w="0" w:type="dxa"/>
        </w:tblCellMar>
        <w:tblLook w:val="01E0"/>
      </w:tblPr>
      <w:tblGrid>
        <w:gridCol w:w="1560"/>
        <w:gridCol w:w="2126"/>
        <w:gridCol w:w="2126"/>
        <w:gridCol w:w="1704"/>
        <w:gridCol w:w="2266"/>
        <w:gridCol w:w="1560"/>
      </w:tblGrid>
      <w:tr>
        <w:trPr>
          <w:trHeight w:val="235" w:hRule="exact"/>
        </w:trPr>
        <w:tc>
          <w:tcPr>
            <w:tcW w:w="11342" w:type="dxa"/>
            <w:gridSpan w:val="6"/>
          </w:tcPr>
          <w:p>
            <w:pPr>
              <w:pStyle w:val="TableParagraph"/>
              <w:spacing w:before="5"/>
              <w:ind w:left="3700"/>
              <w:jc w:val="left"/>
              <w:rPr>
                <w:b/>
                <w:sz w:val="19"/>
              </w:rPr>
            </w:pPr>
            <w:r>
              <w:rPr>
                <w:b/>
                <w:w w:val="105"/>
                <w:sz w:val="19"/>
              </w:rPr>
              <w:t>DIMENSIÓN SOCIODEMOGRÁFICA:</w:t>
            </w:r>
            <w:r>
              <w:rPr>
                <w:b/>
                <w:sz w:val="19"/>
              </w:rPr>
              <w:t> </w:t>
            </w:r>
          </w:p>
        </w:tc>
      </w:tr>
      <w:tr>
        <w:trPr>
          <w:trHeight w:val="466" w:hRule="exact"/>
        </w:trPr>
        <w:tc>
          <w:tcPr>
            <w:tcW w:w="1560" w:type="dxa"/>
          </w:tcPr>
          <w:p>
            <w:pPr>
              <w:pStyle w:val="TableParagraph"/>
              <w:spacing w:before="5"/>
              <w:ind w:left="227" w:right="234"/>
              <w:rPr>
                <w:b/>
                <w:sz w:val="19"/>
              </w:rPr>
            </w:pPr>
            <w:r>
              <w:rPr>
                <w:b/>
                <w:w w:val="105"/>
                <w:sz w:val="19"/>
              </w:rPr>
              <w:t>VARIABLE</w:t>
            </w:r>
          </w:p>
        </w:tc>
        <w:tc>
          <w:tcPr>
            <w:tcW w:w="2126" w:type="dxa"/>
          </w:tcPr>
          <w:p>
            <w:pPr>
              <w:pStyle w:val="TableParagraph"/>
              <w:spacing w:line="252" w:lineRule="auto" w:before="5"/>
              <w:ind w:left="540" w:right="292" w:hanging="170"/>
              <w:jc w:val="left"/>
              <w:rPr>
                <w:b/>
                <w:sz w:val="19"/>
              </w:rPr>
            </w:pPr>
            <w:r>
              <w:rPr>
                <w:b/>
                <w:sz w:val="19"/>
              </w:rPr>
              <w:t>DEFINICION </w:t>
            </w:r>
            <w:r>
              <w:rPr>
                <w:b/>
                <w:w w:val="105"/>
                <w:sz w:val="19"/>
              </w:rPr>
              <w:t>TEORICA</w:t>
            </w:r>
          </w:p>
        </w:tc>
        <w:tc>
          <w:tcPr>
            <w:tcW w:w="2126" w:type="dxa"/>
          </w:tcPr>
          <w:p>
            <w:pPr>
              <w:pStyle w:val="TableParagraph"/>
              <w:spacing w:line="252" w:lineRule="auto" w:before="5"/>
              <w:ind w:left="223" w:right="292" w:firstLine="147"/>
              <w:jc w:val="left"/>
              <w:rPr>
                <w:b/>
                <w:sz w:val="19"/>
              </w:rPr>
            </w:pPr>
            <w:r>
              <w:rPr>
                <w:b/>
                <w:w w:val="105"/>
                <w:sz w:val="19"/>
              </w:rPr>
              <w:t>DEFINICION </w:t>
            </w:r>
            <w:r>
              <w:rPr>
                <w:b/>
                <w:sz w:val="19"/>
              </w:rPr>
              <w:t>OPERACIONAL</w:t>
            </w:r>
          </w:p>
        </w:tc>
        <w:tc>
          <w:tcPr>
            <w:tcW w:w="1704" w:type="dxa"/>
          </w:tcPr>
          <w:p>
            <w:pPr>
              <w:pStyle w:val="TableParagraph"/>
              <w:spacing w:line="252" w:lineRule="auto" w:before="5"/>
              <w:ind w:left="252" w:firstLine="52"/>
              <w:jc w:val="left"/>
              <w:rPr>
                <w:b/>
                <w:sz w:val="19"/>
              </w:rPr>
            </w:pPr>
            <w:r>
              <w:rPr>
                <w:b/>
                <w:w w:val="105"/>
                <w:sz w:val="19"/>
              </w:rPr>
              <w:t>NIVEL DE </w:t>
            </w:r>
            <w:r>
              <w:rPr>
                <w:b/>
                <w:sz w:val="19"/>
              </w:rPr>
              <w:t>MEDICION</w:t>
            </w:r>
          </w:p>
        </w:tc>
        <w:tc>
          <w:tcPr>
            <w:tcW w:w="2266" w:type="dxa"/>
          </w:tcPr>
          <w:p>
            <w:pPr>
              <w:pStyle w:val="TableParagraph"/>
              <w:spacing w:before="5"/>
              <w:ind w:left="99" w:right="113"/>
              <w:rPr>
                <w:b/>
                <w:sz w:val="19"/>
              </w:rPr>
            </w:pPr>
            <w:r>
              <w:rPr>
                <w:b/>
                <w:w w:val="105"/>
                <w:sz w:val="19"/>
              </w:rPr>
              <w:t>CRITERIOS</w:t>
            </w:r>
          </w:p>
          <w:p>
            <w:pPr>
              <w:pStyle w:val="TableParagraph"/>
              <w:spacing w:before="12"/>
              <w:ind w:left="99" w:right="113"/>
              <w:rPr>
                <w:b/>
                <w:sz w:val="19"/>
              </w:rPr>
            </w:pPr>
            <w:r>
              <w:rPr>
                <w:b/>
                <w:w w:val="105"/>
                <w:sz w:val="19"/>
              </w:rPr>
              <w:t>DIAGNOSTICOS</w:t>
            </w:r>
          </w:p>
        </w:tc>
        <w:tc>
          <w:tcPr>
            <w:tcW w:w="1560" w:type="dxa"/>
          </w:tcPr>
          <w:p>
            <w:pPr>
              <w:pStyle w:val="TableParagraph"/>
              <w:spacing w:before="5"/>
              <w:ind w:left="417" w:right="356"/>
              <w:jc w:val="left"/>
              <w:rPr>
                <w:b/>
                <w:sz w:val="19"/>
              </w:rPr>
            </w:pPr>
            <w:r>
              <w:rPr>
                <w:b/>
                <w:w w:val="105"/>
                <w:sz w:val="19"/>
              </w:rPr>
              <w:t>ITEMS</w:t>
            </w:r>
          </w:p>
        </w:tc>
      </w:tr>
      <w:tr>
        <w:trPr>
          <w:trHeight w:val="1037" w:hRule="exact"/>
        </w:trPr>
        <w:tc>
          <w:tcPr>
            <w:tcW w:w="1560" w:type="dxa"/>
          </w:tcPr>
          <w:p>
            <w:pPr>
              <w:pStyle w:val="TableParagraph"/>
              <w:spacing w:before="9"/>
              <w:ind w:left="227" w:right="219"/>
              <w:rPr>
                <w:sz w:val="17"/>
              </w:rPr>
            </w:pPr>
            <w:r>
              <w:rPr>
                <w:w w:val="105"/>
                <w:sz w:val="17"/>
              </w:rPr>
              <w:t>Edad</w:t>
            </w:r>
          </w:p>
        </w:tc>
        <w:tc>
          <w:tcPr>
            <w:tcW w:w="2126" w:type="dxa"/>
          </w:tcPr>
          <w:p>
            <w:pPr>
              <w:pStyle w:val="TableParagraph"/>
              <w:spacing w:line="254" w:lineRule="auto" w:before="9"/>
              <w:ind w:left="243" w:right="232" w:hanging="1"/>
              <w:rPr>
                <w:sz w:val="17"/>
              </w:rPr>
            </w:pPr>
            <w:r>
              <w:rPr>
                <w:w w:val="105"/>
                <w:sz w:val="17"/>
              </w:rPr>
              <w:t>Tiempo transcurrido desde el nacimiento en años</w:t>
            </w:r>
          </w:p>
        </w:tc>
        <w:tc>
          <w:tcPr>
            <w:tcW w:w="2126" w:type="dxa"/>
          </w:tcPr>
          <w:p>
            <w:pPr>
              <w:pStyle w:val="TableParagraph"/>
              <w:spacing w:line="254" w:lineRule="auto" w:before="9"/>
              <w:ind w:left="183" w:right="172" w:hanging="1"/>
              <w:rPr>
                <w:sz w:val="17"/>
              </w:rPr>
            </w:pPr>
            <w:r>
              <w:rPr>
                <w:w w:val="105"/>
                <w:sz w:val="17"/>
              </w:rPr>
              <w:t>Señalar la edad del paciente al momento del estudio</w:t>
            </w:r>
          </w:p>
        </w:tc>
        <w:tc>
          <w:tcPr>
            <w:tcW w:w="1704" w:type="dxa"/>
          </w:tcPr>
          <w:p>
            <w:pPr>
              <w:pStyle w:val="TableParagraph"/>
              <w:spacing w:line="254" w:lineRule="auto" w:before="9"/>
              <w:ind w:left="522" w:right="394" w:hanging="110"/>
              <w:jc w:val="left"/>
              <w:rPr>
                <w:sz w:val="17"/>
              </w:rPr>
            </w:pPr>
            <w:r>
              <w:rPr>
                <w:w w:val="105"/>
                <w:sz w:val="17"/>
              </w:rPr>
              <w:t>Cuantitativa Continua</w:t>
            </w:r>
          </w:p>
        </w:tc>
        <w:tc>
          <w:tcPr>
            <w:tcW w:w="2266" w:type="dxa"/>
          </w:tcPr>
          <w:p>
            <w:pPr>
              <w:pStyle w:val="TableParagraph"/>
              <w:spacing w:before="9"/>
              <w:ind w:left="105" w:right="497"/>
              <w:jc w:val="left"/>
              <w:rPr>
                <w:sz w:val="17"/>
              </w:rPr>
            </w:pPr>
            <w:r>
              <w:rPr>
                <w:w w:val="105"/>
                <w:sz w:val="17"/>
              </w:rPr>
              <w:t>16-20 36-40</w:t>
            </w:r>
          </w:p>
          <w:p>
            <w:pPr>
              <w:pStyle w:val="TableParagraph"/>
              <w:spacing w:before="11"/>
              <w:ind w:left="105" w:right="497"/>
              <w:jc w:val="left"/>
              <w:rPr>
                <w:sz w:val="17"/>
              </w:rPr>
            </w:pPr>
            <w:r>
              <w:rPr>
                <w:w w:val="105"/>
                <w:sz w:val="17"/>
              </w:rPr>
              <w:t>21-25 41-45</w:t>
            </w:r>
          </w:p>
          <w:p>
            <w:pPr>
              <w:pStyle w:val="TableParagraph"/>
              <w:spacing w:before="11"/>
              <w:ind w:left="105" w:right="497"/>
              <w:jc w:val="left"/>
              <w:rPr>
                <w:sz w:val="17"/>
              </w:rPr>
            </w:pPr>
            <w:r>
              <w:rPr>
                <w:w w:val="105"/>
                <w:sz w:val="17"/>
              </w:rPr>
              <w:t>26-30 46-50</w:t>
            </w:r>
          </w:p>
          <w:p>
            <w:pPr>
              <w:pStyle w:val="TableParagraph"/>
              <w:spacing w:before="11"/>
              <w:ind w:left="105" w:right="497"/>
              <w:jc w:val="left"/>
              <w:rPr>
                <w:sz w:val="17"/>
              </w:rPr>
            </w:pPr>
            <w:r>
              <w:rPr>
                <w:w w:val="105"/>
                <w:sz w:val="17"/>
              </w:rPr>
              <w:t>31-35 51-55</w:t>
            </w:r>
          </w:p>
          <w:p>
            <w:pPr>
              <w:pStyle w:val="TableParagraph"/>
              <w:spacing w:before="11"/>
              <w:ind w:left="555" w:right="497"/>
              <w:jc w:val="left"/>
              <w:rPr>
                <w:sz w:val="17"/>
              </w:rPr>
            </w:pPr>
            <w:r>
              <w:rPr>
                <w:w w:val="105"/>
                <w:sz w:val="17"/>
              </w:rPr>
              <w:t>56-60</w:t>
            </w:r>
          </w:p>
        </w:tc>
        <w:tc>
          <w:tcPr>
            <w:tcW w:w="1560" w:type="dxa"/>
          </w:tcPr>
          <w:p>
            <w:pPr>
              <w:pStyle w:val="TableParagraph"/>
              <w:spacing w:line="254" w:lineRule="auto" w:before="9"/>
              <w:ind w:left="376" w:right="356" w:firstLine="9"/>
              <w:jc w:val="left"/>
              <w:rPr>
                <w:sz w:val="17"/>
              </w:rPr>
            </w:pPr>
            <w:r>
              <w:rPr>
                <w:w w:val="105"/>
                <w:sz w:val="17"/>
              </w:rPr>
              <w:t>PREG# I.2 ANEXO#1</w:t>
            </w:r>
          </w:p>
        </w:tc>
      </w:tr>
      <w:tr>
        <w:trPr>
          <w:trHeight w:val="638" w:hRule="exact"/>
        </w:trPr>
        <w:tc>
          <w:tcPr>
            <w:tcW w:w="1560" w:type="dxa"/>
          </w:tcPr>
          <w:p>
            <w:pPr>
              <w:pStyle w:val="TableParagraph"/>
              <w:spacing w:before="9"/>
              <w:ind w:left="227" w:right="219"/>
              <w:rPr>
                <w:sz w:val="17"/>
              </w:rPr>
            </w:pPr>
            <w:r>
              <w:rPr>
                <w:w w:val="105"/>
                <w:sz w:val="17"/>
              </w:rPr>
              <w:t>Sexo</w:t>
            </w:r>
          </w:p>
        </w:tc>
        <w:tc>
          <w:tcPr>
            <w:tcW w:w="2126" w:type="dxa"/>
          </w:tcPr>
          <w:p>
            <w:pPr>
              <w:pStyle w:val="TableParagraph"/>
              <w:spacing w:line="254" w:lineRule="auto" w:before="9"/>
              <w:ind w:left="161" w:right="148" w:hanging="1"/>
              <w:rPr>
                <w:sz w:val="17"/>
              </w:rPr>
            </w:pPr>
            <w:r>
              <w:rPr>
                <w:w w:val="105"/>
                <w:sz w:val="17"/>
              </w:rPr>
              <w:t>Condición Biológica que distingue el género de un individuo</w:t>
            </w:r>
          </w:p>
        </w:tc>
        <w:tc>
          <w:tcPr>
            <w:tcW w:w="2126" w:type="dxa"/>
          </w:tcPr>
          <w:p>
            <w:pPr>
              <w:pStyle w:val="TableParagraph"/>
              <w:spacing w:line="254" w:lineRule="auto" w:before="9"/>
              <w:ind w:left="765" w:right="292" w:hanging="458"/>
              <w:jc w:val="left"/>
              <w:rPr>
                <w:sz w:val="17"/>
              </w:rPr>
            </w:pPr>
            <w:r>
              <w:rPr>
                <w:w w:val="105"/>
                <w:sz w:val="17"/>
              </w:rPr>
              <w:t>Señalar el género del paciente</w:t>
            </w:r>
          </w:p>
        </w:tc>
        <w:tc>
          <w:tcPr>
            <w:tcW w:w="1704" w:type="dxa"/>
          </w:tcPr>
          <w:p>
            <w:pPr>
              <w:pStyle w:val="TableParagraph"/>
              <w:spacing w:before="9"/>
              <w:ind w:left="105" w:right="100"/>
              <w:rPr>
                <w:sz w:val="17"/>
              </w:rPr>
            </w:pPr>
            <w:r>
              <w:rPr>
                <w:w w:val="105"/>
                <w:sz w:val="17"/>
              </w:rPr>
              <w:t>Cualitativa Nominal</w:t>
            </w:r>
          </w:p>
        </w:tc>
        <w:tc>
          <w:tcPr>
            <w:tcW w:w="2266" w:type="dxa"/>
          </w:tcPr>
          <w:p>
            <w:pPr>
              <w:pStyle w:val="TableParagraph"/>
              <w:spacing w:line="254" w:lineRule="auto" w:before="9"/>
              <w:ind w:left="105" w:right="1243"/>
              <w:jc w:val="left"/>
              <w:rPr>
                <w:sz w:val="17"/>
              </w:rPr>
            </w:pPr>
            <w:r>
              <w:rPr>
                <w:w w:val="105"/>
                <w:sz w:val="17"/>
              </w:rPr>
              <w:t>a)Masculino b)Femenino</w:t>
            </w:r>
          </w:p>
        </w:tc>
        <w:tc>
          <w:tcPr>
            <w:tcW w:w="1560" w:type="dxa"/>
          </w:tcPr>
          <w:p>
            <w:pPr>
              <w:pStyle w:val="TableParagraph"/>
              <w:spacing w:line="254" w:lineRule="auto" w:before="9"/>
              <w:ind w:left="354" w:right="333" w:firstLine="2"/>
              <w:jc w:val="left"/>
              <w:rPr>
                <w:sz w:val="17"/>
              </w:rPr>
            </w:pPr>
            <w:r>
              <w:rPr>
                <w:w w:val="105"/>
                <w:sz w:val="17"/>
              </w:rPr>
              <w:t>PREG# II.1 ANEXO# 2</w:t>
            </w:r>
          </w:p>
        </w:tc>
      </w:tr>
      <w:tr>
        <w:trPr>
          <w:trHeight w:val="1037" w:hRule="exact"/>
        </w:trPr>
        <w:tc>
          <w:tcPr>
            <w:tcW w:w="1560" w:type="dxa"/>
          </w:tcPr>
          <w:p>
            <w:pPr>
              <w:pStyle w:val="TableParagraph"/>
              <w:spacing w:before="9"/>
              <w:ind w:left="227" w:right="219"/>
              <w:rPr>
                <w:sz w:val="17"/>
              </w:rPr>
            </w:pPr>
            <w:r>
              <w:rPr>
                <w:w w:val="105"/>
                <w:sz w:val="17"/>
              </w:rPr>
              <w:t>Estado Civil</w:t>
            </w:r>
          </w:p>
        </w:tc>
        <w:tc>
          <w:tcPr>
            <w:tcW w:w="2126" w:type="dxa"/>
          </w:tcPr>
          <w:p>
            <w:pPr>
              <w:pStyle w:val="TableParagraph"/>
              <w:spacing w:line="254" w:lineRule="auto" w:before="9"/>
              <w:ind w:left="148" w:right="138" w:firstLine="1"/>
              <w:rPr>
                <w:sz w:val="17"/>
              </w:rPr>
            </w:pPr>
            <w:r>
              <w:rPr>
                <w:w w:val="105"/>
                <w:sz w:val="17"/>
              </w:rPr>
              <w:t>Condición legal del individuo en relación con su pareja</w:t>
            </w:r>
          </w:p>
        </w:tc>
        <w:tc>
          <w:tcPr>
            <w:tcW w:w="2126" w:type="dxa"/>
          </w:tcPr>
          <w:p>
            <w:pPr>
              <w:pStyle w:val="TableParagraph"/>
              <w:spacing w:line="254" w:lineRule="auto" w:before="9"/>
              <w:ind w:left="140" w:right="130"/>
              <w:rPr>
                <w:sz w:val="17"/>
              </w:rPr>
            </w:pPr>
            <w:r>
              <w:rPr>
                <w:w w:val="105"/>
                <w:sz w:val="17"/>
              </w:rPr>
              <w:t>Señalar el estado civil del paciente al momento del estudio</w:t>
            </w:r>
          </w:p>
        </w:tc>
        <w:tc>
          <w:tcPr>
            <w:tcW w:w="1704" w:type="dxa"/>
          </w:tcPr>
          <w:p>
            <w:pPr>
              <w:pStyle w:val="TableParagraph"/>
              <w:spacing w:before="9"/>
              <w:ind w:left="105" w:right="99"/>
              <w:rPr>
                <w:sz w:val="17"/>
              </w:rPr>
            </w:pPr>
            <w:r>
              <w:rPr>
                <w:w w:val="105"/>
                <w:sz w:val="17"/>
              </w:rPr>
              <w:t>Cualitativa Nominal</w:t>
            </w:r>
          </w:p>
        </w:tc>
        <w:tc>
          <w:tcPr>
            <w:tcW w:w="2266" w:type="dxa"/>
          </w:tcPr>
          <w:p>
            <w:pPr>
              <w:pStyle w:val="TableParagraph"/>
              <w:numPr>
                <w:ilvl w:val="0"/>
                <w:numId w:val="16"/>
              </w:numPr>
              <w:tabs>
                <w:tab w:pos="291" w:val="left" w:leader="none"/>
              </w:tabs>
              <w:spacing w:line="240" w:lineRule="auto" w:before="9" w:after="0"/>
              <w:ind w:left="290" w:right="0" w:hanging="185"/>
              <w:jc w:val="left"/>
              <w:rPr>
                <w:sz w:val="17"/>
              </w:rPr>
            </w:pPr>
            <w:r>
              <w:rPr>
                <w:w w:val="105"/>
                <w:sz w:val="17"/>
              </w:rPr>
              <w:t>Soltero</w:t>
            </w:r>
          </w:p>
          <w:p>
            <w:pPr>
              <w:pStyle w:val="TableParagraph"/>
              <w:numPr>
                <w:ilvl w:val="0"/>
                <w:numId w:val="16"/>
              </w:numPr>
              <w:tabs>
                <w:tab w:pos="301" w:val="left" w:leader="none"/>
              </w:tabs>
              <w:spacing w:line="240" w:lineRule="auto" w:before="11" w:after="0"/>
              <w:ind w:left="300" w:right="0" w:hanging="195"/>
              <w:jc w:val="left"/>
              <w:rPr>
                <w:sz w:val="17"/>
              </w:rPr>
            </w:pPr>
            <w:r>
              <w:rPr>
                <w:w w:val="105"/>
                <w:sz w:val="17"/>
              </w:rPr>
              <w:t>Casado</w:t>
            </w:r>
          </w:p>
          <w:p>
            <w:pPr>
              <w:pStyle w:val="TableParagraph"/>
              <w:numPr>
                <w:ilvl w:val="0"/>
                <w:numId w:val="16"/>
              </w:numPr>
              <w:tabs>
                <w:tab w:pos="291" w:val="left" w:leader="none"/>
              </w:tabs>
              <w:spacing w:line="240" w:lineRule="auto" w:before="11" w:after="0"/>
              <w:ind w:left="290" w:right="0" w:hanging="185"/>
              <w:jc w:val="left"/>
              <w:rPr>
                <w:sz w:val="17"/>
              </w:rPr>
            </w:pPr>
            <w:r>
              <w:rPr>
                <w:w w:val="105"/>
                <w:sz w:val="17"/>
              </w:rPr>
              <w:t>Divorciado</w:t>
            </w:r>
          </w:p>
          <w:p>
            <w:pPr>
              <w:pStyle w:val="TableParagraph"/>
              <w:numPr>
                <w:ilvl w:val="0"/>
                <w:numId w:val="16"/>
              </w:numPr>
              <w:tabs>
                <w:tab w:pos="301" w:val="left" w:leader="none"/>
              </w:tabs>
              <w:spacing w:line="240" w:lineRule="auto" w:before="11" w:after="0"/>
              <w:ind w:left="300" w:right="0" w:hanging="195"/>
              <w:jc w:val="left"/>
              <w:rPr>
                <w:sz w:val="17"/>
              </w:rPr>
            </w:pPr>
            <w:r>
              <w:rPr>
                <w:w w:val="105"/>
                <w:sz w:val="17"/>
              </w:rPr>
              <w:t>Viudo</w:t>
            </w:r>
          </w:p>
          <w:p>
            <w:pPr>
              <w:pStyle w:val="TableParagraph"/>
              <w:numPr>
                <w:ilvl w:val="0"/>
                <w:numId w:val="16"/>
              </w:numPr>
              <w:tabs>
                <w:tab w:pos="291" w:val="left" w:leader="none"/>
              </w:tabs>
              <w:spacing w:line="240" w:lineRule="auto" w:before="11" w:after="0"/>
              <w:ind w:left="290" w:right="0" w:hanging="185"/>
              <w:jc w:val="left"/>
              <w:rPr>
                <w:sz w:val="17"/>
              </w:rPr>
            </w:pPr>
            <w:r>
              <w:rPr>
                <w:w w:val="105"/>
                <w:sz w:val="17"/>
              </w:rPr>
              <w:t>Unión</w:t>
            </w:r>
            <w:r>
              <w:rPr>
                <w:spacing w:val="1"/>
                <w:w w:val="105"/>
                <w:sz w:val="17"/>
              </w:rPr>
              <w:t> </w:t>
            </w:r>
            <w:r>
              <w:rPr>
                <w:w w:val="105"/>
                <w:sz w:val="17"/>
              </w:rPr>
              <w:t>Libre</w:t>
            </w:r>
          </w:p>
        </w:tc>
        <w:tc>
          <w:tcPr>
            <w:tcW w:w="1560" w:type="dxa"/>
          </w:tcPr>
          <w:p>
            <w:pPr>
              <w:pStyle w:val="TableParagraph"/>
              <w:spacing w:line="254" w:lineRule="auto" w:before="9"/>
              <w:ind w:left="354" w:right="333" w:firstLine="2"/>
              <w:jc w:val="left"/>
              <w:rPr>
                <w:sz w:val="17"/>
              </w:rPr>
            </w:pPr>
            <w:r>
              <w:rPr>
                <w:w w:val="105"/>
                <w:sz w:val="17"/>
              </w:rPr>
              <w:t>PREG# II.2 ANEXO# 2</w:t>
            </w:r>
          </w:p>
        </w:tc>
      </w:tr>
    </w:tbl>
    <w:p>
      <w:pPr>
        <w:pStyle w:val="BodyText"/>
        <w:rPr>
          <w:b/>
          <w:sz w:val="20"/>
        </w:rPr>
      </w:pPr>
    </w:p>
    <w:p>
      <w:pPr>
        <w:pStyle w:val="BodyText"/>
        <w:rPr>
          <w:b/>
          <w:sz w:val="20"/>
        </w:rPr>
      </w:pPr>
    </w:p>
    <w:p>
      <w:pPr>
        <w:pStyle w:val="BodyText"/>
        <w:spacing w:before="1"/>
        <w:rPr>
          <w:b/>
          <w:sz w:val="10"/>
        </w:rPr>
      </w:pPr>
    </w:p>
    <w:tbl>
      <w:tblPr>
        <w:tblW w:w="0" w:type="auto"/>
        <w:jc w:val="left"/>
        <w:tblInd w:w="118" w:type="dxa"/>
        <w:tblBorders>
          <w:top w:val="single" w:sz="2" w:space="0" w:color="CDCDCD"/>
          <w:left w:val="single" w:sz="2" w:space="0" w:color="CDCDCD"/>
          <w:bottom w:val="single" w:sz="2" w:space="0" w:color="CDCDCD"/>
          <w:right w:val="single" w:sz="2" w:space="0" w:color="CDCDCD"/>
          <w:insideH w:val="single" w:sz="2" w:space="0" w:color="CDCDCD"/>
          <w:insideV w:val="single" w:sz="2" w:space="0" w:color="CDCDCD"/>
        </w:tblBorders>
        <w:tblLayout w:type="fixed"/>
        <w:tblCellMar>
          <w:top w:w="0" w:type="dxa"/>
          <w:left w:w="0" w:type="dxa"/>
          <w:bottom w:w="0" w:type="dxa"/>
          <w:right w:w="0" w:type="dxa"/>
        </w:tblCellMar>
        <w:tblLook w:val="01E0"/>
      </w:tblPr>
      <w:tblGrid>
        <w:gridCol w:w="1560"/>
        <w:gridCol w:w="2410"/>
        <w:gridCol w:w="2050"/>
        <w:gridCol w:w="1637"/>
        <w:gridCol w:w="2126"/>
        <w:gridCol w:w="1560"/>
      </w:tblGrid>
      <w:tr>
        <w:trPr>
          <w:trHeight w:val="235" w:hRule="exact"/>
        </w:trPr>
        <w:tc>
          <w:tcPr>
            <w:tcW w:w="11342" w:type="dxa"/>
            <w:gridSpan w:val="6"/>
          </w:tcPr>
          <w:p>
            <w:pPr>
              <w:pStyle w:val="TableParagraph"/>
              <w:spacing w:before="5"/>
              <w:ind w:left="4212" w:right="4219"/>
              <w:rPr>
                <w:b/>
                <w:sz w:val="19"/>
              </w:rPr>
            </w:pPr>
            <w:r>
              <w:rPr>
                <w:b/>
                <w:w w:val="105"/>
                <w:sz w:val="19"/>
              </w:rPr>
              <w:t>FUNCIONALIDAD FAMILIAR:</w:t>
            </w:r>
          </w:p>
        </w:tc>
      </w:tr>
      <w:tr>
        <w:trPr>
          <w:trHeight w:val="466" w:hRule="exact"/>
        </w:trPr>
        <w:tc>
          <w:tcPr>
            <w:tcW w:w="1560" w:type="dxa"/>
          </w:tcPr>
          <w:p>
            <w:pPr>
              <w:pStyle w:val="TableParagraph"/>
              <w:spacing w:before="5"/>
              <w:ind w:left="227" w:right="234"/>
              <w:rPr>
                <w:b/>
                <w:sz w:val="19"/>
              </w:rPr>
            </w:pPr>
            <w:r>
              <w:rPr>
                <w:b/>
                <w:w w:val="105"/>
                <w:sz w:val="19"/>
              </w:rPr>
              <w:t>VARIABLE</w:t>
            </w:r>
          </w:p>
        </w:tc>
        <w:tc>
          <w:tcPr>
            <w:tcW w:w="2410" w:type="dxa"/>
          </w:tcPr>
          <w:p>
            <w:pPr>
              <w:pStyle w:val="TableParagraph"/>
              <w:spacing w:line="252" w:lineRule="auto" w:before="5"/>
              <w:ind w:left="594" w:hanging="170"/>
              <w:jc w:val="left"/>
              <w:rPr>
                <w:b/>
                <w:sz w:val="19"/>
              </w:rPr>
            </w:pPr>
            <w:r>
              <w:rPr>
                <w:b/>
                <w:sz w:val="19"/>
              </w:rPr>
              <w:t>DEFINICION </w:t>
            </w:r>
            <w:r>
              <w:rPr>
                <w:b/>
                <w:w w:val="105"/>
                <w:sz w:val="19"/>
              </w:rPr>
              <w:t>TEORICA</w:t>
            </w:r>
          </w:p>
        </w:tc>
        <w:tc>
          <w:tcPr>
            <w:tcW w:w="2050" w:type="dxa"/>
          </w:tcPr>
          <w:p>
            <w:pPr>
              <w:pStyle w:val="TableParagraph"/>
              <w:spacing w:line="252" w:lineRule="auto" w:before="5"/>
              <w:ind w:left="184" w:firstLine="147"/>
              <w:jc w:val="left"/>
              <w:rPr>
                <w:b/>
                <w:sz w:val="19"/>
              </w:rPr>
            </w:pPr>
            <w:r>
              <w:rPr>
                <w:b/>
                <w:w w:val="105"/>
                <w:sz w:val="19"/>
              </w:rPr>
              <w:t>DEFINICION </w:t>
            </w:r>
            <w:r>
              <w:rPr>
                <w:b/>
                <w:sz w:val="19"/>
              </w:rPr>
              <w:t>OPERACIONAL</w:t>
            </w:r>
          </w:p>
        </w:tc>
        <w:tc>
          <w:tcPr>
            <w:tcW w:w="1637" w:type="dxa"/>
          </w:tcPr>
          <w:p>
            <w:pPr>
              <w:pStyle w:val="TableParagraph"/>
              <w:spacing w:line="252" w:lineRule="auto" w:before="5"/>
              <w:ind w:left="221" w:firstLine="52"/>
              <w:jc w:val="left"/>
              <w:rPr>
                <w:b/>
                <w:sz w:val="19"/>
              </w:rPr>
            </w:pPr>
            <w:r>
              <w:rPr>
                <w:b/>
                <w:w w:val="105"/>
                <w:sz w:val="19"/>
              </w:rPr>
              <w:t>NIVEL DE </w:t>
            </w:r>
            <w:r>
              <w:rPr>
                <w:b/>
                <w:sz w:val="19"/>
              </w:rPr>
              <w:t>MEDICION</w:t>
            </w:r>
          </w:p>
        </w:tc>
        <w:tc>
          <w:tcPr>
            <w:tcW w:w="2126" w:type="dxa"/>
          </w:tcPr>
          <w:p>
            <w:pPr>
              <w:pStyle w:val="TableParagraph"/>
              <w:spacing w:before="5"/>
              <w:ind w:left="123" w:right="130"/>
              <w:rPr>
                <w:b/>
                <w:sz w:val="19"/>
              </w:rPr>
            </w:pPr>
            <w:r>
              <w:rPr>
                <w:b/>
                <w:w w:val="105"/>
                <w:sz w:val="19"/>
              </w:rPr>
              <w:t>CRITERIOS</w:t>
            </w:r>
          </w:p>
          <w:p>
            <w:pPr>
              <w:pStyle w:val="TableParagraph"/>
              <w:spacing w:before="12"/>
              <w:ind w:left="123" w:right="130"/>
              <w:rPr>
                <w:b/>
                <w:sz w:val="19"/>
              </w:rPr>
            </w:pPr>
            <w:r>
              <w:rPr>
                <w:b/>
                <w:w w:val="105"/>
                <w:sz w:val="19"/>
              </w:rPr>
              <w:t>DIAGNOSTICOS</w:t>
            </w:r>
          </w:p>
        </w:tc>
        <w:tc>
          <w:tcPr>
            <w:tcW w:w="1560" w:type="dxa"/>
          </w:tcPr>
          <w:p>
            <w:pPr>
              <w:pStyle w:val="TableParagraph"/>
              <w:spacing w:before="5"/>
              <w:ind w:left="418" w:right="356"/>
              <w:jc w:val="left"/>
              <w:rPr>
                <w:b/>
                <w:sz w:val="19"/>
              </w:rPr>
            </w:pPr>
            <w:r>
              <w:rPr>
                <w:b/>
                <w:w w:val="105"/>
                <w:sz w:val="19"/>
              </w:rPr>
              <w:t>ITEMS</w:t>
            </w:r>
          </w:p>
        </w:tc>
      </w:tr>
      <w:tr>
        <w:trPr>
          <w:trHeight w:val="219" w:hRule="exact"/>
        </w:trPr>
        <w:tc>
          <w:tcPr>
            <w:tcW w:w="1560" w:type="dxa"/>
            <w:tcBorders>
              <w:bottom w:val="nil"/>
            </w:tcBorders>
          </w:tcPr>
          <w:p>
            <w:pPr>
              <w:pStyle w:val="TableParagraph"/>
              <w:spacing w:before="9"/>
              <w:ind w:left="227" w:right="219"/>
              <w:rPr>
                <w:sz w:val="17"/>
              </w:rPr>
            </w:pPr>
            <w:r>
              <w:rPr>
                <w:w w:val="105"/>
                <w:sz w:val="17"/>
              </w:rPr>
              <w:t>Funcionalidad</w:t>
            </w:r>
          </w:p>
        </w:tc>
        <w:tc>
          <w:tcPr>
            <w:tcW w:w="2410" w:type="dxa"/>
            <w:tcBorders>
              <w:bottom w:val="nil"/>
            </w:tcBorders>
          </w:tcPr>
          <w:p>
            <w:pPr>
              <w:pStyle w:val="TableParagraph"/>
              <w:spacing w:before="9"/>
              <w:ind w:left="178" w:right="169"/>
              <w:rPr>
                <w:sz w:val="17"/>
              </w:rPr>
            </w:pPr>
            <w:r>
              <w:rPr>
                <w:w w:val="105"/>
                <w:sz w:val="17"/>
              </w:rPr>
              <w:t>Estado de funcionalidad</w:t>
            </w:r>
          </w:p>
        </w:tc>
        <w:tc>
          <w:tcPr>
            <w:tcW w:w="2050" w:type="dxa"/>
            <w:tcBorders>
              <w:bottom w:val="nil"/>
            </w:tcBorders>
          </w:tcPr>
          <w:p>
            <w:pPr>
              <w:pStyle w:val="TableParagraph"/>
              <w:spacing w:before="9"/>
              <w:ind w:left="137" w:right="132"/>
              <w:rPr>
                <w:sz w:val="17"/>
              </w:rPr>
            </w:pPr>
            <w:r>
              <w:rPr>
                <w:w w:val="105"/>
                <w:sz w:val="17"/>
              </w:rPr>
              <w:t>Evaluar mediante escala</w:t>
            </w:r>
          </w:p>
        </w:tc>
        <w:tc>
          <w:tcPr>
            <w:tcW w:w="1637" w:type="dxa"/>
            <w:tcBorders>
              <w:bottom w:val="nil"/>
            </w:tcBorders>
          </w:tcPr>
          <w:p>
            <w:pPr>
              <w:pStyle w:val="TableParagraph"/>
              <w:spacing w:before="9"/>
              <w:ind w:left="109" w:right="99"/>
              <w:rPr>
                <w:sz w:val="17"/>
              </w:rPr>
            </w:pPr>
            <w:r>
              <w:rPr>
                <w:w w:val="105"/>
                <w:sz w:val="17"/>
              </w:rPr>
              <w:t>Cuantitativa de</w:t>
            </w:r>
          </w:p>
        </w:tc>
        <w:tc>
          <w:tcPr>
            <w:tcW w:w="2126" w:type="dxa"/>
            <w:tcBorders>
              <w:bottom w:val="nil"/>
            </w:tcBorders>
          </w:tcPr>
          <w:p>
            <w:pPr>
              <w:pStyle w:val="TableParagraph"/>
              <w:spacing w:before="9"/>
              <w:ind w:left="138" w:right="130"/>
              <w:rPr>
                <w:sz w:val="17"/>
              </w:rPr>
            </w:pPr>
            <w:r>
              <w:rPr>
                <w:w w:val="105"/>
                <w:sz w:val="17"/>
              </w:rPr>
              <w:t>CRISIS:</w:t>
            </w:r>
          </w:p>
        </w:tc>
        <w:tc>
          <w:tcPr>
            <w:tcW w:w="1560" w:type="dxa"/>
            <w:tcBorders>
              <w:bottom w:val="nil"/>
            </w:tcBorders>
          </w:tcPr>
          <w:p>
            <w:pPr>
              <w:pStyle w:val="TableParagraph"/>
              <w:spacing w:before="9"/>
              <w:ind w:left="0" w:right="308"/>
              <w:jc w:val="right"/>
              <w:rPr>
                <w:sz w:val="17"/>
              </w:rPr>
            </w:pPr>
            <w:r>
              <w:rPr>
                <w:w w:val="105"/>
                <w:sz w:val="17"/>
              </w:rPr>
              <w:t>PREG# 1-40</w:t>
            </w:r>
          </w:p>
        </w:tc>
      </w:tr>
      <w:tr>
        <w:trPr>
          <w:trHeight w:val="206" w:hRule="exact"/>
        </w:trPr>
        <w:tc>
          <w:tcPr>
            <w:tcW w:w="1560" w:type="dxa"/>
            <w:tcBorders>
              <w:top w:val="nil"/>
              <w:bottom w:val="nil"/>
            </w:tcBorders>
          </w:tcPr>
          <w:p>
            <w:pPr>
              <w:pStyle w:val="TableParagraph"/>
              <w:spacing w:line="194" w:lineRule="exact"/>
              <w:ind w:left="227" w:right="219"/>
              <w:rPr>
                <w:sz w:val="17"/>
              </w:rPr>
            </w:pPr>
            <w:r>
              <w:rPr>
                <w:w w:val="105"/>
                <w:sz w:val="17"/>
              </w:rPr>
              <w:t>Familiar</w:t>
            </w:r>
          </w:p>
        </w:tc>
        <w:tc>
          <w:tcPr>
            <w:tcW w:w="2410" w:type="dxa"/>
            <w:tcBorders>
              <w:top w:val="nil"/>
              <w:bottom w:val="nil"/>
            </w:tcBorders>
          </w:tcPr>
          <w:p>
            <w:pPr>
              <w:pStyle w:val="TableParagraph"/>
              <w:spacing w:line="194" w:lineRule="exact"/>
              <w:ind w:left="178" w:right="169"/>
              <w:rPr>
                <w:sz w:val="17"/>
              </w:rPr>
            </w:pPr>
            <w:r>
              <w:rPr>
                <w:w w:val="105"/>
                <w:sz w:val="17"/>
              </w:rPr>
              <w:t>alcanzado por la familia de</w:t>
            </w:r>
          </w:p>
        </w:tc>
        <w:tc>
          <w:tcPr>
            <w:tcW w:w="2050" w:type="dxa"/>
            <w:tcBorders>
              <w:top w:val="nil"/>
              <w:bottom w:val="nil"/>
            </w:tcBorders>
          </w:tcPr>
          <w:p>
            <w:pPr>
              <w:pStyle w:val="TableParagraph"/>
              <w:spacing w:line="194" w:lineRule="exact"/>
              <w:ind w:left="137" w:right="131"/>
              <w:rPr>
                <w:sz w:val="17"/>
              </w:rPr>
            </w:pPr>
            <w:r>
              <w:rPr>
                <w:w w:val="105"/>
                <w:sz w:val="17"/>
              </w:rPr>
              <w:t>de Holmes</w:t>
            </w:r>
          </w:p>
        </w:tc>
        <w:tc>
          <w:tcPr>
            <w:tcW w:w="1637" w:type="dxa"/>
            <w:tcBorders>
              <w:top w:val="nil"/>
              <w:bottom w:val="nil"/>
            </w:tcBorders>
          </w:tcPr>
          <w:p>
            <w:pPr>
              <w:pStyle w:val="TableParagraph"/>
              <w:spacing w:line="194" w:lineRule="exact"/>
              <w:ind w:left="109" w:right="100"/>
              <w:rPr>
                <w:sz w:val="17"/>
              </w:rPr>
            </w:pPr>
            <w:r>
              <w:rPr>
                <w:w w:val="105"/>
                <w:sz w:val="17"/>
              </w:rPr>
              <w:t>razón transformada</w:t>
            </w:r>
          </w:p>
        </w:tc>
        <w:tc>
          <w:tcPr>
            <w:tcW w:w="2126" w:type="dxa"/>
            <w:tcBorders>
              <w:top w:val="nil"/>
              <w:bottom w:val="nil"/>
            </w:tcBorders>
          </w:tcPr>
          <w:p>
            <w:pPr>
              <w:pStyle w:val="TableParagraph"/>
              <w:spacing w:line="194" w:lineRule="exact"/>
              <w:ind w:left="138" w:right="130"/>
              <w:rPr>
                <w:sz w:val="17"/>
              </w:rPr>
            </w:pPr>
            <w:r>
              <w:rPr>
                <w:w w:val="105"/>
                <w:sz w:val="17"/>
              </w:rPr>
              <w:t>Leve &lt;150</w:t>
            </w:r>
          </w:p>
        </w:tc>
        <w:tc>
          <w:tcPr>
            <w:tcW w:w="1560" w:type="dxa"/>
            <w:tcBorders>
              <w:top w:val="nil"/>
              <w:bottom w:val="nil"/>
            </w:tcBorders>
          </w:tcPr>
          <w:p>
            <w:pPr>
              <w:pStyle w:val="TableParagraph"/>
              <w:spacing w:line="194" w:lineRule="exact"/>
              <w:ind w:left="0" w:right="344"/>
              <w:jc w:val="right"/>
              <w:rPr>
                <w:sz w:val="17"/>
              </w:rPr>
            </w:pPr>
            <w:r>
              <w:rPr>
                <w:w w:val="105"/>
                <w:sz w:val="17"/>
              </w:rPr>
              <w:t>ANEXO# 4</w:t>
            </w:r>
          </w:p>
        </w:tc>
      </w:tr>
      <w:tr>
        <w:trPr>
          <w:trHeight w:val="209" w:hRule="exact"/>
        </w:trPr>
        <w:tc>
          <w:tcPr>
            <w:tcW w:w="1560" w:type="dxa"/>
            <w:tcBorders>
              <w:top w:val="nil"/>
              <w:bottom w:val="nil"/>
            </w:tcBorders>
          </w:tcPr>
          <w:p>
            <w:pPr/>
          </w:p>
        </w:tc>
        <w:tc>
          <w:tcPr>
            <w:tcW w:w="2410" w:type="dxa"/>
            <w:tcBorders>
              <w:top w:val="nil"/>
              <w:bottom w:val="nil"/>
            </w:tcBorders>
          </w:tcPr>
          <w:p>
            <w:pPr>
              <w:pStyle w:val="TableParagraph"/>
              <w:spacing w:line="194" w:lineRule="exact"/>
              <w:ind w:left="178" w:right="169"/>
              <w:rPr>
                <w:sz w:val="17"/>
              </w:rPr>
            </w:pPr>
            <w:r>
              <w:rPr>
                <w:w w:val="105"/>
                <w:sz w:val="17"/>
              </w:rPr>
              <w:t>acuerdo a la dinámica de las</w:t>
            </w:r>
          </w:p>
        </w:tc>
        <w:tc>
          <w:tcPr>
            <w:tcW w:w="2050" w:type="dxa"/>
            <w:tcBorders>
              <w:top w:val="nil"/>
              <w:bottom w:val="nil"/>
            </w:tcBorders>
          </w:tcPr>
          <w:p>
            <w:pPr/>
          </w:p>
        </w:tc>
        <w:tc>
          <w:tcPr>
            <w:tcW w:w="1637" w:type="dxa"/>
            <w:tcBorders>
              <w:top w:val="nil"/>
              <w:bottom w:val="nil"/>
            </w:tcBorders>
          </w:tcPr>
          <w:p>
            <w:pPr>
              <w:pStyle w:val="TableParagraph"/>
              <w:spacing w:line="194" w:lineRule="exact"/>
              <w:ind w:left="109" w:right="98"/>
              <w:rPr>
                <w:sz w:val="17"/>
              </w:rPr>
            </w:pPr>
            <w:r>
              <w:rPr>
                <w:w w:val="105"/>
                <w:sz w:val="17"/>
              </w:rPr>
              <w:t>en Nominal</w:t>
            </w:r>
          </w:p>
        </w:tc>
        <w:tc>
          <w:tcPr>
            <w:tcW w:w="2126" w:type="dxa"/>
            <w:tcBorders>
              <w:top w:val="nil"/>
              <w:bottom w:val="nil"/>
            </w:tcBorders>
          </w:tcPr>
          <w:p>
            <w:pPr>
              <w:pStyle w:val="TableParagraph"/>
              <w:spacing w:line="194" w:lineRule="exact"/>
              <w:ind w:left="139" w:right="130"/>
              <w:rPr>
                <w:sz w:val="17"/>
              </w:rPr>
            </w:pPr>
            <w:r>
              <w:rPr>
                <w:w w:val="105"/>
                <w:sz w:val="17"/>
              </w:rPr>
              <w:t>Moderada 150-299</w:t>
            </w:r>
          </w:p>
        </w:tc>
        <w:tc>
          <w:tcPr>
            <w:tcW w:w="1560" w:type="dxa"/>
            <w:tcBorders>
              <w:top w:val="nil"/>
              <w:bottom w:val="nil"/>
            </w:tcBorders>
          </w:tcPr>
          <w:p>
            <w:pPr/>
          </w:p>
        </w:tc>
      </w:tr>
      <w:tr>
        <w:trPr>
          <w:trHeight w:val="209" w:hRule="exact"/>
        </w:trPr>
        <w:tc>
          <w:tcPr>
            <w:tcW w:w="1560" w:type="dxa"/>
            <w:tcBorders>
              <w:top w:val="nil"/>
              <w:bottom w:val="nil"/>
            </w:tcBorders>
          </w:tcPr>
          <w:p>
            <w:pPr/>
          </w:p>
        </w:tc>
        <w:tc>
          <w:tcPr>
            <w:tcW w:w="2410" w:type="dxa"/>
            <w:tcBorders>
              <w:top w:val="nil"/>
              <w:bottom w:val="nil"/>
            </w:tcBorders>
          </w:tcPr>
          <w:p>
            <w:pPr>
              <w:pStyle w:val="TableParagraph"/>
              <w:spacing w:before="1"/>
              <w:ind w:left="177" w:right="169"/>
              <w:rPr>
                <w:sz w:val="17"/>
              </w:rPr>
            </w:pPr>
            <w:r>
              <w:rPr>
                <w:w w:val="105"/>
                <w:sz w:val="17"/>
              </w:rPr>
              <w:t>relaciones familiares</w:t>
            </w:r>
          </w:p>
        </w:tc>
        <w:tc>
          <w:tcPr>
            <w:tcW w:w="2050" w:type="dxa"/>
            <w:tcBorders>
              <w:top w:val="nil"/>
              <w:bottom w:val="nil"/>
            </w:tcBorders>
          </w:tcPr>
          <w:p>
            <w:pPr/>
          </w:p>
        </w:tc>
        <w:tc>
          <w:tcPr>
            <w:tcW w:w="1637" w:type="dxa"/>
            <w:tcBorders>
              <w:top w:val="nil"/>
              <w:bottom w:val="nil"/>
            </w:tcBorders>
          </w:tcPr>
          <w:p>
            <w:pPr/>
          </w:p>
        </w:tc>
        <w:tc>
          <w:tcPr>
            <w:tcW w:w="2126" w:type="dxa"/>
            <w:tcBorders>
              <w:top w:val="nil"/>
              <w:bottom w:val="nil"/>
            </w:tcBorders>
          </w:tcPr>
          <w:p>
            <w:pPr>
              <w:pStyle w:val="TableParagraph"/>
              <w:spacing w:before="1"/>
              <w:ind w:left="137" w:right="130"/>
              <w:rPr>
                <w:sz w:val="17"/>
              </w:rPr>
            </w:pPr>
            <w:r>
              <w:rPr>
                <w:w w:val="105"/>
                <w:sz w:val="17"/>
              </w:rPr>
              <w:t>Severa&gt;300</w:t>
            </w:r>
          </w:p>
        </w:tc>
        <w:tc>
          <w:tcPr>
            <w:tcW w:w="1560" w:type="dxa"/>
            <w:tcBorders>
              <w:top w:val="nil"/>
              <w:bottom w:val="nil"/>
            </w:tcBorders>
          </w:tcPr>
          <w:p>
            <w:pPr/>
          </w:p>
        </w:tc>
      </w:tr>
      <w:tr>
        <w:trPr>
          <w:trHeight w:val="206" w:hRule="exact"/>
        </w:trPr>
        <w:tc>
          <w:tcPr>
            <w:tcW w:w="1560" w:type="dxa"/>
            <w:tcBorders>
              <w:top w:val="nil"/>
              <w:bottom w:val="nil"/>
            </w:tcBorders>
          </w:tcPr>
          <w:p>
            <w:pPr/>
          </w:p>
        </w:tc>
        <w:tc>
          <w:tcPr>
            <w:tcW w:w="2410" w:type="dxa"/>
            <w:tcBorders>
              <w:top w:val="nil"/>
              <w:bottom w:val="nil"/>
            </w:tcBorders>
          </w:tcPr>
          <w:p>
            <w:pPr>
              <w:pStyle w:val="TableParagraph"/>
              <w:spacing w:line="194" w:lineRule="exact"/>
              <w:ind w:left="178" w:right="169"/>
              <w:rPr>
                <w:sz w:val="17"/>
              </w:rPr>
            </w:pPr>
            <w:r>
              <w:rPr>
                <w:w w:val="105"/>
                <w:sz w:val="17"/>
              </w:rPr>
              <w:t>vinculadas al ajuste familiar</w:t>
            </w:r>
          </w:p>
        </w:tc>
        <w:tc>
          <w:tcPr>
            <w:tcW w:w="2050" w:type="dxa"/>
            <w:tcBorders>
              <w:top w:val="nil"/>
              <w:bottom w:val="nil"/>
            </w:tcBorders>
          </w:tcPr>
          <w:p>
            <w:pPr/>
          </w:p>
        </w:tc>
        <w:tc>
          <w:tcPr>
            <w:tcW w:w="1637" w:type="dxa"/>
            <w:tcBorders>
              <w:top w:val="nil"/>
              <w:bottom w:val="nil"/>
            </w:tcBorders>
          </w:tcPr>
          <w:p>
            <w:pPr/>
          </w:p>
        </w:tc>
        <w:tc>
          <w:tcPr>
            <w:tcW w:w="2126" w:type="dxa"/>
            <w:tcBorders>
              <w:top w:val="nil"/>
              <w:bottom w:val="nil"/>
            </w:tcBorders>
          </w:tcPr>
          <w:p>
            <w:pPr/>
          </w:p>
        </w:tc>
        <w:tc>
          <w:tcPr>
            <w:tcW w:w="1560" w:type="dxa"/>
            <w:tcBorders>
              <w:top w:val="nil"/>
              <w:bottom w:val="nil"/>
            </w:tcBorders>
          </w:tcPr>
          <w:p>
            <w:pPr/>
          </w:p>
        </w:tc>
      </w:tr>
      <w:tr>
        <w:trPr>
          <w:trHeight w:val="206" w:hRule="exact"/>
        </w:trPr>
        <w:tc>
          <w:tcPr>
            <w:tcW w:w="1560" w:type="dxa"/>
            <w:tcBorders>
              <w:top w:val="nil"/>
              <w:bottom w:val="nil"/>
            </w:tcBorders>
          </w:tcPr>
          <w:p>
            <w:pPr/>
          </w:p>
        </w:tc>
        <w:tc>
          <w:tcPr>
            <w:tcW w:w="2410" w:type="dxa"/>
            <w:tcBorders>
              <w:top w:val="nil"/>
              <w:bottom w:val="nil"/>
            </w:tcBorders>
          </w:tcPr>
          <w:p>
            <w:pPr>
              <w:pStyle w:val="TableParagraph"/>
              <w:spacing w:line="194" w:lineRule="exact"/>
              <w:ind w:left="178" w:right="167"/>
              <w:rPr>
                <w:sz w:val="17"/>
              </w:rPr>
            </w:pPr>
            <w:r>
              <w:rPr>
                <w:w w:val="105"/>
                <w:sz w:val="17"/>
              </w:rPr>
              <w:t>en el medio social y el</w:t>
            </w:r>
          </w:p>
        </w:tc>
        <w:tc>
          <w:tcPr>
            <w:tcW w:w="2050" w:type="dxa"/>
            <w:tcBorders>
              <w:top w:val="nil"/>
              <w:bottom w:val="nil"/>
            </w:tcBorders>
          </w:tcPr>
          <w:p>
            <w:pPr/>
          </w:p>
        </w:tc>
        <w:tc>
          <w:tcPr>
            <w:tcW w:w="1637" w:type="dxa"/>
            <w:tcBorders>
              <w:top w:val="nil"/>
              <w:bottom w:val="nil"/>
            </w:tcBorders>
          </w:tcPr>
          <w:p>
            <w:pPr/>
          </w:p>
        </w:tc>
        <w:tc>
          <w:tcPr>
            <w:tcW w:w="2126" w:type="dxa"/>
            <w:tcBorders>
              <w:top w:val="nil"/>
              <w:bottom w:val="nil"/>
            </w:tcBorders>
          </w:tcPr>
          <w:p>
            <w:pPr/>
          </w:p>
        </w:tc>
        <w:tc>
          <w:tcPr>
            <w:tcW w:w="1560" w:type="dxa"/>
            <w:tcBorders>
              <w:top w:val="nil"/>
              <w:bottom w:val="nil"/>
            </w:tcBorders>
          </w:tcPr>
          <w:p>
            <w:pPr/>
          </w:p>
        </w:tc>
      </w:tr>
      <w:tr>
        <w:trPr>
          <w:trHeight w:val="206" w:hRule="exact"/>
        </w:trPr>
        <w:tc>
          <w:tcPr>
            <w:tcW w:w="1560" w:type="dxa"/>
            <w:tcBorders>
              <w:top w:val="nil"/>
              <w:bottom w:val="nil"/>
            </w:tcBorders>
          </w:tcPr>
          <w:p>
            <w:pPr/>
          </w:p>
        </w:tc>
        <w:tc>
          <w:tcPr>
            <w:tcW w:w="2410" w:type="dxa"/>
            <w:tcBorders>
              <w:top w:val="nil"/>
              <w:bottom w:val="nil"/>
            </w:tcBorders>
          </w:tcPr>
          <w:p>
            <w:pPr>
              <w:pStyle w:val="TableParagraph"/>
              <w:spacing w:line="194" w:lineRule="exact"/>
              <w:ind w:left="178" w:right="168"/>
              <w:rPr>
                <w:sz w:val="17"/>
              </w:rPr>
            </w:pPr>
            <w:r>
              <w:rPr>
                <w:w w:val="105"/>
                <w:sz w:val="17"/>
              </w:rPr>
              <w:t>bienestar psicológico de sus</w:t>
            </w:r>
          </w:p>
        </w:tc>
        <w:tc>
          <w:tcPr>
            <w:tcW w:w="2050" w:type="dxa"/>
            <w:tcBorders>
              <w:top w:val="nil"/>
              <w:bottom w:val="nil"/>
            </w:tcBorders>
          </w:tcPr>
          <w:p>
            <w:pPr/>
          </w:p>
        </w:tc>
        <w:tc>
          <w:tcPr>
            <w:tcW w:w="1637" w:type="dxa"/>
            <w:tcBorders>
              <w:top w:val="nil"/>
              <w:bottom w:val="nil"/>
            </w:tcBorders>
          </w:tcPr>
          <w:p>
            <w:pPr/>
          </w:p>
        </w:tc>
        <w:tc>
          <w:tcPr>
            <w:tcW w:w="2126" w:type="dxa"/>
            <w:tcBorders>
              <w:top w:val="nil"/>
              <w:bottom w:val="nil"/>
            </w:tcBorders>
          </w:tcPr>
          <w:p>
            <w:pPr/>
          </w:p>
        </w:tc>
        <w:tc>
          <w:tcPr>
            <w:tcW w:w="1560" w:type="dxa"/>
            <w:tcBorders>
              <w:top w:val="nil"/>
              <w:bottom w:val="nil"/>
            </w:tcBorders>
          </w:tcPr>
          <w:p>
            <w:pPr/>
          </w:p>
        </w:tc>
      </w:tr>
      <w:tr>
        <w:trPr>
          <w:trHeight w:val="198" w:hRule="exact"/>
        </w:trPr>
        <w:tc>
          <w:tcPr>
            <w:tcW w:w="1560" w:type="dxa"/>
            <w:tcBorders>
              <w:top w:val="nil"/>
            </w:tcBorders>
          </w:tcPr>
          <w:p>
            <w:pPr/>
          </w:p>
        </w:tc>
        <w:tc>
          <w:tcPr>
            <w:tcW w:w="2410" w:type="dxa"/>
            <w:tcBorders>
              <w:top w:val="nil"/>
            </w:tcBorders>
          </w:tcPr>
          <w:p>
            <w:pPr>
              <w:pStyle w:val="TableParagraph"/>
              <w:spacing w:line="194" w:lineRule="exact"/>
              <w:ind w:left="178" w:right="169"/>
              <w:rPr>
                <w:sz w:val="17"/>
              </w:rPr>
            </w:pPr>
            <w:r>
              <w:rPr>
                <w:w w:val="105"/>
                <w:sz w:val="17"/>
              </w:rPr>
              <w:t>miembros.</w:t>
            </w:r>
          </w:p>
        </w:tc>
        <w:tc>
          <w:tcPr>
            <w:tcW w:w="2050" w:type="dxa"/>
            <w:tcBorders>
              <w:top w:val="nil"/>
            </w:tcBorders>
          </w:tcPr>
          <w:p>
            <w:pPr/>
          </w:p>
        </w:tc>
        <w:tc>
          <w:tcPr>
            <w:tcW w:w="1637" w:type="dxa"/>
            <w:tcBorders>
              <w:top w:val="nil"/>
            </w:tcBorders>
          </w:tcPr>
          <w:p>
            <w:pPr/>
          </w:p>
        </w:tc>
        <w:tc>
          <w:tcPr>
            <w:tcW w:w="2126" w:type="dxa"/>
            <w:tcBorders>
              <w:top w:val="nil"/>
            </w:tcBorders>
          </w:tcPr>
          <w:p>
            <w:pPr/>
          </w:p>
        </w:tc>
        <w:tc>
          <w:tcPr>
            <w:tcW w:w="1560" w:type="dxa"/>
            <w:tcBorders>
              <w:top w:val="nil"/>
            </w:tcBorders>
          </w:tcPr>
          <w:p>
            <w:pPr/>
          </w:p>
        </w:tc>
      </w:tr>
    </w:tbl>
    <w:p>
      <w:pPr>
        <w:pStyle w:val="BodyText"/>
        <w:rPr>
          <w:b/>
          <w:sz w:val="20"/>
        </w:rPr>
      </w:pPr>
    </w:p>
    <w:p>
      <w:pPr>
        <w:pStyle w:val="BodyText"/>
        <w:rPr>
          <w:b/>
          <w:sz w:val="20"/>
        </w:rPr>
      </w:pPr>
    </w:p>
    <w:p>
      <w:pPr>
        <w:pStyle w:val="BodyText"/>
        <w:spacing w:before="1"/>
        <w:rPr>
          <w:b/>
          <w:sz w:val="10"/>
        </w:rPr>
      </w:pPr>
    </w:p>
    <w:tbl>
      <w:tblPr>
        <w:tblW w:w="0" w:type="auto"/>
        <w:jc w:val="left"/>
        <w:tblInd w:w="118" w:type="dxa"/>
        <w:tblBorders>
          <w:top w:val="single" w:sz="2" w:space="0" w:color="CDCDCD"/>
          <w:left w:val="single" w:sz="2" w:space="0" w:color="CDCDCD"/>
          <w:bottom w:val="single" w:sz="2" w:space="0" w:color="CDCDCD"/>
          <w:right w:val="single" w:sz="2" w:space="0" w:color="CDCDCD"/>
          <w:insideH w:val="single" w:sz="2" w:space="0" w:color="CDCDCD"/>
          <w:insideV w:val="single" w:sz="2" w:space="0" w:color="CDCDCD"/>
        </w:tblBorders>
        <w:tblLayout w:type="fixed"/>
        <w:tblCellMar>
          <w:top w:w="0" w:type="dxa"/>
          <w:left w:w="0" w:type="dxa"/>
          <w:bottom w:w="0" w:type="dxa"/>
          <w:right w:w="0" w:type="dxa"/>
        </w:tblCellMar>
        <w:tblLook w:val="01E0"/>
      </w:tblPr>
      <w:tblGrid>
        <w:gridCol w:w="1421"/>
        <w:gridCol w:w="2266"/>
        <w:gridCol w:w="1987"/>
        <w:gridCol w:w="1416"/>
        <w:gridCol w:w="1982"/>
        <w:gridCol w:w="1277"/>
        <w:gridCol w:w="994"/>
      </w:tblGrid>
      <w:tr>
        <w:trPr>
          <w:trHeight w:val="235" w:hRule="exact"/>
        </w:trPr>
        <w:tc>
          <w:tcPr>
            <w:tcW w:w="11342" w:type="dxa"/>
            <w:gridSpan w:val="7"/>
          </w:tcPr>
          <w:p>
            <w:pPr>
              <w:pStyle w:val="TableParagraph"/>
              <w:spacing w:before="5"/>
              <w:ind w:left="4212" w:right="4219"/>
              <w:rPr>
                <w:b/>
                <w:sz w:val="19"/>
              </w:rPr>
            </w:pPr>
            <w:r>
              <w:rPr>
                <w:b/>
                <w:w w:val="105"/>
                <w:sz w:val="19"/>
              </w:rPr>
              <w:t>APOYO SOCIAL:</w:t>
            </w:r>
          </w:p>
        </w:tc>
      </w:tr>
      <w:tr>
        <w:trPr>
          <w:trHeight w:val="696" w:hRule="exact"/>
        </w:trPr>
        <w:tc>
          <w:tcPr>
            <w:tcW w:w="1421" w:type="dxa"/>
          </w:tcPr>
          <w:p>
            <w:pPr>
              <w:pStyle w:val="TableParagraph"/>
              <w:spacing w:before="5"/>
              <w:ind w:left="117" w:right="109"/>
              <w:jc w:val="left"/>
              <w:rPr>
                <w:b/>
                <w:sz w:val="19"/>
              </w:rPr>
            </w:pPr>
            <w:r>
              <w:rPr>
                <w:b/>
                <w:w w:val="105"/>
                <w:sz w:val="19"/>
              </w:rPr>
              <w:t>VARIABLE</w:t>
            </w:r>
          </w:p>
        </w:tc>
        <w:tc>
          <w:tcPr>
            <w:tcW w:w="2266" w:type="dxa"/>
          </w:tcPr>
          <w:p>
            <w:pPr>
              <w:pStyle w:val="TableParagraph"/>
              <w:spacing w:line="252" w:lineRule="auto" w:before="5"/>
              <w:ind w:left="611" w:right="497" w:hanging="170"/>
              <w:jc w:val="left"/>
              <w:rPr>
                <w:b/>
                <w:sz w:val="19"/>
              </w:rPr>
            </w:pPr>
            <w:r>
              <w:rPr>
                <w:b/>
                <w:sz w:val="19"/>
              </w:rPr>
              <w:t>DEFINICION </w:t>
            </w:r>
            <w:r>
              <w:rPr>
                <w:b/>
                <w:w w:val="105"/>
                <w:sz w:val="19"/>
              </w:rPr>
              <w:t>TEORICA</w:t>
            </w:r>
          </w:p>
        </w:tc>
        <w:tc>
          <w:tcPr>
            <w:tcW w:w="1987" w:type="dxa"/>
          </w:tcPr>
          <w:p>
            <w:pPr>
              <w:pStyle w:val="TableParagraph"/>
              <w:spacing w:line="252" w:lineRule="auto" w:before="5"/>
              <w:ind w:left="152" w:right="222" w:firstLine="147"/>
              <w:jc w:val="left"/>
              <w:rPr>
                <w:b/>
                <w:sz w:val="19"/>
              </w:rPr>
            </w:pPr>
            <w:r>
              <w:rPr>
                <w:b/>
                <w:w w:val="105"/>
                <w:sz w:val="19"/>
              </w:rPr>
              <w:t>DEFINICION </w:t>
            </w:r>
            <w:r>
              <w:rPr>
                <w:b/>
                <w:sz w:val="19"/>
              </w:rPr>
              <w:t>OPERACIONAL</w:t>
            </w:r>
          </w:p>
        </w:tc>
        <w:tc>
          <w:tcPr>
            <w:tcW w:w="1416" w:type="dxa"/>
          </w:tcPr>
          <w:p>
            <w:pPr>
              <w:pStyle w:val="TableParagraph"/>
              <w:spacing w:line="252" w:lineRule="auto" w:before="5"/>
              <w:ind w:left="301" w:right="298"/>
              <w:rPr>
                <w:b/>
                <w:sz w:val="19"/>
              </w:rPr>
            </w:pPr>
            <w:r>
              <w:rPr>
                <w:b/>
                <w:sz w:val="19"/>
              </w:rPr>
              <w:t>ESCALA </w:t>
            </w:r>
            <w:r>
              <w:rPr>
                <w:b/>
                <w:w w:val="105"/>
                <w:sz w:val="19"/>
              </w:rPr>
              <w:t>DE</w:t>
            </w:r>
            <w:r>
              <w:rPr>
                <w:b/>
                <w:sz w:val="19"/>
              </w:rPr>
              <w:t> </w:t>
            </w:r>
          </w:p>
          <w:p>
            <w:pPr>
              <w:pStyle w:val="TableParagraph"/>
              <w:spacing w:before="1"/>
              <w:ind w:left="142" w:right="157"/>
              <w:rPr>
                <w:b/>
                <w:sz w:val="19"/>
              </w:rPr>
            </w:pPr>
            <w:r>
              <w:rPr>
                <w:b/>
                <w:w w:val="105"/>
                <w:sz w:val="19"/>
              </w:rPr>
              <w:t>MEDICION</w:t>
            </w:r>
          </w:p>
        </w:tc>
        <w:tc>
          <w:tcPr>
            <w:tcW w:w="1982" w:type="dxa"/>
          </w:tcPr>
          <w:p>
            <w:pPr>
              <w:pStyle w:val="TableParagraph"/>
              <w:spacing w:before="5"/>
              <w:ind w:left="190" w:right="195"/>
              <w:rPr>
                <w:b/>
                <w:sz w:val="19"/>
              </w:rPr>
            </w:pPr>
            <w:r>
              <w:rPr>
                <w:b/>
                <w:w w:val="105"/>
                <w:sz w:val="19"/>
              </w:rPr>
              <w:t>CRITERIOS</w:t>
            </w:r>
          </w:p>
          <w:p>
            <w:pPr>
              <w:pStyle w:val="TableParagraph"/>
              <w:spacing w:before="12"/>
              <w:ind w:left="190" w:right="195"/>
              <w:rPr>
                <w:b/>
                <w:sz w:val="19"/>
              </w:rPr>
            </w:pPr>
            <w:r>
              <w:rPr>
                <w:b/>
                <w:w w:val="105"/>
                <w:sz w:val="19"/>
              </w:rPr>
              <w:t>DIAGNOSTICOS</w:t>
            </w:r>
          </w:p>
        </w:tc>
        <w:tc>
          <w:tcPr>
            <w:tcW w:w="2270" w:type="dxa"/>
            <w:gridSpan w:val="2"/>
          </w:tcPr>
          <w:p>
            <w:pPr>
              <w:pStyle w:val="TableParagraph"/>
              <w:spacing w:line="273" w:lineRule="exact"/>
              <w:ind w:left="749" w:right="335"/>
              <w:jc w:val="left"/>
              <w:rPr>
                <w:b/>
                <w:sz w:val="24"/>
              </w:rPr>
            </w:pPr>
            <w:r>
              <w:rPr>
                <w:b/>
                <w:sz w:val="24"/>
              </w:rPr>
              <w:t>ITEMS</w:t>
            </w:r>
          </w:p>
        </w:tc>
      </w:tr>
      <w:tr>
        <w:trPr>
          <w:trHeight w:val="509" w:hRule="exact"/>
        </w:trPr>
        <w:tc>
          <w:tcPr>
            <w:tcW w:w="1421" w:type="dxa"/>
            <w:vMerge w:val="restart"/>
          </w:tcPr>
          <w:p>
            <w:pPr>
              <w:pStyle w:val="TableParagraph"/>
              <w:spacing w:before="9"/>
              <w:ind w:left="219" w:right="109"/>
              <w:jc w:val="left"/>
              <w:rPr>
                <w:sz w:val="17"/>
              </w:rPr>
            </w:pPr>
            <w:r>
              <w:rPr>
                <w:w w:val="105"/>
                <w:sz w:val="17"/>
              </w:rPr>
              <w:t>Apoyo Social</w:t>
            </w:r>
          </w:p>
        </w:tc>
        <w:tc>
          <w:tcPr>
            <w:tcW w:w="2266" w:type="dxa"/>
            <w:vMerge w:val="restart"/>
          </w:tcPr>
          <w:p>
            <w:pPr>
              <w:pStyle w:val="TableParagraph"/>
              <w:spacing w:before="9"/>
              <w:ind w:left="100" w:right="113"/>
              <w:rPr>
                <w:sz w:val="17"/>
              </w:rPr>
            </w:pPr>
            <w:r>
              <w:rPr>
                <w:w w:val="105"/>
                <w:sz w:val="17"/>
              </w:rPr>
              <w:t>Ayuda otorgada al paciente:</w:t>
            </w:r>
          </w:p>
          <w:p>
            <w:pPr>
              <w:pStyle w:val="TableParagraph"/>
              <w:numPr>
                <w:ilvl w:val="0"/>
                <w:numId w:val="17"/>
              </w:numPr>
              <w:tabs>
                <w:tab w:pos="671" w:val="left" w:leader="none"/>
              </w:tabs>
              <w:spacing w:line="240" w:lineRule="auto" w:before="10" w:after="0"/>
              <w:ind w:left="670" w:right="0" w:hanging="200"/>
              <w:jc w:val="left"/>
              <w:rPr>
                <w:sz w:val="17"/>
              </w:rPr>
            </w:pPr>
            <w:r>
              <w:rPr>
                <w:w w:val="105"/>
                <w:sz w:val="17"/>
              </w:rPr>
              <w:t>Interacción</w:t>
            </w:r>
            <w:r>
              <w:rPr>
                <w:spacing w:val="2"/>
                <w:w w:val="105"/>
                <w:sz w:val="17"/>
              </w:rPr>
              <w:t> </w:t>
            </w:r>
            <w:r>
              <w:rPr>
                <w:w w:val="105"/>
                <w:sz w:val="17"/>
              </w:rPr>
              <w:t>Intima</w:t>
            </w:r>
          </w:p>
          <w:p>
            <w:pPr>
              <w:pStyle w:val="TableParagraph"/>
              <w:numPr>
                <w:ilvl w:val="0"/>
                <w:numId w:val="17"/>
              </w:numPr>
              <w:tabs>
                <w:tab w:pos="671" w:val="left" w:leader="none"/>
              </w:tabs>
              <w:spacing w:line="240" w:lineRule="auto" w:before="10" w:after="0"/>
              <w:ind w:left="670" w:right="0" w:hanging="200"/>
              <w:jc w:val="left"/>
              <w:rPr>
                <w:sz w:val="17"/>
              </w:rPr>
            </w:pPr>
            <w:r>
              <w:rPr>
                <w:w w:val="105"/>
                <w:sz w:val="17"/>
              </w:rPr>
              <w:t>Material</w:t>
            </w:r>
          </w:p>
          <w:p>
            <w:pPr>
              <w:pStyle w:val="TableParagraph"/>
              <w:numPr>
                <w:ilvl w:val="0"/>
                <w:numId w:val="17"/>
              </w:numPr>
              <w:tabs>
                <w:tab w:pos="671" w:val="left" w:leader="none"/>
              </w:tabs>
              <w:spacing w:line="240" w:lineRule="auto" w:before="15" w:after="0"/>
              <w:ind w:left="670" w:right="0" w:hanging="200"/>
              <w:jc w:val="left"/>
              <w:rPr>
                <w:sz w:val="17"/>
              </w:rPr>
            </w:pPr>
            <w:r>
              <w:rPr>
                <w:w w:val="105"/>
                <w:sz w:val="17"/>
              </w:rPr>
              <w:t>Consejo</w:t>
            </w:r>
          </w:p>
          <w:p>
            <w:pPr>
              <w:pStyle w:val="TableParagraph"/>
              <w:numPr>
                <w:ilvl w:val="0"/>
                <w:numId w:val="17"/>
              </w:numPr>
              <w:tabs>
                <w:tab w:pos="671" w:val="left" w:leader="none"/>
              </w:tabs>
              <w:spacing w:line="240" w:lineRule="auto" w:before="10" w:after="0"/>
              <w:ind w:left="670" w:right="0" w:hanging="200"/>
              <w:jc w:val="left"/>
              <w:rPr>
                <w:sz w:val="17"/>
              </w:rPr>
            </w:pPr>
            <w:r>
              <w:rPr>
                <w:w w:val="105"/>
                <w:sz w:val="17"/>
              </w:rPr>
              <w:t>Información</w:t>
            </w:r>
          </w:p>
          <w:p>
            <w:pPr>
              <w:pStyle w:val="TableParagraph"/>
              <w:numPr>
                <w:ilvl w:val="0"/>
                <w:numId w:val="17"/>
              </w:numPr>
              <w:tabs>
                <w:tab w:pos="671" w:val="left" w:leader="none"/>
              </w:tabs>
              <w:spacing w:line="240" w:lineRule="auto" w:before="10" w:after="0"/>
              <w:ind w:left="670" w:right="0" w:hanging="200"/>
              <w:jc w:val="left"/>
              <w:rPr>
                <w:sz w:val="17"/>
              </w:rPr>
            </w:pPr>
            <w:r>
              <w:rPr>
                <w:w w:val="105"/>
                <w:sz w:val="17"/>
              </w:rPr>
              <w:t>Asistencia</w:t>
            </w:r>
          </w:p>
          <w:p>
            <w:pPr>
              <w:pStyle w:val="TableParagraph"/>
              <w:numPr>
                <w:ilvl w:val="0"/>
                <w:numId w:val="17"/>
              </w:numPr>
              <w:tabs>
                <w:tab w:pos="671" w:val="left" w:leader="none"/>
              </w:tabs>
              <w:spacing w:line="240" w:lineRule="auto" w:before="15" w:after="0"/>
              <w:ind w:left="670" w:right="0" w:hanging="200"/>
              <w:jc w:val="left"/>
              <w:rPr>
                <w:sz w:val="17"/>
              </w:rPr>
            </w:pPr>
            <w:r>
              <w:rPr>
                <w:w w:val="105"/>
                <w:sz w:val="17"/>
              </w:rPr>
              <w:t>Participación</w:t>
            </w:r>
            <w:r>
              <w:rPr>
                <w:spacing w:val="4"/>
                <w:w w:val="105"/>
                <w:sz w:val="17"/>
              </w:rPr>
              <w:t> </w:t>
            </w:r>
            <w:r>
              <w:rPr>
                <w:w w:val="105"/>
                <w:sz w:val="17"/>
              </w:rPr>
              <w:t>Social</w:t>
            </w:r>
          </w:p>
          <w:p>
            <w:pPr>
              <w:pStyle w:val="TableParagraph"/>
              <w:numPr>
                <w:ilvl w:val="0"/>
                <w:numId w:val="17"/>
              </w:numPr>
              <w:tabs>
                <w:tab w:pos="671" w:val="left" w:leader="none"/>
              </w:tabs>
              <w:spacing w:line="240" w:lineRule="auto" w:before="10" w:after="0"/>
              <w:ind w:left="670" w:right="0" w:hanging="200"/>
              <w:jc w:val="left"/>
              <w:rPr>
                <w:sz w:val="17"/>
              </w:rPr>
            </w:pPr>
            <w:r>
              <w:rPr>
                <w:w w:val="105"/>
                <w:sz w:val="17"/>
              </w:rPr>
              <w:t>Interacción</w:t>
            </w:r>
          </w:p>
          <w:p>
            <w:pPr>
              <w:pStyle w:val="TableParagraph"/>
              <w:spacing w:before="11"/>
              <w:ind w:left="100" w:right="52"/>
              <w:rPr>
                <w:sz w:val="17"/>
              </w:rPr>
            </w:pPr>
            <w:r>
              <w:rPr>
                <w:w w:val="105"/>
                <w:sz w:val="17"/>
              </w:rPr>
              <w:t>Negativa</w:t>
            </w:r>
          </w:p>
        </w:tc>
        <w:tc>
          <w:tcPr>
            <w:tcW w:w="1987" w:type="dxa"/>
            <w:vMerge w:val="restart"/>
          </w:tcPr>
          <w:p>
            <w:pPr>
              <w:pStyle w:val="TableParagraph"/>
              <w:spacing w:line="254" w:lineRule="auto" w:before="9"/>
              <w:ind w:left="147" w:right="139" w:hanging="1"/>
              <w:rPr>
                <w:sz w:val="17"/>
              </w:rPr>
            </w:pPr>
            <w:r>
              <w:rPr>
                <w:w w:val="105"/>
                <w:sz w:val="17"/>
              </w:rPr>
              <w:t>Señalar si la familia satisface  las principales necesidades básicas del</w:t>
            </w:r>
            <w:r>
              <w:rPr>
                <w:spacing w:val="7"/>
                <w:w w:val="105"/>
                <w:sz w:val="17"/>
              </w:rPr>
              <w:t> </w:t>
            </w:r>
            <w:r>
              <w:rPr>
                <w:w w:val="105"/>
                <w:sz w:val="17"/>
              </w:rPr>
              <w:t>paciente.</w:t>
            </w:r>
          </w:p>
        </w:tc>
        <w:tc>
          <w:tcPr>
            <w:tcW w:w="1416" w:type="dxa"/>
            <w:vMerge w:val="restart"/>
          </w:tcPr>
          <w:p>
            <w:pPr>
              <w:pStyle w:val="TableParagraph"/>
              <w:ind w:left="0"/>
              <w:jc w:val="left"/>
              <w:rPr>
                <w:b/>
                <w:sz w:val="18"/>
              </w:rPr>
            </w:pPr>
          </w:p>
          <w:p>
            <w:pPr>
              <w:pStyle w:val="TableParagraph"/>
              <w:spacing w:before="8"/>
              <w:ind w:left="0"/>
              <w:jc w:val="left"/>
              <w:rPr>
                <w:b/>
                <w:sz w:val="18"/>
              </w:rPr>
            </w:pPr>
          </w:p>
          <w:p>
            <w:pPr>
              <w:pStyle w:val="TableParagraph"/>
              <w:spacing w:line="254" w:lineRule="auto"/>
              <w:ind w:left="391" w:right="252" w:hanging="125"/>
              <w:jc w:val="left"/>
              <w:rPr>
                <w:sz w:val="17"/>
              </w:rPr>
            </w:pPr>
            <w:r>
              <w:rPr>
                <w:w w:val="105"/>
                <w:sz w:val="17"/>
              </w:rPr>
              <w:t>Cuantitativa Nominal</w:t>
            </w:r>
          </w:p>
        </w:tc>
        <w:tc>
          <w:tcPr>
            <w:tcW w:w="1982" w:type="dxa"/>
            <w:vMerge w:val="restart"/>
          </w:tcPr>
          <w:p>
            <w:pPr>
              <w:pStyle w:val="TableParagraph"/>
              <w:spacing w:line="254" w:lineRule="auto" w:before="9"/>
              <w:ind w:left="517" w:right="505"/>
              <w:rPr>
                <w:sz w:val="17"/>
              </w:rPr>
            </w:pPr>
            <w:r>
              <w:rPr>
                <w:w w:val="105"/>
                <w:sz w:val="17"/>
              </w:rPr>
              <w:t>Suma(0-6)= sin asistencia</w:t>
            </w:r>
          </w:p>
          <w:p>
            <w:pPr>
              <w:pStyle w:val="TableParagraph"/>
              <w:spacing w:line="254" w:lineRule="auto"/>
              <w:ind w:left="190" w:right="176"/>
              <w:rPr>
                <w:sz w:val="17"/>
              </w:rPr>
            </w:pPr>
            <w:r>
              <w:rPr>
                <w:w w:val="105"/>
                <w:sz w:val="17"/>
              </w:rPr>
              <w:t>Suma(6-10)= con asistencia</w:t>
            </w:r>
          </w:p>
        </w:tc>
        <w:tc>
          <w:tcPr>
            <w:tcW w:w="1277" w:type="dxa"/>
          </w:tcPr>
          <w:p>
            <w:pPr>
              <w:pStyle w:val="TableParagraph"/>
              <w:spacing w:line="254" w:lineRule="auto" w:before="9"/>
              <w:ind w:left="110" w:right="339"/>
              <w:jc w:val="left"/>
              <w:rPr>
                <w:sz w:val="17"/>
              </w:rPr>
            </w:pPr>
            <w:r>
              <w:rPr>
                <w:w w:val="105"/>
                <w:sz w:val="17"/>
              </w:rPr>
              <w:t>Interacción Intima</w:t>
            </w:r>
          </w:p>
        </w:tc>
        <w:tc>
          <w:tcPr>
            <w:tcW w:w="994" w:type="dxa"/>
          </w:tcPr>
          <w:p>
            <w:pPr>
              <w:pStyle w:val="TableParagraph"/>
              <w:spacing w:line="252" w:lineRule="auto" w:before="5"/>
              <w:ind w:left="110"/>
              <w:jc w:val="left"/>
              <w:rPr>
                <w:sz w:val="21"/>
              </w:rPr>
            </w:pPr>
            <w:r>
              <w:rPr>
                <w:sz w:val="21"/>
              </w:rPr>
              <w:t>A1,A2, </w:t>
            </w:r>
            <w:r>
              <w:rPr>
                <w:w w:val="105"/>
                <w:sz w:val="21"/>
              </w:rPr>
              <w:t>A3,A4</w:t>
            </w:r>
          </w:p>
        </w:tc>
      </w:tr>
      <w:tr>
        <w:trPr>
          <w:trHeight w:val="514" w:hRule="exact"/>
        </w:trPr>
        <w:tc>
          <w:tcPr>
            <w:tcW w:w="1421" w:type="dxa"/>
            <w:vMerge/>
          </w:tcPr>
          <w:p>
            <w:pPr/>
          </w:p>
        </w:tc>
        <w:tc>
          <w:tcPr>
            <w:tcW w:w="2266" w:type="dxa"/>
            <w:vMerge/>
          </w:tcPr>
          <w:p>
            <w:pPr/>
          </w:p>
        </w:tc>
        <w:tc>
          <w:tcPr>
            <w:tcW w:w="1987" w:type="dxa"/>
            <w:vMerge/>
          </w:tcPr>
          <w:p>
            <w:pPr/>
          </w:p>
        </w:tc>
        <w:tc>
          <w:tcPr>
            <w:tcW w:w="1416" w:type="dxa"/>
            <w:vMerge/>
          </w:tcPr>
          <w:p>
            <w:pPr/>
          </w:p>
        </w:tc>
        <w:tc>
          <w:tcPr>
            <w:tcW w:w="1982" w:type="dxa"/>
            <w:vMerge/>
          </w:tcPr>
          <w:p>
            <w:pPr/>
          </w:p>
        </w:tc>
        <w:tc>
          <w:tcPr>
            <w:tcW w:w="1277" w:type="dxa"/>
          </w:tcPr>
          <w:p>
            <w:pPr>
              <w:pStyle w:val="TableParagraph"/>
              <w:spacing w:line="259" w:lineRule="auto" w:before="9"/>
              <w:ind w:left="110" w:right="537"/>
              <w:jc w:val="left"/>
              <w:rPr>
                <w:sz w:val="17"/>
              </w:rPr>
            </w:pPr>
            <w:r>
              <w:rPr>
                <w:w w:val="105"/>
                <w:sz w:val="17"/>
              </w:rPr>
              <w:t>Ayuda Material</w:t>
            </w:r>
          </w:p>
        </w:tc>
        <w:tc>
          <w:tcPr>
            <w:tcW w:w="994" w:type="dxa"/>
          </w:tcPr>
          <w:p>
            <w:pPr>
              <w:pStyle w:val="TableParagraph"/>
              <w:spacing w:line="252" w:lineRule="auto" w:before="5"/>
              <w:ind w:left="110" w:right="289"/>
              <w:jc w:val="left"/>
              <w:rPr>
                <w:sz w:val="21"/>
              </w:rPr>
            </w:pPr>
            <w:r>
              <w:rPr>
                <w:w w:val="105"/>
                <w:sz w:val="21"/>
              </w:rPr>
              <w:t>B1,B2 B3,B4</w:t>
            </w:r>
          </w:p>
        </w:tc>
      </w:tr>
      <w:tr>
        <w:trPr>
          <w:trHeight w:val="509" w:hRule="exact"/>
        </w:trPr>
        <w:tc>
          <w:tcPr>
            <w:tcW w:w="1421" w:type="dxa"/>
            <w:vMerge/>
          </w:tcPr>
          <w:p>
            <w:pPr/>
          </w:p>
        </w:tc>
        <w:tc>
          <w:tcPr>
            <w:tcW w:w="2266" w:type="dxa"/>
            <w:vMerge/>
          </w:tcPr>
          <w:p>
            <w:pPr/>
          </w:p>
        </w:tc>
        <w:tc>
          <w:tcPr>
            <w:tcW w:w="1987" w:type="dxa"/>
            <w:vMerge/>
          </w:tcPr>
          <w:p>
            <w:pPr/>
          </w:p>
        </w:tc>
        <w:tc>
          <w:tcPr>
            <w:tcW w:w="1416" w:type="dxa"/>
            <w:vMerge/>
          </w:tcPr>
          <w:p>
            <w:pPr/>
          </w:p>
        </w:tc>
        <w:tc>
          <w:tcPr>
            <w:tcW w:w="1982" w:type="dxa"/>
            <w:vMerge/>
          </w:tcPr>
          <w:p>
            <w:pPr/>
          </w:p>
        </w:tc>
        <w:tc>
          <w:tcPr>
            <w:tcW w:w="1277" w:type="dxa"/>
          </w:tcPr>
          <w:p>
            <w:pPr>
              <w:pStyle w:val="TableParagraph"/>
              <w:spacing w:line="254" w:lineRule="auto" w:before="9"/>
              <w:ind w:left="110" w:right="269"/>
              <w:jc w:val="left"/>
              <w:rPr>
                <w:sz w:val="17"/>
              </w:rPr>
            </w:pPr>
            <w:r>
              <w:rPr>
                <w:w w:val="105"/>
                <w:sz w:val="17"/>
              </w:rPr>
              <w:t>Consejo e información</w:t>
            </w:r>
          </w:p>
        </w:tc>
        <w:tc>
          <w:tcPr>
            <w:tcW w:w="994" w:type="dxa"/>
          </w:tcPr>
          <w:p>
            <w:pPr>
              <w:pStyle w:val="TableParagraph"/>
              <w:spacing w:line="252" w:lineRule="auto" w:before="5"/>
              <w:ind w:left="110" w:right="289"/>
              <w:jc w:val="left"/>
              <w:rPr>
                <w:sz w:val="21"/>
              </w:rPr>
            </w:pPr>
            <w:r>
              <w:rPr>
                <w:w w:val="105"/>
                <w:sz w:val="21"/>
              </w:rPr>
              <w:t>C1,C2 C3,C4</w:t>
            </w:r>
          </w:p>
        </w:tc>
      </w:tr>
      <w:tr>
        <w:trPr>
          <w:trHeight w:val="514" w:hRule="exact"/>
        </w:trPr>
        <w:tc>
          <w:tcPr>
            <w:tcW w:w="1421" w:type="dxa"/>
            <w:vMerge/>
          </w:tcPr>
          <w:p>
            <w:pPr/>
          </w:p>
        </w:tc>
        <w:tc>
          <w:tcPr>
            <w:tcW w:w="2266" w:type="dxa"/>
            <w:vMerge/>
          </w:tcPr>
          <w:p>
            <w:pPr/>
          </w:p>
        </w:tc>
        <w:tc>
          <w:tcPr>
            <w:tcW w:w="1987" w:type="dxa"/>
            <w:vMerge/>
          </w:tcPr>
          <w:p>
            <w:pPr/>
          </w:p>
        </w:tc>
        <w:tc>
          <w:tcPr>
            <w:tcW w:w="1416" w:type="dxa"/>
            <w:vMerge/>
          </w:tcPr>
          <w:p>
            <w:pPr/>
          </w:p>
        </w:tc>
        <w:tc>
          <w:tcPr>
            <w:tcW w:w="1982" w:type="dxa"/>
            <w:vMerge/>
          </w:tcPr>
          <w:p>
            <w:pPr/>
          </w:p>
        </w:tc>
        <w:tc>
          <w:tcPr>
            <w:tcW w:w="1277" w:type="dxa"/>
          </w:tcPr>
          <w:p>
            <w:pPr>
              <w:pStyle w:val="TableParagraph"/>
              <w:spacing w:line="254" w:lineRule="auto" w:before="9"/>
              <w:ind w:left="110" w:right="259"/>
              <w:jc w:val="left"/>
              <w:rPr>
                <w:sz w:val="17"/>
              </w:rPr>
            </w:pPr>
            <w:r>
              <w:rPr>
                <w:w w:val="105"/>
                <w:sz w:val="17"/>
              </w:rPr>
              <w:t>Información Positiva</w:t>
            </w:r>
          </w:p>
        </w:tc>
        <w:tc>
          <w:tcPr>
            <w:tcW w:w="994" w:type="dxa"/>
          </w:tcPr>
          <w:p>
            <w:pPr>
              <w:pStyle w:val="TableParagraph"/>
              <w:spacing w:line="252" w:lineRule="auto" w:before="5"/>
              <w:ind w:left="110" w:right="264"/>
              <w:jc w:val="left"/>
              <w:rPr>
                <w:sz w:val="21"/>
              </w:rPr>
            </w:pPr>
            <w:r>
              <w:rPr>
                <w:w w:val="105"/>
                <w:sz w:val="21"/>
              </w:rPr>
              <w:t>D1,D2 D3,D4</w:t>
            </w:r>
          </w:p>
        </w:tc>
      </w:tr>
      <w:tr>
        <w:trPr>
          <w:trHeight w:val="509" w:hRule="exact"/>
        </w:trPr>
        <w:tc>
          <w:tcPr>
            <w:tcW w:w="1421" w:type="dxa"/>
            <w:vMerge/>
          </w:tcPr>
          <w:p>
            <w:pPr/>
          </w:p>
        </w:tc>
        <w:tc>
          <w:tcPr>
            <w:tcW w:w="2266" w:type="dxa"/>
            <w:vMerge/>
          </w:tcPr>
          <w:p>
            <w:pPr/>
          </w:p>
        </w:tc>
        <w:tc>
          <w:tcPr>
            <w:tcW w:w="1987" w:type="dxa"/>
            <w:vMerge/>
          </w:tcPr>
          <w:p>
            <w:pPr/>
          </w:p>
        </w:tc>
        <w:tc>
          <w:tcPr>
            <w:tcW w:w="1416" w:type="dxa"/>
            <w:vMerge/>
          </w:tcPr>
          <w:p>
            <w:pPr/>
          </w:p>
        </w:tc>
        <w:tc>
          <w:tcPr>
            <w:tcW w:w="1982" w:type="dxa"/>
            <w:vMerge/>
          </w:tcPr>
          <w:p>
            <w:pPr/>
          </w:p>
        </w:tc>
        <w:tc>
          <w:tcPr>
            <w:tcW w:w="1277" w:type="dxa"/>
          </w:tcPr>
          <w:p>
            <w:pPr>
              <w:pStyle w:val="TableParagraph"/>
              <w:spacing w:before="9"/>
              <w:ind w:left="110" w:right="339"/>
              <w:jc w:val="left"/>
              <w:rPr>
                <w:sz w:val="17"/>
              </w:rPr>
            </w:pPr>
            <w:r>
              <w:rPr>
                <w:w w:val="105"/>
                <w:sz w:val="17"/>
              </w:rPr>
              <w:t>Asistencia</w:t>
            </w:r>
          </w:p>
        </w:tc>
        <w:tc>
          <w:tcPr>
            <w:tcW w:w="994" w:type="dxa"/>
          </w:tcPr>
          <w:p>
            <w:pPr>
              <w:pStyle w:val="TableParagraph"/>
              <w:spacing w:line="247" w:lineRule="auto" w:before="5"/>
              <w:ind w:left="110"/>
              <w:jc w:val="left"/>
              <w:rPr>
                <w:sz w:val="21"/>
              </w:rPr>
            </w:pPr>
            <w:r>
              <w:rPr>
                <w:sz w:val="21"/>
              </w:rPr>
              <w:t>E1,E2, </w:t>
            </w:r>
            <w:r>
              <w:rPr>
                <w:w w:val="105"/>
                <w:sz w:val="21"/>
              </w:rPr>
              <w:t>E3,E4</w:t>
            </w:r>
          </w:p>
        </w:tc>
      </w:tr>
      <w:tr>
        <w:trPr>
          <w:trHeight w:val="514" w:hRule="exact"/>
        </w:trPr>
        <w:tc>
          <w:tcPr>
            <w:tcW w:w="1421" w:type="dxa"/>
            <w:vMerge/>
          </w:tcPr>
          <w:p>
            <w:pPr/>
          </w:p>
        </w:tc>
        <w:tc>
          <w:tcPr>
            <w:tcW w:w="2266" w:type="dxa"/>
            <w:vMerge/>
          </w:tcPr>
          <w:p>
            <w:pPr/>
          </w:p>
        </w:tc>
        <w:tc>
          <w:tcPr>
            <w:tcW w:w="1987" w:type="dxa"/>
            <w:vMerge/>
          </w:tcPr>
          <w:p>
            <w:pPr/>
          </w:p>
        </w:tc>
        <w:tc>
          <w:tcPr>
            <w:tcW w:w="1416" w:type="dxa"/>
            <w:vMerge/>
          </w:tcPr>
          <w:p>
            <w:pPr/>
          </w:p>
        </w:tc>
        <w:tc>
          <w:tcPr>
            <w:tcW w:w="1982" w:type="dxa"/>
            <w:vMerge/>
          </w:tcPr>
          <w:p>
            <w:pPr/>
          </w:p>
        </w:tc>
        <w:tc>
          <w:tcPr>
            <w:tcW w:w="1277" w:type="dxa"/>
          </w:tcPr>
          <w:p>
            <w:pPr>
              <w:pStyle w:val="TableParagraph"/>
              <w:spacing w:line="254" w:lineRule="auto" w:before="9"/>
              <w:ind w:left="110" w:right="200"/>
              <w:jc w:val="left"/>
              <w:rPr>
                <w:sz w:val="17"/>
              </w:rPr>
            </w:pPr>
            <w:r>
              <w:rPr>
                <w:w w:val="105"/>
                <w:sz w:val="17"/>
              </w:rPr>
              <w:t>Participación Social</w:t>
            </w:r>
          </w:p>
        </w:tc>
        <w:tc>
          <w:tcPr>
            <w:tcW w:w="994" w:type="dxa"/>
          </w:tcPr>
          <w:p>
            <w:pPr>
              <w:pStyle w:val="TableParagraph"/>
              <w:spacing w:line="252" w:lineRule="auto" w:before="5"/>
              <w:ind w:left="110"/>
              <w:jc w:val="left"/>
              <w:rPr>
                <w:sz w:val="21"/>
              </w:rPr>
            </w:pPr>
            <w:r>
              <w:rPr>
                <w:sz w:val="21"/>
              </w:rPr>
              <w:t>F1,F2, </w:t>
            </w:r>
            <w:r>
              <w:rPr>
                <w:w w:val="105"/>
                <w:sz w:val="21"/>
              </w:rPr>
              <w:t>F3,F4</w:t>
            </w:r>
          </w:p>
        </w:tc>
      </w:tr>
      <w:tr>
        <w:trPr>
          <w:trHeight w:val="542" w:hRule="exact"/>
        </w:trPr>
        <w:tc>
          <w:tcPr>
            <w:tcW w:w="1421" w:type="dxa"/>
            <w:vMerge/>
          </w:tcPr>
          <w:p>
            <w:pPr/>
          </w:p>
        </w:tc>
        <w:tc>
          <w:tcPr>
            <w:tcW w:w="2266" w:type="dxa"/>
            <w:vMerge/>
          </w:tcPr>
          <w:p>
            <w:pPr/>
          </w:p>
        </w:tc>
        <w:tc>
          <w:tcPr>
            <w:tcW w:w="1987" w:type="dxa"/>
            <w:vMerge/>
          </w:tcPr>
          <w:p>
            <w:pPr/>
          </w:p>
        </w:tc>
        <w:tc>
          <w:tcPr>
            <w:tcW w:w="1416" w:type="dxa"/>
            <w:vMerge/>
          </w:tcPr>
          <w:p>
            <w:pPr/>
          </w:p>
        </w:tc>
        <w:tc>
          <w:tcPr>
            <w:tcW w:w="1982" w:type="dxa"/>
            <w:vMerge/>
          </w:tcPr>
          <w:p>
            <w:pPr/>
          </w:p>
        </w:tc>
        <w:tc>
          <w:tcPr>
            <w:tcW w:w="1277" w:type="dxa"/>
          </w:tcPr>
          <w:p>
            <w:pPr>
              <w:pStyle w:val="TableParagraph"/>
              <w:spacing w:line="247" w:lineRule="auto" w:before="5"/>
              <w:ind w:left="110"/>
              <w:jc w:val="left"/>
              <w:rPr>
                <w:sz w:val="21"/>
              </w:rPr>
            </w:pPr>
            <w:r>
              <w:rPr>
                <w:sz w:val="21"/>
              </w:rPr>
              <w:t>Interacción </w:t>
            </w:r>
            <w:r>
              <w:rPr>
                <w:w w:val="105"/>
                <w:sz w:val="21"/>
              </w:rPr>
              <w:t>Negativa</w:t>
            </w:r>
          </w:p>
        </w:tc>
        <w:tc>
          <w:tcPr>
            <w:tcW w:w="994" w:type="dxa"/>
          </w:tcPr>
          <w:p>
            <w:pPr>
              <w:pStyle w:val="TableParagraph"/>
              <w:spacing w:before="5"/>
              <w:ind w:left="174"/>
              <w:jc w:val="left"/>
              <w:rPr>
                <w:sz w:val="21"/>
              </w:rPr>
            </w:pPr>
            <w:r>
              <w:rPr>
                <w:w w:val="105"/>
                <w:sz w:val="21"/>
              </w:rPr>
              <w:t>G1, G2</w:t>
            </w:r>
          </w:p>
        </w:tc>
      </w:tr>
    </w:tbl>
    <w:p>
      <w:pPr>
        <w:spacing w:after="0"/>
        <w:jc w:val="left"/>
        <w:rPr>
          <w:sz w:val="21"/>
        </w:rPr>
        <w:sectPr>
          <w:pgSz w:w="12240" w:h="15840"/>
          <w:pgMar w:header="0" w:footer="972" w:top="1360" w:bottom="1220" w:left="580" w:right="80"/>
        </w:sectPr>
      </w:pPr>
    </w:p>
    <w:tbl>
      <w:tblPr>
        <w:tblW w:w="0" w:type="auto"/>
        <w:jc w:val="left"/>
        <w:tblInd w:w="118" w:type="dxa"/>
        <w:tblBorders>
          <w:top w:val="single" w:sz="2" w:space="0" w:color="CDCDCD"/>
          <w:left w:val="single" w:sz="2" w:space="0" w:color="CDCDCD"/>
          <w:bottom w:val="single" w:sz="2" w:space="0" w:color="CDCDCD"/>
          <w:right w:val="single" w:sz="2" w:space="0" w:color="CDCDCD"/>
          <w:insideH w:val="single" w:sz="2" w:space="0" w:color="CDCDCD"/>
          <w:insideV w:val="single" w:sz="2" w:space="0" w:color="CDCDCD"/>
        </w:tblBorders>
        <w:tblLayout w:type="fixed"/>
        <w:tblCellMar>
          <w:top w:w="0" w:type="dxa"/>
          <w:left w:w="0" w:type="dxa"/>
          <w:bottom w:w="0" w:type="dxa"/>
          <w:right w:w="0" w:type="dxa"/>
        </w:tblCellMar>
        <w:tblLook w:val="01E0"/>
      </w:tblPr>
      <w:tblGrid>
        <w:gridCol w:w="1421"/>
        <w:gridCol w:w="2266"/>
        <w:gridCol w:w="1987"/>
        <w:gridCol w:w="1416"/>
        <w:gridCol w:w="2270"/>
        <w:gridCol w:w="1982"/>
      </w:tblGrid>
      <w:tr>
        <w:trPr>
          <w:trHeight w:val="235" w:hRule="exact"/>
        </w:trPr>
        <w:tc>
          <w:tcPr>
            <w:tcW w:w="11342" w:type="dxa"/>
            <w:gridSpan w:val="6"/>
          </w:tcPr>
          <w:p>
            <w:pPr>
              <w:pStyle w:val="TableParagraph"/>
              <w:spacing w:line="217" w:lineRule="exact"/>
              <w:ind w:left="3658"/>
              <w:jc w:val="left"/>
              <w:rPr>
                <w:b/>
                <w:sz w:val="19"/>
              </w:rPr>
            </w:pPr>
            <w:r>
              <w:rPr>
                <w:b/>
                <w:w w:val="105"/>
                <w:sz w:val="19"/>
              </w:rPr>
              <w:t>ESTRUCTURA DE LAS REDES DE APOYO:</w:t>
            </w:r>
          </w:p>
        </w:tc>
      </w:tr>
      <w:tr>
        <w:trPr>
          <w:trHeight w:val="466" w:hRule="exact"/>
        </w:trPr>
        <w:tc>
          <w:tcPr>
            <w:tcW w:w="1421" w:type="dxa"/>
          </w:tcPr>
          <w:p>
            <w:pPr>
              <w:pStyle w:val="TableParagraph"/>
              <w:spacing w:line="217" w:lineRule="exact"/>
              <w:ind w:left="163" w:right="158"/>
              <w:rPr>
                <w:b/>
                <w:sz w:val="19"/>
              </w:rPr>
            </w:pPr>
            <w:r>
              <w:rPr>
                <w:b/>
                <w:w w:val="105"/>
                <w:sz w:val="19"/>
              </w:rPr>
              <w:t>VARIABLE</w:t>
            </w:r>
          </w:p>
        </w:tc>
        <w:tc>
          <w:tcPr>
            <w:tcW w:w="2266" w:type="dxa"/>
          </w:tcPr>
          <w:p>
            <w:pPr>
              <w:pStyle w:val="TableParagraph"/>
              <w:spacing w:line="252" w:lineRule="auto"/>
              <w:ind w:left="669" w:right="497" w:hanging="145"/>
              <w:jc w:val="left"/>
              <w:rPr>
                <w:b/>
                <w:sz w:val="19"/>
              </w:rPr>
            </w:pPr>
            <w:r>
              <w:rPr>
                <w:b/>
                <w:w w:val="105"/>
                <w:sz w:val="19"/>
              </w:rPr>
              <w:t>DEFINICION TEORICA</w:t>
            </w:r>
          </w:p>
        </w:tc>
        <w:tc>
          <w:tcPr>
            <w:tcW w:w="1987" w:type="dxa"/>
          </w:tcPr>
          <w:p>
            <w:pPr>
              <w:pStyle w:val="TableParagraph"/>
              <w:spacing w:line="252" w:lineRule="auto"/>
              <w:ind w:left="244" w:right="222" w:firstLine="138"/>
              <w:jc w:val="left"/>
              <w:rPr>
                <w:b/>
                <w:sz w:val="19"/>
              </w:rPr>
            </w:pPr>
            <w:r>
              <w:rPr>
                <w:b/>
                <w:w w:val="105"/>
                <w:sz w:val="19"/>
              </w:rPr>
              <w:t>DEFINICION OPERACIONAL</w:t>
            </w:r>
          </w:p>
        </w:tc>
        <w:tc>
          <w:tcPr>
            <w:tcW w:w="1416" w:type="dxa"/>
          </w:tcPr>
          <w:p>
            <w:pPr>
              <w:pStyle w:val="TableParagraph"/>
              <w:spacing w:line="252" w:lineRule="auto"/>
              <w:ind w:left="173" w:right="118" w:hanging="37"/>
              <w:jc w:val="left"/>
              <w:rPr>
                <w:b/>
                <w:sz w:val="19"/>
              </w:rPr>
            </w:pPr>
            <w:r>
              <w:rPr>
                <w:b/>
                <w:w w:val="105"/>
                <w:sz w:val="19"/>
              </w:rPr>
              <w:t>ESCALA DE MEDICION</w:t>
            </w:r>
          </w:p>
        </w:tc>
        <w:tc>
          <w:tcPr>
            <w:tcW w:w="2270" w:type="dxa"/>
          </w:tcPr>
          <w:p>
            <w:pPr>
              <w:pStyle w:val="TableParagraph"/>
              <w:spacing w:line="252" w:lineRule="auto"/>
              <w:ind w:left="358" w:right="335" w:firstLine="216"/>
              <w:jc w:val="left"/>
              <w:rPr>
                <w:b/>
                <w:sz w:val="19"/>
              </w:rPr>
            </w:pPr>
            <w:r>
              <w:rPr>
                <w:b/>
                <w:w w:val="105"/>
                <w:sz w:val="19"/>
              </w:rPr>
              <w:t>CRITERIOS DIAGNOSTICOS</w:t>
            </w:r>
          </w:p>
        </w:tc>
        <w:tc>
          <w:tcPr>
            <w:tcW w:w="1982" w:type="dxa"/>
          </w:tcPr>
          <w:p>
            <w:pPr>
              <w:pStyle w:val="TableParagraph"/>
              <w:spacing w:line="217" w:lineRule="exact"/>
              <w:ind w:left="190" w:right="190"/>
              <w:rPr>
                <w:b/>
                <w:sz w:val="19"/>
              </w:rPr>
            </w:pPr>
            <w:r>
              <w:rPr>
                <w:b/>
                <w:w w:val="105"/>
                <w:sz w:val="19"/>
              </w:rPr>
              <w:t>ITEMS</w:t>
            </w:r>
          </w:p>
        </w:tc>
      </w:tr>
      <w:tr>
        <w:trPr>
          <w:trHeight w:val="912" w:hRule="exact"/>
        </w:trPr>
        <w:tc>
          <w:tcPr>
            <w:tcW w:w="1421" w:type="dxa"/>
          </w:tcPr>
          <w:p>
            <w:pPr>
              <w:pStyle w:val="TableParagraph"/>
              <w:spacing w:before="3"/>
              <w:ind w:left="163" w:right="157"/>
              <w:rPr>
                <w:sz w:val="17"/>
              </w:rPr>
            </w:pPr>
            <w:r>
              <w:rPr>
                <w:w w:val="105"/>
                <w:sz w:val="17"/>
              </w:rPr>
              <w:t>Tamaño</w:t>
            </w:r>
          </w:p>
        </w:tc>
        <w:tc>
          <w:tcPr>
            <w:tcW w:w="2266" w:type="dxa"/>
          </w:tcPr>
          <w:p>
            <w:pPr>
              <w:pStyle w:val="TableParagraph"/>
              <w:spacing w:line="254" w:lineRule="auto" w:before="3"/>
              <w:ind w:left="134" w:right="120" w:hanging="1"/>
              <w:rPr>
                <w:sz w:val="17"/>
              </w:rPr>
            </w:pPr>
            <w:r>
              <w:rPr>
                <w:w w:val="105"/>
                <w:sz w:val="17"/>
              </w:rPr>
              <w:t>Se refiere al número de elementos que componen la red de apoyo social del paciente.</w:t>
            </w:r>
          </w:p>
        </w:tc>
        <w:tc>
          <w:tcPr>
            <w:tcW w:w="1987" w:type="dxa"/>
          </w:tcPr>
          <w:p>
            <w:pPr>
              <w:pStyle w:val="TableParagraph"/>
              <w:spacing w:line="254" w:lineRule="auto" w:before="3"/>
              <w:ind w:left="202" w:right="194" w:hanging="1"/>
              <w:rPr>
                <w:sz w:val="17"/>
              </w:rPr>
            </w:pPr>
            <w:r>
              <w:rPr>
                <w:w w:val="105"/>
                <w:sz w:val="17"/>
              </w:rPr>
              <w:t>Señalar el número de participantes de la red social del paciente</w:t>
            </w:r>
          </w:p>
        </w:tc>
        <w:tc>
          <w:tcPr>
            <w:tcW w:w="1416" w:type="dxa"/>
          </w:tcPr>
          <w:p>
            <w:pPr>
              <w:pStyle w:val="TableParagraph"/>
              <w:spacing w:line="254" w:lineRule="auto" w:before="3"/>
              <w:ind w:left="431" w:right="297" w:hanging="120"/>
              <w:jc w:val="left"/>
              <w:rPr>
                <w:sz w:val="17"/>
              </w:rPr>
            </w:pPr>
            <w:r>
              <w:rPr>
                <w:w w:val="105"/>
                <w:sz w:val="17"/>
              </w:rPr>
              <w:t>Cualitativa Ordinal</w:t>
            </w:r>
          </w:p>
        </w:tc>
        <w:tc>
          <w:tcPr>
            <w:tcW w:w="2270" w:type="dxa"/>
          </w:tcPr>
          <w:p>
            <w:pPr>
              <w:pStyle w:val="TableParagraph"/>
              <w:spacing w:before="3"/>
              <w:ind w:left="246"/>
              <w:jc w:val="left"/>
              <w:rPr>
                <w:sz w:val="17"/>
              </w:rPr>
            </w:pPr>
            <w:r>
              <w:rPr>
                <w:w w:val="105"/>
                <w:sz w:val="17"/>
              </w:rPr>
              <w:t>Pequeña (2-4 miembros)</w:t>
            </w:r>
          </w:p>
          <w:p>
            <w:pPr>
              <w:pStyle w:val="TableParagraph"/>
              <w:spacing w:before="11"/>
              <w:ind w:left="236"/>
              <w:jc w:val="left"/>
              <w:rPr>
                <w:sz w:val="17"/>
              </w:rPr>
            </w:pPr>
            <w:r>
              <w:rPr>
                <w:w w:val="105"/>
                <w:sz w:val="17"/>
              </w:rPr>
              <w:t>Mediana (5-7 miembros)</w:t>
            </w:r>
          </w:p>
          <w:p>
            <w:pPr>
              <w:pStyle w:val="TableParagraph"/>
              <w:spacing w:before="11"/>
              <w:ind w:left="241"/>
              <w:jc w:val="left"/>
              <w:rPr>
                <w:sz w:val="17"/>
              </w:rPr>
            </w:pPr>
            <w:r>
              <w:rPr>
                <w:w w:val="105"/>
                <w:sz w:val="17"/>
              </w:rPr>
              <w:t>Grande (8-10 miembros)</w:t>
            </w:r>
          </w:p>
        </w:tc>
        <w:tc>
          <w:tcPr>
            <w:tcW w:w="1982" w:type="dxa"/>
          </w:tcPr>
          <w:p>
            <w:pPr>
              <w:pStyle w:val="TableParagraph"/>
              <w:spacing w:line="254" w:lineRule="auto" w:before="3"/>
              <w:ind w:left="562" w:right="437" w:hanging="113"/>
              <w:jc w:val="left"/>
              <w:rPr>
                <w:sz w:val="17"/>
              </w:rPr>
            </w:pPr>
            <w:r>
              <w:rPr>
                <w:w w:val="105"/>
                <w:sz w:val="17"/>
              </w:rPr>
              <w:t>PREG# A1,G1 ANEXO# 5</w:t>
            </w:r>
          </w:p>
        </w:tc>
      </w:tr>
      <w:tr>
        <w:trPr>
          <w:trHeight w:val="710" w:hRule="exact"/>
        </w:trPr>
        <w:tc>
          <w:tcPr>
            <w:tcW w:w="1421" w:type="dxa"/>
          </w:tcPr>
          <w:p>
            <w:pPr>
              <w:pStyle w:val="TableParagraph"/>
              <w:spacing w:before="7"/>
              <w:ind w:left="163" w:right="157"/>
              <w:rPr>
                <w:sz w:val="17"/>
              </w:rPr>
            </w:pPr>
            <w:r>
              <w:rPr>
                <w:w w:val="105"/>
                <w:sz w:val="17"/>
              </w:rPr>
              <w:t>Densidad</w:t>
            </w:r>
          </w:p>
        </w:tc>
        <w:tc>
          <w:tcPr>
            <w:tcW w:w="2266" w:type="dxa"/>
          </w:tcPr>
          <w:p>
            <w:pPr>
              <w:pStyle w:val="TableParagraph"/>
              <w:spacing w:line="254" w:lineRule="auto" w:before="7"/>
              <w:ind w:left="110" w:right="97"/>
              <w:jc w:val="both"/>
              <w:rPr>
                <w:sz w:val="17"/>
              </w:rPr>
            </w:pPr>
            <w:r>
              <w:rPr>
                <w:w w:val="105"/>
                <w:sz w:val="17"/>
              </w:rPr>
              <w:t>Según el grado en que los miembros que componen la red están interconectados.</w:t>
            </w:r>
          </w:p>
        </w:tc>
        <w:tc>
          <w:tcPr>
            <w:tcW w:w="1987" w:type="dxa"/>
          </w:tcPr>
          <w:p>
            <w:pPr/>
          </w:p>
        </w:tc>
        <w:tc>
          <w:tcPr>
            <w:tcW w:w="1416" w:type="dxa"/>
          </w:tcPr>
          <w:p>
            <w:pPr>
              <w:pStyle w:val="TableParagraph"/>
              <w:spacing w:line="254" w:lineRule="auto" w:before="7"/>
              <w:ind w:left="261" w:right="263" w:hanging="1"/>
              <w:rPr>
                <w:sz w:val="17"/>
              </w:rPr>
            </w:pPr>
            <w:r>
              <w:rPr>
                <w:w w:val="105"/>
                <w:sz w:val="17"/>
              </w:rPr>
              <w:t>Cualitativa Nominal Dicotómica.</w:t>
            </w:r>
          </w:p>
        </w:tc>
        <w:tc>
          <w:tcPr>
            <w:tcW w:w="2270" w:type="dxa"/>
          </w:tcPr>
          <w:p>
            <w:pPr>
              <w:pStyle w:val="TableParagraph"/>
              <w:spacing w:line="254" w:lineRule="auto" w:before="7"/>
              <w:ind w:left="741" w:right="721" w:firstLine="135"/>
              <w:jc w:val="left"/>
              <w:rPr>
                <w:sz w:val="17"/>
              </w:rPr>
            </w:pPr>
            <w:r>
              <w:rPr>
                <w:w w:val="105"/>
                <w:sz w:val="17"/>
              </w:rPr>
              <w:t>Densas No densas.</w:t>
            </w:r>
          </w:p>
        </w:tc>
        <w:tc>
          <w:tcPr>
            <w:tcW w:w="1982" w:type="dxa"/>
          </w:tcPr>
          <w:p>
            <w:pPr>
              <w:pStyle w:val="TableParagraph"/>
              <w:spacing w:line="254" w:lineRule="auto" w:before="7"/>
              <w:ind w:left="562" w:right="437" w:hanging="113"/>
              <w:jc w:val="left"/>
              <w:rPr>
                <w:sz w:val="17"/>
              </w:rPr>
            </w:pPr>
            <w:r>
              <w:rPr>
                <w:w w:val="105"/>
                <w:sz w:val="17"/>
              </w:rPr>
              <w:t>PREG# A2,G2 ANEXO# 5</w:t>
            </w:r>
          </w:p>
        </w:tc>
      </w:tr>
      <w:tr>
        <w:trPr>
          <w:trHeight w:val="912" w:hRule="exact"/>
        </w:trPr>
        <w:tc>
          <w:tcPr>
            <w:tcW w:w="1421" w:type="dxa"/>
          </w:tcPr>
          <w:p>
            <w:pPr>
              <w:pStyle w:val="TableParagraph"/>
              <w:spacing w:line="254" w:lineRule="auto" w:before="3"/>
              <w:ind w:left="342" w:right="320" w:firstLine="57"/>
              <w:jc w:val="left"/>
              <w:rPr>
                <w:sz w:val="17"/>
              </w:rPr>
            </w:pPr>
            <w:r>
              <w:rPr>
                <w:w w:val="105"/>
                <w:sz w:val="17"/>
              </w:rPr>
              <w:t>Sexo del Proveedor</w:t>
            </w:r>
          </w:p>
        </w:tc>
        <w:tc>
          <w:tcPr>
            <w:tcW w:w="2266" w:type="dxa"/>
          </w:tcPr>
          <w:p>
            <w:pPr>
              <w:pStyle w:val="TableParagraph"/>
              <w:spacing w:line="254" w:lineRule="auto" w:before="3"/>
              <w:ind w:left="110" w:right="96"/>
              <w:jc w:val="both"/>
              <w:rPr>
                <w:sz w:val="17"/>
              </w:rPr>
            </w:pPr>
            <w:r>
              <w:rPr>
                <w:w w:val="105"/>
                <w:sz w:val="17"/>
              </w:rPr>
              <w:t>Condición Biológica que distingue el género de un individuo</w:t>
            </w:r>
          </w:p>
        </w:tc>
        <w:tc>
          <w:tcPr>
            <w:tcW w:w="1987" w:type="dxa"/>
          </w:tcPr>
          <w:p>
            <w:pPr>
              <w:pStyle w:val="TableParagraph"/>
              <w:spacing w:line="254" w:lineRule="auto" w:before="3"/>
              <w:ind w:left="279" w:right="272" w:firstLine="1"/>
              <w:rPr>
                <w:sz w:val="17"/>
              </w:rPr>
            </w:pPr>
            <w:r>
              <w:rPr>
                <w:w w:val="105"/>
                <w:sz w:val="17"/>
              </w:rPr>
              <w:t>Señalar el sexo del proveedor que prevalezca en los miembros de la red.</w:t>
            </w:r>
          </w:p>
        </w:tc>
        <w:tc>
          <w:tcPr>
            <w:tcW w:w="1416" w:type="dxa"/>
          </w:tcPr>
          <w:p>
            <w:pPr>
              <w:pStyle w:val="TableParagraph"/>
              <w:spacing w:line="254" w:lineRule="auto" w:before="3"/>
              <w:ind w:left="264" w:right="260" w:hanging="1"/>
              <w:rPr>
                <w:sz w:val="17"/>
              </w:rPr>
            </w:pPr>
            <w:r>
              <w:rPr>
                <w:w w:val="105"/>
                <w:sz w:val="17"/>
              </w:rPr>
              <w:t>Cualitativa Nominal Dicotómica.</w:t>
            </w:r>
          </w:p>
        </w:tc>
        <w:tc>
          <w:tcPr>
            <w:tcW w:w="2270" w:type="dxa"/>
          </w:tcPr>
          <w:p>
            <w:pPr>
              <w:pStyle w:val="TableParagraph"/>
              <w:spacing w:line="254" w:lineRule="auto" w:before="3"/>
              <w:ind w:left="680" w:right="642" w:hanging="20"/>
              <w:jc w:val="left"/>
              <w:rPr>
                <w:sz w:val="17"/>
              </w:rPr>
            </w:pPr>
            <w:r>
              <w:rPr>
                <w:w w:val="105"/>
                <w:sz w:val="17"/>
              </w:rPr>
              <w:t>Masculino=1 Femenino=2</w:t>
            </w:r>
          </w:p>
        </w:tc>
        <w:tc>
          <w:tcPr>
            <w:tcW w:w="1982" w:type="dxa"/>
          </w:tcPr>
          <w:p>
            <w:pPr>
              <w:pStyle w:val="TableParagraph"/>
              <w:spacing w:line="254" w:lineRule="auto" w:before="3"/>
              <w:ind w:left="584" w:right="568" w:hanging="3"/>
              <w:jc w:val="left"/>
              <w:rPr>
                <w:sz w:val="17"/>
              </w:rPr>
            </w:pPr>
            <w:r>
              <w:rPr>
                <w:w w:val="105"/>
                <w:sz w:val="17"/>
              </w:rPr>
              <w:t>PREG# H3 ANEXO#5</w:t>
            </w:r>
          </w:p>
        </w:tc>
      </w:tr>
    </w:tbl>
    <w:p>
      <w:pPr>
        <w:pStyle w:val="BodyText"/>
        <w:rPr>
          <w:b/>
          <w:sz w:val="20"/>
        </w:rPr>
      </w:pPr>
    </w:p>
    <w:p>
      <w:pPr>
        <w:pStyle w:val="BodyText"/>
        <w:rPr>
          <w:b/>
          <w:sz w:val="20"/>
        </w:rPr>
      </w:pPr>
    </w:p>
    <w:p>
      <w:pPr>
        <w:pStyle w:val="BodyText"/>
        <w:rPr>
          <w:b/>
          <w:sz w:val="20"/>
        </w:rPr>
      </w:pPr>
    </w:p>
    <w:p>
      <w:pPr>
        <w:pStyle w:val="BodyText"/>
        <w:spacing w:before="6"/>
        <w:rPr>
          <w:b/>
          <w:sz w:val="14"/>
        </w:rPr>
      </w:pPr>
    </w:p>
    <w:tbl>
      <w:tblPr>
        <w:tblW w:w="0" w:type="auto"/>
        <w:jc w:val="left"/>
        <w:tblInd w:w="118" w:type="dxa"/>
        <w:tblBorders>
          <w:top w:val="single" w:sz="2" w:space="0" w:color="CDCDCD"/>
          <w:left w:val="single" w:sz="2" w:space="0" w:color="CDCDCD"/>
          <w:bottom w:val="single" w:sz="2" w:space="0" w:color="CDCDCD"/>
          <w:right w:val="single" w:sz="2" w:space="0" w:color="CDCDCD"/>
          <w:insideH w:val="single" w:sz="2" w:space="0" w:color="CDCDCD"/>
          <w:insideV w:val="single" w:sz="2" w:space="0" w:color="CDCDCD"/>
        </w:tblBorders>
        <w:tblLayout w:type="fixed"/>
        <w:tblCellMar>
          <w:top w:w="0" w:type="dxa"/>
          <w:left w:w="0" w:type="dxa"/>
          <w:bottom w:w="0" w:type="dxa"/>
          <w:right w:w="0" w:type="dxa"/>
        </w:tblCellMar>
        <w:tblLook w:val="01E0"/>
      </w:tblPr>
      <w:tblGrid>
        <w:gridCol w:w="1421"/>
        <w:gridCol w:w="2266"/>
        <w:gridCol w:w="1987"/>
        <w:gridCol w:w="1416"/>
        <w:gridCol w:w="2270"/>
        <w:gridCol w:w="1982"/>
      </w:tblGrid>
      <w:tr>
        <w:trPr>
          <w:trHeight w:val="235" w:hRule="exact"/>
        </w:trPr>
        <w:tc>
          <w:tcPr>
            <w:tcW w:w="11342" w:type="dxa"/>
            <w:gridSpan w:val="6"/>
          </w:tcPr>
          <w:p>
            <w:pPr>
              <w:pStyle w:val="TableParagraph"/>
              <w:spacing w:before="5"/>
              <w:ind w:left="3247"/>
              <w:jc w:val="left"/>
              <w:rPr>
                <w:b/>
                <w:sz w:val="19"/>
              </w:rPr>
            </w:pPr>
            <w:r>
              <w:rPr>
                <w:b/>
                <w:w w:val="105"/>
                <w:sz w:val="19"/>
              </w:rPr>
              <w:t>ESTRUCTURA DE LOS VÍNCULOS O CONTACTOS:</w:t>
            </w:r>
          </w:p>
        </w:tc>
      </w:tr>
      <w:tr>
        <w:trPr>
          <w:trHeight w:val="466" w:hRule="exact"/>
        </w:trPr>
        <w:tc>
          <w:tcPr>
            <w:tcW w:w="1421" w:type="dxa"/>
          </w:tcPr>
          <w:p>
            <w:pPr>
              <w:pStyle w:val="TableParagraph"/>
              <w:spacing w:before="5"/>
              <w:ind w:left="183" w:right="109"/>
              <w:jc w:val="left"/>
              <w:rPr>
                <w:b/>
                <w:sz w:val="19"/>
              </w:rPr>
            </w:pPr>
            <w:r>
              <w:rPr>
                <w:b/>
                <w:w w:val="105"/>
                <w:sz w:val="19"/>
              </w:rPr>
              <w:t>VARIABLE</w:t>
            </w:r>
          </w:p>
        </w:tc>
        <w:tc>
          <w:tcPr>
            <w:tcW w:w="2266" w:type="dxa"/>
          </w:tcPr>
          <w:p>
            <w:pPr>
              <w:pStyle w:val="TableParagraph"/>
              <w:spacing w:line="252" w:lineRule="auto" w:before="5"/>
              <w:ind w:left="669" w:right="497" w:hanging="145"/>
              <w:jc w:val="left"/>
              <w:rPr>
                <w:b/>
                <w:sz w:val="19"/>
              </w:rPr>
            </w:pPr>
            <w:r>
              <w:rPr>
                <w:b/>
                <w:w w:val="105"/>
                <w:sz w:val="19"/>
              </w:rPr>
              <w:t>DEFINICION TEORICA</w:t>
            </w:r>
          </w:p>
        </w:tc>
        <w:tc>
          <w:tcPr>
            <w:tcW w:w="1987" w:type="dxa"/>
          </w:tcPr>
          <w:p>
            <w:pPr>
              <w:pStyle w:val="TableParagraph"/>
              <w:spacing w:line="252" w:lineRule="auto" w:before="5"/>
              <w:ind w:left="244" w:right="222" w:firstLine="138"/>
              <w:jc w:val="left"/>
              <w:rPr>
                <w:b/>
                <w:sz w:val="19"/>
              </w:rPr>
            </w:pPr>
            <w:r>
              <w:rPr>
                <w:b/>
                <w:w w:val="105"/>
                <w:sz w:val="19"/>
              </w:rPr>
              <w:t>DEFINICION OPERACIONAL</w:t>
            </w:r>
          </w:p>
        </w:tc>
        <w:tc>
          <w:tcPr>
            <w:tcW w:w="1416" w:type="dxa"/>
          </w:tcPr>
          <w:p>
            <w:pPr>
              <w:pStyle w:val="TableParagraph"/>
              <w:spacing w:line="252" w:lineRule="auto" w:before="5"/>
              <w:ind w:left="173" w:right="118" w:hanging="37"/>
              <w:jc w:val="left"/>
              <w:rPr>
                <w:b/>
                <w:sz w:val="19"/>
              </w:rPr>
            </w:pPr>
            <w:r>
              <w:rPr>
                <w:b/>
                <w:w w:val="105"/>
                <w:sz w:val="19"/>
              </w:rPr>
              <w:t>ESCALA DE MEDICION</w:t>
            </w:r>
          </w:p>
        </w:tc>
        <w:tc>
          <w:tcPr>
            <w:tcW w:w="2270" w:type="dxa"/>
          </w:tcPr>
          <w:p>
            <w:pPr>
              <w:pStyle w:val="TableParagraph"/>
              <w:spacing w:line="252" w:lineRule="auto" w:before="5"/>
              <w:ind w:left="358" w:right="335" w:firstLine="216"/>
              <w:jc w:val="left"/>
              <w:rPr>
                <w:b/>
                <w:sz w:val="19"/>
              </w:rPr>
            </w:pPr>
            <w:r>
              <w:rPr>
                <w:b/>
                <w:w w:val="105"/>
                <w:sz w:val="19"/>
              </w:rPr>
              <w:t>CRITERIOS DIAGNOSTICOS</w:t>
            </w:r>
          </w:p>
        </w:tc>
        <w:tc>
          <w:tcPr>
            <w:tcW w:w="1982" w:type="dxa"/>
          </w:tcPr>
          <w:p>
            <w:pPr>
              <w:pStyle w:val="TableParagraph"/>
              <w:spacing w:before="5"/>
              <w:ind w:left="190" w:right="190"/>
              <w:rPr>
                <w:b/>
                <w:sz w:val="19"/>
              </w:rPr>
            </w:pPr>
            <w:r>
              <w:rPr>
                <w:b/>
                <w:w w:val="105"/>
                <w:sz w:val="19"/>
              </w:rPr>
              <w:t>ITEMS</w:t>
            </w:r>
          </w:p>
        </w:tc>
      </w:tr>
      <w:tr>
        <w:trPr>
          <w:trHeight w:val="835" w:hRule="exact"/>
        </w:trPr>
        <w:tc>
          <w:tcPr>
            <w:tcW w:w="1421" w:type="dxa"/>
          </w:tcPr>
          <w:p>
            <w:pPr>
              <w:pStyle w:val="TableParagraph"/>
              <w:spacing w:line="254" w:lineRule="auto" w:before="9"/>
              <w:ind w:left="421" w:right="167" w:hanging="238"/>
              <w:jc w:val="left"/>
              <w:rPr>
                <w:sz w:val="17"/>
              </w:rPr>
            </w:pPr>
            <w:r>
              <w:rPr>
                <w:w w:val="105"/>
                <w:sz w:val="17"/>
              </w:rPr>
              <w:t>Frecuencia del Vínculo</w:t>
            </w:r>
          </w:p>
        </w:tc>
        <w:tc>
          <w:tcPr>
            <w:tcW w:w="2266" w:type="dxa"/>
          </w:tcPr>
          <w:p>
            <w:pPr>
              <w:pStyle w:val="TableParagraph"/>
              <w:spacing w:line="254" w:lineRule="auto" w:before="9"/>
              <w:ind w:left="110" w:right="96"/>
              <w:jc w:val="both"/>
              <w:rPr>
                <w:sz w:val="17"/>
              </w:rPr>
            </w:pPr>
            <w:r>
              <w:rPr>
                <w:w w:val="105"/>
                <w:sz w:val="17"/>
              </w:rPr>
              <w:t>Promedio de contactos entre el paciente y los miembros de su red.</w:t>
            </w:r>
          </w:p>
        </w:tc>
        <w:tc>
          <w:tcPr>
            <w:tcW w:w="1987" w:type="dxa"/>
          </w:tcPr>
          <w:p>
            <w:pPr>
              <w:pStyle w:val="TableParagraph"/>
              <w:spacing w:line="254" w:lineRule="auto" w:before="9"/>
              <w:ind w:left="110" w:right="101"/>
              <w:jc w:val="both"/>
              <w:rPr>
                <w:sz w:val="17"/>
              </w:rPr>
            </w:pPr>
            <w:r>
              <w:rPr>
                <w:w w:val="105"/>
                <w:sz w:val="17"/>
              </w:rPr>
              <w:t>Señalar la frecuencia de contactos entre el paciente y los miembros de su red.</w:t>
            </w:r>
          </w:p>
        </w:tc>
        <w:tc>
          <w:tcPr>
            <w:tcW w:w="1416" w:type="dxa"/>
          </w:tcPr>
          <w:p>
            <w:pPr>
              <w:pStyle w:val="TableParagraph"/>
              <w:spacing w:line="254" w:lineRule="auto" w:before="9"/>
              <w:ind w:left="431" w:right="380" w:hanging="35"/>
              <w:jc w:val="left"/>
              <w:rPr>
                <w:sz w:val="17"/>
              </w:rPr>
            </w:pPr>
            <w:r>
              <w:rPr>
                <w:w w:val="105"/>
                <w:sz w:val="17"/>
              </w:rPr>
              <w:t>Variable Ordinal</w:t>
            </w:r>
          </w:p>
        </w:tc>
        <w:tc>
          <w:tcPr>
            <w:tcW w:w="2270" w:type="dxa"/>
          </w:tcPr>
          <w:p>
            <w:pPr>
              <w:pStyle w:val="TableParagraph"/>
              <w:spacing w:before="9"/>
              <w:ind w:left="593" w:right="335"/>
              <w:jc w:val="left"/>
              <w:rPr>
                <w:sz w:val="17"/>
              </w:rPr>
            </w:pPr>
            <w:r>
              <w:rPr>
                <w:w w:val="105"/>
                <w:sz w:val="17"/>
              </w:rPr>
              <w:t>Todos los días.</w:t>
            </w:r>
          </w:p>
          <w:p>
            <w:pPr>
              <w:pStyle w:val="TableParagraph"/>
              <w:spacing w:line="256" w:lineRule="auto" w:before="11"/>
              <w:ind w:left="514" w:right="320" w:hanging="180"/>
              <w:jc w:val="left"/>
              <w:rPr>
                <w:sz w:val="17"/>
              </w:rPr>
            </w:pPr>
            <w:r>
              <w:rPr>
                <w:w w:val="105"/>
                <w:sz w:val="17"/>
              </w:rPr>
              <w:t>Dos veces por semana Dos veces al mes Una vez al mes</w:t>
            </w:r>
          </w:p>
        </w:tc>
        <w:tc>
          <w:tcPr>
            <w:tcW w:w="1982" w:type="dxa"/>
          </w:tcPr>
          <w:p>
            <w:pPr>
              <w:pStyle w:val="TableParagraph"/>
              <w:spacing w:line="254" w:lineRule="auto" w:before="9"/>
              <w:ind w:left="562" w:right="547" w:firstLine="19"/>
              <w:jc w:val="left"/>
              <w:rPr>
                <w:sz w:val="17"/>
              </w:rPr>
            </w:pPr>
            <w:r>
              <w:rPr>
                <w:w w:val="105"/>
                <w:sz w:val="17"/>
              </w:rPr>
              <w:t>PREG# H5 ANEXO# 5</w:t>
            </w:r>
          </w:p>
        </w:tc>
      </w:tr>
      <w:tr>
        <w:trPr>
          <w:trHeight w:val="1037" w:hRule="exact"/>
        </w:trPr>
        <w:tc>
          <w:tcPr>
            <w:tcW w:w="1421" w:type="dxa"/>
          </w:tcPr>
          <w:p>
            <w:pPr>
              <w:pStyle w:val="TableParagraph"/>
              <w:spacing w:before="9"/>
              <w:ind w:left="221" w:right="109"/>
              <w:jc w:val="left"/>
              <w:rPr>
                <w:sz w:val="17"/>
              </w:rPr>
            </w:pPr>
            <w:r>
              <w:rPr>
                <w:w w:val="105"/>
                <w:sz w:val="17"/>
              </w:rPr>
              <w:t>Multiplicidad</w:t>
            </w:r>
          </w:p>
        </w:tc>
        <w:tc>
          <w:tcPr>
            <w:tcW w:w="2266" w:type="dxa"/>
          </w:tcPr>
          <w:p>
            <w:pPr>
              <w:pStyle w:val="TableParagraph"/>
              <w:spacing w:line="254" w:lineRule="auto" w:before="9"/>
              <w:ind w:left="110" w:right="97"/>
              <w:jc w:val="both"/>
              <w:rPr>
                <w:sz w:val="17"/>
              </w:rPr>
            </w:pPr>
            <w:r>
              <w:rPr>
                <w:w w:val="105"/>
                <w:sz w:val="17"/>
              </w:rPr>
              <w:t>Presencia o no de diferentes tipos de apoyo o recursos intercambiados entre los miembros de la red y el paciente.</w:t>
            </w:r>
          </w:p>
        </w:tc>
        <w:tc>
          <w:tcPr>
            <w:tcW w:w="1987" w:type="dxa"/>
          </w:tcPr>
          <w:p>
            <w:pPr>
              <w:pStyle w:val="TableParagraph"/>
              <w:spacing w:line="254" w:lineRule="auto" w:before="9"/>
              <w:ind w:left="110" w:right="101"/>
              <w:jc w:val="both"/>
              <w:rPr>
                <w:sz w:val="17"/>
              </w:rPr>
            </w:pPr>
            <w:r>
              <w:rPr>
                <w:w w:val="105"/>
                <w:sz w:val="17"/>
              </w:rPr>
              <w:t>Señalar la presencia del tipo de apoyo intercambiados entre el paciente y los miembros de su red.</w:t>
            </w:r>
          </w:p>
        </w:tc>
        <w:tc>
          <w:tcPr>
            <w:tcW w:w="1416" w:type="dxa"/>
          </w:tcPr>
          <w:p>
            <w:pPr>
              <w:pStyle w:val="TableParagraph"/>
              <w:spacing w:line="254" w:lineRule="auto" w:before="9"/>
              <w:ind w:left="264" w:right="260" w:hanging="1"/>
              <w:rPr>
                <w:sz w:val="17"/>
              </w:rPr>
            </w:pPr>
            <w:r>
              <w:rPr>
                <w:w w:val="105"/>
                <w:sz w:val="17"/>
              </w:rPr>
              <w:t>Cualitativa Nominal Dicotómica.</w:t>
            </w:r>
          </w:p>
        </w:tc>
        <w:tc>
          <w:tcPr>
            <w:tcW w:w="2270" w:type="dxa"/>
          </w:tcPr>
          <w:p>
            <w:pPr>
              <w:pStyle w:val="TableParagraph"/>
              <w:spacing w:line="254" w:lineRule="auto" w:before="9"/>
              <w:ind w:left="1026" w:right="1016"/>
              <w:rPr>
                <w:sz w:val="17"/>
              </w:rPr>
            </w:pPr>
            <w:r>
              <w:rPr>
                <w:w w:val="105"/>
                <w:sz w:val="17"/>
              </w:rPr>
              <w:t>Si No</w:t>
            </w:r>
          </w:p>
        </w:tc>
        <w:tc>
          <w:tcPr>
            <w:tcW w:w="1982" w:type="dxa"/>
          </w:tcPr>
          <w:p>
            <w:pPr>
              <w:pStyle w:val="TableParagraph"/>
              <w:spacing w:line="254" w:lineRule="auto" w:before="9"/>
              <w:ind w:left="562" w:right="430" w:hanging="121"/>
              <w:jc w:val="left"/>
              <w:rPr>
                <w:sz w:val="17"/>
              </w:rPr>
            </w:pPr>
            <w:r>
              <w:rPr>
                <w:w w:val="105"/>
                <w:sz w:val="17"/>
              </w:rPr>
              <w:t>PREG# A1-G4 ANEXO# 5</w:t>
            </w:r>
          </w:p>
        </w:tc>
      </w:tr>
      <w:tr>
        <w:trPr>
          <w:trHeight w:val="1042" w:hRule="exact"/>
        </w:trPr>
        <w:tc>
          <w:tcPr>
            <w:tcW w:w="1421" w:type="dxa"/>
          </w:tcPr>
          <w:p>
            <w:pPr>
              <w:pStyle w:val="TableParagraph"/>
              <w:spacing w:before="9"/>
              <w:ind w:left="406" w:right="109"/>
              <w:jc w:val="left"/>
              <w:rPr>
                <w:sz w:val="17"/>
              </w:rPr>
            </w:pPr>
            <w:r>
              <w:rPr>
                <w:w w:val="105"/>
                <w:sz w:val="17"/>
              </w:rPr>
              <w:t>Simetría</w:t>
            </w:r>
          </w:p>
        </w:tc>
        <w:tc>
          <w:tcPr>
            <w:tcW w:w="2266" w:type="dxa"/>
          </w:tcPr>
          <w:p>
            <w:pPr>
              <w:pStyle w:val="TableParagraph"/>
              <w:spacing w:line="254" w:lineRule="auto" w:before="9"/>
              <w:ind w:left="110" w:right="96"/>
              <w:jc w:val="both"/>
              <w:rPr>
                <w:sz w:val="17"/>
              </w:rPr>
            </w:pPr>
            <w:r>
              <w:rPr>
                <w:w w:val="105"/>
                <w:sz w:val="17"/>
              </w:rPr>
              <w:t>Grado en que los recursos o apoyos son tanto otorgados como recibidos por los miembros que participan en la red.</w:t>
            </w:r>
          </w:p>
        </w:tc>
        <w:tc>
          <w:tcPr>
            <w:tcW w:w="1987" w:type="dxa"/>
          </w:tcPr>
          <w:p>
            <w:pPr>
              <w:pStyle w:val="TableParagraph"/>
              <w:spacing w:line="256" w:lineRule="auto" w:before="9"/>
              <w:ind w:left="110" w:right="102"/>
              <w:jc w:val="both"/>
              <w:rPr>
                <w:sz w:val="17"/>
              </w:rPr>
            </w:pPr>
            <w:r>
              <w:rPr>
                <w:w w:val="105"/>
                <w:sz w:val="17"/>
              </w:rPr>
              <w:t>Señalar la simetría de los apoyos otorgados y recibidos.</w:t>
            </w:r>
          </w:p>
        </w:tc>
        <w:tc>
          <w:tcPr>
            <w:tcW w:w="1416" w:type="dxa"/>
          </w:tcPr>
          <w:p>
            <w:pPr>
              <w:pStyle w:val="TableParagraph"/>
              <w:spacing w:line="256" w:lineRule="auto" w:before="9"/>
              <w:ind w:left="264" w:right="260" w:hanging="1"/>
              <w:rPr>
                <w:sz w:val="17"/>
              </w:rPr>
            </w:pPr>
            <w:r>
              <w:rPr>
                <w:w w:val="105"/>
                <w:sz w:val="17"/>
              </w:rPr>
              <w:t>Cualitativa Nominal Dicotómica.</w:t>
            </w:r>
          </w:p>
        </w:tc>
        <w:tc>
          <w:tcPr>
            <w:tcW w:w="2270" w:type="dxa"/>
          </w:tcPr>
          <w:p>
            <w:pPr>
              <w:pStyle w:val="TableParagraph"/>
              <w:spacing w:line="259" w:lineRule="auto" w:before="9"/>
              <w:ind w:left="706" w:right="687" w:firstLine="49"/>
              <w:jc w:val="left"/>
              <w:rPr>
                <w:sz w:val="17"/>
              </w:rPr>
            </w:pPr>
            <w:r>
              <w:rPr>
                <w:w w:val="105"/>
                <w:sz w:val="17"/>
              </w:rPr>
              <w:t>Simétricas Asimétricas</w:t>
            </w:r>
          </w:p>
        </w:tc>
        <w:tc>
          <w:tcPr>
            <w:tcW w:w="1982" w:type="dxa"/>
          </w:tcPr>
          <w:p>
            <w:pPr>
              <w:pStyle w:val="TableParagraph"/>
              <w:spacing w:line="259" w:lineRule="auto" w:before="9"/>
              <w:ind w:left="562" w:right="531" w:hanging="18"/>
              <w:jc w:val="left"/>
              <w:rPr>
                <w:sz w:val="17"/>
              </w:rPr>
            </w:pPr>
            <w:r>
              <w:rPr>
                <w:w w:val="105"/>
                <w:sz w:val="17"/>
              </w:rPr>
              <w:t>PREG# II.A ANEXO# 5</w:t>
            </w:r>
          </w:p>
        </w:tc>
      </w:tr>
      <w:tr>
        <w:trPr>
          <w:trHeight w:val="1248" w:hRule="exact"/>
        </w:trPr>
        <w:tc>
          <w:tcPr>
            <w:tcW w:w="1421" w:type="dxa"/>
          </w:tcPr>
          <w:p>
            <w:pPr>
              <w:pStyle w:val="TableParagraph"/>
              <w:spacing w:before="9"/>
              <w:ind w:left="246" w:right="109"/>
              <w:jc w:val="left"/>
              <w:rPr>
                <w:sz w:val="17"/>
              </w:rPr>
            </w:pPr>
            <w:r>
              <w:rPr>
                <w:w w:val="105"/>
                <w:sz w:val="17"/>
              </w:rPr>
              <w:t>Complejidad</w:t>
            </w:r>
          </w:p>
        </w:tc>
        <w:tc>
          <w:tcPr>
            <w:tcW w:w="2266" w:type="dxa"/>
          </w:tcPr>
          <w:p>
            <w:pPr>
              <w:pStyle w:val="TableParagraph"/>
              <w:spacing w:line="254" w:lineRule="auto" w:before="9"/>
              <w:ind w:left="110" w:right="95"/>
              <w:jc w:val="both"/>
              <w:rPr>
                <w:sz w:val="17"/>
              </w:rPr>
            </w:pPr>
            <w:r>
              <w:rPr>
                <w:w w:val="105"/>
                <w:sz w:val="17"/>
              </w:rPr>
              <w:t>Calidad de los nexos, el número de actividades, situaciones, espacios y emociones que  comparten de conjunto los miembros  de la red y el</w:t>
            </w:r>
            <w:r>
              <w:rPr>
                <w:spacing w:val="6"/>
                <w:w w:val="105"/>
                <w:sz w:val="17"/>
              </w:rPr>
              <w:t> </w:t>
            </w:r>
            <w:r>
              <w:rPr>
                <w:w w:val="105"/>
                <w:sz w:val="17"/>
              </w:rPr>
              <w:t>paciente.</w:t>
            </w:r>
          </w:p>
        </w:tc>
        <w:tc>
          <w:tcPr>
            <w:tcW w:w="1987" w:type="dxa"/>
          </w:tcPr>
          <w:p>
            <w:pPr/>
          </w:p>
        </w:tc>
        <w:tc>
          <w:tcPr>
            <w:tcW w:w="1416" w:type="dxa"/>
          </w:tcPr>
          <w:p>
            <w:pPr>
              <w:pStyle w:val="TableParagraph"/>
              <w:spacing w:line="254" w:lineRule="auto" w:before="9"/>
              <w:ind w:left="409" w:right="297" w:hanging="98"/>
              <w:jc w:val="left"/>
              <w:rPr>
                <w:sz w:val="17"/>
              </w:rPr>
            </w:pPr>
            <w:r>
              <w:rPr>
                <w:w w:val="105"/>
                <w:sz w:val="17"/>
              </w:rPr>
              <w:t>Cualitativa Ordinal.</w:t>
            </w:r>
          </w:p>
        </w:tc>
        <w:tc>
          <w:tcPr>
            <w:tcW w:w="2270" w:type="dxa"/>
          </w:tcPr>
          <w:p>
            <w:pPr>
              <w:pStyle w:val="TableParagraph"/>
              <w:spacing w:line="254" w:lineRule="auto" w:before="9"/>
              <w:ind w:left="281" w:right="269" w:firstLine="599"/>
              <w:jc w:val="left"/>
              <w:rPr>
                <w:sz w:val="17"/>
              </w:rPr>
            </w:pPr>
            <w:r>
              <w:rPr>
                <w:w w:val="105"/>
                <w:sz w:val="17"/>
              </w:rPr>
              <w:t>Simple Bastante compleja Muy</w:t>
            </w:r>
          </w:p>
          <w:p>
            <w:pPr>
              <w:pStyle w:val="TableParagraph"/>
              <w:spacing w:line="195" w:lineRule="exact"/>
              <w:ind w:left="788" w:right="782"/>
              <w:rPr>
                <w:sz w:val="17"/>
              </w:rPr>
            </w:pPr>
            <w:r>
              <w:rPr>
                <w:w w:val="105"/>
                <w:sz w:val="17"/>
              </w:rPr>
              <w:t>compleja</w:t>
            </w:r>
          </w:p>
        </w:tc>
        <w:tc>
          <w:tcPr>
            <w:tcW w:w="1982" w:type="dxa"/>
          </w:tcPr>
          <w:p>
            <w:pPr>
              <w:pStyle w:val="TableParagraph"/>
              <w:spacing w:line="254" w:lineRule="auto" w:before="9"/>
              <w:ind w:left="584" w:right="558" w:hanging="13"/>
              <w:jc w:val="left"/>
              <w:rPr>
                <w:sz w:val="17"/>
              </w:rPr>
            </w:pPr>
            <w:r>
              <w:rPr>
                <w:w w:val="105"/>
                <w:sz w:val="17"/>
              </w:rPr>
              <w:t>PREG#II.B ANEXO#5</w:t>
            </w:r>
          </w:p>
        </w:tc>
      </w:tr>
      <w:tr>
        <w:trPr>
          <w:trHeight w:val="1118" w:hRule="exact"/>
        </w:trPr>
        <w:tc>
          <w:tcPr>
            <w:tcW w:w="1421" w:type="dxa"/>
          </w:tcPr>
          <w:p>
            <w:pPr>
              <w:pStyle w:val="TableParagraph"/>
              <w:spacing w:line="254" w:lineRule="auto" w:before="9"/>
              <w:ind w:left="392" w:right="109" w:hanging="265"/>
              <w:jc w:val="left"/>
              <w:rPr>
                <w:sz w:val="17"/>
              </w:rPr>
            </w:pPr>
            <w:r>
              <w:rPr>
                <w:w w:val="105"/>
                <w:sz w:val="17"/>
              </w:rPr>
              <w:t>Naturaleza de la Relación</w:t>
            </w:r>
          </w:p>
        </w:tc>
        <w:tc>
          <w:tcPr>
            <w:tcW w:w="2266" w:type="dxa"/>
          </w:tcPr>
          <w:p>
            <w:pPr>
              <w:pStyle w:val="TableParagraph"/>
              <w:spacing w:line="254" w:lineRule="auto" w:before="9"/>
              <w:ind w:left="110" w:right="97"/>
              <w:jc w:val="both"/>
              <w:rPr>
                <w:sz w:val="17"/>
              </w:rPr>
            </w:pPr>
            <w:r>
              <w:rPr>
                <w:w w:val="105"/>
                <w:sz w:val="17"/>
              </w:rPr>
              <w:t>Tipo de relación que se establece entre  los miembros de la red y el paciente.</w:t>
            </w:r>
          </w:p>
        </w:tc>
        <w:tc>
          <w:tcPr>
            <w:tcW w:w="1987" w:type="dxa"/>
          </w:tcPr>
          <w:p>
            <w:pPr>
              <w:pStyle w:val="TableParagraph"/>
              <w:spacing w:line="254" w:lineRule="auto" w:before="9"/>
              <w:ind w:left="110" w:right="102"/>
              <w:jc w:val="both"/>
              <w:rPr>
                <w:sz w:val="17"/>
              </w:rPr>
            </w:pPr>
            <w:r>
              <w:rPr>
                <w:w w:val="105"/>
                <w:sz w:val="17"/>
              </w:rPr>
              <w:t>Señalar el parentesco que existe entre el paciente y su cuidador.</w:t>
            </w:r>
          </w:p>
        </w:tc>
        <w:tc>
          <w:tcPr>
            <w:tcW w:w="1416" w:type="dxa"/>
          </w:tcPr>
          <w:p>
            <w:pPr>
              <w:pStyle w:val="TableParagraph"/>
              <w:spacing w:line="254" w:lineRule="auto" w:before="9"/>
              <w:ind w:left="369" w:right="297" w:hanging="58"/>
              <w:jc w:val="left"/>
              <w:rPr>
                <w:sz w:val="17"/>
              </w:rPr>
            </w:pPr>
            <w:r>
              <w:rPr>
                <w:w w:val="105"/>
                <w:sz w:val="17"/>
              </w:rPr>
              <w:t>Cualitativa Nominal.</w:t>
            </w:r>
          </w:p>
        </w:tc>
        <w:tc>
          <w:tcPr>
            <w:tcW w:w="2270" w:type="dxa"/>
          </w:tcPr>
          <w:p>
            <w:pPr>
              <w:pStyle w:val="TableParagraph"/>
              <w:spacing w:line="254" w:lineRule="auto" w:before="9"/>
              <w:ind w:left="788" w:right="780"/>
              <w:rPr>
                <w:sz w:val="17"/>
              </w:rPr>
            </w:pPr>
            <w:r>
              <w:rPr>
                <w:w w:val="105"/>
                <w:sz w:val="17"/>
              </w:rPr>
              <w:t>Directo Indirecto</w:t>
            </w:r>
          </w:p>
          <w:p>
            <w:pPr>
              <w:pStyle w:val="TableParagraph"/>
              <w:spacing w:line="254" w:lineRule="auto"/>
              <w:ind w:left="514" w:right="505"/>
              <w:rPr>
                <w:sz w:val="17"/>
              </w:rPr>
            </w:pPr>
            <w:r>
              <w:rPr>
                <w:w w:val="105"/>
                <w:sz w:val="17"/>
              </w:rPr>
              <w:t>Amigos cercanos Otros</w:t>
            </w:r>
          </w:p>
        </w:tc>
        <w:tc>
          <w:tcPr>
            <w:tcW w:w="1982" w:type="dxa"/>
          </w:tcPr>
          <w:p>
            <w:pPr>
              <w:pStyle w:val="TableParagraph"/>
              <w:spacing w:line="254" w:lineRule="auto" w:before="9"/>
              <w:ind w:left="584" w:right="558" w:hanging="13"/>
              <w:jc w:val="left"/>
              <w:rPr>
                <w:sz w:val="17"/>
              </w:rPr>
            </w:pPr>
            <w:r>
              <w:rPr>
                <w:w w:val="105"/>
                <w:sz w:val="17"/>
              </w:rPr>
              <w:t>PREG#II.C ANEXO#5</w:t>
            </w:r>
          </w:p>
        </w:tc>
      </w:tr>
      <w:tr>
        <w:trPr>
          <w:trHeight w:val="835" w:hRule="exact"/>
        </w:trPr>
        <w:tc>
          <w:tcPr>
            <w:tcW w:w="1421" w:type="dxa"/>
          </w:tcPr>
          <w:p>
            <w:pPr>
              <w:pStyle w:val="TableParagraph"/>
              <w:spacing w:before="9"/>
              <w:ind w:left="456" w:right="109"/>
              <w:jc w:val="left"/>
              <w:rPr>
                <w:sz w:val="17"/>
              </w:rPr>
            </w:pPr>
            <w:r>
              <w:rPr>
                <w:w w:val="105"/>
                <w:sz w:val="17"/>
              </w:rPr>
              <w:t>Sector:</w:t>
            </w:r>
          </w:p>
        </w:tc>
        <w:tc>
          <w:tcPr>
            <w:tcW w:w="2266" w:type="dxa"/>
          </w:tcPr>
          <w:p>
            <w:pPr>
              <w:pStyle w:val="TableParagraph"/>
              <w:spacing w:line="254" w:lineRule="auto" w:before="9"/>
              <w:ind w:left="110" w:right="95"/>
              <w:jc w:val="both"/>
              <w:rPr>
                <w:sz w:val="17"/>
              </w:rPr>
            </w:pPr>
            <w:r>
              <w:rPr>
                <w:w w:val="105"/>
                <w:sz w:val="17"/>
              </w:rPr>
              <w:t>Sector al que pertenecen los miembros de la red, cuando no son familiares o amigos cercanos.</w:t>
            </w:r>
          </w:p>
        </w:tc>
        <w:tc>
          <w:tcPr>
            <w:tcW w:w="1987" w:type="dxa"/>
          </w:tcPr>
          <w:p>
            <w:pPr/>
          </w:p>
        </w:tc>
        <w:tc>
          <w:tcPr>
            <w:tcW w:w="1416" w:type="dxa"/>
          </w:tcPr>
          <w:p>
            <w:pPr>
              <w:pStyle w:val="TableParagraph"/>
              <w:spacing w:line="259" w:lineRule="auto" w:before="9"/>
              <w:ind w:left="391" w:right="297" w:hanging="80"/>
              <w:jc w:val="left"/>
              <w:rPr>
                <w:sz w:val="17"/>
              </w:rPr>
            </w:pPr>
            <w:r>
              <w:rPr>
                <w:w w:val="105"/>
                <w:sz w:val="17"/>
              </w:rPr>
              <w:t>Cualitativa Nominal</w:t>
            </w:r>
          </w:p>
        </w:tc>
        <w:tc>
          <w:tcPr>
            <w:tcW w:w="2270" w:type="dxa"/>
          </w:tcPr>
          <w:p>
            <w:pPr>
              <w:pStyle w:val="TableParagraph"/>
              <w:spacing w:line="259" w:lineRule="auto" w:before="9"/>
              <w:ind w:left="491" w:right="475" w:firstLine="385"/>
              <w:jc w:val="left"/>
              <w:rPr>
                <w:sz w:val="17"/>
              </w:rPr>
            </w:pPr>
            <w:r>
              <w:rPr>
                <w:w w:val="105"/>
                <w:sz w:val="17"/>
              </w:rPr>
              <w:t>Vecino Trabajo o Estudio</w:t>
            </w:r>
          </w:p>
          <w:p>
            <w:pPr>
              <w:pStyle w:val="TableParagraph"/>
              <w:spacing w:line="254" w:lineRule="auto"/>
              <w:ind w:left="788" w:right="780"/>
              <w:rPr>
                <w:sz w:val="17"/>
              </w:rPr>
            </w:pPr>
            <w:r>
              <w:rPr>
                <w:w w:val="105"/>
                <w:sz w:val="17"/>
              </w:rPr>
              <w:t>Iglesia Otros</w:t>
            </w:r>
          </w:p>
        </w:tc>
        <w:tc>
          <w:tcPr>
            <w:tcW w:w="1982" w:type="dxa"/>
          </w:tcPr>
          <w:p>
            <w:pPr>
              <w:pStyle w:val="TableParagraph"/>
              <w:spacing w:line="259" w:lineRule="auto" w:before="9"/>
              <w:ind w:left="584" w:right="553" w:hanging="18"/>
              <w:jc w:val="left"/>
              <w:rPr>
                <w:sz w:val="17"/>
              </w:rPr>
            </w:pPr>
            <w:r>
              <w:rPr>
                <w:w w:val="105"/>
                <w:sz w:val="17"/>
              </w:rPr>
              <w:t>PREG#II.D ANEXO#5</w:t>
            </w:r>
          </w:p>
        </w:tc>
      </w:tr>
      <w:tr>
        <w:trPr>
          <w:trHeight w:val="1042" w:hRule="exact"/>
        </w:trPr>
        <w:tc>
          <w:tcPr>
            <w:tcW w:w="1421" w:type="dxa"/>
          </w:tcPr>
          <w:p>
            <w:pPr>
              <w:pStyle w:val="TableParagraph"/>
              <w:spacing w:before="9"/>
              <w:ind w:left="336" w:right="109"/>
              <w:jc w:val="left"/>
              <w:rPr>
                <w:sz w:val="17"/>
              </w:rPr>
            </w:pPr>
            <w:r>
              <w:rPr>
                <w:w w:val="105"/>
                <w:sz w:val="17"/>
              </w:rPr>
              <w:t>Intimidad:</w:t>
            </w:r>
          </w:p>
        </w:tc>
        <w:tc>
          <w:tcPr>
            <w:tcW w:w="2266" w:type="dxa"/>
          </w:tcPr>
          <w:p>
            <w:pPr>
              <w:pStyle w:val="TableParagraph"/>
              <w:spacing w:line="254" w:lineRule="auto" w:before="9"/>
              <w:ind w:left="110" w:right="96"/>
              <w:jc w:val="both"/>
              <w:rPr>
                <w:sz w:val="17"/>
              </w:rPr>
            </w:pPr>
            <w:r>
              <w:rPr>
                <w:w w:val="105"/>
                <w:sz w:val="17"/>
              </w:rPr>
              <w:t>La percepción de cercanía (vinculación emocional) entre los miembros de la red y el paciente.</w:t>
            </w:r>
          </w:p>
        </w:tc>
        <w:tc>
          <w:tcPr>
            <w:tcW w:w="1987" w:type="dxa"/>
          </w:tcPr>
          <w:p>
            <w:pPr/>
          </w:p>
        </w:tc>
        <w:tc>
          <w:tcPr>
            <w:tcW w:w="1416" w:type="dxa"/>
          </w:tcPr>
          <w:p>
            <w:pPr>
              <w:pStyle w:val="TableParagraph"/>
              <w:spacing w:line="254" w:lineRule="auto" w:before="9"/>
              <w:ind w:left="409" w:right="297" w:hanging="98"/>
              <w:jc w:val="left"/>
              <w:rPr>
                <w:sz w:val="17"/>
              </w:rPr>
            </w:pPr>
            <w:r>
              <w:rPr>
                <w:w w:val="105"/>
                <w:sz w:val="17"/>
              </w:rPr>
              <w:t>Cualitativa Ordinal.</w:t>
            </w:r>
          </w:p>
        </w:tc>
        <w:tc>
          <w:tcPr>
            <w:tcW w:w="2270" w:type="dxa"/>
          </w:tcPr>
          <w:p>
            <w:pPr>
              <w:pStyle w:val="TableParagraph"/>
              <w:spacing w:before="9"/>
              <w:ind w:left="110" w:right="335"/>
              <w:jc w:val="left"/>
              <w:rPr>
                <w:sz w:val="17"/>
              </w:rPr>
            </w:pPr>
            <w:r>
              <w:rPr>
                <w:w w:val="105"/>
                <w:sz w:val="17"/>
              </w:rPr>
              <w:t>Nada</w:t>
            </w:r>
          </w:p>
          <w:p>
            <w:pPr>
              <w:pStyle w:val="TableParagraph"/>
              <w:spacing w:line="254" w:lineRule="auto" w:before="11"/>
              <w:ind w:left="110" w:right="861"/>
              <w:jc w:val="left"/>
              <w:rPr>
                <w:sz w:val="17"/>
              </w:rPr>
            </w:pPr>
            <w:r>
              <w:rPr>
                <w:w w:val="105"/>
                <w:sz w:val="17"/>
              </w:rPr>
              <w:t>Un poquito cerca. Cerca.</w:t>
            </w:r>
          </w:p>
          <w:p>
            <w:pPr>
              <w:pStyle w:val="TableParagraph"/>
              <w:spacing w:line="254" w:lineRule="auto"/>
              <w:ind w:left="110" w:right="460"/>
              <w:jc w:val="left"/>
              <w:rPr>
                <w:sz w:val="17"/>
              </w:rPr>
            </w:pPr>
            <w:r>
              <w:rPr>
                <w:w w:val="105"/>
                <w:sz w:val="17"/>
              </w:rPr>
              <w:t>Muy cerca. Extremadamente cerca.</w:t>
            </w:r>
          </w:p>
        </w:tc>
        <w:tc>
          <w:tcPr>
            <w:tcW w:w="1982" w:type="dxa"/>
          </w:tcPr>
          <w:p>
            <w:pPr>
              <w:pStyle w:val="TableParagraph"/>
              <w:spacing w:line="254" w:lineRule="auto" w:before="9"/>
              <w:ind w:left="584" w:right="568" w:hanging="3"/>
              <w:jc w:val="left"/>
              <w:rPr>
                <w:sz w:val="17"/>
              </w:rPr>
            </w:pPr>
            <w:r>
              <w:rPr>
                <w:w w:val="105"/>
                <w:sz w:val="17"/>
              </w:rPr>
              <w:t>PREG# H4 ANEXO#5</w:t>
            </w:r>
          </w:p>
        </w:tc>
      </w:tr>
    </w:tbl>
    <w:p>
      <w:pPr>
        <w:spacing w:after="0" w:line="254" w:lineRule="auto"/>
        <w:jc w:val="left"/>
        <w:rPr>
          <w:sz w:val="17"/>
        </w:rPr>
        <w:sectPr>
          <w:pgSz w:w="12240" w:h="15840"/>
          <w:pgMar w:header="0" w:footer="972" w:top="1420" w:bottom="1160" w:left="580" w:right="80"/>
        </w:sectPr>
      </w:pPr>
    </w:p>
    <w:p>
      <w:pPr>
        <w:pStyle w:val="BodyText"/>
        <w:spacing w:before="6"/>
        <w:rPr>
          <w:sz w:val="17"/>
        </w:rPr>
      </w:pPr>
    </w:p>
    <w:tbl>
      <w:tblPr>
        <w:tblW w:w="0" w:type="auto"/>
        <w:jc w:val="left"/>
        <w:tblInd w:w="118" w:type="dxa"/>
        <w:tblBorders>
          <w:top w:val="single" w:sz="2" w:space="0" w:color="CDCDCD"/>
          <w:left w:val="single" w:sz="2" w:space="0" w:color="CDCDCD"/>
          <w:bottom w:val="single" w:sz="2" w:space="0" w:color="CDCDCD"/>
          <w:right w:val="single" w:sz="2" w:space="0" w:color="CDCDCD"/>
          <w:insideH w:val="single" w:sz="2" w:space="0" w:color="CDCDCD"/>
          <w:insideV w:val="single" w:sz="2" w:space="0" w:color="CDCDCD"/>
        </w:tblBorders>
        <w:tblLayout w:type="fixed"/>
        <w:tblCellMar>
          <w:top w:w="0" w:type="dxa"/>
          <w:left w:w="0" w:type="dxa"/>
          <w:bottom w:w="0" w:type="dxa"/>
          <w:right w:w="0" w:type="dxa"/>
        </w:tblCellMar>
        <w:tblLook w:val="01E0"/>
      </w:tblPr>
      <w:tblGrid>
        <w:gridCol w:w="1987"/>
        <w:gridCol w:w="2693"/>
        <w:gridCol w:w="1843"/>
        <w:gridCol w:w="1416"/>
        <w:gridCol w:w="1987"/>
        <w:gridCol w:w="1416"/>
      </w:tblGrid>
      <w:tr>
        <w:trPr>
          <w:trHeight w:val="283" w:hRule="exact"/>
        </w:trPr>
        <w:tc>
          <w:tcPr>
            <w:tcW w:w="11342" w:type="dxa"/>
            <w:gridSpan w:val="6"/>
          </w:tcPr>
          <w:p>
            <w:pPr>
              <w:pStyle w:val="TableParagraph"/>
              <w:spacing w:line="273" w:lineRule="exact"/>
              <w:ind w:left="2865"/>
              <w:jc w:val="left"/>
              <w:rPr>
                <w:b/>
                <w:sz w:val="24"/>
              </w:rPr>
            </w:pPr>
            <w:r>
              <w:rPr>
                <w:b/>
                <w:sz w:val="24"/>
              </w:rPr>
              <w:t>ASPECTOS FUNCIONALES DEL APOYO SOCIAL:</w:t>
            </w:r>
          </w:p>
        </w:tc>
      </w:tr>
      <w:tr>
        <w:trPr>
          <w:trHeight w:val="466" w:hRule="exact"/>
        </w:trPr>
        <w:tc>
          <w:tcPr>
            <w:tcW w:w="1987" w:type="dxa"/>
          </w:tcPr>
          <w:p>
            <w:pPr>
              <w:pStyle w:val="TableParagraph"/>
              <w:spacing w:before="5"/>
              <w:ind w:left="97" w:right="92"/>
              <w:rPr>
                <w:b/>
                <w:sz w:val="19"/>
              </w:rPr>
            </w:pPr>
            <w:r>
              <w:rPr>
                <w:b/>
                <w:w w:val="105"/>
                <w:sz w:val="19"/>
              </w:rPr>
              <w:t>VARIABLE</w:t>
            </w:r>
          </w:p>
        </w:tc>
        <w:tc>
          <w:tcPr>
            <w:tcW w:w="2693" w:type="dxa"/>
          </w:tcPr>
          <w:p>
            <w:pPr>
              <w:pStyle w:val="TableParagraph"/>
              <w:spacing w:before="5"/>
              <w:ind w:left="10"/>
              <w:rPr>
                <w:b/>
                <w:sz w:val="19"/>
              </w:rPr>
            </w:pPr>
            <w:r>
              <w:rPr>
                <w:b/>
                <w:w w:val="105"/>
                <w:sz w:val="19"/>
              </w:rPr>
              <w:t>DEFINICION TEORICA</w:t>
            </w:r>
          </w:p>
        </w:tc>
        <w:tc>
          <w:tcPr>
            <w:tcW w:w="1843" w:type="dxa"/>
          </w:tcPr>
          <w:p>
            <w:pPr>
              <w:pStyle w:val="TableParagraph"/>
              <w:spacing w:line="252" w:lineRule="auto" w:before="5"/>
              <w:ind w:left="173" w:right="149" w:firstLine="138"/>
              <w:jc w:val="left"/>
              <w:rPr>
                <w:b/>
                <w:sz w:val="19"/>
              </w:rPr>
            </w:pPr>
            <w:r>
              <w:rPr>
                <w:b/>
                <w:w w:val="105"/>
                <w:sz w:val="19"/>
              </w:rPr>
              <w:t>DEFINICION OPERACIONAL</w:t>
            </w:r>
          </w:p>
        </w:tc>
        <w:tc>
          <w:tcPr>
            <w:tcW w:w="1416" w:type="dxa"/>
          </w:tcPr>
          <w:p>
            <w:pPr>
              <w:pStyle w:val="TableParagraph"/>
              <w:spacing w:line="252" w:lineRule="auto" w:before="5"/>
              <w:ind w:left="177" w:right="114" w:hanging="37"/>
              <w:jc w:val="left"/>
              <w:rPr>
                <w:b/>
                <w:sz w:val="19"/>
              </w:rPr>
            </w:pPr>
            <w:r>
              <w:rPr>
                <w:b/>
                <w:w w:val="105"/>
                <w:sz w:val="19"/>
              </w:rPr>
              <w:t>ESCALA DE MEDICION</w:t>
            </w:r>
          </w:p>
        </w:tc>
        <w:tc>
          <w:tcPr>
            <w:tcW w:w="1987" w:type="dxa"/>
          </w:tcPr>
          <w:p>
            <w:pPr>
              <w:pStyle w:val="TableParagraph"/>
              <w:spacing w:line="252" w:lineRule="auto" w:before="5"/>
              <w:ind w:left="216" w:right="194" w:firstLine="216"/>
              <w:jc w:val="left"/>
              <w:rPr>
                <w:b/>
                <w:sz w:val="19"/>
              </w:rPr>
            </w:pPr>
            <w:r>
              <w:rPr>
                <w:b/>
                <w:w w:val="105"/>
                <w:sz w:val="19"/>
              </w:rPr>
              <w:t>CRITERIOS DIAGNOSTICOS</w:t>
            </w:r>
          </w:p>
        </w:tc>
        <w:tc>
          <w:tcPr>
            <w:tcW w:w="1416" w:type="dxa"/>
          </w:tcPr>
          <w:p>
            <w:pPr>
              <w:pStyle w:val="TableParagraph"/>
              <w:spacing w:before="5"/>
              <w:ind w:left="301" w:right="293"/>
              <w:rPr>
                <w:b/>
                <w:sz w:val="19"/>
              </w:rPr>
            </w:pPr>
            <w:r>
              <w:rPr>
                <w:b/>
                <w:w w:val="105"/>
                <w:sz w:val="19"/>
              </w:rPr>
              <w:t>ITEMS</w:t>
            </w:r>
          </w:p>
        </w:tc>
      </w:tr>
      <w:tr>
        <w:trPr>
          <w:trHeight w:val="1776" w:hRule="exact"/>
        </w:trPr>
        <w:tc>
          <w:tcPr>
            <w:tcW w:w="1987" w:type="dxa"/>
          </w:tcPr>
          <w:p>
            <w:pPr>
              <w:pStyle w:val="TableParagraph"/>
              <w:spacing w:line="247" w:lineRule="auto" w:before="5"/>
              <w:ind w:left="518" w:right="222" w:hanging="138"/>
              <w:jc w:val="left"/>
              <w:rPr>
                <w:sz w:val="21"/>
              </w:rPr>
            </w:pPr>
            <w:r>
              <w:rPr>
                <w:w w:val="105"/>
                <w:sz w:val="21"/>
              </w:rPr>
              <w:t>Apoyo Socio- Emocional</w:t>
            </w:r>
          </w:p>
        </w:tc>
        <w:tc>
          <w:tcPr>
            <w:tcW w:w="2693" w:type="dxa"/>
          </w:tcPr>
          <w:p>
            <w:pPr>
              <w:pStyle w:val="TableParagraph"/>
              <w:spacing w:line="252" w:lineRule="auto" w:before="5"/>
              <w:ind w:left="110" w:right="96"/>
              <w:jc w:val="both"/>
              <w:rPr>
                <w:sz w:val="21"/>
              </w:rPr>
            </w:pPr>
            <w:r>
              <w:rPr>
                <w:w w:val="105"/>
                <w:sz w:val="21"/>
              </w:rPr>
              <w:t>Demostración de amor, cariño, estima, simpatía y pertenencia</w:t>
            </w:r>
            <w:r>
              <w:rPr>
                <w:spacing w:val="55"/>
                <w:w w:val="105"/>
                <w:sz w:val="21"/>
              </w:rPr>
              <w:t> </w:t>
            </w:r>
            <w:r>
              <w:rPr>
                <w:w w:val="105"/>
                <w:sz w:val="21"/>
              </w:rPr>
              <w:t>al grupo, facilita además la expresión de las emociones del sujeto en un ambiente de comprensión y apoyo.</w:t>
            </w:r>
          </w:p>
        </w:tc>
        <w:tc>
          <w:tcPr>
            <w:tcW w:w="1843" w:type="dxa"/>
          </w:tcPr>
          <w:p>
            <w:pPr/>
          </w:p>
        </w:tc>
        <w:tc>
          <w:tcPr>
            <w:tcW w:w="1416" w:type="dxa"/>
          </w:tcPr>
          <w:p>
            <w:pPr>
              <w:pStyle w:val="TableParagraph"/>
              <w:spacing w:line="247" w:lineRule="auto" w:before="5"/>
              <w:ind w:left="325" w:right="301" w:firstLine="6"/>
              <w:jc w:val="left"/>
              <w:rPr>
                <w:sz w:val="21"/>
              </w:rPr>
            </w:pPr>
            <w:r>
              <w:rPr>
                <w:w w:val="105"/>
                <w:sz w:val="21"/>
              </w:rPr>
              <w:t>Variable </w:t>
            </w:r>
            <w:r>
              <w:rPr>
                <w:sz w:val="21"/>
              </w:rPr>
              <w:t>Nominal</w:t>
            </w:r>
          </w:p>
        </w:tc>
        <w:tc>
          <w:tcPr>
            <w:tcW w:w="1987" w:type="dxa"/>
          </w:tcPr>
          <w:p>
            <w:pPr>
              <w:pStyle w:val="TableParagraph"/>
              <w:spacing w:line="247" w:lineRule="auto" w:before="5"/>
              <w:ind w:left="634" w:right="605" w:hanging="13"/>
              <w:jc w:val="left"/>
              <w:rPr>
                <w:sz w:val="21"/>
              </w:rPr>
            </w:pPr>
            <w:r>
              <w:rPr>
                <w:sz w:val="21"/>
              </w:rPr>
              <w:t>Presente </w:t>
            </w:r>
            <w:r>
              <w:rPr>
                <w:w w:val="105"/>
                <w:sz w:val="21"/>
              </w:rPr>
              <w:t>Ausente</w:t>
            </w:r>
          </w:p>
        </w:tc>
        <w:tc>
          <w:tcPr>
            <w:tcW w:w="1416" w:type="dxa"/>
          </w:tcPr>
          <w:p>
            <w:pPr>
              <w:pStyle w:val="TableParagraph"/>
              <w:spacing w:line="247" w:lineRule="auto" w:before="5"/>
              <w:ind w:left="215" w:right="118" w:firstLine="51"/>
              <w:jc w:val="left"/>
              <w:rPr>
                <w:sz w:val="21"/>
              </w:rPr>
            </w:pPr>
            <w:r>
              <w:rPr>
                <w:w w:val="105"/>
                <w:sz w:val="21"/>
              </w:rPr>
              <w:t>PREG# A </w:t>
            </w:r>
            <w:r>
              <w:rPr>
                <w:sz w:val="21"/>
              </w:rPr>
              <w:t>ANEXO#5</w:t>
            </w:r>
          </w:p>
        </w:tc>
      </w:tr>
      <w:tr>
        <w:trPr>
          <w:trHeight w:val="1522" w:hRule="exact"/>
        </w:trPr>
        <w:tc>
          <w:tcPr>
            <w:tcW w:w="1987" w:type="dxa"/>
          </w:tcPr>
          <w:p>
            <w:pPr>
              <w:pStyle w:val="TableParagraph"/>
              <w:spacing w:line="247" w:lineRule="auto" w:before="5"/>
              <w:ind w:left="408" w:right="222" w:firstLine="287"/>
              <w:jc w:val="left"/>
              <w:rPr>
                <w:sz w:val="21"/>
              </w:rPr>
            </w:pPr>
            <w:r>
              <w:rPr>
                <w:w w:val="105"/>
                <w:sz w:val="21"/>
              </w:rPr>
              <w:t>Apoyo </w:t>
            </w:r>
            <w:r>
              <w:rPr>
                <w:sz w:val="21"/>
              </w:rPr>
              <w:t>Instrumental:</w:t>
            </w:r>
          </w:p>
        </w:tc>
        <w:tc>
          <w:tcPr>
            <w:tcW w:w="2693" w:type="dxa"/>
          </w:tcPr>
          <w:p>
            <w:pPr>
              <w:pStyle w:val="TableParagraph"/>
              <w:spacing w:line="252" w:lineRule="auto" w:before="5"/>
              <w:ind w:left="110" w:right="97"/>
              <w:jc w:val="both"/>
              <w:rPr>
                <w:sz w:val="21"/>
              </w:rPr>
            </w:pPr>
            <w:r>
              <w:rPr>
                <w:w w:val="105"/>
                <w:sz w:val="21"/>
              </w:rPr>
              <w:t>Acciones o ayuda material  y práctica proporcionada por los miembros de la red que facilitan la realización de las responsabilidades de sus roles</w:t>
            </w:r>
            <w:r>
              <w:rPr>
                <w:spacing w:val="-9"/>
                <w:w w:val="105"/>
                <w:sz w:val="21"/>
              </w:rPr>
              <w:t> </w:t>
            </w:r>
            <w:r>
              <w:rPr>
                <w:w w:val="105"/>
                <w:sz w:val="21"/>
              </w:rPr>
              <w:t>ordinarios.</w:t>
            </w:r>
          </w:p>
        </w:tc>
        <w:tc>
          <w:tcPr>
            <w:tcW w:w="1843" w:type="dxa"/>
          </w:tcPr>
          <w:p>
            <w:pPr/>
          </w:p>
        </w:tc>
        <w:tc>
          <w:tcPr>
            <w:tcW w:w="1416" w:type="dxa"/>
          </w:tcPr>
          <w:p>
            <w:pPr>
              <w:pStyle w:val="TableParagraph"/>
              <w:spacing w:line="247" w:lineRule="auto" w:before="5"/>
              <w:ind w:left="325" w:right="301" w:firstLine="6"/>
              <w:jc w:val="left"/>
              <w:rPr>
                <w:sz w:val="21"/>
              </w:rPr>
            </w:pPr>
            <w:r>
              <w:rPr>
                <w:w w:val="105"/>
                <w:sz w:val="21"/>
              </w:rPr>
              <w:t>Variable </w:t>
            </w:r>
            <w:r>
              <w:rPr>
                <w:sz w:val="21"/>
              </w:rPr>
              <w:t>Nominal</w:t>
            </w:r>
          </w:p>
        </w:tc>
        <w:tc>
          <w:tcPr>
            <w:tcW w:w="1987" w:type="dxa"/>
          </w:tcPr>
          <w:p>
            <w:pPr>
              <w:pStyle w:val="TableParagraph"/>
              <w:spacing w:line="247" w:lineRule="auto" w:before="5"/>
              <w:ind w:left="634" w:right="605" w:hanging="13"/>
              <w:jc w:val="left"/>
              <w:rPr>
                <w:sz w:val="21"/>
              </w:rPr>
            </w:pPr>
            <w:r>
              <w:rPr>
                <w:sz w:val="21"/>
              </w:rPr>
              <w:t>Presente </w:t>
            </w:r>
            <w:r>
              <w:rPr>
                <w:w w:val="105"/>
                <w:sz w:val="21"/>
              </w:rPr>
              <w:t>Ausente</w:t>
            </w:r>
          </w:p>
        </w:tc>
        <w:tc>
          <w:tcPr>
            <w:tcW w:w="1416" w:type="dxa"/>
          </w:tcPr>
          <w:p>
            <w:pPr>
              <w:pStyle w:val="TableParagraph"/>
              <w:spacing w:line="247" w:lineRule="auto" w:before="5"/>
              <w:ind w:left="188" w:right="118" w:firstLine="85"/>
              <w:jc w:val="left"/>
              <w:rPr>
                <w:sz w:val="21"/>
              </w:rPr>
            </w:pPr>
            <w:r>
              <w:rPr>
                <w:w w:val="105"/>
                <w:sz w:val="21"/>
              </w:rPr>
              <w:t>PREG# B ANEXO# 5</w:t>
            </w:r>
          </w:p>
        </w:tc>
      </w:tr>
      <w:tr>
        <w:trPr>
          <w:trHeight w:val="3293" w:hRule="exact"/>
        </w:trPr>
        <w:tc>
          <w:tcPr>
            <w:tcW w:w="1987" w:type="dxa"/>
          </w:tcPr>
          <w:p>
            <w:pPr>
              <w:pStyle w:val="TableParagraph"/>
              <w:spacing w:line="252" w:lineRule="auto" w:before="5"/>
              <w:ind w:left="341" w:right="222" w:firstLine="354"/>
              <w:jc w:val="left"/>
              <w:rPr>
                <w:sz w:val="21"/>
              </w:rPr>
            </w:pPr>
            <w:r>
              <w:rPr>
                <w:w w:val="105"/>
                <w:sz w:val="21"/>
              </w:rPr>
              <w:t>Apoyo </w:t>
            </w:r>
            <w:r>
              <w:rPr>
                <w:sz w:val="21"/>
              </w:rPr>
              <w:t>Informacional:</w:t>
            </w:r>
          </w:p>
        </w:tc>
        <w:tc>
          <w:tcPr>
            <w:tcW w:w="2693" w:type="dxa"/>
          </w:tcPr>
          <w:p>
            <w:pPr>
              <w:pStyle w:val="TableParagraph"/>
              <w:spacing w:line="252" w:lineRule="auto" w:before="5"/>
              <w:ind w:left="110" w:right="99"/>
              <w:jc w:val="both"/>
              <w:rPr>
                <w:sz w:val="21"/>
              </w:rPr>
            </w:pPr>
            <w:r>
              <w:rPr>
                <w:w w:val="105"/>
                <w:sz w:val="21"/>
              </w:rPr>
              <w:t>Comunicación de opiniones o</w:t>
            </w:r>
          </w:p>
          <w:p>
            <w:pPr>
              <w:pStyle w:val="TableParagraph"/>
              <w:tabs>
                <w:tab w:pos="2067" w:val="left" w:leader="none"/>
              </w:tabs>
              <w:spacing w:line="252" w:lineRule="auto"/>
              <w:ind w:left="110" w:right="99"/>
              <w:jc w:val="both"/>
              <w:rPr>
                <w:sz w:val="21"/>
              </w:rPr>
            </w:pPr>
            <w:r>
              <w:rPr>
                <w:w w:val="105"/>
                <w:sz w:val="21"/>
              </w:rPr>
              <w:t>hechos</w:t>
            </w:r>
            <w:r>
              <w:rPr>
                <w:spacing w:val="55"/>
                <w:w w:val="105"/>
                <w:sz w:val="21"/>
              </w:rPr>
              <w:t> </w:t>
            </w:r>
            <w:r>
              <w:rPr>
                <w:w w:val="105"/>
                <w:sz w:val="21"/>
              </w:rPr>
              <w:t>relevantes</w:t>
            </w:r>
            <w:r>
              <w:rPr>
                <w:spacing w:val="55"/>
                <w:w w:val="105"/>
                <w:sz w:val="21"/>
              </w:rPr>
              <w:t> </w:t>
            </w:r>
            <w:r>
              <w:rPr>
                <w:w w:val="105"/>
                <w:sz w:val="21"/>
              </w:rPr>
              <w:t>a dificultades corrientes, tales como</w:t>
              <w:tab/>
            </w:r>
            <w:r>
              <w:rPr>
                <w:sz w:val="21"/>
              </w:rPr>
              <w:t>aviso,</w:t>
            </w:r>
          </w:p>
          <w:p>
            <w:pPr>
              <w:pStyle w:val="TableParagraph"/>
              <w:spacing w:line="238" w:lineRule="exact"/>
              <w:ind w:left="110"/>
              <w:jc w:val="both"/>
              <w:rPr>
                <w:sz w:val="21"/>
              </w:rPr>
            </w:pPr>
            <w:r>
              <w:rPr>
                <w:w w:val="105"/>
                <w:sz w:val="21"/>
              </w:rPr>
              <w:t>retroalimentación</w:t>
            </w:r>
          </w:p>
          <w:p>
            <w:pPr>
              <w:pStyle w:val="TableParagraph"/>
              <w:tabs>
                <w:tab w:pos="1952" w:val="left" w:leader="none"/>
              </w:tabs>
              <w:spacing w:line="252" w:lineRule="auto" w:before="13"/>
              <w:ind w:left="110" w:right="97"/>
              <w:jc w:val="both"/>
              <w:rPr>
                <w:sz w:val="21"/>
              </w:rPr>
            </w:pPr>
            <w:r>
              <w:rPr>
                <w:w w:val="105"/>
                <w:sz w:val="21"/>
              </w:rPr>
              <w:t>personal e información </w:t>
            </w:r>
            <w:r>
              <w:rPr>
                <w:spacing w:val="2"/>
                <w:w w:val="105"/>
                <w:sz w:val="21"/>
              </w:rPr>
              <w:t>que </w:t>
            </w:r>
            <w:r>
              <w:rPr>
                <w:w w:val="105"/>
                <w:sz w:val="21"/>
              </w:rPr>
              <w:t>puede</w:t>
              <w:tab/>
              <w:t>mitigar</w:t>
            </w:r>
          </w:p>
          <w:p>
            <w:pPr>
              <w:pStyle w:val="TableParagraph"/>
              <w:spacing w:line="249" w:lineRule="auto" w:before="1"/>
              <w:ind w:left="110" w:right="97"/>
              <w:jc w:val="both"/>
              <w:rPr>
                <w:sz w:val="21"/>
              </w:rPr>
            </w:pPr>
            <w:r>
              <w:rPr>
                <w:w w:val="105"/>
                <w:sz w:val="21"/>
              </w:rPr>
              <w:t>circunstancias de la vida, ayudar a tomar decisiones u ofrecer vías acertadas para enfrentar uno u otro tipo de problemática.</w:t>
            </w:r>
          </w:p>
        </w:tc>
        <w:tc>
          <w:tcPr>
            <w:tcW w:w="1843" w:type="dxa"/>
          </w:tcPr>
          <w:p>
            <w:pPr/>
          </w:p>
        </w:tc>
        <w:tc>
          <w:tcPr>
            <w:tcW w:w="1416" w:type="dxa"/>
          </w:tcPr>
          <w:p>
            <w:pPr>
              <w:pStyle w:val="TableParagraph"/>
              <w:spacing w:line="252" w:lineRule="auto" w:before="5"/>
              <w:ind w:left="325" w:right="301" w:firstLine="6"/>
              <w:jc w:val="left"/>
              <w:rPr>
                <w:sz w:val="21"/>
              </w:rPr>
            </w:pPr>
            <w:r>
              <w:rPr>
                <w:w w:val="105"/>
                <w:sz w:val="21"/>
              </w:rPr>
              <w:t>Variable </w:t>
            </w:r>
            <w:r>
              <w:rPr>
                <w:sz w:val="21"/>
              </w:rPr>
              <w:t>Nominal</w:t>
            </w:r>
          </w:p>
        </w:tc>
        <w:tc>
          <w:tcPr>
            <w:tcW w:w="1987" w:type="dxa"/>
          </w:tcPr>
          <w:p>
            <w:pPr>
              <w:pStyle w:val="TableParagraph"/>
              <w:spacing w:line="252" w:lineRule="auto" w:before="5"/>
              <w:ind w:left="634" w:right="605" w:hanging="13"/>
              <w:jc w:val="left"/>
              <w:rPr>
                <w:sz w:val="21"/>
              </w:rPr>
            </w:pPr>
            <w:r>
              <w:rPr>
                <w:sz w:val="21"/>
              </w:rPr>
              <w:t>Presente </w:t>
            </w:r>
            <w:r>
              <w:rPr>
                <w:w w:val="105"/>
                <w:sz w:val="21"/>
              </w:rPr>
              <w:t>Ausente</w:t>
            </w:r>
          </w:p>
        </w:tc>
        <w:tc>
          <w:tcPr>
            <w:tcW w:w="1416" w:type="dxa"/>
          </w:tcPr>
          <w:p>
            <w:pPr>
              <w:pStyle w:val="TableParagraph"/>
              <w:spacing w:line="252" w:lineRule="auto" w:before="5"/>
              <w:ind w:left="188" w:right="118" w:firstLine="85"/>
              <w:jc w:val="left"/>
              <w:rPr>
                <w:sz w:val="21"/>
              </w:rPr>
            </w:pPr>
            <w:r>
              <w:rPr>
                <w:w w:val="105"/>
                <w:sz w:val="21"/>
              </w:rPr>
              <w:t>PREG# C ANEXO# 5</w:t>
            </w:r>
          </w:p>
        </w:tc>
      </w:tr>
      <w:tr>
        <w:trPr>
          <w:trHeight w:val="277" w:hRule="exact"/>
        </w:trPr>
        <w:tc>
          <w:tcPr>
            <w:tcW w:w="1987" w:type="dxa"/>
            <w:tcBorders>
              <w:bottom w:val="nil"/>
            </w:tcBorders>
          </w:tcPr>
          <w:p>
            <w:pPr>
              <w:pStyle w:val="TableParagraph"/>
              <w:spacing w:before="5"/>
              <w:ind w:left="98" w:right="91"/>
              <w:rPr>
                <w:sz w:val="21"/>
              </w:rPr>
            </w:pPr>
            <w:r>
              <w:rPr>
                <w:w w:val="105"/>
                <w:sz w:val="21"/>
              </w:rPr>
              <w:t>Satisfacción con el</w:t>
            </w:r>
          </w:p>
        </w:tc>
        <w:tc>
          <w:tcPr>
            <w:tcW w:w="2693" w:type="dxa"/>
            <w:tcBorders>
              <w:bottom w:val="nil"/>
            </w:tcBorders>
          </w:tcPr>
          <w:p>
            <w:pPr>
              <w:pStyle w:val="TableParagraph"/>
              <w:spacing w:before="5"/>
              <w:ind w:left="9"/>
              <w:rPr>
                <w:sz w:val="21"/>
              </w:rPr>
            </w:pPr>
            <w:r>
              <w:rPr>
                <w:w w:val="105"/>
                <w:sz w:val="21"/>
              </w:rPr>
              <w:t>Valoración   que   realiza el</w:t>
            </w:r>
          </w:p>
        </w:tc>
        <w:tc>
          <w:tcPr>
            <w:tcW w:w="1843" w:type="dxa"/>
            <w:vMerge w:val="restart"/>
          </w:tcPr>
          <w:p>
            <w:pPr/>
          </w:p>
        </w:tc>
        <w:tc>
          <w:tcPr>
            <w:tcW w:w="1416" w:type="dxa"/>
            <w:tcBorders>
              <w:bottom w:val="nil"/>
            </w:tcBorders>
          </w:tcPr>
          <w:p>
            <w:pPr>
              <w:pStyle w:val="TableParagraph"/>
              <w:spacing w:before="5"/>
              <w:ind w:left="0" w:right="321"/>
              <w:jc w:val="right"/>
              <w:rPr>
                <w:sz w:val="21"/>
              </w:rPr>
            </w:pPr>
            <w:r>
              <w:rPr>
                <w:sz w:val="21"/>
              </w:rPr>
              <w:t>Variable</w:t>
            </w:r>
          </w:p>
        </w:tc>
        <w:tc>
          <w:tcPr>
            <w:tcW w:w="1987" w:type="dxa"/>
            <w:tcBorders>
              <w:bottom w:val="nil"/>
            </w:tcBorders>
          </w:tcPr>
          <w:p>
            <w:pPr>
              <w:pStyle w:val="TableParagraph"/>
              <w:spacing w:line="273" w:lineRule="exact"/>
              <w:ind w:left="110" w:right="222"/>
              <w:jc w:val="left"/>
              <w:rPr>
                <w:sz w:val="24"/>
              </w:rPr>
            </w:pPr>
            <w:r>
              <w:rPr>
                <w:sz w:val="24"/>
              </w:rPr>
              <w:t>1.Muy</w:t>
            </w:r>
          </w:p>
        </w:tc>
        <w:tc>
          <w:tcPr>
            <w:tcW w:w="1416" w:type="dxa"/>
            <w:tcBorders>
              <w:bottom w:val="nil"/>
            </w:tcBorders>
          </w:tcPr>
          <w:p>
            <w:pPr>
              <w:pStyle w:val="TableParagraph"/>
              <w:spacing w:before="5"/>
              <w:ind w:left="301" w:right="293"/>
              <w:rPr>
                <w:sz w:val="21"/>
              </w:rPr>
            </w:pPr>
            <w:r>
              <w:rPr>
                <w:w w:val="105"/>
                <w:sz w:val="21"/>
              </w:rPr>
              <w:t>PREG#</w:t>
            </w:r>
          </w:p>
        </w:tc>
      </w:tr>
      <w:tr>
        <w:trPr>
          <w:trHeight w:val="1116" w:hRule="exact"/>
        </w:trPr>
        <w:tc>
          <w:tcPr>
            <w:tcW w:w="1987" w:type="dxa"/>
            <w:tcBorders>
              <w:top w:val="nil"/>
              <w:bottom w:val="nil"/>
            </w:tcBorders>
          </w:tcPr>
          <w:p>
            <w:pPr>
              <w:pStyle w:val="TableParagraph"/>
              <w:spacing w:line="226" w:lineRule="exact"/>
              <w:ind w:left="98" w:right="91"/>
              <w:rPr>
                <w:sz w:val="21"/>
              </w:rPr>
            </w:pPr>
            <w:r>
              <w:rPr>
                <w:w w:val="105"/>
                <w:sz w:val="21"/>
              </w:rPr>
              <w:t>Apoyo Social</w:t>
            </w:r>
          </w:p>
        </w:tc>
        <w:tc>
          <w:tcPr>
            <w:tcW w:w="2693" w:type="dxa"/>
            <w:tcBorders>
              <w:top w:val="nil"/>
              <w:bottom w:val="nil"/>
            </w:tcBorders>
          </w:tcPr>
          <w:p>
            <w:pPr>
              <w:pStyle w:val="TableParagraph"/>
              <w:spacing w:line="226" w:lineRule="exact"/>
              <w:ind w:left="110"/>
              <w:jc w:val="both"/>
              <w:rPr>
                <w:sz w:val="21"/>
              </w:rPr>
            </w:pPr>
            <w:r>
              <w:rPr>
                <w:w w:val="105"/>
                <w:sz w:val="21"/>
              </w:rPr>
              <w:t>sujeto  de  su  satisfacción o</w:t>
            </w:r>
          </w:p>
          <w:p>
            <w:pPr>
              <w:pStyle w:val="TableParagraph"/>
              <w:spacing w:line="249" w:lineRule="auto" w:before="13"/>
              <w:ind w:left="110" w:right="97"/>
              <w:jc w:val="both"/>
              <w:rPr>
                <w:sz w:val="21"/>
              </w:rPr>
            </w:pPr>
            <w:r>
              <w:rPr>
                <w:w w:val="105"/>
                <w:sz w:val="21"/>
              </w:rPr>
              <w:t>no con el apoyo de acuerdo a la satisfacción de sus necesidades y expectativas.</w:t>
            </w:r>
          </w:p>
        </w:tc>
        <w:tc>
          <w:tcPr>
            <w:tcW w:w="1843" w:type="dxa"/>
            <w:vMerge/>
          </w:tcPr>
          <w:p>
            <w:pPr/>
          </w:p>
        </w:tc>
        <w:tc>
          <w:tcPr>
            <w:tcW w:w="1416" w:type="dxa"/>
            <w:tcBorders>
              <w:top w:val="nil"/>
              <w:bottom w:val="nil"/>
            </w:tcBorders>
          </w:tcPr>
          <w:p>
            <w:pPr>
              <w:pStyle w:val="TableParagraph"/>
              <w:spacing w:line="226" w:lineRule="exact"/>
              <w:ind w:left="0" w:right="363"/>
              <w:jc w:val="right"/>
              <w:rPr>
                <w:sz w:val="21"/>
              </w:rPr>
            </w:pPr>
            <w:r>
              <w:rPr>
                <w:sz w:val="21"/>
              </w:rPr>
              <w:t>Ordinal</w:t>
            </w:r>
          </w:p>
        </w:tc>
        <w:tc>
          <w:tcPr>
            <w:tcW w:w="1987" w:type="dxa"/>
            <w:tcBorders>
              <w:top w:val="nil"/>
              <w:bottom w:val="nil"/>
            </w:tcBorders>
          </w:tcPr>
          <w:p>
            <w:pPr>
              <w:pStyle w:val="TableParagraph"/>
              <w:spacing w:line="274" w:lineRule="exact" w:before="5"/>
              <w:ind w:left="110" w:right="132"/>
              <w:jc w:val="left"/>
              <w:rPr>
                <w:sz w:val="24"/>
              </w:rPr>
            </w:pPr>
            <w:r>
              <w:rPr>
                <w:sz w:val="24"/>
              </w:rPr>
              <w:t>Insatisfecho 2.Poco Satisfecho</w:t>
            </w:r>
          </w:p>
          <w:p>
            <w:pPr>
              <w:pStyle w:val="TableParagraph"/>
              <w:spacing w:line="274" w:lineRule="exact" w:before="4"/>
              <w:ind w:left="110" w:right="113"/>
              <w:jc w:val="left"/>
              <w:rPr>
                <w:sz w:val="24"/>
              </w:rPr>
            </w:pPr>
            <w:r>
              <w:rPr>
                <w:sz w:val="24"/>
              </w:rPr>
              <w:t>3. Indiferente 4.Moderadamente</w:t>
            </w:r>
          </w:p>
        </w:tc>
        <w:tc>
          <w:tcPr>
            <w:tcW w:w="1416" w:type="dxa"/>
            <w:tcBorders>
              <w:top w:val="nil"/>
              <w:bottom w:val="nil"/>
            </w:tcBorders>
          </w:tcPr>
          <w:p>
            <w:pPr>
              <w:pStyle w:val="TableParagraph"/>
              <w:spacing w:line="226" w:lineRule="exact"/>
              <w:ind w:left="301" w:right="294"/>
              <w:rPr>
                <w:sz w:val="21"/>
              </w:rPr>
            </w:pPr>
            <w:r>
              <w:rPr>
                <w:w w:val="105"/>
                <w:sz w:val="21"/>
              </w:rPr>
              <w:t>III.A</w:t>
            </w:r>
          </w:p>
          <w:p>
            <w:pPr>
              <w:pStyle w:val="TableParagraph"/>
              <w:spacing w:before="13"/>
              <w:ind w:left="146" w:right="138"/>
              <w:rPr>
                <w:sz w:val="21"/>
              </w:rPr>
            </w:pPr>
            <w:r>
              <w:rPr>
                <w:w w:val="105"/>
                <w:sz w:val="21"/>
              </w:rPr>
              <w:t>ANEXO# 5</w:t>
            </w:r>
          </w:p>
        </w:tc>
      </w:tr>
      <w:tr>
        <w:trPr>
          <w:trHeight w:val="276" w:hRule="exact"/>
        </w:trPr>
        <w:tc>
          <w:tcPr>
            <w:tcW w:w="1987" w:type="dxa"/>
            <w:tcBorders>
              <w:top w:val="nil"/>
              <w:bottom w:val="nil"/>
            </w:tcBorders>
          </w:tcPr>
          <w:p>
            <w:pPr/>
          </w:p>
        </w:tc>
        <w:tc>
          <w:tcPr>
            <w:tcW w:w="2693" w:type="dxa"/>
            <w:tcBorders>
              <w:top w:val="nil"/>
              <w:bottom w:val="nil"/>
            </w:tcBorders>
          </w:tcPr>
          <w:p>
            <w:pPr/>
          </w:p>
        </w:tc>
        <w:tc>
          <w:tcPr>
            <w:tcW w:w="1843" w:type="dxa"/>
            <w:vMerge/>
          </w:tcPr>
          <w:p>
            <w:pPr/>
          </w:p>
        </w:tc>
        <w:tc>
          <w:tcPr>
            <w:tcW w:w="1416" w:type="dxa"/>
            <w:tcBorders>
              <w:top w:val="nil"/>
              <w:bottom w:val="nil"/>
            </w:tcBorders>
          </w:tcPr>
          <w:p>
            <w:pPr/>
          </w:p>
        </w:tc>
        <w:tc>
          <w:tcPr>
            <w:tcW w:w="1987" w:type="dxa"/>
            <w:tcBorders>
              <w:top w:val="nil"/>
              <w:bottom w:val="nil"/>
            </w:tcBorders>
          </w:tcPr>
          <w:p>
            <w:pPr>
              <w:pStyle w:val="TableParagraph"/>
              <w:spacing w:line="264" w:lineRule="exact"/>
              <w:ind w:left="110" w:right="222"/>
              <w:jc w:val="left"/>
              <w:rPr>
                <w:sz w:val="24"/>
              </w:rPr>
            </w:pPr>
            <w:r>
              <w:rPr>
                <w:sz w:val="24"/>
              </w:rPr>
              <w:t>Satisfecho</w:t>
            </w:r>
          </w:p>
        </w:tc>
        <w:tc>
          <w:tcPr>
            <w:tcW w:w="1416" w:type="dxa"/>
            <w:tcBorders>
              <w:top w:val="nil"/>
              <w:bottom w:val="nil"/>
            </w:tcBorders>
          </w:tcPr>
          <w:p>
            <w:pPr/>
          </w:p>
        </w:tc>
      </w:tr>
      <w:tr>
        <w:trPr>
          <w:trHeight w:val="270" w:hRule="exact"/>
        </w:trPr>
        <w:tc>
          <w:tcPr>
            <w:tcW w:w="1987" w:type="dxa"/>
            <w:tcBorders>
              <w:top w:val="nil"/>
            </w:tcBorders>
          </w:tcPr>
          <w:p>
            <w:pPr/>
          </w:p>
        </w:tc>
        <w:tc>
          <w:tcPr>
            <w:tcW w:w="2693" w:type="dxa"/>
            <w:tcBorders>
              <w:top w:val="nil"/>
            </w:tcBorders>
          </w:tcPr>
          <w:p>
            <w:pPr/>
          </w:p>
        </w:tc>
        <w:tc>
          <w:tcPr>
            <w:tcW w:w="1843" w:type="dxa"/>
            <w:vMerge/>
          </w:tcPr>
          <w:p>
            <w:pPr/>
          </w:p>
        </w:tc>
        <w:tc>
          <w:tcPr>
            <w:tcW w:w="1416" w:type="dxa"/>
            <w:tcBorders>
              <w:top w:val="nil"/>
            </w:tcBorders>
          </w:tcPr>
          <w:p>
            <w:pPr/>
          </w:p>
        </w:tc>
        <w:tc>
          <w:tcPr>
            <w:tcW w:w="1987" w:type="dxa"/>
            <w:tcBorders>
              <w:top w:val="nil"/>
            </w:tcBorders>
          </w:tcPr>
          <w:p>
            <w:pPr>
              <w:pStyle w:val="TableParagraph"/>
              <w:spacing w:line="262" w:lineRule="exact"/>
              <w:ind w:left="110"/>
              <w:jc w:val="left"/>
              <w:rPr>
                <w:sz w:val="24"/>
              </w:rPr>
            </w:pPr>
            <w:r>
              <w:rPr>
                <w:sz w:val="24"/>
              </w:rPr>
              <w:t>5. Muy Satisfecho</w:t>
            </w:r>
          </w:p>
        </w:tc>
        <w:tc>
          <w:tcPr>
            <w:tcW w:w="1416" w:type="dxa"/>
            <w:tcBorders>
              <w:top w:val="nil"/>
            </w:tcBorders>
          </w:tcPr>
          <w:p>
            <w:pPr/>
          </w:p>
        </w:tc>
      </w:tr>
      <w:tr>
        <w:trPr>
          <w:trHeight w:val="275" w:hRule="exact"/>
        </w:trPr>
        <w:tc>
          <w:tcPr>
            <w:tcW w:w="1987" w:type="dxa"/>
            <w:tcBorders>
              <w:bottom w:val="nil"/>
            </w:tcBorders>
          </w:tcPr>
          <w:p>
            <w:pPr>
              <w:pStyle w:val="TableParagraph"/>
              <w:spacing w:before="5"/>
              <w:ind w:left="98" w:right="92"/>
              <w:rPr>
                <w:sz w:val="21"/>
              </w:rPr>
            </w:pPr>
            <w:r>
              <w:rPr>
                <w:w w:val="105"/>
                <w:sz w:val="21"/>
              </w:rPr>
              <w:t>Necesidad</w:t>
            </w:r>
          </w:p>
        </w:tc>
        <w:tc>
          <w:tcPr>
            <w:tcW w:w="2693" w:type="dxa"/>
            <w:tcBorders>
              <w:bottom w:val="nil"/>
            </w:tcBorders>
          </w:tcPr>
          <w:p>
            <w:pPr>
              <w:pStyle w:val="TableParagraph"/>
              <w:tabs>
                <w:tab w:pos="1413" w:val="left" w:leader="none"/>
                <w:tab w:pos="2047" w:val="left" w:leader="none"/>
              </w:tabs>
              <w:spacing w:before="5"/>
              <w:ind w:left="9"/>
              <w:rPr>
                <w:sz w:val="21"/>
              </w:rPr>
            </w:pPr>
            <w:r>
              <w:rPr>
                <w:w w:val="105"/>
                <w:sz w:val="21"/>
              </w:rPr>
              <w:t>Percepción</w:t>
              <w:tab/>
              <w:t>de</w:t>
              <w:tab/>
              <w:t>tener</w:t>
            </w:r>
          </w:p>
        </w:tc>
        <w:tc>
          <w:tcPr>
            <w:tcW w:w="1843" w:type="dxa"/>
            <w:vMerge w:val="restart"/>
          </w:tcPr>
          <w:p>
            <w:pPr/>
          </w:p>
        </w:tc>
        <w:tc>
          <w:tcPr>
            <w:tcW w:w="1416" w:type="dxa"/>
            <w:tcBorders>
              <w:bottom w:val="nil"/>
            </w:tcBorders>
          </w:tcPr>
          <w:p>
            <w:pPr>
              <w:pStyle w:val="TableParagraph"/>
              <w:spacing w:before="5"/>
              <w:ind w:left="0" w:right="321"/>
              <w:jc w:val="right"/>
              <w:rPr>
                <w:sz w:val="21"/>
              </w:rPr>
            </w:pPr>
            <w:r>
              <w:rPr>
                <w:sz w:val="21"/>
              </w:rPr>
              <w:t>Variable</w:t>
            </w:r>
          </w:p>
        </w:tc>
        <w:tc>
          <w:tcPr>
            <w:tcW w:w="1987" w:type="dxa"/>
            <w:tcBorders>
              <w:bottom w:val="nil"/>
            </w:tcBorders>
          </w:tcPr>
          <w:p>
            <w:pPr>
              <w:pStyle w:val="TableParagraph"/>
              <w:spacing w:line="273" w:lineRule="exact"/>
              <w:ind w:left="110" w:right="222"/>
              <w:jc w:val="left"/>
              <w:rPr>
                <w:sz w:val="24"/>
              </w:rPr>
            </w:pPr>
            <w:r>
              <w:rPr>
                <w:sz w:val="24"/>
              </w:rPr>
              <w:t>1.Ninguna</w:t>
            </w:r>
          </w:p>
        </w:tc>
        <w:tc>
          <w:tcPr>
            <w:tcW w:w="1416" w:type="dxa"/>
            <w:tcBorders>
              <w:bottom w:val="nil"/>
            </w:tcBorders>
          </w:tcPr>
          <w:p>
            <w:pPr>
              <w:pStyle w:val="TableParagraph"/>
              <w:spacing w:before="5"/>
              <w:ind w:left="301" w:right="293"/>
              <w:rPr>
                <w:sz w:val="21"/>
              </w:rPr>
            </w:pPr>
            <w:r>
              <w:rPr>
                <w:w w:val="105"/>
                <w:sz w:val="21"/>
              </w:rPr>
              <w:t>PREG#</w:t>
            </w:r>
          </w:p>
        </w:tc>
      </w:tr>
      <w:tr>
        <w:trPr>
          <w:trHeight w:val="1392" w:hRule="exact"/>
        </w:trPr>
        <w:tc>
          <w:tcPr>
            <w:tcW w:w="1987" w:type="dxa"/>
            <w:tcBorders>
              <w:top w:val="nil"/>
              <w:bottom w:val="nil"/>
            </w:tcBorders>
          </w:tcPr>
          <w:p>
            <w:pPr>
              <w:pStyle w:val="TableParagraph"/>
              <w:spacing w:line="224" w:lineRule="exact"/>
              <w:ind w:left="98" w:right="92"/>
              <w:rPr>
                <w:sz w:val="21"/>
              </w:rPr>
            </w:pPr>
            <w:r>
              <w:rPr>
                <w:w w:val="105"/>
                <w:sz w:val="21"/>
              </w:rPr>
              <w:t>Percibida de Apoyo</w:t>
            </w:r>
          </w:p>
          <w:p>
            <w:pPr>
              <w:pStyle w:val="TableParagraph"/>
              <w:spacing w:before="13"/>
              <w:ind w:left="98" w:right="91"/>
              <w:rPr>
                <w:sz w:val="21"/>
              </w:rPr>
            </w:pPr>
            <w:r>
              <w:rPr>
                <w:w w:val="105"/>
                <w:sz w:val="21"/>
              </w:rPr>
              <w:t>Social</w:t>
            </w:r>
          </w:p>
        </w:tc>
        <w:tc>
          <w:tcPr>
            <w:tcW w:w="2693" w:type="dxa"/>
            <w:tcBorders>
              <w:top w:val="nil"/>
              <w:bottom w:val="nil"/>
            </w:tcBorders>
          </w:tcPr>
          <w:p>
            <w:pPr>
              <w:pStyle w:val="TableParagraph"/>
              <w:spacing w:line="224" w:lineRule="exact"/>
              <w:ind w:left="110"/>
              <w:jc w:val="both"/>
              <w:rPr>
                <w:sz w:val="21"/>
              </w:rPr>
            </w:pPr>
            <w:r>
              <w:rPr>
                <w:w w:val="105"/>
                <w:sz w:val="21"/>
              </w:rPr>
              <w:t>carencia   o   necesidad   de</w:t>
            </w:r>
          </w:p>
          <w:p>
            <w:pPr>
              <w:pStyle w:val="TableParagraph"/>
              <w:tabs>
                <w:tab w:pos="1151" w:val="left" w:leader="none"/>
                <w:tab w:pos="2477" w:val="left" w:leader="none"/>
              </w:tabs>
              <w:spacing w:line="252" w:lineRule="auto" w:before="13"/>
              <w:ind w:left="110" w:right="98"/>
              <w:jc w:val="both"/>
              <w:rPr>
                <w:sz w:val="21"/>
              </w:rPr>
            </w:pPr>
            <w:r>
              <w:rPr>
                <w:w w:val="105"/>
                <w:sz w:val="21"/>
              </w:rPr>
              <w:t>ayuda de distintos tipos ya sea</w:t>
              <w:tab/>
            </w:r>
            <w:r>
              <w:rPr>
                <w:sz w:val="21"/>
              </w:rPr>
              <w:t>socioemocional. </w:t>
            </w:r>
            <w:r>
              <w:rPr>
                <w:w w:val="105"/>
                <w:sz w:val="21"/>
              </w:rPr>
              <w:t>Informacional</w:t>
              <w:tab/>
              <w:t>o Instrumental.</w:t>
            </w:r>
          </w:p>
        </w:tc>
        <w:tc>
          <w:tcPr>
            <w:tcW w:w="1843" w:type="dxa"/>
            <w:vMerge/>
          </w:tcPr>
          <w:p>
            <w:pPr/>
          </w:p>
        </w:tc>
        <w:tc>
          <w:tcPr>
            <w:tcW w:w="1416" w:type="dxa"/>
            <w:tcBorders>
              <w:top w:val="nil"/>
              <w:bottom w:val="nil"/>
            </w:tcBorders>
          </w:tcPr>
          <w:p>
            <w:pPr>
              <w:pStyle w:val="TableParagraph"/>
              <w:spacing w:line="224" w:lineRule="exact"/>
              <w:ind w:left="0" w:right="363"/>
              <w:jc w:val="right"/>
              <w:rPr>
                <w:sz w:val="21"/>
              </w:rPr>
            </w:pPr>
            <w:r>
              <w:rPr>
                <w:sz w:val="21"/>
              </w:rPr>
              <w:t>Ordinal</w:t>
            </w:r>
          </w:p>
        </w:tc>
        <w:tc>
          <w:tcPr>
            <w:tcW w:w="1987" w:type="dxa"/>
            <w:tcBorders>
              <w:top w:val="nil"/>
              <w:bottom w:val="nil"/>
            </w:tcBorders>
          </w:tcPr>
          <w:p>
            <w:pPr>
              <w:pStyle w:val="TableParagraph"/>
              <w:spacing w:line="274" w:lineRule="exact"/>
              <w:ind w:left="110" w:right="222"/>
              <w:jc w:val="left"/>
              <w:rPr>
                <w:sz w:val="24"/>
              </w:rPr>
            </w:pPr>
            <w:r>
              <w:rPr>
                <w:sz w:val="24"/>
              </w:rPr>
              <w:t>Necesidad</w:t>
            </w:r>
          </w:p>
          <w:p>
            <w:pPr>
              <w:pStyle w:val="TableParagraph"/>
              <w:spacing w:before="2"/>
              <w:ind w:left="110" w:right="132"/>
              <w:jc w:val="left"/>
              <w:rPr>
                <w:sz w:val="24"/>
              </w:rPr>
            </w:pPr>
            <w:r>
              <w:rPr>
                <w:sz w:val="24"/>
              </w:rPr>
              <w:t>2.Poco Necesidad 3.Necesidad Moderada 4.Mucha</w:t>
            </w:r>
          </w:p>
        </w:tc>
        <w:tc>
          <w:tcPr>
            <w:tcW w:w="1416" w:type="dxa"/>
            <w:tcBorders>
              <w:top w:val="nil"/>
              <w:bottom w:val="nil"/>
            </w:tcBorders>
          </w:tcPr>
          <w:p>
            <w:pPr>
              <w:pStyle w:val="TableParagraph"/>
              <w:spacing w:line="224" w:lineRule="exact"/>
              <w:ind w:left="301" w:right="294"/>
              <w:rPr>
                <w:sz w:val="21"/>
              </w:rPr>
            </w:pPr>
            <w:r>
              <w:rPr>
                <w:w w:val="105"/>
                <w:sz w:val="21"/>
              </w:rPr>
              <w:t>III.B</w:t>
            </w:r>
          </w:p>
          <w:p>
            <w:pPr>
              <w:pStyle w:val="TableParagraph"/>
              <w:spacing w:before="13"/>
              <w:ind w:left="146" w:right="138"/>
              <w:rPr>
                <w:sz w:val="21"/>
              </w:rPr>
            </w:pPr>
            <w:r>
              <w:rPr>
                <w:w w:val="105"/>
                <w:sz w:val="21"/>
              </w:rPr>
              <w:t>ANEXO#5</w:t>
            </w:r>
          </w:p>
        </w:tc>
      </w:tr>
      <w:tr>
        <w:trPr>
          <w:trHeight w:val="276" w:hRule="exact"/>
        </w:trPr>
        <w:tc>
          <w:tcPr>
            <w:tcW w:w="1987" w:type="dxa"/>
            <w:tcBorders>
              <w:top w:val="nil"/>
              <w:bottom w:val="nil"/>
            </w:tcBorders>
          </w:tcPr>
          <w:p>
            <w:pPr/>
          </w:p>
        </w:tc>
        <w:tc>
          <w:tcPr>
            <w:tcW w:w="2693" w:type="dxa"/>
            <w:tcBorders>
              <w:top w:val="nil"/>
              <w:bottom w:val="nil"/>
            </w:tcBorders>
          </w:tcPr>
          <w:p>
            <w:pPr/>
          </w:p>
        </w:tc>
        <w:tc>
          <w:tcPr>
            <w:tcW w:w="1843" w:type="dxa"/>
            <w:vMerge/>
          </w:tcPr>
          <w:p>
            <w:pPr/>
          </w:p>
        </w:tc>
        <w:tc>
          <w:tcPr>
            <w:tcW w:w="1416" w:type="dxa"/>
            <w:tcBorders>
              <w:top w:val="nil"/>
              <w:bottom w:val="nil"/>
            </w:tcBorders>
          </w:tcPr>
          <w:p>
            <w:pPr/>
          </w:p>
        </w:tc>
        <w:tc>
          <w:tcPr>
            <w:tcW w:w="1987" w:type="dxa"/>
            <w:tcBorders>
              <w:top w:val="nil"/>
              <w:bottom w:val="nil"/>
            </w:tcBorders>
          </w:tcPr>
          <w:p>
            <w:pPr>
              <w:pStyle w:val="TableParagraph"/>
              <w:spacing w:line="264" w:lineRule="exact"/>
              <w:ind w:left="110" w:right="222"/>
              <w:jc w:val="left"/>
              <w:rPr>
                <w:sz w:val="24"/>
              </w:rPr>
            </w:pPr>
            <w:r>
              <w:rPr>
                <w:sz w:val="24"/>
              </w:rPr>
              <w:t>Necesidad</w:t>
            </w:r>
          </w:p>
        </w:tc>
        <w:tc>
          <w:tcPr>
            <w:tcW w:w="1416" w:type="dxa"/>
            <w:tcBorders>
              <w:top w:val="nil"/>
              <w:bottom w:val="nil"/>
            </w:tcBorders>
          </w:tcPr>
          <w:p>
            <w:pPr/>
          </w:p>
        </w:tc>
      </w:tr>
      <w:tr>
        <w:trPr>
          <w:trHeight w:val="276" w:hRule="exact"/>
        </w:trPr>
        <w:tc>
          <w:tcPr>
            <w:tcW w:w="1987" w:type="dxa"/>
            <w:tcBorders>
              <w:top w:val="nil"/>
              <w:bottom w:val="nil"/>
            </w:tcBorders>
          </w:tcPr>
          <w:p>
            <w:pPr/>
          </w:p>
        </w:tc>
        <w:tc>
          <w:tcPr>
            <w:tcW w:w="2693" w:type="dxa"/>
            <w:tcBorders>
              <w:top w:val="nil"/>
              <w:bottom w:val="nil"/>
            </w:tcBorders>
          </w:tcPr>
          <w:p>
            <w:pPr/>
          </w:p>
        </w:tc>
        <w:tc>
          <w:tcPr>
            <w:tcW w:w="1843" w:type="dxa"/>
            <w:vMerge/>
          </w:tcPr>
          <w:p>
            <w:pPr/>
          </w:p>
        </w:tc>
        <w:tc>
          <w:tcPr>
            <w:tcW w:w="1416" w:type="dxa"/>
            <w:tcBorders>
              <w:top w:val="nil"/>
              <w:bottom w:val="nil"/>
            </w:tcBorders>
          </w:tcPr>
          <w:p>
            <w:pPr/>
          </w:p>
        </w:tc>
        <w:tc>
          <w:tcPr>
            <w:tcW w:w="1987" w:type="dxa"/>
            <w:tcBorders>
              <w:top w:val="nil"/>
              <w:bottom w:val="nil"/>
            </w:tcBorders>
          </w:tcPr>
          <w:p>
            <w:pPr>
              <w:pStyle w:val="TableParagraph"/>
              <w:spacing w:line="262" w:lineRule="exact"/>
              <w:ind w:left="110" w:right="222"/>
              <w:jc w:val="left"/>
              <w:rPr>
                <w:sz w:val="24"/>
              </w:rPr>
            </w:pPr>
            <w:r>
              <w:rPr>
                <w:sz w:val="24"/>
              </w:rPr>
              <w:t>5.Muchísima</w:t>
            </w:r>
          </w:p>
        </w:tc>
        <w:tc>
          <w:tcPr>
            <w:tcW w:w="1416" w:type="dxa"/>
            <w:tcBorders>
              <w:top w:val="nil"/>
              <w:bottom w:val="nil"/>
            </w:tcBorders>
          </w:tcPr>
          <w:p>
            <w:pPr/>
          </w:p>
        </w:tc>
      </w:tr>
      <w:tr>
        <w:trPr>
          <w:trHeight w:val="268" w:hRule="exact"/>
        </w:trPr>
        <w:tc>
          <w:tcPr>
            <w:tcW w:w="1987" w:type="dxa"/>
            <w:tcBorders>
              <w:top w:val="nil"/>
            </w:tcBorders>
          </w:tcPr>
          <w:p>
            <w:pPr/>
          </w:p>
        </w:tc>
        <w:tc>
          <w:tcPr>
            <w:tcW w:w="2693" w:type="dxa"/>
            <w:tcBorders>
              <w:top w:val="nil"/>
            </w:tcBorders>
          </w:tcPr>
          <w:p>
            <w:pPr/>
          </w:p>
        </w:tc>
        <w:tc>
          <w:tcPr>
            <w:tcW w:w="1843" w:type="dxa"/>
            <w:vMerge/>
          </w:tcPr>
          <w:p>
            <w:pPr/>
          </w:p>
        </w:tc>
        <w:tc>
          <w:tcPr>
            <w:tcW w:w="1416" w:type="dxa"/>
            <w:tcBorders>
              <w:top w:val="nil"/>
            </w:tcBorders>
          </w:tcPr>
          <w:p>
            <w:pPr/>
          </w:p>
        </w:tc>
        <w:tc>
          <w:tcPr>
            <w:tcW w:w="1987" w:type="dxa"/>
            <w:tcBorders>
              <w:top w:val="nil"/>
            </w:tcBorders>
          </w:tcPr>
          <w:p>
            <w:pPr>
              <w:pStyle w:val="TableParagraph"/>
              <w:spacing w:line="264" w:lineRule="exact"/>
              <w:ind w:left="110" w:right="222"/>
              <w:jc w:val="left"/>
              <w:rPr>
                <w:sz w:val="24"/>
              </w:rPr>
            </w:pPr>
            <w:r>
              <w:rPr>
                <w:sz w:val="24"/>
              </w:rPr>
              <w:t>Necesidad</w:t>
            </w:r>
          </w:p>
        </w:tc>
        <w:tc>
          <w:tcPr>
            <w:tcW w:w="1416" w:type="dxa"/>
            <w:tcBorders>
              <w:top w:val="nil"/>
            </w:tcBorders>
          </w:tcPr>
          <w:p>
            <w:pPr/>
          </w:p>
        </w:tc>
      </w:tr>
    </w:tbl>
    <w:p>
      <w:pPr>
        <w:spacing w:after="0"/>
        <w:sectPr>
          <w:pgSz w:w="12240" w:h="15840"/>
          <w:pgMar w:header="0" w:footer="972" w:top="1500" w:bottom="1160" w:left="580" w:right="80"/>
        </w:sectPr>
      </w:pPr>
    </w:p>
    <w:p>
      <w:pPr>
        <w:pStyle w:val="Heading1"/>
        <w:numPr>
          <w:ilvl w:val="1"/>
          <w:numId w:val="15"/>
        </w:numPr>
        <w:tabs>
          <w:tab w:pos="3896" w:val="left" w:leader="none"/>
        </w:tabs>
        <w:spacing w:line="240" w:lineRule="auto" w:before="45" w:after="0"/>
        <w:ind w:left="3895" w:right="0" w:hanging="507"/>
        <w:jc w:val="left"/>
      </w:pPr>
      <w:bookmarkStart w:name="_TOC_250018" w:id="26"/>
      <w:bookmarkEnd w:id="26"/>
      <w:r>
        <w:rPr/>
        <w:t>UNIVERSO DE TRABAJO</w:t>
      </w:r>
    </w:p>
    <w:p>
      <w:pPr>
        <w:pStyle w:val="BodyText"/>
        <w:spacing w:before="5"/>
        <w:rPr>
          <w:b/>
          <w:sz w:val="21"/>
        </w:rPr>
      </w:pPr>
    </w:p>
    <w:p>
      <w:pPr>
        <w:pStyle w:val="BodyText"/>
        <w:ind w:left="116" w:right="103"/>
        <w:jc w:val="both"/>
      </w:pPr>
      <w:r>
        <w:rPr/>
        <w:t>Una población total de 651 pacientes portadores de Enfermedad Renal Crónica en tratamiento sustitutivo con Diálisis Peritoneal Continua Ambulatoria, en vigilancia en la Unidad de Diálisis en el HGR /con UMF 220, Toluca Estado de México, durante 2011</w:t>
      </w:r>
    </w:p>
    <w:p>
      <w:pPr>
        <w:pStyle w:val="BodyText"/>
      </w:pPr>
    </w:p>
    <w:p>
      <w:pPr>
        <w:pStyle w:val="BodyText"/>
        <w:spacing w:before="10"/>
        <w:rPr>
          <w:sz w:val="30"/>
        </w:rPr>
      </w:pPr>
    </w:p>
    <w:p>
      <w:pPr>
        <w:pStyle w:val="Heading1"/>
        <w:numPr>
          <w:ilvl w:val="2"/>
          <w:numId w:val="15"/>
        </w:numPr>
        <w:tabs>
          <w:tab w:pos="3839" w:val="left" w:leader="none"/>
        </w:tabs>
        <w:spacing w:line="240" w:lineRule="auto" w:before="0" w:after="0"/>
        <w:ind w:left="3838" w:right="0" w:hanging="686"/>
        <w:jc w:val="left"/>
      </w:pPr>
      <w:bookmarkStart w:name="_TOC_250017" w:id="27"/>
      <w:bookmarkEnd w:id="27"/>
      <w:r>
        <w:rPr/>
        <w:t>CRITERIOS DE INCLUSIÓN</w:t>
      </w:r>
    </w:p>
    <w:p>
      <w:pPr>
        <w:pStyle w:val="BodyText"/>
        <w:rPr>
          <w:b/>
        </w:rPr>
      </w:pPr>
    </w:p>
    <w:p>
      <w:pPr>
        <w:pStyle w:val="BodyText"/>
        <w:rPr>
          <w:b/>
          <w:sz w:val="21"/>
        </w:rPr>
      </w:pPr>
    </w:p>
    <w:p>
      <w:pPr>
        <w:pStyle w:val="ListParagraph"/>
        <w:numPr>
          <w:ilvl w:val="1"/>
          <w:numId w:val="14"/>
        </w:numPr>
        <w:tabs>
          <w:tab w:pos="837" w:val="left" w:leader="none"/>
        </w:tabs>
        <w:spacing w:line="276" w:lineRule="auto" w:before="0" w:after="0"/>
        <w:ind w:left="836" w:right="103" w:hanging="360"/>
        <w:jc w:val="both"/>
        <w:rPr>
          <w:sz w:val="24"/>
        </w:rPr>
      </w:pPr>
      <w:r>
        <w:rPr>
          <w:sz w:val="24"/>
        </w:rPr>
        <w:t>Pacientes mayores de 15 años, ambos sexos portadores de Insuficiencia Renal Crónica.</w:t>
      </w:r>
    </w:p>
    <w:p>
      <w:pPr>
        <w:pStyle w:val="ListParagraph"/>
        <w:numPr>
          <w:ilvl w:val="1"/>
          <w:numId w:val="14"/>
        </w:numPr>
        <w:tabs>
          <w:tab w:pos="836" w:val="left" w:leader="none"/>
          <w:tab w:pos="837" w:val="left" w:leader="none"/>
        </w:tabs>
        <w:spacing w:line="292" w:lineRule="exact" w:before="0" w:after="0"/>
        <w:ind w:left="836" w:right="0" w:hanging="360"/>
        <w:jc w:val="left"/>
        <w:rPr>
          <w:sz w:val="24"/>
        </w:rPr>
      </w:pPr>
      <w:r>
        <w:rPr>
          <w:sz w:val="24"/>
        </w:rPr>
        <w:t>Adscritos al HGR #220/UMF 220 y en Control en el módulo de Diálisis Peritoneal.</w:t>
      </w:r>
    </w:p>
    <w:p>
      <w:pPr>
        <w:pStyle w:val="ListParagraph"/>
        <w:numPr>
          <w:ilvl w:val="1"/>
          <w:numId w:val="14"/>
        </w:numPr>
        <w:tabs>
          <w:tab w:pos="837" w:val="left" w:leader="none"/>
        </w:tabs>
        <w:spacing w:line="273" w:lineRule="auto" w:before="42" w:after="0"/>
        <w:ind w:left="836" w:right="103" w:hanging="360"/>
        <w:jc w:val="both"/>
        <w:rPr>
          <w:sz w:val="24"/>
        </w:rPr>
      </w:pPr>
      <w:r>
        <w:rPr>
          <w:sz w:val="24"/>
        </w:rPr>
        <w:t>En tratamiento sustitutivo con DPCA durante el periodo de Enero a Diciembre del año 2011.</w:t>
      </w:r>
    </w:p>
    <w:p>
      <w:pPr>
        <w:pStyle w:val="ListParagraph"/>
        <w:numPr>
          <w:ilvl w:val="1"/>
          <w:numId w:val="14"/>
        </w:numPr>
        <w:tabs>
          <w:tab w:pos="837" w:val="left" w:leader="none"/>
        </w:tabs>
        <w:spacing w:line="276" w:lineRule="auto" w:before="0" w:after="0"/>
        <w:ind w:left="836" w:right="103" w:hanging="360"/>
        <w:jc w:val="both"/>
        <w:rPr>
          <w:sz w:val="24"/>
        </w:rPr>
      </w:pPr>
      <w:r>
        <w:rPr>
          <w:sz w:val="24"/>
        </w:rPr>
        <w:t>Pacientes cuyos expedientes cumplan todos los rubros para contestar  completamente la cedula de registro de Peritonitis.</w:t>
      </w:r>
    </w:p>
    <w:p>
      <w:pPr>
        <w:pStyle w:val="ListParagraph"/>
        <w:numPr>
          <w:ilvl w:val="1"/>
          <w:numId w:val="14"/>
        </w:numPr>
        <w:tabs>
          <w:tab w:pos="837" w:val="left" w:leader="none"/>
        </w:tabs>
        <w:spacing w:line="276" w:lineRule="auto" w:before="0" w:after="0"/>
        <w:ind w:left="836" w:right="103" w:hanging="360"/>
        <w:jc w:val="both"/>
        <w:rPr>
          <w:sz w:val="24"/>
        </w:rPr>
      </w:pPr>
      <w:r>
        <w:rPr>
          <w:sz w:val="24"/>
        </w:rPr>
        <w:t>Pacientes que sean portadores de Peritonitis y deseen participar en el estudio previa autorización de consentimiento informado.</w:t>
      </w:r>
    </w:p>
    <w:p>
      <w:pPr>
        <w:pStyle w:val="BodyText"/>
      </w:pPr>
    </w:p>
    <w:p>
      <w:pPr>
        <w:pStyle w:val="BodyText"/>
      </w:pPr>
    </w:p>
    <w:p>
      <w:pPr>
        <w:pStyle w:val="BodyText"/>
        <w:spacing w:before="11"/>
        <w:rPr>
          <w:sz w:val="20"/>
        </w:rPr>
      </w:pPr>
    </w:p>
    <w:p>
      <w:pPr>
        <w:pStyle w:val="Heading1"/>
        <w:numPr>
          <w:ilvl w:val="2"/>
          <w:numId w:val="15"/>
        </w:numPr>
        <w:tabs>
          <w:tab w:pos="2304" w:val="left" w:leader="none"/>
        </w:tabs>
        <w:spacing w:line="240" w:lineRule="auto" w:before="0" w:after="0"/>
        <w:ind w:left="2303" w:right="0" w:hanging="687"/>
        <w:jc w:val="left"/>
      </w:pPr>
      <w:bookmarkStart w:name="_TOC_250016" w:id="28"/>
      <w:bookmarkEnd w:id="28"/>
      <w:r>
        <w:rPr/>
        <w:t>CRITERIOS DE EXCLUSIÓN</w:t>
      </w:r>
    </w:p>
    <w:p>
      <w:pPr>
        <w:pStyle w:val="BodyText"/>
        <w:spacing w:before="3"/>
        <w:rPr>
          <w:b/>
          <w:sz w:val="31"/>
        </w:rPr>
      </w:pPr>
    </w:p>
    <w:p>
      <w:pPr>
        <w:pStyle w:val="ListParagraph"/>
        <w:numPr>
          <w:ilvl w:val="0"/>
          <w:numId w:val="18"/>
        </w:numPr>
        <w:tabs>
          <w:tab w:pos="761" w:val="left" w:leader="none"/>
        </w:tabs>
        <w:spacing w:line="268" w:lineRule="auto" w:before="0" w:after="0"/>
        <w:ind w:left="760" w:right="103" w:hanging="360"/>
        <w:jc w:val="both"/>
        <w:rPr>
          <w:sz w:val="24"/>
        </w:rPr>
      </w:pPr>
      <w:r>
        <w:rPr>
          <w:sz w:val="24"/>
        </w:rPr>
        <w:t>Pacientes portadores de Insuficiencia Renal Crónica en tratamiento sustitutivo con Diálisis Peritoneal Automatizada, Hemodiálisis o Trasplante Renal.</w:t>
      </w:r>
    </w:p>
    <w:p>
      <w:pPr>
        <w:pStyle w:val="BodyText"/>
      </w:pPr>
    </w:p>
    <w:p>
      <w:pPr>
        <w:pStyle w:val="BodyText"/>
        <w:spacing w:before="10"/>
        <w:rPr>
          <w:sz w:val="18"/>
        </w:rPr>
      </w:pPr>
    </w:p>
    <w:p>
      <w:pPr>
        <w:pStyle w:val="Heading1"/>
        <w:numPr>
          <w:ilvl w:val="2"/>
          <w:numId w:val="15"/>
        </w:numPr>
        <w:tabs>
          <w:tab w:pos="2304" w:val="left" w:leader="none"/>
        </w:tabs>
        <w:spacing w:line="240" w:lineRule="auto" w:before="0" w:after="0"/>
        <w:ind w:left="2303" w:right="0" w:hanging="687"/>
        <w:jc w:val="left"/>
      </w:pPr>
      <w:bookmarkStart w:name="_TOC_250015" w:id="29"/>
      <w:bookmarkEnd w:id="29"/>
      <w:r>
        <w:rPr/>
        <w:t>CRITERIOS DE ELIMINACIÓN</w:t>
      </w:r>
    </w:p>
    <w:p>
      <w:pPr>
        <w:pStyle w:val="BodyText"/>
        <w:spacing w:before="9"/>
        <w:rPr>
          <w:b/>
          <w:sz w:val="30"/>
        </w:rPr>
      </w:pPr>
    </w:p>
    <w:p>
      <w:pPr>
        <w:pStyle w:val="ListParagraph"/>
        <w:numPr>
          <w:ilvl w:val="0"/>
          <w:numId w:val="18"/>
        </w:numPr>
        <w:tabs>
          <w:tab w:pos="837" w:val="left" w:leader="none"/>
        </w:tabs>
        <w:spacing w:line="273" w:lineRule="auto" w:before="1" w:after="0"/>
        <w:ind w:left="836" w:right="103" w:hanging="360"/>
        <w:jc w:val="both"/>
        <w:rPr>
          <w:sz w:val="24"/>
        </w:rPr>
      </w:pPr>
      <w:r>
        <w:rPr>
          <w:sz w:val="24"/>
        </w:rPr>
        <w:t>Pacientes que durante el periodo de Enero a Diciembre del año 2011 cambien de Adscripción o pierdan derecho-habiencia al IMSS.</w:t>
      </w:r>
    </w:p>
    <w:p>
      <w:pPr>
        <w:pStyle w:val="ListParagraph"/>
        <w:numPr>
          <w:ilvl w:val="0"/>
          <w:numId w:val="18"/>
        </w:numPr>
        <w:tabs>
          <w:tab w:pos="837" w:val="left" w:leader="none"/>
        </w:tabs>
        <w:spacing w:line="273" w:lineRule="auto" w:before="5" w:after="0"/>
        <w:ind w:left="836" w:right="103" w:hanging="360"/>
        <w:jc w:val="both"/>
        <w:rPr>
          <w:sz w:val="24"/>
        </w:rPr>
      </w:pPr>
      <w:r>
        <w:rPr>
          <w:sz w:val="24"/>
        </w:rPr>
        <w:t>Pacientes que durante el periodo de Enero a Diciembre del año 2011 cambien de modalidad de tratamiento sustitutivo a Diálisis Peritoneal Automatizada, Hemodiálisis o Trasplante Renal.</w:t>
      </w:r>
    </w:p>
    <w:p>
      <w:pPr>
        <w:pStyle w:val="ListParagraph"/>
        <w:numPr>
          <w:ilvl w:val="0"/>
          <w:numId w:val="18"/>
        </w:numPr>
        <w:tabs>
          <w:tab w:pos="836" w:val="left" w:leader="none"/>
          <w:tab w:pos="837" w:val="left" w:leader="none"/>
        </w:tabs>
        <w:spacing w:line="240" w:lineRule="auto" w:before="5" w:after="0"/>
        <w:ind w:left="836" w:right="0" w:hanging="360"/>
        <w:jc w:val="left"/>
        <w:rPr>
          <w:sz w:val="24"/>
        </w:rPr>
      </w:pPr>
      <w:r>
        <w:rPr>
          <w:sz w:val="24"/>
        </w:rPr>
        <w:t>Pacientes que no respondan la encuesta de forma</w:t>
      </w:r>
      <w:r>
        <w:rPr>
          <w:spacing w:val="-1"/>
          <w:sz w:val="24"/>
        </w:rPr>
        <w:t> </w:t>
      </w:r>
      <w:r>
        <w:rPr>
          <w:sz w:val="24"/>
        </w:rPr>
        <w:t>correcta.</w:t>
      </w:r>
    </w:p>
    <w:p>
      <w:pPr>
        <w:spacing w:after="0" w:line="240" w:lineRule="auto"/>
        <w:jc w:val="left"/>
        <w:rPr>
          <w:sz w:val="24"/>
        </w:rPr>
        <w:sectPr>
          <w:pgSz w:w="12240" w:h="15840"/>
          <w:pgMar w:header="0" w:footer="972" w:top="1360" w:bottom="1160" w:left="1580" w:right="1600"/>
        </w:sectPr>
      </w:pPr>
    </w:p>
    <w:p>
      <w:pPr>
        <w:pStyle w:val="Heading1"/>
        <w:numPr>
          <w:ilvl w:val="1"/>
          <w:numId w:val="19"/>
        </w:numPr>
        <w:tabs>
          <w:tab w:pos="2669" w:val="left" w:leader="none"/>
        </w:tabs>
        <w:spacing w:line="240" w:lineRule="auto" w:before="50" w:after="0"/>
        <w:ind w:left="2668" w:right="0" w:hanging="507"/>
        <w:jc w:val="left"/>
      </w:pPr>
      <w:bookmarkStart w:name="_TOC_250014" w:id="30"/>
      <w:bookmarkEnd w:id="30"/>
      <w:r>
        <w:rPr/>
        <w:t>INSTRUMENTO DE INVESTIGACIÓN</w:t>
      </w:r>
    </w:p>
    <w:p>
      <w:pPr>
        <w:pStyle w:val="BodyText"/>
        <w:rPr>
          <w:b/>
        </w:rPr>
      </w:pPr>
    </w:p>
    <w:p>
      <w:pPr>
        <w:pStyle w:val="Heading1"/>
        <w:numPr>
          <w:ilvl w:val="2"/>
          <w:numId w:val="19"/>
        </w:numPr>
        <w:tabs>
          <w:tab w:pos="4760" w:val="left" w:leader="none"/>
        </w:tabs>
        <w:spacing w:line="240" w:lineRule="auto" w:before="0" w:after="0"/>
        <w:ind w:left="4759" w:right="0" w:hanging="687"/>
        <w:jc w:val="left"/>
      </w:pPr>
      <w:bookmarkStart w:name="_TOC_250013" w:id="31"/>
      <w:bookmarkEnd w:id="31"/>
      <w:r>
        <w:rPr/>
        <w:t>DESCRIPCIÓN</w:t>
      </w:r>
    </w:p>
    <w:p>
      <w:pPr>
        <w:pStyle w:val="BodyText"/>
        <w:rPr>
          <w:b/>
        </w:rPr>
      </w:pPr>
    </w:p>
    <w:p>
      <w:pPr>
        <w:pStyle w:val="BodyText"/>
        <w:spacing w:before="9"/>
        <w:rPr>
          <w:b/>
          <w:sz w:val="34"/>
        </w:rPr>
      </w:pPr>
    </w:p>
    <w:p>
      <w:pPr>
        <w:pStyle w:val="ListParagraph"/>
        <w:numPr>
          <w:ilvl w:val="0"/>
          <w:numId w:val="18"/>
        </w:numPr>
        <w:tabs>
          <w:tab w:pos="836" w:val="left" w:leader="none"/>
          <w:tab w:pos="837" w:val="left" w:leader="none"/>
        </w:tabs>
        <w:spacing w:line="240" w:lineRule="auto" w:before="0" w:after="0"/>
        <w:ind w:left="836" w:right="0" w:hanging="360"/>
        <w:jc w:val="left"/>
        <w:rPr>
          <w:b/>
          <w:sz w:val="24"/>
        </w:rPr>
      </w:pPr>
      <w:r>
        <w:rPr>
          <w:b/>
          <w:sz w:val="24"/>
        </w:rPr>
        <w:t>ENCUESTA PERSONAL</w:t>
      </w:r>
    </w:p>
    <w:p>
      <w:pPr>
        <w:pStyle w:val="BodyText"/>
        <w:rPr>
          <w:b/>
          <w:sz w:val="21"/>
        </w:rPr>
      </w:pPr>
    </w:p>
    <w:p>
      <w:pPr>
        <w:pStyle w:val="BodyText"/>
        <w:ind w:left="116" w:right="103"/>
        <w:jc w:val="both"/>
      </w:pPr>
      <w:r>
        <w:rPr/>
        <w:t>La encuesta personal ha sido elaborada con la finalidad de obtener información sobre algunas características socio-demográficas de importancia, para así utilizarlas en el enriquecimiento del análisis de las variables de estudio.</w:t>
      </w:r>
    </w:p>
    <w:p>
      <w:pPr>
        <w:pStyle w:val="BodyText"/>
      </w:pPr>
    </w:p>
    <w:p>
      <w:pPr>
        <w:pStyle w:val="BodyText"/>
        <w:ind w:left="116" w:right="103"/>
        <w:jc w:val="both"/>
      </w:pPr>
      <w:r>
        <w:rPr/>
        <w:t>La encuesta personal se encuentra dividida en 5 áreas y se compone de 15 ítems, los que en algunos casos se hayan subdivididos en hasta 14 aspectos; y, en otros, existen espacios en blanco para completar y responder a las preguntas.</w:t>
      </w:r>
    </w:p>
    <w:p>
      <w:pPr>
        <w:pStyle w:val="BodyText"/>
        <w:spacing w:line="274" w:lineRule="exact"/>
        <w:ind w:left="116"/>
        <w:jc w:val="both"/>
      </w:pPr>
      <w:r>
        <w:rPr/>
        <w:t>Las áreas de la encuesta personal incluyen:</w:t>
      </w:r>
    </w:p>
    <w:p>
      <w:pPr>
        <w:pStyle w:val="ListParagraph"/>
        <w:numPr>
          <w:ilvl w:val="0"/>
          <w:numId w:val="10"/>
        </w:numPr>
        <w:tabs>
          <w:tab w:pos="313" w:val="left" w:leader="none"/>
        </w:tabs>
        <w:spacing w:line="274" w:lineRule="exact" w:before="7" w:after="0"/>
        <w:ind w:left="116" w:right="103" w:firstLine="0"/>
        <w:jc w:val="both"/>
        <w:rPr>
          <w:sz w:val="24"/>
        </w:rPr>
      </w:pPr>
      <w:r>
        <w:rPr>
          <w:sz w:val="24"/>
        </w:rPr>
        <w:t>Datos personales (3 ítems): considera aspectos tales cómo nombre, edad, número de seguro social.</w:t>
      </w:r>
    </w:p>
    <w:p>
      <w:pPr>
        <w:pStyle w:val="ListParagraph"/>
        <w:numPr>
          <w:ilvl w:val="0"/>
          <w:numId w:val="10"/>
        </w:numPr>
        <w:tabs>
          <w:tab w:pos="261" w:val="left" w:leader="none"/>
        </w:tabs>
        <w:spacing w:line="274" w:lineRule="exact" w:before="0" w:after="0"/>
        <w:ind w:left="260" w:right="0" w:hanging="144"/>
        <w:jc w:val="both"/>
        <w:rPr>
          <w:sz w:val="24"/>
        </w:rPr>
      </w:pPr>
      <w:r>
        <w:rPr>
          <w:sz w:val="24"/>
        </w:rPr>
        <w:t>Datos Demográficos (3 ítems): sexo, estado civil, nivel educativo.</w:t>
      </w:r>
    </w:p>
    <w:p>
      <w:pPr>
        <w:pStyle w:val="ListParagraph"/>
        <w:numPr>
          <w:ilvl w:val="0"/>
          <w:numId w:val="10"/>
        </w:numPr>
        <w:tabs>
          <w:tab w:pos="272" w:val="left" w:leader="none"/>
        </w:tabs>
        <w:spacing w:line="242" w:lineRule="auto" w:before="0" w:after="0"/>
        <w:ind w:left="116" w:right="103" w:firstLine="0"/>
        <w:jc w:val="both"/>
        <w:rPr>
          <w:sz w:val="24"/>
        </w:rPr>
      </w:pPr>
      <w:r>
        <w:rPr>
          <w:sz w:val="24"/>
        </w:rPr>
        <w:t>Datos Médicos (2 ítems): tiempo de evolución desde el diagnostico Insuficiencia Renal y tipo de tratamiento actual.</w:t>
      </w:r>
    </w:p>
    <w:p>
      <w:pPr>
        <w:pStyle w:val="ListParagraph"/>
        <w:numPr>
          <w:ilvl w:val="0"/>
          <w:numId w:val="10"/>
        </w:numPr>
        <w:tabs>
          <w:tab w:pos="261" w:val="left" w:leader="none"/>
        </w:tabs>
        <w:spacing w:line="271" w:lineRule="exact" w:before="0" w:after="0"/>
        <w:ind w:left="260" w:right="0" w:hanging="144"/>
        <w:jc w:val="both"/>
        <w:rPr>
          <w:sz w:val="24"/>
        </w:rPr>
      </w:pPr>
      <w:r>
        <w:rPr>
          <w:sz w:val="24"/>
        </w:rPr>
        <w:t>Datos composición familiar (2 ítems): número y parentesco de sus</w:t>
      </w:r>
      <w:r>
        <w:rPr>
          <w:spacing w:val="-6"/>
          <w:sz w:val="24"/>
        </w:rPr>
        <w:t> </w:t>
      </w:r>
      <w:r>
        <w:rPr>
          <w:sz w:val="24"/>
        </w:rPr>
        <w:t>co-habitantes.</w:t>
      </w:r>
    </w:p>
    <w:p>
      <w:pPr>
        <w:pStyle w:val="ListParagraph"/>
        <w:numPr>
          <w:ilvl w:val="0"/>
          <w:numId w:val="10"/>
        </w:numPr>
        <w:tabs>
          <w:tab w:pos="298" w:val="left" w:leader="none"/>
        </w:tabs>
        <w:spacing w:line="240" w:lineRule="auto" w:before="2" w:after="0"/>
        <w:ind w:left="116" w:right="103" w:firstLine="0"/>
        <w:jc w:val="both"/>
        <w:rPr>
          <w:sz w:val="24"/>
        </w:rPr>
      </w:pPr>
      <w:r>
        <w:rPr>
          <w:sz w:val="24"/>
        </w:rPr>
        <w:t>Datos de la Actividad laboral y Manutención (6 ítems): considera el tipo de actividad laboral que realiza el entrevistado así cómo si de él dependen económicamente otras personas o si él es económicamente dependiente de otros.</w:t>
      </w:r>
    </w:p>
    <w:p>
      <w:pPr>
        <w:pStyle w:val="BodyText"/>
      </w:pPr>
    </w:p>
    <w:p>
      <w:pPr>
        <w:pStyle w:val="BodyText"/>
        <w:rPr>
          <w:sz w:val="31"/>
        </w:rPr>
      </w:pPr>
    </w:p>
    <w:p>
      <w:pPr>
        <w:pStyle w:val="Heading1"/>
        <w:numPr>
          <w:ilvl w:val="1"/>
          <w:numId w:val="10"/>
        </w:numPr>
        <w:tabs>
          <w:tab w:pos="836" w:val="left" w:leader="none"/>
          <w:tab w:pos="837" w:val="left" w:leader="none"/>
        </w:tabs>
        <w:spacing w:line="240" w:lineRule="auto" w:before="0" w:after="0"/>
        <w:ind w:left="836" w:right="0" w:hanging="360"/>
        <w:jc w:val="left"/>
      </w:pPr>
      <w:r>
        <w:rPr/>
        <w:t>CEDULA DE REGISTRO DE PERITONITIS</w:t>
      </w:r>
    </w:p>
    <w:p>
      <w:pPr>
        <w:pStyle w:val="BodyText"/>
        <w:rPr>
          <w:b/>
          <w:sz w:val="21"/>
        </w:rPr>
      </w:pPr>
    </w:p>
    <w:p>
      <w:pPr>
        <w:pStyle w:val="BodyText"/>
        <w:ind w:left="116" w:right="103"/>
        <w:jc w:val="both"/>
      </w:pPr>
      <w:r>
        <w:rPr/>
        <w:t>Es instrumento de recolección de datos, consiste en una cédula de 46 reactivos en ocho bloques, uno correspondiente a datos generales del paciente, los siguientes relativos a causa de peritonitis, revisión de la técnica, tratamiento de peritonitis, cultivo, datos de hospitalización, resultado final y seguimiento del tratamiento.</w:t>
      </w:r>
    </w:p>
    <w:p>
      <w:pPr>
        <w:pStyle w:val="BodyText"/>
      </w:pPr>
    </w:p>
    <w:p>
      <w:pPr>
        <w:pStyle w:val="BodyText"/>
        <w:spacing w:before="11"/>
        <w:rPr>
          <w:sz w:val="23"/>
        </w:rPr>
      </w:pPr>
    </w:p>
    <w:p>
      <w:pPr>
        <w:pStyle w:val="Heading1"/>
        <w:numPr>
          <w:ilvl w:val="1"/>
          <w:numId w:val="10"/>
        </w:numPr>
        <w:tabs>
          <w:tab w:pos="836" w:val="left" w:leader="none"/>
          <w:tab w:pos="837" w:val="left" w:leader="none"/>
        </w:tabs>
        <w:spacing w:line="240" w:lineRule="auto" w:before="0" w:after="0"/>
        <w:ind w:left="836" w:right="0" w:hanging="360"/>
        <w:jc w:val="left"/>
      </w:pPr>
      <w:r>
        <w:rPr/>
        <w:t>ESCALA DE HOLMES</w:t>
      </w:r>
    </w:p>
    <w:p>
      <w:pPr>
        <w:pStyle w:val="BodyText"/>
        <w:rPr>
          <w:b/>
          <w:sz w:val="21"/>
        </w:rPr>
      </w:pPr>
    </w:p>
    <w:p>
      <w:pPr>
        <w:pStyle w:val="BodyText"/>
        <w:ind w:left="116" w:right="103"/>
        <w:jc w:val="both"/>
      </w:pPr>
      <w:r>
        <w:rPr/>
        <w:t>Es una lista que adjudica un factor determinado a eventos en la vida del hombre que son causantes de estrés, señala 43 ítems, determinando un puntaje y cuya sumatoria refleja  crisis leve, moderada o severa de acuerdo a los resultados.</w:t>
      </w:r>
    </w:p>
    <w:p>
      <w:pPr>
        <w:pStyle w:val="BodyText"/>
      </w:pPr>
    </w:p>
    <w:p>
      <w:pPr>
        <w:pStyle w:val="BodyText"/>
        <w:spacing w:before="11"/>
        <w:rPr>
          <w:sz w:val="23"/>
        </w:rPr>
      </w:pPr>
    </w:p>
    <w:p>
      <w:pPr>
        <w:pStyle w:val="Heading1"/>
        <w:numPr>
          <w:ilvl w:val="1"/>
          <w:numId w:val="10"/>
        </w:numPr>
        <w:tabs>
          <w:tab w:pos="836" w:val="left" w:leader="none"/>
          <w:tab w:pos="837" w:val="left" w:leader="none"/>
        </w:tabs>
        <w:spacing w:line="240" w:lineRule="auto" w:before="0" w:after="0"/>
        <w:ind w:left="836" w:right="0" w:hanging="360"/>
        <w:jc w:val="left"/>
      </w:pPr>
      <w:r>
        <w:rPr/>
        <w:t>ESCALA DE ASSIS (Arizona Social Support Interview</w:t>
      </w:r>
      <w:r>
        <w:rPr>
          <w:spacing w:val="-1"/>
        </w:rPr>
        <w:t> </w:t>
      </w:r>
      <w:r>
        <w:rPr/>
        <w:t>Schedule)</w:t>
      </w:r>
    </w:p>
    <w:p>
      <w:pPr>
        <w:pStyle w:val="BodyText"/>
        <w:rPr>
          <w:b/>
          <w:sz w:val="21"/>
        </w:rPr>
      </w:pPr>
    </w:p>
    <w:p>
      <w:pPr>
        <w:pStyle w:val="BodyText"/>
        <w:ind w:left="116" w:right="103"/>
        <w:jc w:val="both"/>
      </w:pPr>
      <w:r>
        <w:rPr/>
        <w:t>Se administra a partir de una entrevista semiestructurada y utilizando una rejilla para recoger las respuestas. Las preguntas planteadas identifica quiénes son los miembros que componen la red social en función de la pertenencia a las siguientes dimensiones de apoyo.</w:t>
      </w:r>
    </w:p>
    <w:p>
      <w:pPr>
        <w:spacing w:after="0"/>
        <w:jc w:val="both"/>
        <w:sectPr>
          <w:pgSz w:w="12240" w:h="15840"/>
          <w:pgMar w:header="0" w:footer="972" w:top="1360" w:bottom="1220" w:left="1580" w:right="1600"/>
        </w:sectPr>
      </w:pPr>
    </w:p>
    <w:p>
      <w:pPr>
        <w:pStyle w:val="BodyText"/>
        <w:spacing w:before="50"/>
        <w:ind w:left="116" w:right="103"/>
        <w:jc w:val="both"/>
      </w:pPr>
      <w:r>
        <w:rPr/>
        <w:t>Tiene 4 índices separados que indican el tamaño de las redes percibidas (números 1 de las funciones A-G), el tamaño de las redes efectivas (números 2 de las funciones A-G), la satisfacción del soporte (números 3 de las funciones A-F) y la necesidad del soporte (números 4 de las funciones A-F), de modo que el puntaje de los dos primeros índices se obtiene de la cantidad de personas que conforman cada red, mientras que el puntaje de los dos segundos se obtiene de la siguiente manera:</w:t>
      </w:r>
    </w:p>
    <w:p>
      <w:pPr>
        <w:pStyle w:val="ListParagraph"/>
        <w:numPr>
          <w:ilvl w:val="0"/>
          <w:numId w:val="10"/>
        </w:numPr>
        <w:tabs>
          <w:tab w:pos="353" w:val="left" w:leader="none"/>
        </w:tabs>
        <w:spacing w:line="242" w:lineRule="auto" w:before="0" w:after="0"/>
        <w:ind w:left="116" w:right="103" w:firstLine="0"/>
        <w:jc w:val="both"/>
        <w:rPr>
          <w:sz w:val="24"/>
        </w:rPr>
      </w:pPr>
      <w:r>
        <w:rPr>
          <w:sz w:val="24"/>
        </w:rPr>
        <w:t>Satisfacción del soporte: 1 muy insatisfecho, 2 poco satisfecho, 3 indiferente, 4 moderadamente satisfecho, 5 muy satisfecho,</w:t>
      </w:r>
    </w:p>
    <w:p>
      <w:pPr>
        <w:pStyle w:val="ListParagraph"/>
        <w:numPr>
          <w:ilvl w:val="0"/>
          <w:numId w:val="10"/>
        </w:numPr>
        <w:tabs>
          <w:tab w:pos="289" w:val="left" w:leader="none"/>
        </w:tabs>
        <w:spacing w:line="242" w:lineRule="auto" w:before="0" w:after="0"/>
        <w:ind w:left="116" w:right="103" w:firstLine="0"/>
        <w:jc w:val="both"/>
        <w:rPr>
          <w:sz w:val="24"/>
        </w:rPr>
      </w:pPr>
      <w:r>
        <w:rPr>
          <w:sz w:val="24"/>
        </w:rPr>
        <w:t>Necesidad el soporte: 1 ninguna necesidad, 2 poca necesidad, 3 necesidad moderada, 4 mucha necesidad, 5 muchísima necesidad.</w:t>
      </w:r>
    </w:p>
    <w:p>
      <w:pPr>
        <w:pStyle w:val="BodyText"/>
        <w:ind w:left="116" w:right="103"/>
        <w:jc w:val="both"/>
      </w:pPr>
      <w:r>
        <w:rPr/>
        <w:t>Asimismo, el ASSIS cuenta con una sección que describe las características de las personas que conforman la red social del individuo en cuanto a parentesco, edad, sexo, distancia física y frecuencia del contacto se refiere.</w:t>
      </w:r>
    </w:p>
    <w:p>
      <w:pPr>
        <w:pStyle w:val="BodyText"/>
      </w:pPr>
    </w:p>
    <w:p>
      <w:pPr>
        <w:pStyle w:val="BodyText"/>
      </w:pPr>
    </w:p>
    <w:p>
      <w:pPr>
        <w:pStyle w:val="BodyText"/>
      </w:pPr>
    </w:p>
    <w:p>
      <w:pPr>
        <w:pStyle w:val="Heading1"/>
        <w:numPr>
          <w:ilvl w:val="2"/>
          <w:numId w:val="19"/>
        </w:numPr>
        <w:tabs>
          <w:tab w:pos="4813" w:val="left" w:leader="none"/>
        </w:tabs>
        <w:spacing w:line="240" w:lineRule="auto" w:before="0" w:after="0"/>
        <w:ind w:left="4812" w:right="0" w:hanging="687"/>
        <w:jc w:val="left"/>
      </w:pPr>
      <w:bookmarkStart w:name="_TOC_250012" w:id="32"/>
      <w:bookmarkEnd w:id="32"/>
      <w:r>
        <w:rPr/>
        <w:t>VALIDACIÓN</w:t>
      </w:r>
    </w:p>
    <w:p>
      <w:pPr>
        <w:pStyle w:val="BodyText"/>
        <w:rPr>
          <w:b/>
        </w:rPr>
      </w:pPr>
    </w:p>
    <w:p>
      <w:pPr>
        <w:pStyle w:val="BodyText"/>
        <w:spacing w:before="4"/>
        <w:rPr>
          <w:b/>
          <w:sz w:val="34"/>
        </w:rPr>
      </w:pPr>
    </w:p>
    <w:p>
      <w:pPr>
        <w:pStyle w:val="ListParagraph"/>
        <w:numPr>
          <w:ilvl w:val="1"/>
          <w:numId w:val="10"/>
        </w:numPr>
        <w:tabs>
          <w:tab w:pos="1043" w:val="left" w:leader="none"/>
          <w:tab w:pos="1044" w:val="left" w:leader="none"/>
        </w:tabs>
        <w:spacing w:line="240" w:lineRule="auto" w:before="0" w:after="0"/>
        <w:ind w:left="1043" w:right="0" w:hanging="360"/>
        <w:jc w:val="left"/>
        <w:rPr>
          <w:b/>
          <w:sz w:val="24"/>
        </w:rPr>
      </w:pPr>
      <w:r>
        <w:rPr>
          <w:b/>
          <w:sz w:val="24"/>
        </w:rPr>
        <w:t>CEDULA DE REGISTRO DE PERITONITIS</w:t>
      </w:r>
    </w:p>
    <w:p>
      <w:pPr>
        <w:pStyle w:val="BodyText"/>
        <w:spacing w:before="4"/>
        <w:rPr>
          <w:b/>
          <w:sz w:val="21"/>
        </w:rPr>
      </w:pPr>
    </w:p>
    <w:p>
      <w:pPr>
        <w:pStyle w:val="BodyText"/>
        <w:spacing w:before="1"/>
        <w:ind w:left="116" w:right="103"/>
        <w:jc w:val="both"/>
      </w:pPr>
      <w:r>
        <w:rPr/>
        <w:t>Proporcionada y validada por Baxter, principal laboratorio proveedor de solución para diálisis peritoneal, del Instituto Mexicano del Seguro Social, validado Institucionalmente y utilizado por ambos desde 2008 para vigilancia de casos de peritonitis.</w:t>
      </w:r>
    </w:p>
    <w:p>
      <w:pPr>
        <w:pStyle w:val="BodyText"/>
      </w:pPr>
    </w:p>
    <w:p>
      <w:pPr>
        <w:pStyle w:val="BodyText"/>
        <w:spacing w:before="6"/>
        <w:rPr>
          <w:sz w:val="23"/>
        </w:rPr>
      </w:pPr>
    </w:p>
    <w:p>
      <w:pPr>
        <w:pStyle w:val="Heading1"/>
        <w:numPr>
          <w:ilvl w:val="1"/>
          <w:numId w:val="10"/>
        </w:numPr>
        <w:tabs>
          <w:tab w:pos="1043" w:val="left" w:leader="none"/>
          <w:tab w:pos="1044" w:val="left" w:leader="none"/>
        </w:tabs>
        <w:spacing w:line="240" w:lineRule="auto" w:before="0" w:after="0"/>
        <w:ind w:left="1043" w:right="0" w:hanging="360"/>
        <w:jc w:val="left"/>
      </w:pPr>
      <w:r>
        <w:rPr/>
        <w:t>ESCALA DE HOLMES</w:t>
      </w:r>
    </w:p>
    <w:p>
      <w:pPr>
        <w:pStyle w:val="BodyText"/>
        <w:spacing w:before="4"/>
        <w:rPr>
          <w:b/>
          <w:sz w:val="21"/>
        </w:rPr>
      </w:pPr>
    </w:p>
    <w:p>
      <w:pPr>
        <w:pStyle w:val="BodyText"/>
        <w:spacing w:before="1"/>
        <w:ind w:left="116" w:right="103"/>
        <w:jc w:val="both"/>
      </w:pPr>
      <w:r>
        <w:rPr/>
        <w:t>En 1967, los psiquiatras Thomas Holmes y Richard Rahe examinaron los registros médicos de más de 5.000 pacientes. Sus resultados fueron publicados en la Escala de Reajuste Social (SRR) más conocido como Escala de Estrés Holmes y Rahe. Validaciones posteriores ha apoyado los vínculos entre el estrés y la disfunción familiar.</w:t>
      </w:r>
    </w:p>
    <w:p>
      <w:pPr>
        <w:pStyle w:val="BodyText"/>
      </w:pPr>
    </w:p>
    <w:p>
      <w:pPr>
        <w:pStyle w:val="BodyText"/>
        <w:spacing w:before="2"/>
        <w:rPr>
          <w:sz w:val="30"/>
        </w:rPr>
      </w:pPr>
    </w:p>
    <w:p>
      <w:pPr>
        <w:pStyle w:val="Heading1"/>
        <w:numPr>
          <w:ilvl w:val="1"/>
          <w:numId w:val="10"/>
        </w:numPr>
        <w:tabs>
          <w:tab w:pos="1043" w:val="left" w:leader="none"/>
          <w:tab w:pos="1044" w:val="left" w:leader="none"/>
        </w:tabs>
        <w:spacing w:line="240" w:lineRule="auto" w:before="0" w:after="0"/>
        <w:ind w:left="1043" w:right="0" w:hanging="360"/>
        <w:jc w:val="left"/>
      </w:pPr>
      <w:r>
        <w:rPr/>
        <w:t>ESCALA DE ASSIS (Arizona Social Support Interview</w:t>
      </w:r>
      <w:r>
        <w:rPr>
          <w:spacing w:val="-1"/>
        </w:rPr>
        <w:t> </w:t>
      </w:r>
      <w:r>
        <w:rPr/>
        <w:t>Schedule)</w:t>
      </w:r>
    </w:p>
    <w:p>
      <w:pPr>
        <w:pStyle w:val="BodyText"/>
        <w:spacing w:before="4"/>
        <w:rPr>
          <w:b/>
          <w:sz w:val="21"/>
        </w:rPr>
      </w:pPr>
    </w:p>
    <w:p>
      <w:pPr>
        <w:pStyle w:val="BodyText"/>
        <w:spacing w:before="1"/>
        <w:ind w:left="116" w:right="103"/>
        <w:jc w:val="both"/>
      </w:pPr>
      <w:r>
        <w:rPr/>
        <w:t>La Escala de ASSIS fue originalmente aplicado a 45 estudiantes universitarios de Estados Unidos de América (24 mujeres y 21 hombres) con una edad promedio de 19 a 20 años respectivamente. La confiabilidad se determinó al aplicar el método de test-retest a las funciones y a los tipos del soporte social, calculándose las correlaciones producto momento de Pearson en los individuos que dieron al menos una forma de soporte social, con lo que  se obtuvo un alto coeficiente de confiabilidad test-retest, tanto en la forma como en el tamaño de la red percibida (r=0.60, p[.001]). Por otro lado, también se evaluó la confiabilidad por consistencia interna, utilizándose el coeficiente de correlación de alpha de Cronbach,  tanto  para  el  soporte  social  percibido  como  para  el  efectivo,  </w:t>
      </w:r>
      <w:r>
        <w:rPr>
          <w:spacing w:val="4"/>
        </w:rPr>
        <w:t> </w:t>
      </w:r>
      <w:r>
        <w:rPr/>
        <w:t>obteniéndose</w:t>
      </w:r>
    </w:p>
    <w:p>
      <w:pPr>
        <w:spacing w:after="0"/>
        <w:jc w:val="both"/>
        <w:sectPr>
          <w:pgSz w:w="12240" w:h="15840"/>
          <w:pgMar w:header="0" w:footer="972" w:top="1360" w:bottom="1220" w:left="1580" w:right="1600"/>
        </w:sectPr>
      </w:pPr>
    </w:p>
    <w:p>
      <w:pPr>
        <w:pStyle w:val="BodyText"/>
        <w:spacing w:line="242" w:lineRule="auto" w:before="50"/>
        <w:ind w:left="116" w:right="103"/>
        <w:jc w:val="both"/>
      </w:pPr>
      <w:r>
        <w:rPr/>
        <w:t>valores de 0.78 y 0.74 respectivamente, con lo que se determinó que la prueba era  confiable.</w:t>
      </w:r>
    </w:p>
    <w:p>
      <w:pPr>
        <w:pStyle w:val="BodyText"/>
        <w:spacing w:before="71"/>
        <w:ind w:left="116" w:right="103"/>
        <w:jc w:val="both"/>
      </w:pPr>
      <w:r>
        <w:rPr/>
        <w:t>La validez se estableció según el criterio de 9 jueces entendidos en la materia y, dado que  se hallaron altos índices de acuerdo para todos los ítems, se determinó que el inventario poseía validez de contenido. En el Perú, el IESSA fue adaptado por Rojas (1991) y, en lo que respecta al área de salud, ha sido estudiada por Chávez-Ferrer (1995) y Fasce (1999) en población adulta con VIH, y por Oblitas (2001) con mujeres alcohólicas en recuperación.</w:t>
      </w:r>
    </w:p>
    <w:p>
      <w:pPr>
        <w:pStyle w:val="BodyText"/>
      </w:pPr>
    </w:p>
    <w:p>
      <w:pPr>
        <w:pStyle w:val="BodyText"/>
        <w:spacing w:before="4"/>
        <w:rPr>
          <w:sz w:val="28"/>
        </w:rPr>
      </w:pPr>
    </w:p>
    <w:p>
      <w:pPr>
        <w:pStyle w:val="Heading1"/>
        <w:numPr>
          <w:ilvl w:val="2"/>
          <w:numId w:val="19"/>
        </w:numPr>
        <w:tabs>
          <w:tab w:pos="2364" w:val="left" w:leader="none"/>
        </w:tabs>
        <w:spacing w:line="240" w:lineRule="auto" w:before="0" w:after="0"/>
        <w:ind w:left="2363" w:right="0" w:hanging="687"/>
        <w:jc w:val="left"/>
      </w:pPr>
      <w:bookmarkStart w:name="_TOC_250011" w:id="33"/>
      <w:bookmarkEnd w:id="33"/>
      <w:r>
        <w:rPr/>
        <w:t>APLICACIÓN</w:t>
      </w:r>
    </w:p>
    <w:p>
      <w:pPr>
        <w:pStyle w:val="BodyText"/>
        <w:rPr>
          <w:b/>
        </w:rPr>
      </w:pPr>
    </w:p>
    <w:p>
      <w:pPr>
        <w:pStyle w:val="BodyText"/>
        <w:spacing w:before="4"/>
        <w:rPr>
          <w:b/>
          <w:sz w:val="34"/>
        </w:rPr>
      </w:pPr>
    </w:p>
    <w:p>
      <w:pPr>
        <w:pStyle w:val="ListParagraph"/>
        <w:numPr>
          <w:ilvl w:val="1"/>
          <w:numId w:val="10"/>
        </w:numPr>
        <w:tabs>
          <w:tab w:pos="1043" w:val="left" w:leader="none"/>
          <w:tab w:pos="1044" w:val="left" w:leader="none"/>
        </w:tabs>
        <w:spacing w:line="240" w:lineRule="auto" w:before="0" w:after="0"/>
        <w:ind w:left="1043" w:right="0" w:hanging="360"/>
        <w:jc w:val="left"/>
        <w:rPr>
          <w:b/>
          <w:sz w:val="24"/>
        </w:rPr>
      </w:pPr>
      <w:r>
        <w:rPr>
          <w:b/>
          <w:sz w:val="24"/>
        </w:rPr>
        <w:t>CEDULA DE REGISTRO DE PERITONITIS</w:t>
      </w:r>
    </w:p>
    <w:p>
      <w:pPr>
        <w:pStyle w:val="BodyText"/>
        <w:spacing w:before="4"/>
        <w:rPr>
          <w:b/>
          <w:sz w:val="21"/>
        </w:rPr>
      </w:pPr>
    </w:p>
    <w:p>
      <w:pPr>
        <w:pStyle w:val="BodyText"/>
        <w:spacing w:before="1"/>
        <w:ind w:left="116" w:right="103"/>
        <w:jc w:val="both"/>
      </w:pPr>
      <w:r>
        <w:rPr/>
        <w:t>Se llevó a cabo en un período de 12 meses, en el servicio de Dialisis Peritoneal, durante los cuales se realizó interrogatorio dirigido y análisis de Expediente Clínico, Cárdex de DPCA, hoja de registros de peritonitis del programa para pacientes adscritos al programa de DPCA a una población de  251 pacientes con caso de Peritonitis.</w:t>
      </w:r>
    </w:p>
    <w:p>
      <w:pPr>
        <w:pStyle w:val="BodyText"/>
      </w:pPr>
    </w:p>
    <w:p>
      <w:pPr>
        <w:pStyle w:val="BodyText"/>
        <w:spacing w:before="11"/>
        <w:rPr>
          <w:sz w:val="23"/>
        </w:rPr>
      </w:pPr>
    </w:p>
    <w:p>
      <w:pPr>
        <w:pStyle w:val="Heading1"/>
        <w:numPr>
          <w:ilvl w:val="1"/>
          <w:numId w:val="10"/>
        </w:numPr>
        <w:tabs>
          <w:tab w:pos="1043" w:val="left" w:leader="none"/>
          <w:tab w:pos="1044" w:val="left" w:leader="none"/>
        </w:tabs>
        <w:spacing w:line="240" w:lineRule="auto" w:before="0" w:after="0"/>
        <w:ind w:left="1043" w:right="0" w:hanging="360"/>
        <w:jc w:val="left"/>
      </w:pPr>
      <w:r>
        <w:rPr/>
        <w:t>ESCALA DE HOLMES</w:t>
      </w:r>
    </w:p>
    <w:p>
      <w:pPr>
        <w:pStyle w:val="BodyText"/>
        <w:rPr>
          <w:b/>
          <w:sz w:val="21"/>
        </w:rPr>
      </w:pPr>
    </w:p>
    <w:p>
      <w:pPr>
        <w:pStyle w:val="BodyText"/>
        <w:spacing w:line="242" w:lineRule="auto"/>
        <w:ind w:left="116" w:right="103"/>
        <w:jc w:val="both"/>
      </w:pPr>
      <w:r>
        <w:rPr/>
        <w:t>Fue llenado por cada paciente bajo la asesoría de la tesista, en el Módulo de Dialisis Peritoneal el último viernes de cada mes.</w:t>
      </w:r>
    </w:p>
    <w:p>
      <w:pPr>
        <w:pStyle w:val="BodyText"/>
      </w:pPr>
    </w:p>
    <w:p>
      <w:pPr>
        <w:pStyle w:val="BodyText"/>
        <w:spacing w:before="3"/>
        <w:rPr>
          <w:sz w:val="23"/>
        </w:rPr>
      </w:pPr>
    </w:p>
    <w:p>
      <w:pPr>
        <w:pStyle w:val="Heading1"/>
        <w:numPr>
          <w:ilvl w:val="1"/>
          <w:numId w:val="10"/>
        </w:numPr>
        <w:tabs>
          <w:tab w:pos="1043" w:val="left" w:leader="none"/>
          <w:tab w:pos="1044" w:val="left" w:leader="none"/>
        </w:tabs>
        <w:spacing w:line="240" w:lineRule="auto" w:before="0" w:after="0"/>
        <w:ind w:left="1043" w:right="0" w:hanging="360"/>
        <w:jc w:val="left"/>
      </w:pPr>
      <w:r>
        <w:rPr/>
        <w:t>ESCALA DE ASSIS (Arizona Social Support Interview</w:t>
      </w:r>
      <w:r>
        <w:rPr>
          <w:spacing w:val="-1"/>
        </w:rPr>
        <w:t> </w:t>
      </w:r>
      <w:r>
        <w:rPr/>
        <w:t>Schedule)</w:t>
      </w:r>
    </w:p>
    <w:p>
      <w:pPr>
        <w:pStyle w:val="BodyText"/>
        <w:spacing w:before="4"/>
        <w:rPr>
          <w:b/>
          <w:sz w:val="21"/>
        </w:rPr>
      </w:pPr>
    </w:p>
    <w:p>
      <w:pPr>
        <w:pStyle w:val="BodyText"/>
        <w:spacing w:before="1"/>
        <w:ind w:left="116" w:right="103"/>
        <w:jc w:val="both"/>
      </w:pPr>
      <w:r>
        <w:rPr/>
        <w:t>Fue llenado por La tesista en el Modulo de Dialisis Peritoneal, los viernes de cada semana; lo largo de la entrevista cada individuo ha de decir quiénes son las personas de su entorno que les ofrecen cada uno de los tipos de ayuda evaluados. Además, refiere y valora el grado en que habían necesitado durante el último mes cada uno de los tipos de ayuda, así como el grado de satisfacción con el apoyo recibido en cada una de las áreas.</w:t>
      </w:r>
    </w:p>
    <w:p>
      <w:pPr>
        <w:pStyle w:val="BodyText"/>
      </w:pPr>
    </w:p>
    <w:p>
      <w:pPr>
        <w:pStyle w:val="BodyText"/>
      </w:pPr>
    </w:p>
    <w:p>
      <w:pPr>
        <w:pStyle w:val="BodyText"/>
        <w:spacing w:before="6"/>
        <w:rPr>
          <w:sz w:val="23"/>
        </w:rPr>
      </w:pPr>
    </w:p>
    <w:p>
      <w:pPr>
        <w:pStyle w:val="Heading1"/>
        <w:numPr>
          <w:ilvl w:val="1"/>
          <w:numId w:val="19"/>
        </w:numPr>
        <w:tabs>
          <w:tab w:pos="2064" w:val="left" w:leader="none"/>
        </w:tabs>
        <w:spacing w:line="240" w:lineRule="auto" w:before="0" w:after="0"/>
        <w:ind w:left="2063" w:right="0" w:hanging="507"/>
        <w:jc w:val="left"/>
      </w:pPr>
      <w:bookmarkStart w:name="_TOC_250010" w:id="34"/>
      <w:bookmarkEnd w:id="34"/>
      <w:r>
        <w:rPr/>
        <w:t>DESARROLLO DEL PROYECTO</w:t>
      </w:r>
    </w:p>
    <w:p>
      <w:pPr>
        <w:pStyle w:val="BodyText"/>
        <w:rPr>
          <w:b/>
          <w:sz w:val="21"/>
        </w:rPr>
      </w:pPr>
    </w:p>
    <w:p>
      <w:pPr>
        <w:pStyle w:val="BodyText"/>
        <w:spacing w:before="1"/>
        <w:ind w:left="116" w:right="103"/>
        <w:jc w:val="both"/>
      </w:pPr>
      <w:r>
        <w:rPr/>
        <w:t>El presente estudio es de tipo observacional, prospectivo, transversal, y descriptivo, se llevó a cabo en un período de 12 meses, durante 2011, en el Módulo de Diálisis Peritoneal a una población de  251 pacientes diagnosticados con  Peritonitis.</w:t>
      </w:r>
    </w:p>
    <w:p>
      <w:pPr>
        <w:pStyle w:val="BodyText"/>
      </w:pPr>
    </w:p>
    <w:p>
      <w:pPr>
        <w:pStyle w:val="BodyText"/>
        <w:ind w:left="116" w:right="103"/>
        <w:jc w:val="both"/>
      </w:pPr>
      <w:r>
        <w:rPr/>
        <w:t>Se elaboró el protocolo de Investigación y se sometió para su aprobación ante el comité del HGR 220. Una vez recibida la aprobación se seleccionó a los pacientes portadores de Peritonitis.</w:t>
      </w:r>
    </w:p>
    <w:p>
      <w:pPr>
        <w:spacing w:after="0"/>
        <w:jc w:val="both"/>
        <w:sectPr>
          <w:pgSz w:w="12240" w:h="15840"/>
          <w:pgMar w:header="0" w:footer="972" w:top="1360" w:bottom="1220" w:left="1580" w:right="1600"/>
        </w:sectPr>
      </w:pPr>
    </w:p>
    <w:p>
      <w:pPr>
        <w:pStyle w:val="BodyText"/>
        <w:spacing w:before="50"/>
        <w:ind w:left="116" w:right="103"/>
        <w:jc w:val="both"/>
      </w:pPr>
      <w:r>
        <w:rPr/>
        <w:t>La medición de los procedimientos de valoración y registro de Peritonitis, se llevó a cabo bajo el llenado del instrumento “Registro de Peritonitis”, bajo interrogatorio directo,  análisis del expediente clínico, cárdex de DPCA.</w:t>
      </w:r>
    </w:p>
    <w:p>
      <w:pPr>
        <w:pStyle w:val="BodyText"/>
      </w:pPr>
    </w:p>
    <w:p>
      <w:pPr>
        <w:pStyle w:val="BodyText"/>
        <w:spacing w:line="242" w:lineRule="auto"/>
        <w:ind w:left="116" w:right="103"/>
        <w:jc w:val="both"/>
      </w:pPr>
      <w:r>
        <w:rPr/>
        <w:t>Se citó a los pacientes diagnosticados con Peritonitis semanalmente para la aplicación de la Escala ASSIS y mensualmente  para la aplicación de la Escala de Holmes.</w:t>
      </w:r>
    </w:p>
    <w:p>
      <w:pPr>
        <w:pStyle w:val="BodyText"/>
        <w:spacing w:before="8"/>
        <w:rPr>
          <w:sz w:val="23"/>
        </w:rPr>
      </w:pPr>
    </w:p>
    <w:p>
      <w:pPr>
        <w:pStyle w:val="BodyText"/>
        <w:spacing w:before="1"/>
        <w:ind w:left="116" w:right="103"/>
        <w:jc w:val="both"/>
      </w:pPr>
      <w:r>
        <w:rPr/>
        <w:t>Los datos correspondientes se recogieron en una cédula de 46 reactivos en ocho bloques, uno correspondiente a datos generales del paciente, los siguientes relativos a causa de peritonitis, revisión de la técnica, tratamiento de peritonitis, cultivo, datos de hospitalización, resultado final y seguimiento del tratamiento.</w:t>
      </w:r>
    </w:p>
    <w:p>
      <w:pPr>
        <w:pStyle w:val="BodyText"/>
      </w:pPr>
    </w:p>
    <w:p>
      <w:pPr>
        <w:pStyle w:val="BodyText"/>
        <w:spacing w:line="242" w:lineRule="auto"/>
        <w:ind w:left="116" w:right="103"/>
        <w:jc w:val="both"/>
      </w:pPr>
      <w:r>
        <w:rPr/>
        <w:t>Se Identificó la Prevalencia de Peritonitis, Cuadro Clínico, Hallazgos de Laboratorio, Evolución y Complicaciones  asociadas.</w:t>
      </w:r>
    </w:p>
    <w:p>
      <w:pPr>
        <w:pStyle w:val="BodyText"/>
        <w:spacing w:before="2"/>
      </w:pPr>
    </w:p>
    <w:p>
      <w:pPr>
        <w:pStyle w:val="BodyText"/>
        <w:spacing w:line="274" w:lineRule="exact"/>
        <w:ind w:left="116" w:right="103"/>
        <w:jc w:val="both"/>
      </w:pPr>
      <w:r>
        <w:rPr/>
        <w:t>Se evaluó la Escala de Holmes determinando un puntaje y cuya sumatoria se evaluó como crisis leve, moderada o severa de acuerdo a los resultados:</w:t>
      </w:r>
    </w:p>
    <w:p>
      <w:pPr>
        <w:pStyle w:val="BodyText"/>
        <w:spacing w:line="307" w:lineRule="auto" w:before="71"/>
        <w:ind w:left="116" w:right="4551"/>
      </w:pPr>
      <w:r>
        <w:rPr/>
        <w:t>Puntuación &gt;300: disfunción severa Puntuación de 200-299: disfunción moderada Puntuación 150-199: disfunción leve Puntuación &lt;150 -: sin disfunción</w:t>
      </w:r>
    </w:p>
    <w:p>
      <w:pPr>
        <w:pStyle w:val="BodyText"/>
        <w:spacing w:before="9"/>
        <w:rPr>
          <w:sz w:val="23"/>
        </w:rPr>
      </w:pPr>
    </w:p>
    <w:p>
      <w:pPr>
        <w:pStyle w:val="BodyText"/>
        <w:ind w:left="116" w:right="103"/>
        <w:jc w:val="both"/>
      </w:pPr>
      <w:r>
        <w:rPr/>
        <w:t>Se aplicó la escala de ASSIS para describir diversas dimensiones del apoyo social de estos pacientes y las principales características de sus redes de apoyo, teniendo en cuenta los miembros de la red social de apoyo. Clasificando los diversos indicadores relativos al tamaño y a la composición de la red social, al grado de necesidad de apoyo, a la utilización de la red para obtenerlo y a la satisfacción con el apoyo recibido por parte del sujeto evaluado</w:t>
      </w:r>
    </w:p>
    <w:p>
      <w:pPr>
        <w:pStyle w:val="BodyText"/>
      </w:pPr>
    </w:p>
    <w:p>
      <w:pPr>
        <w:pStyle w:val="BodyText"/>
        <w:ind w:left="116" w:right="103"/>
        <w:jc w:val="both"/>
      </w:pPr>
      <w:r>
        <w:rPr/>
        <w:t>Se confeccionó una base de datos en el Microsoft Access para el análisis de los resultados, se realizaron consultas simples y con referencias cruzadas. Todos los cálculos, tablas y gráficos se realizaron a través del programa Microsoft Excel.</w:t>
      </w:r>
    </w:p>
    <w:p>
      <w:pPr>
        <w:pStyle w:val="BodyText"/>
      </w:pPr>
    </w:p>
    <w:p>
      <w:pPr>
        <w:pStyle w:val="BodyText"/>
        <w:ind w:left="116" w:right="103"/>
        <w:jc w:val="both"/>
      </w:pPr>
      <w:r>
        <w:rPr/>
        <w:t>Para el análisis y la elaboración de los resultados obtenidos se utilizaron las medidas de resumen siguientes: la proporción, (variables cualitativas) la media aritmética como medida de tendencia central y la desviación estándar (variables cuantitativas).</w:t>
      </w:r>
    </w:p>
    <w:p>
      <w:pPr>
        <w:pStyle w:val="BodyText"/>
        <w:spacing w:before="4"/>
      </w:pPr>
    </w:p>
    <w:p>
      <w:pPr>
        <w:pStyle w:val="BodyText"/>
        <w:spacing w:line="274" w:lineRule="exact" w:before="1"/>
        <w:ind w:left="116" w:right="103"/>
        <w:jc w:val="both"/>
      </w:pPr>
      <w:r>
        <w:rPr/>
        <w:t>Se elaboró una base de datos para su análisis, comparación y para su posterior interpretación y descripción de resultados.</w:t>
      </w:r>
    </w:p>
    <w:p>
      <w:pPr>
        <w:pStyle w:val="BodyText"/>
        <w:spacing w:before="8"/>
        <w:rPr>
          <w:sz w:val="23"/>
        </w:rPr>
      </w:pPr>
    </w:p>
    <w:p>
      <w:pPr>
        <w:pStyle w:val="BodyText"/>
        <w:ind w:left="116"/>
        <w:jc w:val="both"/>
      </w:pPr>
      <w:r>
        <w:rPr/>
        <w:t>Se realizó y revisó la tesis para su liberación y presentación.</w:t>
      </w:r>
    </w:p>
    <w:p>
      <w:pPr>
        <w:spacing w:after="0"/>
        <w:jc w:val="both"/>
        <w:sectPr>
          <w:pgSz w:w="12240" w:h="15840"/>
          <w:pgMar w:header="0" w:footer="972" w:top="1360" w:bottom="1220" w:left="1580" w:right="1600"/>
        </w:sectPr>
      </w:pPr>
    </w:p>
    <w:p>
      <w:pPr>
        <w:pStyle w:val="Heading1"/>
        <w:numPr>
          <w:ilvl w:val="1"/>
          <w:numId w:val="19"/>
        </w:numPr>
        <w:tabs>
          <w:tab w:pos="1835" w:val="left" w:leader="none"/>
        </w:tabs>
        <w:spacing w:line="240" w:lineRule="auto" w:before="45" w:after="0"/>
        <w:ind w:left="1834" w:right="0" w:hanging="507"/>
        <w:jc w:val="left"/>
      </w:pPr>
      <w:bookmarkStart w:name="_TOC_250009" w:id="35"/>
      <w:bookmarkEnd w:id="35"/>
      <w:r>
        <w:rPr/>
        <w:t>LÍMITE DE ESPACIO</w:t>
      </w:r>
    </w:p>
    <w:p>
      <w:pPr>
        <w:pStyle w:val="BodyText"/>
        <w:spacing w:before="5"/>
        <w:rPr>
          <w:b/>
          <w:sz w:val="21"/>
        </w:rPr>
      </w:pPr>
    </w:p>
    <w:p>
      <w:pPr>
        <w:pStyle w:val="BodyText"/>
        <w:spacing w:line="275" w:lineRule="exact"/>
        <w:ind w:left="116"/>
        <w:jc w:val="both"/>
      </w:pPr>
      <w:r>
        <w:rPr/>
        <w:t>El estudio se realizara en el Módulo de Diálisis Peritoneal, del Hospital General Regional</w:t>
      </w:r>
    </w:p>
    <w:p>
      <w:pPr>
        <w:pStyle w:val="BodyText"/>
        <w:spacing w:line="275" w:lineRule="exact"/>
        <w:ind w:left="116"/>
        <w:jc w:val="both"/>
      </w:pPr>
      <w:r>
        <w:rPr/>
        <w:t>#220/UMF 220, José Vicente Villada, en la Ciudad de Toluca.</w:t>
      </w:r>
    </w:p>
    <w:p>
      <w:pPr>
        <w:pStyle w:val="BodyText"/>
      </w:pPr>
    </w:p>
    <w:p>
      <w:pPr>
        <w:pStyle w:val="BodyText"/>
        <w:spacing w:before="9"/>
        <w:rPr>
          <w:sz w:val="23"/>
        </w:rPr>
      </w:pPr>
    </w:p>
    <w:p>
      <w:pPr>
        <w:pStyle w:val="Heading1"/>
        <w:numPr>
          <w:ilvl w:val="1"/>
          <w:numId w:val="19"/>
        </w:numPr>
        <w:tabs>
          <w:tab w:pos="1835" w:val="left" w:leader="none"/>
        </w:tabs>
        <w:spacing w:line="240" w:lineRule="auto" w:before="0" w:after="0"/>
        <w:ind w:left="1834" w:right="0" w:hanging="507"/>
        <w:jc w:val="left"/>
      </w:pPr>
      <w:bookmarkStart w:name="_TOC_250008" w:id="36"/>
      <w:bookmarkEnd w:id="36"/>
      <w:r>
        <w:rPr/>
        <w:t>LÍMITE DE TIEMPO</w:t>
      </w:r>
    </w:p>
    <w:p>
      <w:pPr>
        <w:pStyle w:val="BodyText"/>
        <w:spacing w:before="5"/>
        <w:rPr>
          <w:b/>
          <w:sz w:val="21"/>
        </w:rPr>
      </w:pPr>
    </w:p>
    <w:p>
      <w:pPr>
        <w:pStyle w:val="BodyText"/>
        <w:ind w:left="116"/>
        <w:jc w:val="both"/>
      </w:pPr>
      <w:r>
        <w:rPr/>
        <w:t>Durante el período de Enero a Diciembre del año 2011.</w:t>
      </w:r>
    </w:p>
    <w:p>
      <w:pPr>
        <w:pStyle w:val="BodyText"/>
      </w:pPr>
    </w:p>
    <w:p>
      <w:pPr>
        <w:pStyle w:val="BodyText"/>
        <w:spacing w:before="4"/>
        <w:rPr>
          <w:sz w:val="23"/>
        </w:rPr>
      </w:pPr>
    </w:p>
    <w:p>
      <w:pPr>
        <w:pStyle w:val="Heading1"/>
        <w:numPr>
          <w:ilvl w:val="1"/>
          <w:numId w:val="19"/>
        </w:numPr>
        <w:tabs>
          <w:tab w:pos="1835" w:val="left" w:leader="none"/>
        </w:tabs>
        <w:spacing w:line="240" w:lineRule="auto" w:before="0" w:after="0"/>
        <w:ind w:left="1834" w:right="0" w:hanging="507"/>
        <w:jc w:val="left"/>
      </w:pPr>
      <w:bookmarkStart w:name="_TOC_250007" w:id="37"/>
      <w:bookmarkEnd w:id="37"/>
      <w:r>
        <w:rPr/>
        <w:t>DISEÑO DE ANÁLISIS</w:t>
      </w:r>
    </w:p>
    <w:p>
      <w:pPr>
        <w:pStyle w:val="BodyText"/>
        <w:spacing w:before="5"/>
        <w:rPr>
          <w:b/>
          <w:sz w:val="21"/>
        </w:rPr>
      </w:pPr>
    </w:p>
    <w:p>
      <w:pPr>
        <w:pStyle w:val="BodyText"/>
        <w:ind w:left="116"/>
        <w:jc w:val="both"/>
      </w:pPr>
      <w:r>
        <w:rPr/>
        <w:t>Los datos obtenidos se resumieron en tablas de frecuencias y porcentajes.</w:t>
      </w:r>
    </w:p>
    <w:p>
      <w:pPr>
        <w:pStyle w:val="BodyText"/>
        <w:spacing w:before="2"/>
        <w:ind w:left="116" w:right="103"/>
        <w:jc w:val="both"/>
      </w:pPr>
      <w:r>
        <w:rPr/>
        <w:t>Mediante análisis descriptivo de las variables del estudio, se capturaron los resultados con  el programa SPSS v17 y EPI-info en español. Se realizó una base de datos, previa codificación de las variables de estudio, se revisó la información contenida. Además de los procedimientos descriptivos, en las variables cualitativas se calcularon frecuencias simples y proporciones; en las variables continuas, las medidas de tendencia central (media, mediana y moda) y dispersión. Se realizaron frecuencias con porcentajes para las variables nominales así como para variables socio-demográficas. En el análisis bi-variado, para la diferenciación de las medias de las variables continuas se utilizó t de Student; para las no continuas, la U de Mann-Whitney; y como prueba estadística, la χ de Mantel- Haenzel con significancia estadística.</w:t>
      </w:r>
    </w:p>
    <w:p>
      <w:pPr>
        <w:pStyle w:val="BodyText"/>
        <w:spacing w:before="4"/>
      </w:pPr>
    </w:p>
    <w:p>
      <w:pPr>
        <w:pStyle w:val="BodyText"/>
        <w:spacing w:line="274" w:lineRule="exact" w:before="1"/>
        <w:ind w:left="116" w:right="103"/>
        <w:jc w:val="both"/>
      </w:pPr>
      <w:r>
        <w:rPr/>
        <w:t>Para realizar las comparaciones entre los resultados de ambas muestras, en caso de una variable cualitativa, se realiza la prueba de chi-cuadrada.</w:t>
      </w:r>
    </w:p>
    <w:p>
      <w:pPr>
        <w:pStyle w:val="BodyText"/>
        <w:spacing w:line="274" w:lineRule="exact" w:before="4"/>
        <w:ind w:left="116" w:right="103"/>
        <w:jc w:val="both"/>
      </w:pPr>
      <w:r>
        <w:rPr/>
        <w:t>En caso de una variable cuantitativa, se realiza mediante una estimación de la diferencia entre medias.</w:t>
      </w:r>
    </w:p>
    <w:p>
      <w:pPr>
        <w:pStyle w:val="BodyText"/>
        <w:spacing w:line="274" w:lineRule="exact" w:before="4"/>
        <w:ind w:left="116" w:right="103"/>
        <w:jc w:val="both"/>
      </w:pPr>
      <w:r>
        <w:rPr/>
        <w:t>Se trabajó en todos los casos con un nivel de significación estadística en los contrastes de p menor a 0.05.</w:t>
      </w:r>
    </w:p>
    <w:p>
      <w:pPr>
        <w:spacing w:after="0" w:line="274" w:lineRule="exact"/>
        <w:jc w:val="both"/>
        <w:sectPr>
          <w:pgSz w:w="12240" w:h="15840"/>
          <w:pgMar w:header="0" w:footer="972" w:top="1360" w:bottom="1220" w:left="1580" w:right="1600"/>
        </w:sectPr>
      </w:pPr>
    </w:p>
    <w:p>
      <w:pPr>
        <w:pStyle w:val="ListParagraph"/>
        <w:numPr>
          <w:ilvl w:val="0"/>
          <w:numId w:val="4"/>
        </w:numPr>
        <w:tabs>
          <w:tab w:pos="3727" w:val="left" w:leader="none"/>
          <w:tab w:pos="3729" w:val="left" w:leader="none"/>
        </w:tabs>
        <w:spacing w:line="240" w:lineRule="auto" w:before="59" w:after="0"/>
        <w:ind w:left="3728" w:right="0" w:hanging="720"/>
        <w:jc w:val="left"/>
        <w:rPr>
          <w:b/>
          <w:sz w:val="21"/>
        </w:rPr>
      </w:pPr>
      <w:r>
        <w:rPr>
          <w:b/>
          <w:w w:val="105"/>
          <w:sz w:val="21"/>
        </w:rPr>
        <w:t>IMPLICACIONES</w:t>
      </w:r>
      <w:r>
        <w:rPr>
          <w:b/>
          <w:spacing w:val="-21"/>
          <w:w w:val="105"/>
          <w:sz w:val="21"/>
        </w:rPr>
        <w:t> </w:t>
      </w:r>
      <w:r>
        <w:rPr>
          <w:b/>
          <w:w w:val="105"/>
          <w:sz w:val="21"/>
        </w:rPr>
        <w:t>ÉTICAS</w:t>
      </w:r>
    </w:p>
    <w:p>
      <w:pPr>
        <w:pStyle w:val="BodyText"/>
        <w:spacing w:before="9"/>
        <w:rPr>
          <w:b/>
          <w:sz w:val="20"/>
        </w:rPr>
      </w:pPr>
    </w:p>
    <w:p>
      <w:pPr>
        <w:pStyle w:val="BodyText"/>
        <w:ind w:left="116" w:right="103"/>
        <w:jc w:val="both"/>
      </w:pPr>
      <w:r>
        <w:rPr/>
        <w:t>Previa autorización del comité de investigación local, consentimiento informado a los pacientes que reunieron criterios de inclusión, cuya participación fue voluntaria, y se utilizarán códigos, omitiendo el nombre del paciente y la información se manejó con estricta confidencialidad y se utilizó la información sólo para fines de estudio, previa información de los objetivos, y beneficios que el estudio conlleva.</w:t>
      </w:r>
    </w:p>
    <w:p>
      <w:pPr>
        <w:pStyle w:val="BodyText"/>
      </w:pPr>
    </w:p>
    <w:p>
      <w:pPr>
        <w:pStyle w:val="BodyText"/>
        <w:ind w:left="116" w:right="103"/>
        <w:jc w:val="both"/>
      </w:pPr>
      <w:r>
        <w:rPr/>
        <w:t>Se realizó recolección de datos, aplicación de las escalas Holmes y ASSIS. Apegándose a las normas éticas para su elaboración, promoviendo el respeto de los derechos humanos. Se trata de un estudio observacional donde no se realiza ningún tipo de intervención sobre la integridad  física, psicológica y/o moral de los participantes.</w:t>
      </w:r>
    </w:p>
    <w:p>
      <w:pPr>
        <w:pStyle w:val="BodyText"/>
      </w:pPr>
    </w:p>
    <w:p>
      <w:pPr>
        <w:pStyle w:val="BodyText"/>
        <w:ind w:left="116" w:right="103"/>
        <w:jc w:val="both"/>
      </w:pPr>
      <w:r>
        <w:rPr/>
        <w:t>De acuerdo al Reglamento de la Ley General de Salud en materia de investigación para la salud de la Secretaria de Salud (SSA 2000), en toda investigación en la que el ser humano sea sujeto de estudio, deberá prevalecer el criterio al respeto a su dignidad, protección de sus derechos, su bienestar y su privacidad (Articulo 13 y 16).</w:t>
      </w:r>
    </w:p>
    <w:p>
      <w:pPr>
        <w:pStyle w:val="BodyText"/>
      </w:pPr>
    </w:p>
    <w:p>
      <w:pPr>
        <w:pStyle w:val="BodyText"/>
        <w:spacing w:line="242" w:lineRule="auto"/>
        <w:ind w:left="116" w:right="103"/>
        <w:jc w:val="both"/>
      </w:pPr>
      <w:r>
        <w:rPr/>
        <w:t>Cuenta con el consentimiento informado y por escrito del sujeto de investigación quien recibió una explicación clara y completa (Articulo 1-1, 20 y 21).</w:t>
      </w:r>
    </w:p>
    <w:p>
      <w:pPr>
        <w:pStyle w:val="BodyText"/>
        <w:spacing w:before="2"/>
      </w:pPr>
    </w:p>
    <w:p>
      <w:pPr>
        <w:pStyle w:val="BodyText"/>
        <w:spacing w:line="274" w:lineRule="exact"/>
        <w:ind w:left="116" w:right="103"/>
        <w:jc w:val="both"/>
      </w:pPr>
      <w:r>
        <w:rPr/>
        <w:t>Se ajusta a la Ley General de Salud sobre experimentación sobre seres humanos, en los artículos 21, 23, 33, 89, 90. Las leyes vigentes del comité de Investigación del IMSS.</w:t>
      </w:r>
    </w:p>
    <w:p>
      <w:pPr>
        <w:pStyle w:val="BodyText"/>
        <w:spacing w:before="8"/>
        <w:rPr>
          <w:sz w:val="23"/>
        </w:rPr>
      </w:pPr>
    </w:p>
    <w:p>
      <w:pPr>
        <w:pStyle w:val="BodyText"/>
        <w:ind w:left="116" w:right="103" w:firstLine="60"/>
        <w:jc w:val="both"/>
      </w:pPr>
      <w:r>
        <w:rPr/>
        <w:t>Se cumplió con los lineamientos establecidos en el Código Internacional de Investigación: Declaración de Helsinki de la Sociedad Médica Mundial, Declaración de Ginebra de la Asociación Médica Mundial y las Normas de GCP (Good Clinical Practice). De acuerdo al Reglamento de la Ley General de Salud en materia de Investigación en Salud. Titulo segundo, Capítulo I, Artículo 17, Sección I, Investigación sin riesgo.</w:t>
      </w:r>
    </w:p>
    <w:p>
      <w:pPr>
        <w:pStyle w:val="BodyText"/>
      </w:pPr>
    </w:p>
    <w:p>
      <w:pPr>
        <w:pStyle w:val="BodyText"/>
        <w:spacing w:line="242" w:lineRule="auto"/>
        <w:ind w:left="116" w:right="103"/>
        <w:jc w:val="both"/>
      </w:pPr>
      <w:r>
        <w:rPr/>
        <w:t>Así como la Declaración de Ginebra de la Asociación Médica Mundial, Código Internacional de Ética Médica y Asociación Médica Mundial.</w:t>
      </w:r>
    </w:p>
    <w:p>
      <w:pPr>
        <w:spacing w:after="0" w:line="242" w:lineRule="auto"/>
        <w:jc w:val="both"/>
        <w:sectPr>
          <w:pgSz w:w="12240" w:h="15840"/>
          <w:pgMar w:header="0" w:footer="972" w:top="1360" w:bottom="1220" w:left="1580" w:right="16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8"/>
        </w:rPr>
      </w:pPr>
    </w:p>
    <w:p>
      <w:pPr>
        <w:pStyle w:val="Heading1"/>
        <w:numPr>
          <w:ilvl w:val="0"/>
          <w:numId w:val="4"/>
        </w:numPr>
        <w:tabs>
          <w:tab w:pos="4102" w:val="left" w:leader="none"/>
          <w:tab w:pos="4103" w:val="left" w:leader="none"/>
        </w:tabs>
        <w:spacing w:line="240" w:lineRule="auto" w:before="69" w:after="0"/>
        <w:ind w:left="4102" w:right="0" w:hanging="720"/>
        <w:jc w:val="left"/>
        <w:rPr>
          <w:sz w:val="21"/>
        </w:rPr>
      </w:pPr>
      <w:bookmarkStart w:name="_TOC_250006" w:id="38"/>
      <w:bookmarkEnd w:id="38"/>
      <w:r>
        <w:rPr/>
        <w:t>ORGANIZACIÓN</w:t>
      </w:r>
    </w:p>
    <w:p>
      <w:pPr>
        <w:pStyle w:val="BodyText"/>
        <w:rPr>
          <w:b/>
        </w:rPr>
      </w:pPr>
    </w:p>
    <w:p>
      <w:pPr>
        <w:pStyle w:val="BodyText"/>
        <w:spacing w:before="8"/>
        <w:rPr>
          <w:b/>
          <w:sz w:val="21"/>
        </w:rPr>
      </w:pPr>
    </w:p>
    <w:p>
      <w:pPr>
        <w:pStyle w:val="BodyText"/>
        <w:spacing w:line="274" w:lineRule="exact"/>
        <w:ind w:left="116" w:right="2904"/>
      </w:pPr>
      <w:r>
        <w:rPr/>
        <w:t>UNIVERSIDAD AUTÓNOMA DEL ESTADO DE MÉXICO FACULTAD DE MEDICINA</w:t>
      </w:r>
    </w:p>
    <w:p>
      <w:pPr>
        <w:pStyle w:val="BodyText"/>
        <w:spacing w:before="8"/>
        <w:rPr>
          <w:sz w:val="23"/>
        </w:rPr>
      </w:pPr>
    </w:p>
    <w:p>
      <w:pPr>
        <w:pStyle w:val="BodyText"/>
        <w:spacing w:line="242" w:lineRule="auto"/>
        <w:ind w:left="116" w:right="1671"/>
      </w:pPr>
      <w:r>
        <w:rPr/>
        <w:t>COORDINACIÓN DE INVESTIGACIÓN Y ESTUDIOS AVANZADOS COORDINACIÓN DE LA ESPECIALIDAD EN MEDICINA FAMILIAR</w:t>
      </w:r>
    </w:p>
    <w:p>
      <w:pPr>
        <w:pStyle w:val="BodyText"/>
        <w:spacing w:before="8"/>
        <w:rPr>
          <w:sz w:val="23"/>
        </w:rPr>
      </w:pPr>
    </w:p>
    <w:p>
      <w:pPr>
        <w:pStyle w:val="BodyText"/>
        <w:spacing w:line="275" w:lineRule="exact" w:before="1"/>
        <w:ind w:left="116" w:right="1164"/>
      </w:pPr>
      <w:r>
        <w:rPr/>
        <w:t>INSTITUTO MEXICANO DEL SEGURO SOCIAL</w:t>
      </w:r>
    </w:p>
    <w:p>
      <w:pPr>
        <w:pStyle w:val="BodyText"/>
        <w:spacing w:line="242" w:lineRule="auto"/>
        <w:ind w:left="116" w:right="135"/>
      </w:pPr>
      <w:r>
        <w:rPr/>
        <w:t>HOSPITAL GENERAL REGIONALM /con UNIDAD DE MEDICINA FAMILIAR 220 “JOSÉ VICENTE VILLADA”, TOLUCA, MEXICO.</w:t>
      </w:r>
    </w:p>
    <w:p>
      <w:pPr>
        <w:pStyle w:val="BodyText"/>
        <w:spacing w:before="2"/>
      </w:pPr>
    </w:p>
    <w:p>
      <w:pPr>
        <w:pStyle w:val="BodyText"/>
        <w:spacing w:line="274" w:lineRule="exact"/>
        <w:ind w:left="116" w:right="135"/>
      </w:pPr>
      <w:r>
        <w:rPr/>
        <w:t>DIRECTOR DE TESIS: E. en M.F. BLANCA ESTHELA ARIZMENDI MENDOZA TESISTA:  M.C. OLINCA SANCHEZ BLANCAS</w:t>
      </w:r>
    </w:p>
    <w:p>
      <w:pPr>
        <w:spacing w:after="0" w:line="274" w:lineRule="exact"/>
        <w:sectPr>
          <w:pgSz w:w="12240" w:h="15840"/>
          <w:pgMar w:header="0" w:footer="972" w:top="1500" w:bottom="1220" w:left="1580" w:right="1600"/>
        </w:sectPr>
      </w:pPr>
    </w:p>
    <w:p>
      <w:pPr>
        <w:pStyle w:val="Heading1"/>
        <w:numPr>
          <w:ilvl w:val="0"/>
          <w:numId w:val="4"/>
        </w:numPr>
        <w:tabs>
          <w:tab w:pos="3448" w:val="left" w:leader="none"/>
          <w:tab w:pos="3449" w:val="left" w:leader="none"/>
        </w:tabs>
        <w:spacing w:line="240" w:lineRule="auto" w:before="50" w:after="0"/>
        <w:ind w:left="3448" w:right="0" w:hanging="720"/>
        <w:jc w:val="left"/>
      </w:pPr>
      <w:r>
        <w:rPr/>
        <w:t>RESULTADOS Y DISCUSION</w:t>
      </w:r>
    </w:p>
    <w:p>
      <w:pPr>
        <w:pStyle w:val="BodyText"/>
        <w:rPr>
          <w:b/>
        </w:rPr>
      </w:pPr>
    </w:p>
    <w:p>
      <w:pPr>
        <w:pStyle w:val="BodyText"/>
        <w:spacing w:before="7"/>
        <w:rPr>
          <w:b/>
        </w:rPr>
      </w:pPr>
    </w:p>
    <w:p>
      <w:pPr>
        <w:spacing w:line="242" w:lineRule="auto" w:before="0"/>
        <w:ind w:left="116" w:right="103" w:firstLine="0"/>
        <w:jc w:val="both"/>
        <w:rPr>
          <w:b/>
          <w:sz w:val="24"/>
        </w:rPr>
      </w:pPr>
      <w:r>
        <w:rPr>
          <w:b/>
          <w:sz w:val="24"/>
        </w:rPr>
        <w:t>Relación entre Funcionalidad Familiar y Apoyo Social en Pacientes con Peritonitis en Diálisis Peritoneal Continua Ambulatoria.</w:t>
      </w:r>
    </w:p>
    <w:p>
      <w:pPr>
        <w:pStyle w:val="BodyText"/>
        <w:spacing w:before="2"/>
        <w:rPr>
          <w:b/>
        </w:rPr>
      </w:pPr>
    </w:p>
    <w:p>
      <w:pPr>
        <w:pStyle w:val="BodyText"/>
        <w:spacing w:line="274" w:lineRule="exact"/>
        <w:ind w:left="116" w:right="103"/>
        <w:jc w:val="both"/>
      </w:pPr>
      <w:r>
        <w:rPr/>
        <w:t>El estudio permitió describir las características de la familia del paciente con insuficiencia renal crónica y hacer una reflexión acerca de su patología social.</w:t>
      </w:r>
    </w:p>
    <w:p>
      <w:pPr>
        <w:pStyle w:val="BodyText"/>
        <w:spacing w:before="8"/>
        <w:rPr>
          <w:sz w:val="23"/>
        </w:rPr>
      </w:pPr>
    </w:p>
    <w:p>
      <w:pPr>
        <w:pStyle w:val="BodyText"/>
        <w:ind w:left="116" w:right="103"/>
        <w:jc w:val="both"/>
      </w:pPr>
      <w:r>
        <w:rPr/>
        <w:t>Dado que es difícil determinar si la disfunción familiar puede ser causa o efecto de la no asistencia del paciente, sólo podemos inferir que la presión ejercida por el padecimiento crónico puede alterar las condiciones facilitadoras de la función familiar.</w:t>
      </w:r>
    </w:p>
    <w:p>
      <w:pPr>
        <w:pStyle w:val="BodyText"/>
      </w:pPr>
    </w:p>
    <w:p>
      <w:pPr>
        <w:pStyle w:val="BodyText"/>
        <w:ind w:left="116" w:right="103"/>
        <w:jc w:val="both"/>
      </w:pPr>
      <w:r>
        <w:rPr/>
        <w:t>Se observó que sólo 41 % de los pacientes recibió cuidados familiares, aunque esto no parece suficiente para afirmar que la participación familiar se da en situaciones extremas; los datos hacen pensar que estos enfermos tienen una red social más restringida debido a problemas relacionados con su participación en la problemática familiar, la capacidad para compartir problemas y su capacidad resolutiva, fenómenos relacionados con los procesos  de crisis familiar.</w:t>
      </w:r>
    </w:p>
    <w:p>
      <w:pPr>
        <w:pStyle w:val="BodyText"/>
      </w:pPr>
    </w:p>
    <w:p>
      <w:pPr>
        <w:pStyle w:val="BodyText"/>
        <w:ind w:left="116" w:right="103"/>
        <w:jc w:val="both"/>
      </w:pPr>
      <w:r>
        <w:rPr/>
        <w:t>En este sentido los resultados contrastan con lo señalado por algunos sociólogos que explican la función de protección e integración social como parte del concepto de apoyo familiar y social positivo ante situaciones de crisis familiar. En este estudio se encontró que la asistencia del paciente depende de la funcionalidad de la familia. Las dimensiones facilitadoras son condiciones que influyen en la comunicación intrafamiliar y el apoyo a la red familiar; cuando están ausentes son un factor de riesgo para disfunción familiar.</w:t>
      </w:r>
    </w:p>
    <w:p>
      <w:pPr>
        <w:pStyle w:val="BodyText"/>
      </w:pPr>
    </w:p>
    <w:p>
      <w:pPr>
        <w:pStyle w:val="BodyText"/>
      </w:pPr>
    </w:p>
    <w:p>
      <w:pPr>
        <w:pStyle w:val="BodyText"/>
      </w:pPr>
    </w:p>
    <w:p>
      <w:pPr>
        <w:pStyle w:val="Heading1"/>
        <w:jc w:val="both"/>
      </w:pPr>
      <w:r>
        <w:rPr/>
        <w:t>Prevalencia de Peritonitis en Pacientes con Diálisis Peritoneal Continua Ambulatoria</w:t>
      </w:r>
    </w:p>
    <w:p>
      <w:pPr>
        <w:pStyle w:val="BodyText"/>
        <w:rPr>
          <w:b/>
        </w:rPr>
      </w:pPr>
    </w:p>
    <w:p>
      <w:pPr>
        <w:pStyle w:val="BodyText"/>
        <w:ind w:left="116" w:right="103"/>
        <w:jc w:val="both"/>
      </w:pPr>
      <w:r>
        <w:rPr/>
        <w:t>Durante el período de 01 de Enero al 31 de Diciembre 2011, sólo en 251 pacientes se cumplieron los criterios para el diagnóstico de Peritonitis, secundaria a Diálisis Peritoneal, con un total de 471 eventos.</w:t>
      </w:r>
    </w:p>
    <w:p>
      <w:pPr>
        <w:pStyle w:val="BodyText"/>
      </w:pPr>
    </w:p>
    <w:p>
      <w:pPr>
        <w:pStyle w:val="BodyText"/>
        <w:ind w:left="116" w:right="103"/>
        <w:jc w:val="both"/>
      </w:pPr>
      <w:r>
        <w:rPr/>
        <w:t>La prevalencia de peritonitis en pacientes con DPCA fue de 72%, con 471 casos. El 42% presentó peritonitis por primera vez con 199 casos y 58% eventos recurrentes, con 272 casos, 52 pacientes presentaron más de un evento (Peritonitis Recurrente) y 199 Peritonitis de Primera vez.</w:t>
      </w:r>
    </w:p>
    <w:p>
      <w:pPr>
        <w:pStyle w:val="BodyText"/>
      </w:pPr>
    </w:p>
    <w:p>
      <w:pPr>
        <w:pStyle w:val="BodyText"/>
        <w:ind w:left="116" w:right="103"/>
        <w:jc w:val="both"/>
      </w:pPr>
      <w:r>
        <w:rPr/>
        <w:t>La prevalencia de peritonitis del 72% encontrada en el presente estudio no difiere en gran margen de lo reportado por otros autores, quienes han encontrado una tasa anual del 84%. La causa más frecuente de IRC de los pacientes tratados con DPCA fue idiopática, coincidiendo con lo reportado por Lacayo y López.</w:t>
      </w:r>
    </w:p>
    <w:p>
      <w:pPr>
        <w:pStyle w:val="BodyText"/>
        <w:spacing w:before="4"/>
      </w:pPr>
    </w:p>
    <w:p>
      <w:pPr>
        <w:pStyle w:val="BodyText"/>
        <w:spacing w:line="274" w:lineRule="exact" w:before="1"/>
        <w:ind w:left="116" w:right="103"/>
        <w:jc w:val="both"/>
      </w:pPr>
      <w:r>
        <w:rPr/>
        <w:t>Esto nos indica que la mayoría de los cuadros de peritonitis se desarrollan básicamente durante  la  etapa  de  entrenamiento  de  DPCA  (aproximadamente  cuatro  semanas     tras</w:t>
      </w:r>
    </w:p>
    <w:p>
      <w:pPr>
        <w:spacing w:after="0" w:line="274" w:lineRule="exact"/>
        <w:jc w:val="both"/>
        <w:sectPr>
          <w:pgSz w:w="12240" w:h="15840"/>
          <w:pgMar w:header="0" w:footer="972" w:top="1360" w:bottom="1220" w:left="1580" w:right="1600"/>
        </w:sectPr>
      </w:pPr>
    </w:p>
    <w:p>
      <w:pPr>
        <w:pStyle w:val="BodyText"/>
        <w:spacing w:line="242" w:lineRule="auto" w:before="50"/>
        <w:ind w:left="116" w:right="103"/>
        <w:jc w:val="both"/>
      </w:pPr>
      <w:r>
        <w:rPr/>
        <w:t>colocación de catéter Tenckhoff), y otro importante porcentaje durante el primer año de iniciada la misma.</w:t>
      </w:r>
    </w:p>
    <w:p>
      <w:pPr>
        <w:pStyle w:val="BodyText"/>
        <w:spacing w:before="11"/>
        <w:rPr>
          <w:sz w:val="23"/>
        </w:rPr>
      </w:pPr>
    </w:p>
    <w:p>
      <w:pPr>
        <w:pStyle w:val="BodyText"/>
        <w:spacing w:line="237" w:lineRule="auto"/>
        <w:ind w:left="116" w:right="103"/>
        <w:jc w:val="both"/>
      </w:pPr>
      <w:r>
        <w:rPr/>
        <w:t>El grupo de edad que prevaleció en estos pacientes fue de 35 a 40 años, lo que representó el 22% del total de pacientes, en el caso del sexo, fue mayor la cantidad de hombres en el grupo de estudio (58%) que el de mujeres (42%) coincidiendo con estudios realizados en estos pacientes.</w:t>
      </w:r>
      <w:r>
        <w:rPr>
          <w:position w:val="-2"/>
          <w:sz w:val="16"/>
        </w:rPr>
        <w:t>39,42 </w:t>
      </w:r>
      <w:r>
        <w:rPr/>
        <w:t>Las mujeres fueron mayoría en los grupos de edad de 31-35 años y de 36 a 40 años con un 6% y un 15% respectivamente, por su parte los hombres abundaron en los grupos de edad de 26 a 30 años (6%), 31-35(11%), así como a partir de los 41.</w:t>
      </w:r>
      <w:r>
        <w:rPr>
          <w:b/>
        </w:rPr>
        <w:t>(Tabla#1) </w:t>
      </w:r>
      <w:r>
        <w:rPr/>
        <w:t>La edad promedio fue de 41 años.</w:t>
      </w:r>
    </w:p>
    <w:p>
      <w:pPr>
        <w:pStyle w:val="BodyText"/>
      </w:pPr>
    </w:p>
    <w:p>
      <w:pPr>
        <w:pStyle w:val="BodyText"/>
      </w:pPr>
    </w:p>
    <w:p>
      <w:pPr>
        <w:pStyle w:val="BodyText"/>
        <w:spacing w:before="5"/>
      </w:pPr>
    </w:p>
    <w:p>
      <w:pPr>
        <w:pStyle w:val="Heading1"/>
        <w:spacing w:line="274" w:lineRule="exact"/>
        <w:ind w:right="103"/>
        <w:jc w:val="both"/>
      </w:pPr>
      <w:r>
        <w:rPr/>
        <w:t>Funcionalidad Familiar en Pacientes con Peritonitis en Diálisis Peritoneal Continua Ambulatoria.</w:t>
      </w:r>
    </w:p>
    <w:p>
      <w:pPr>
        <w:pStyle w:val="BodyText"/>
        <w:spacing w:before="8"/>
        <w:rPr>
          <w:b/>
          <w:sz w:val="23"/>
        </w:rPr>
      </w:pPr>
    </w:p>
    <w:p>
      <w:pPr>
        <w:pStyle w:val="BodyText"/>
        <w:ind w:left="116" w:right="103"/>
        <w:jc w:val="both"/>
      </w:pPr>
      <w:r>
        <w:rPr/>
        <w:t>En el análisis de la dinámica familiar y satisfacción del paciente con su vida familiar, se encontró que más de la mitad de los pacientes percibieron algún grado de disfunción familiar. El 61 % pertenecía a familia disfuncional.</w:t>
      </w:r>
    </w:p>
    <w:p>
      <w:pPr>
        <w:pStyle w:val="BodyText"/>
      </w:pPr>
    </w:p>
    <w:p>
      <w:pPr>
        <w:pStyle w:val="BodyText"/>
        <w:spacing w:line="242" w:lineRule="auto"/>
        <w:ind w:left="116" w:right="103"/>
        <w:jc w:val="both"/>
      </w:pPr>
      <w:r>
        <w:rPr/>
        <w:t>La prueba estadística identificó que la asistencia recibida por el enfermo dependía del grado de funcionalidad familiar (χ de Mantel- Haenzel 5.85, p = 0.015).</w:t>
      </w:r>
    </w:p>
    <w:p>
      <w:pPr>
        <w:pStyle w:val="BodyText"/>
        <w:ind w:left="116" w:right="103"/>
        <w:jc w:val="both"/>
      </w:pPr>
      <w:r>
        <w:rPr/>
        <w:t>Se evaluaron las medias en la variable de estrés familiar y se observó 127.2 ± 39.9 puntos para familias no disfuncionales y 259.7 ± 59.3 puntos para las disfuncionales. No se observó diferencia en la media de la edad ni en el número de integrantes de la familia.</w:t>
      </w:r>
    </w:p>
    <w:p>
      <w:pPr>
        <w:pStyle w:val="BodyText"/>
      </w:pPr>
    </w:p>
    <w:p>
      <w:pPr>
        <w:pStyle w:val="BodyText"/>
        <w:ind w:left="116" w:right="103"/>
        <w:jc w:val="both"/>
      </w:pPr>
      <w:r>
        <w:rPr/>
        <w:t>Se observó que la participación en la problemática familiar, la capacidad de compartir problemas y la capacidad resolutiva de la familia facilitan la función familiar y contribuyen de manera significativa en la asistencia al enfermo.</w:t>
      </w:r>
    </w:p>
    <w:p>
      <w:pPr>
        <w:pStyle w:val="BodyText"/>
        <w:spacing w:before="2"/>
      </w:pPr>
    </w:p>
    <w:p>
      <w:pPr>
        <w:pStyle w:val="BodyText"/>
        <w:spacing w:line="237" w:lineRule="auto"/>
        <w:ind w:left="116" w:right="103"/>
        <w:jc w:val="both"/>
      </w:pPr>
      <w:r>
        <w:rPr/>
        <w:t>Como se observa en la </w:t>
      </w:r>
      <w:r>
        <w:rPr>
          <w:b/>
        </w:rPr>
        <w:t>Tabla #4 </w:t>
      </w:r>
      <w:r>
        <w:rPr/>
        <w:t>el 53% de los sujetos investigados procedían de familias nucleares, el 34% de familias extensas y el 13% de familias ampliadas, estas cifras concuerdan con estudios precedentes</w:t>
      </w:r>
      <w:r>
        <w:rPr>
          <w:position w:val="-2"/>
          <w:sz w:val="16"/>
        </w:rPr>
        <w:t>40, 41 </w:t>
      </w:r>
      <w:r>
        <w:rPr/>
        <w:t>donde se plantea que aunque todavía predomina en nuestro medio la familia nuclear, es cada vez más abundante el número de hogares extensos y ampliados.</w:t>
      </w:r>
    </w:p>
    <w:p>
      <w:pPr>
        <w:pStyle w:val="BodyText"/>
      </w:pPr>
    </w:p>
    <w:p>
      <w:pPr>
        <w:pStyle w:val="BodyText"/>
        <w:ind w:left="116" w:right="103"/>
        <w:jc w:val="both"/>
      </w:pPr>
      <w:r>
        <w:rPr/>
        <w:t>Respecto al ciclo vital se puede observar en </w:t>
      </w:r>
      <w:r>
        <w:rPr>
          <w:b/>
        </w:rPr>
        <w:t>Tabla #5 </w:t>
      </w:r>
      <w:r>
        <w:rPr/>
        <w:t>siguiente que el predominio de familias con ciclos superpuestos (48%) lo que es un dato importante, que no solo reflejan la convivencia múltiple de varias parejas que comparten una misma vivienda, sino que enfrenta a estos grupos familiares a un cúmulo variado de tareas y problemas que pueden afectar la organización familiar y generar crisis, los que pueden ser múltiples y poner a la familia en situación de riesgo y vulnerabilidad. También abundan las familias en extensión (20%) y contracción (19%).</w:t>
      </w:r>
    </w:p>
    <w:p>
      <w:pPr>
        <w:pStyle w:val="BodyText"/>
        <w:spacing w:before="4"/>
      </w:pPr>
    </w:p>
    <w:p>
      <w:pPr>
        <w:pStyle w:val="BodyText"/>
        <w:spacing w:line="274" w:lineRule="exact" w:before="1"/>
        <w:ind w:left="116" w:right="103"/>
        <w:jc w:val="both"/>
      </w:pPr>
      <w:r>
        <w:rPr/>
        <w:t>En la </w:t>
      </w:r>
      <w:r>
        <w:rPr>
          <w:b/>
        </w:rPr>
        <w:t>Tabla #6 </w:t>
      </w:r>
      <w:r>
        <w:rPr/>
        <w:t>se refleja el grado de funcionalidad presente en las familias de los sujetos estudiados, siendo funcionales la mayoría con un 95%.</w:t>
      </w:r>
    </w:p>
    <w:p>
      <w:pPr>
        <w:spacing w:after="0" w:line="274" w:lineRule="exact"/>
        <w:jc w:val="both"/>
        <w:sectPr>
          <w:pgSz w:w="12240" w:h="15840"/>
          <w:pgMar w:header="0" w:footer="972" w:top="1360" w:bottom="1220" w:left="1580" w:right="1600"/>
        </w:sectPr>
      </w:pPr>
    </w:p>
    <w:p>
      <w:pPr>
        <w:pStyle w:val="BodyText"/>
        <w:spacing w:before="50"/>
        <w:ind w:left="116" w:right="103"/>
        <w:jc w:val="both"/>
        <w:rPr>
          <w:sz w:val="16"/>
        </w:rPr>
      </w:pPr>
      <w:r>
        <w:rPr/>
        <w:t>En la disfuncionalidad, a pesar de existir alteraciones en todas las categorías lo más frecuente fue poca correspondencia entre los intereses y necesidades individuales y familiares lo que genera desarmonía, poca capacidad de la familia para cambiar su estructura de poder, roles y reglas cuando es necesario, inadecuación de los roles familiares con sobrecarga en algunos miembros (casi siempre la mujer), poca permeabilidad familiar lo que dificulta su intercambio con el ambiente que le rodea. Esto no coincide con estudios previos donde se evalúa el nivel de funcionalidad familiar en estos pacientes, siendo superiores los valores de disfuncionalidad en el estudio realizado en</w:t>
      </w:r>
      <w:r>
        <w:rPr>
          <w:spacing w:val="-2"/>
        </w:rPr>
        <w:t> </w:t>
      </w:r>
      <w:r>
        <w:rPr/>
        <w:t>México.</w:t>
      </w:r>
      <w:r>
        <w:rPr>
          <w:position w:val="-2"/>
          <w:sz w:val="16"/>
        </w:rPr>
        <w:t>39</w:t>
      </w:r>
    </w:p>
    <w:p>
      <w:pPr>
        <w:pStyle w:val="BodyText"/>
      </w:pPr>
    </w:p>
    <w:p>
      <w:pPr>
        <w:pStyle w:val="BodyText"/>
      </w:pPr>
    </w:p>
    <w:p>
      <w:pPr>
        <w:pStyle w:val="BodyText"/>
        <w:spacing w:before="10"/>
        <w:rPr>
          <w:sz w:val="22"/>
        </w:rPr>
      </w:pPr>
    </w:p>
    <w:p>
      <w:pPr>
        <w:pStyle w:val="Heading1"/>
        <w:jc w:val="both"/>
      </w:pPr>
      <w:r>
        <w:rPr/>
        <w:t>Características de las Redes de Apoyo en Pacientes con Peritonitis en DPCA:</w:t>
      </w:r>
    </w:p>
    <w:p>
      <w:pPr>
        <w:pStyle w:val="BodyText"/>
        <w:rPr>
          <w:b/>
        </w:rPr>
      </w:pPr>
    </w:p>
    <w:p>
      <w:pPr>
        <w:pStyle w:val="BodyText"/>
        <w:ind w:left="116" w:right="103"/>
        <w:jc w:val="both"/>
      </w:pPr>
      <w:r>
        <w:rPr/>
        <w:t>En cuanto al tamaño, las familias presentaron un promedio de 5 ± 3 integrantes y un rango entre 1 y 9 personas. Sólo 81 % de las familias participó en la asistencia de los pacientes.  La mayor proporción de los pacientes recibía asistencia de un familiar directo.</w:t>
      </w:r>
    </w:p>
    <w:p>
      <w:pPr>
        <w:pStyle w:val="BodyText"/>
      </w:pPr>
    </w:p>
    <w:p>
      <w:pPr>
        <w:pStyle w:val="BodyText"/>
        <w:ind w:left="116" w:right="103"/>
        <w:jc w:val="both"/>
      </w:pPr>
      <w:r>
        <w:rPr/>
        <w:t>En la </w:t>
      </w:r>
      <w:r>
        <w:rPr>
          <w:b/>
        </w:rPr>
        <w:t>Tabla # 2 </w:t>
      </w:r>
      <w:r>
        <w:rPr/>
        <w:t>se expone el componente esencial de la red de apoyo de los Pacientes con Insuficiencia Renal en DPCA proviene de la co-residencia con el cónyuge o con otros miembros de la familia inmediata.</w:t>
      </w:r>
    </w:p>
    <w:p>
      <w:pPr>
        <w:pStyle w:val="BodyText"/>
      </w:pPr>
    </w:p>
    <w:p>
      <w:pPr>
        <w:pStyle w:val="BodyText"/>
        <w:ind w:left="116" w:right="103"/>
        <w:jc w:val="both"/>
      </w:pPr>
      <w:r>
        <w:rPr/>
        <w:t>Entre los Pacientes en DPCA aproximadamente un 12% vive solo, un 19% en pareja, y un 69% en un hogar multigeneracional. Quienes tienen hijos fuera del hogar presentan una alta frecuencia de contactos con ellos. Igualmente, quienes reciben ayuda económica la  perciben sobre todo de los hijos que viven fuera del hogar.</w:t>
      </w:r>
    </w:p>
    <w:p>
      <w:pPr>
        <w:pStyle w:val="BodyText"/>
      </w:pPr>
    </w:p>
    <w:p>
      <w:pPr>
        <w:pStyle w:val="BodyText"/>
        <w:ind w:left="116" w:right="103"/>
        <w:jc w:val="both"/>
      </w:pPr>
      <w:r>
        <w:rPr/>
        <w:t>El cuidado que reciben los Pacientes en DPCA proviene casi en su totalidad de la familia inmediata y en particular de las hijas co-residentes. Las mujeres son las que más brindan cuidados a este grupo, ya sea que residan o no en el hogar.</w:t>
      </w:r>
    </w:p>
    <w:p>
      <w:pPr>
        <w:pStyle w:val="BodyText"/>
      </w:pPr>
    </w:p>
    <w:p>
      <w:pPr>
        <w:pStyle w:val="BodyText"/>
        <w:ind w:left="116" w:right="103"/>
        <w:jc w:val="both"/>
      </w:pPr>
      <w:r>
        <w:rPr/>
        <w:t>La población en DPCA cumple un papel primordial dentro de la familia y no son solo receptores pasivos de ayuda. Aproximadamente uno de cada doce pacientes declaró cuidar  a otro adulto mayor, y la misma cantidad manifestó cuidar niños en el hogar. Muchos brindan ayuda económica a otros miembros de su familia.</w:t>
      </w:r>
    </w:p>
    <w:p>
      <w:pPr>
        <w:pStyle w:val="BodyText"/>
      </w:pPr>
    </w:p>
    <w:p>
      <w:pPr>
        <w:pStyle w:val="BodyText"/>
        <w:ind w:left="116" w:right="103"/>
        <w:jc w:val="both"/>
      </w:pPr>
      <w:r>
        <w:rPr/>
        <w:t>Aproximadamente una de cada cinco vive con el cónyuge y algo más del 10% viven solos. Estos últimos tienen una condición socioeconómica más baja y una red familiar reducida. En cambio, quienes viven en pareja reúnen las mejores condiciones socioeconómicas y uno de cada cuatro todavía trabaja.</w:t>
      </w:r>
    </w:p>
    <w:p>
      <w:pPr>
        <w:pStyle w:val="BodyText"/>
      </w:pPr>
    </w:p>
    <w:p>
      <w:pPr>
        <w:pStyle w:val="BodyText"/>
        <w:ind w:left="116" w:right="103"/>
        <w:jc w:val="both"/>
      </w:pPr>
      <w:r>
        <w:rPr/>
        <w:t>Las personas que viven en hogares multigeneracionales poseen una red más amplia tanto por el número de miembros como por la frecuencia de contactos con los familiares que viven fuera del hogar. Entre los hombres, uno de cada cuatro vive con el cónyuge frente a solo una de cada ocho mujeres.</w:t>
      </w:r>
    </w:p>
    <w:p>
      <w:pPr>
        <w:pStyle w:val="BodyText"/>
      </w:pPr>
    </w:p>
    <w:p>
      <w:pPr>
        <w:pStyle w:val="BodyText"/>
        <w:spacing w:line="242" w:lineRule="auto"/>
        <w:ind w:left="116" w:right="103"/>
        <w:jc w:val="both"/>
      </w:pPr>
      <w:r>
        <w:rPr/>
        <w:t>En el </w:t>
      </w:r>
      <w:r>
        <w:rPr>
          <w:b/>
        </w:rPr>
        <w:t>Tabla #9 </w:t>
      </w:r>
      <w:r>
        <w:rPr/>
        <w:t>podemos observar que las redes de apoyo de los pacientes nefrópatas estudiados se caracterizan por ser pequeñas en su mayoría (70%), situación que en principio</w:t>
      </w:r>
    </w:p>
    <w:p>
      <w:pPr>
        <w:spacing w:after="0" w:line="242" w:lineRule="auto"/>
        <w:jc w:val="both"/>
        <w:sectPr>
          <w:pgSz w:w="12240" w:h="15840"/>
          <w:pgMar w:header="0" w:footer="972" w:top="1360" w:bottom="1220" w:left="1580" w:right="1600"/>
        </w:sectPr>
      </w:pPr>
    </w:p>
    <w:p>
      <w:pPr>
        <w:pStyle w:val="BodyText"/>
        <w:spacing w:before="50"/>
        <w:ind w:left="116" w:right="103"/>
        <w:jc w:val="both"/>
      </w:pPr>
      <w:r>
        <w:rPr/>
        <w:t>no afecta el ofrecimiento del apoyo social pero si limita el número posible de relaciones y  la conducta de apoyo que pueden recibir estos pacientes, generando sobrecarga en los miembros de su red social.</w:t>
      </w:r>
    </w:p>
    <w:p>
      <w:pPr>
        <w:pStyle w:val="BodyText"/>
      </w:pPr>
    </w:p>
    <w:p>
      <w:pPr>
        <w:pStyle w:val="BodyText"/>
        <w:ind w:left="116" w:right="103"/>
        <w:jc w:val="both"/>
      </w:pPr>
      <w:r>
        <w:rPr/>
        <w:t>El </w:t>
      </w:r>
      <w:r>
        <w:rPr>
          <w:b/>
        </w:rPr>
        <w:t>Tabla #10 </w:t>
      </w:r>
      <w:r>
        <w:rPr/>
        <w:t>nos muestra que casi el total de los miembros de la red social están interconectados entre sí, es decir son redes densas, por lo que existen vínculos que van más allá del simple conocimiento de la existencia del otro y permiten relaciones más directas y profundas entre casi todos los miembros de la red, al igual que los sujetos infartados.34</w:t>
      </w:r>
    </w:p>
    <w:p>
      <w:pPr>
        <w:pStyle w:val="BodyText"/>
      </w:pPr>
    </w:p>
    <w:p>
      <w:pPr>
        <w:pStyle w:val="BodyText"/>
        <w:ind w:left="116" w:right="103"/>
        <w:jc w:val="both"/>
      </w:pPr>
      <w:r>
        <w:rPr/>
        <w:t>Como se observa en el </w:t>
      </w:r>
      <w:r>
        <w:rPr>
          <w:b/>
        </w:rPr>
        <w:t>Tabla #11 </w:t>
      </w:r>
      <w:r>
        <w:rPr/>
        <w:t>un gran número de pacientes (61%) refieren a los miembros del sexo femenino como principal proveedor de apoyo social, lo cual está en consonancia con los roles sexuales impuestos por la cultura patriarcal androcéntrica que impera en nuestro país, donde se ubica a la mujer como principal proveedora de apoyo, atenciones y cuidados para los demás, al margen de sus propias necesidades lo que potencia la vivencia de sobrecarga de roles que éstas pueden tener.</w:t>
      </w:r>
    </w:p>
    <w:p>
      <w:pPr>
        <w:pStyle w:val="BodyText"/>
      </w:pPr>
    </w:p>
    <w:p>
      <w:pPr>
        <w:pStyle w:val="BodyText"/>
      </w:pPr>
    </w:p>
    <w:p>
      <w:pPr>
        <w:pStyle w:val="BodyText"/>
      </w:pPr>
    </w:p>
    <w:p>
      <w:pPr>
        <w:pStyle w:val="Heading1"/>
        <w:jc w:val="both"/>
      </w:pPr>
      <w:r>
        <w:rPr/>
        <w:t>Caracterización del Apoyo Social en Pacientes con Peritonitis en DPCA:</w:t>
      </w:r>
    </w:p>
    <w:p>
      <w:pPr>
        <w:pStyle w:val="BodyText"/>
        <w:rPr>
          <w:b/>
        </w:rPr>
      </w:pPr>
    </w:p>
    <w:p>
      <w:pPr>
        <w:pStyle w:val="BodyText"/>
        <w:ind w:left="116" w:right="103"/>
        <w:jc w:val="both"/>
        <w:rPr>
          <w:sz w:val="16"/>
        </w:rPr>
      </w:pPr>
      <w:r>
        <w:rPr/>
        <w:t>Aunque la mayoría de los sujetos recibieron todos los tipos de apoyo podemos observar en la </w:t>
      </w:r>
      <w:r>
        <w:rPr>
          <w:b/>
        </w:rPr>
        <w:t>Tabla #8 </w:t>
      </w:r>
      <w:r>
        <w:rPr/>
        <w:t>que el apoyo instrumental es el más afectado pues un 9% manifestaron no recibirlo, seguido por un 3% que no recibió apoyo emocional y 1% que no recibió apoyo  del tipo informacional. Esto concuerda con lo encontrado en estudios precedentes realizados en enfermos crónicos, donde prevalecen el apoyo emocional e informacional como los principales recursos brindados por parte de la</w:t>
      </w:r>
      <w:r>
        <w:rPr>
          <w:spacing w:val="-5"/>
        </w:rPr>
        <w:t> </w:t>
      </w:r>
      <w:r>
        <w:rPr/>
        <w:t>red.</w:t>
      </w:r>
      <w:r>
        <w:rPr>
          <w:position w:val="-2"/>
          <w:sz w:val="16"/>
        </w:rPr>
        <w:t>9,35,36</w:t>
      </w:r>
    </w:p>
    <w:p>
      <w:pPr>
        <w:pStyle w:val="BodyText"/>
        <w:spacing w:before="10"/>
        <w:rPr>
          <w:sz w:val="22"/>
        </w:rPr>
      </w:pPr>
    </w:p>
    <w:p>
      <w:pPr>
        <w:pStyle w:val="BodyText"/>
        <w:ind w:left="116" w:right="103"/>
        <w:jc w:val="both"/>
        <w:rPr>
          <w:sz w:val="16"/>
        </w:rPr>
      </w:pPr>
      <w:r>
        <w:rPr/>
        <w:t>Se puede agregar que a pesar de que varios autores manifiestan que el apoyo informacional es brindado fundamentalmente por profesionales de la salud, esto no se comporta así en el estudio realizado, pues el rol del equipo de salud que atiende a estos pacientes está limitado a los aspectos médicos- asistenciales, siendo casi nula la percepción por parte del paciente del apoyo brindado por algún miembro del staff médico y de enfermería, así como del psicólogo o trabajadora social como posible proveedor de apoyo informacional en  particular y apoyo social en general.</w:t>
      </w:r>
      <w:r>
        <w:rPr>
          <w:spacing w:val="-5"/>
        </w:rPr>
        <w:t> </w:t>
      </w:r>
      <w:r>
        <w:rPr>
          <w:position w:val="-2"/>
          <w:sz w:val="16"/>
        </w:rPr>
        <w:t>9,37,38</w:t>
      </w:r>
    </w:p>
    <w:p>
      <w:pPr>
        <w:pStyle w:val="BodyText"/>
        <w:spacing w:before="10"/>
        <w:rPr>
          <w:sz w:val="22"/>
        </w:rPr>
      </w:pPr>
    </w:p>
    <w:p>
      <w:pPr>
        <w:pStyle w:val="BodyText"/>
        <w:ind w:left="116" w:right="103"/>
        <w:jc w:val="both"/>
      </w:pPr>
      <w:r>
        <w:rPr/>
        <w:t>En un sistema de salud como el del IMSS, con amplias posibilidades de cobertura y equidad, consideramos que es insuficiente la actuación del personal técnico y profesional como proveedores de apoyo social en estos pacientes. Nada se hace con acortar las distancias físicas si no se logra acortar las distancias humanas.</w:t>
      </w:r>
    </w:p>
    <w:p>
      <w:pPr>
        <w:pStyle w:val="BodyText"/>
      </w:pPr>
    </w:p>
    <w:p>
      <w:pPr>
        <w:pStyle w:val="BodyText"/>
      </w:pPr>
    </w:p>
    <w:p>
      <w:pPr>
        <w:pStyle w:val="BodyText"/>
      </w:pPr>
    </w:p>
    <w:p>
      <w:pPr>
        <w:pStyle w:val="Heading1"/>
        <w:jc w:val="both"/>
      </w:pPr>
      <w:r>
        <w:rPr/>
        <w:t>Dimensión del Apoyo Social en Pacientes con Peritonitis en DPCA:</w:t>
      </w:r>
    </w:p>
    <w:p>
      <w:pPr>
        <w:pStyle w:val="BodyText"/>
        <w:rPr>
          <w:b/>
        </w:rPr>
      </w:pPr>
    </w:p>
    <w:p>
      <w:pPr>
        <w:pStyle w:val="BodyText"/>
        <w:ind w:left="116" w:right="103"/>
        <w:jc w:val="both"/>
      </w:pPr>
      <w:r>
        <w:rPr/>
        <w:t>La mayoría de los pacientes contactaban a los miembros de su red social con una frecuencia diaria (82%) seguido por las personas que accedían a la red dos veces por semana (14%), según lo que refleja en la </w:t>
      </w:r>
      <w:r>
        <w:rPr>
          <w:b/>
        </w:rPr>
        <w:t>Tabla #12  </w:t>
      </w:r>
      <w:r>
        <w:rPr/>
        <w:t>Esto demuestra que la mayoría de los miembros de  la</w:t>
      </w:r>
    </w:p>
    <w:p>
      <w:pPr>
        <w:spacing w:after="0"/>
        <w:jc w:val="both"/>
        <w:sectPr>
          <w:footerReference w:type="default" r:id="rId11"/>
          <w:pgSz w:w="12240" w:h="15840"/>
          <w:pgMar w:footer="1032" w:header="0" w:top="1360" w:bottom="1220" w:left="1580" w:right="1600"/>
          <w:pgNumType w:start="42"/>
        </w:sectPr>
      </w:pPr>
    </w:p>
    <w:p>
      <w:pPr>
        <w:pStyle w:val="BodyText"/>
        <w:spacing w:line="242" w:lineRule="auto" w:before="50"/>
        <w:ind w:left="116" w:right="103"/>
        <w:jc w:val="both"/>
      </w:pPr>
      <w:r>
        <w:rPr/>
        <w:t>red son de fácil acceso para el individuo lo que facilita el vínculo y la posibilidad de recibir apoyo cada vez que sea necesario, lo que concuerda con el estudio realizado por Hernández</w:t>
      </w:r>
    </w:p>
    <w:p>
      <w:pPr>
        <w:pStyle w:val="BodyText"/>
        <w:spacing w:line="284" w:lineRule="exact"/>
        <w:ind w:left="116"/>
        <w:jc w:val="both"/>
        <w:rPr>
          <w:sz w:val="16"/>
        </w:rPr>
      </w:pPr>
      <w:r>
        <w:rPr/>
        <w:t>E. y cols en sujetos infartados.</w:t>
      </w:r>
      <w:r>
        <w:rPr>
          <w:position w:val="-2"/>
          <w:sz w:val="16"/>
        </w:rPr>
        <w:t>34</w:t>
      </w:r>
    </w:p>
    <w:p>
      <w:pPr>
        <w:pStyle w:val="BodyText"/>
        <w:spacing w:before="10"/>
        <w:rPr>
          <w:sz w:val="22"/>
        </w:rPr>
      </w:pPr>
    </w:p>
    <w:p>
      <w:pPr>
        <w:pStyle w:val="BodyText"/>
        <w:ind w:left="116" w:right="103"/>
        <w:jc w:val="both"/>
        <w:rPr>
          <w:sz w:val="16"/>
        </w:rPr>
      </w:pPr>
      <w:r>
        <w:rPr/>
        <w:t>A continuación podemos observar en la </w:t>
      </w:r>
      <w:r>
        <w:rPr>
          <w:b/>
        </w:rPr>
        <w:t>Tabla #13 </w:t>
      </w:r>
      <w:r>
        <w:rPr/>
        <w:t>que el 77% de los sujetos evaluados, presentaba relaciones simétricas, donde el proceso de dar y recibir era equilibrado, lo que facilita la percepción de control y el mantenimiento de niveles adecuados de autoestima en estos pacientes, pues se valoran como personas capaces de aportar recursos de apoyo en  una relación interpersonal y no sólo ser receptor de este, estos resultados coinciden con los encontrados en otros pacientes</w:t>
      </w:r>
      <w:r>
        <w:rPr>
          <w:spacing w:val="-2"/>
        </w:rPr>
        <w:t> </w:t>
      </w:r>
      <w:r>
        <w:rPr/>
        <w:t>crónicos.</w:t>
      </w:r>
      <w:r>
        <w:rPr>
          <w:position w:val="-2"/>
          <w:sz w:val="16"/>
        </w:rPr>
        <w:t>34</w:t>
      </w:r>
    </w:p>
    <w:p>
      <w:pPr>
        <w:pStyle w:val="BodyText"/>
        <w:spacing w:before="10"/>
        <w:rPr>
          <w:sz w:val="22"/>
        </w:rPr>
      </w:pPr>
    </w:p>
    <w:p>
      <w:pPr>
        <w:pStyle w:val="BodyText"/>
        <w:ind w:left="116" w:right="103"/>
        <w:jc w:val="both"/>
      </w:pPr>
      <w:r>
        <w:rPr/>
        <w:t>Los vínculos se caracterizaron además por ser múltiples, como se observa en la </w:t>
      </w:r>
      <w:r>
        <w:rPr>
          <w:b/>
        </w:rPr>
        <w:t>Tabla #14 </w:t>
      </w:r>
      <w:r>
        <w:rPr/>
        <w:t>siguiente, ya que el 93 % de la red ofrecía todos los tipos de apoyo y sólo el 7% no se comportó de esta manera.</w:t>
      </w:r>
    </w:p>
    <w:p>
      <w:pPr>
        <w:pStyle w:val="BodyText"/>
      </w:pPr>
    </w:p>
    <w:p>
      <w:pPr>
        <w:pStyle w:val="BodyText"/>
        <w:ind w:left="116" w:right="103"/>
        <w:jc w:val="both"/>
        <w:rPr>
          <w:sz w:val="16"/>
        </w:rPr>
      </w:pPr>
      <w:r>
        <w:rPr/>
        <w:t>La mayoría de las relaciones con los miembros de la red son del carácter simple (58%), como lo refleja en la </w:t>
      </w:r>
      <w:r>
        <w:rPr>
          <w:b/>
        </w:rPr>
        <w:t>Tabla #15 </w:t>
      </w:r>
      <w:r>
        <w:rPr/>
        <w:t>, es decir los contactos y vínculos entre el sujeto y el proveedor son limitados a compartir algunas actividades conjuntas y no a la complejidad  del vínculo con gran cantidad de actividades variadas y múltiples, esto no coincide con los resultados encontrados en otros estudios donde las relaciones establecidas entre los pacientes y los miembros de la red tendían a ser</w:t>
      </w:r>
      <w:r>
        <w:rPr>
          <w:spacing w:val="-2"/>
        </w:rPr>
        <w:t> </w:t>
      </w:r>
      <w:r>
        <w:rPr/>
        <w:t>complejas.</w:t>
      </w:r>
      <w:r>
        <w:rPr>
          <w:position w:val="-2"/>
          <w:sz w:val="16"/>
        </w:rPr>
        <w:t>34</w:t>
      </w:r>
    </w:p>
    <w:p>
      <w:pPr>
        <w:pStyle w:val="BodyText"/>
        <w:spacing w:before="10"/>
        <w:rPr>
          <w:sz w:val="22"/>
        </w:rPr>
      </w:pPr>
    </w:p>
    <w:p>
      <w:pPr>
        <w:pStyle w:val="BodyText"/>
        <w:ind w:left="116" w:right="103"/>
        <w:jc w:val="both"/>
      </w:pPr>
      <w:r>
        <w:rPr/>
        <w:t>Probablemente esto se debe a que la mayoría de los pacientes después de enfermarse disminuyen sus áreas de intereses, limitándola a los aspectos relacionados con la enfermedad, además las características del tratamiento exigen el consumo de mucho tiempo en el Hospital lo que propicia en múltiples ocasiones la disminución de la cantidad de actividades que el paciente puede hacer y los vínculos que se pueden establecer en estas, además de que al no poseer vínculo laboral también reduce la cantidad de actividades.</w:t>
      </w:r>
    </w:p>
    <w:p>
      <w:pPr>
        <w:pStyle w:val="BodyText"/>
        <w:spacing w:line="237" w:lineRule="auto"/>
        <w:ind w:left="116" w:right="135"/>
      </w:pPr>
      <w:r>
        <w:rPr/>
        <w:t>Este resultado se relaciona con lo encontrado por T. Lamadrid en sujetos ulcerosos, pues estos pacientes tendían a establecer relaciones superficiales con los miembros de su red.</w:t>
      </w:r>
      <w:r>
        <w:rPr>
          <w:position w:val="-2"/>
          <w:sz w:val="16"/>
        </w:rPr>
        <w:t>14 </w:t>
      </w:r>
      <w:r>
        <w:rPr/>
        <w:t>Se concluye que a pesar de que todos sean pacientes crónicos el tipo de enfermedad matiza el carácter que asumen las relaciones interpersonales, no existiendo un comportamiento homogéneo.</w:t>
      </w:r>
    </w:p>
    <w:p>
      <w:pPr>
        <w:pStyle w:val="BodyText"/>
      </w:pPr>
    </w:p>
    <w:p>
      <w:pPr>
        <w:pStyle w:val="BodyText"/>
        <w:ind w:left="116" w:right="103"/>
        <w:jc w:val="both"/>
        <w:rPr>
          <w:sz w:val="16"/>
        </w:rPr>
      </w:pPr>
      <w:r>
        <w:rPr/>
        <w:t>Para confirmar el papel de la familia como principal proveedora de Apoyo Social, se observa en la 1 </w:t>
      </w:r>
      <w:r>
        <w:rPr>
          <w:b/>
        </w:rPr>
        <w:t>Tabla #16 </w:t>
      </w:r>
      <w:r>
        <w:rPr/>
        <w:t>siguiente que el 66% del apoyo recibido provenía de un familiar cercano, lo cual coincide con estudios hechos con pacientes crónicos y enfermos en  general.</w:t>
      </w:r>
      <w:r>
        <w:rPr>
          <w:spacing w:val="-6"/>
        </w:rPr>
        <w:t> </w:t>
      </w:r>
      <w:r>
        <w:rPr>
          <w:position w:val="-2"/>
          <w:sz w:val="16"/>
        </w:rPr>
        <w:t>33,37,38</w:t>
      </w:r>
    </w:p>
    <w:p>
      <w:pPr>
        <w:pStyle w:val="BodyText"/>
        <w:spacing w:before="3"/>
        <w:rPr>
          <w:sz w:val="23"/>
        </w:rPr>
      </w:pPr>
    </w:p>
    <w:p>
      <w:pPr>
        <w:pStyle w:val="BodyText"/>
        <w:spacing w:line="274" w:lineRule="exact"/>
        <w:ind w:left="116" w:right="103"/>
        <w:jc w:val="both"/>
      </w:pPr>
      <w:r>
        <w:rPr/>
        <w:t>Le sigue en orden de importancia para los individuos evaluados los amigos cercanos que representaron un 15% del apoyo brindado y en tercer lugar se ubicaron familiares lejanos.</w:t>
      </w:r>
    </w:p>
    <w:p>
      <w:pPr>
        <w:pStyle w:val="BodyText"/>
        <w:ind w:left="116" w:right="103"/>
        <w:jc w:val="both"/>
        <w:rPr>
          <w:sz w:val="16"/>
        </w:rPr>
      </w:pPr>
      <w:r>
        <w:rPr/>
        <w:t>Este es un comportamiento esperado, pues se considera el alto nivel de significación que tiene la familia y los grupos de amigos donde los sujetos se insertan y que los convierte como principal fuente de Apoyo Social, lo que coincide con planteamientos hechos por MA Roca.</w:t>
      </w:r>
      <w:r>
        <w:rPr>
          <w:position w:val="-2"/>
          <w:sz w:val="16"/>
        </w:rPr>
        <w:t>8</w:t>
      </w:r>
    </w:p>
    <w:p>
      <w:pPr>
        <w:spacing w:after="0"/>
        <w:jc w:val="both"/>
        <w:rPr>
          <w:sz w:val="16"/>
        </w:rPr>
        <w:sectPr>
          <w:pgSz w:w="12240" w:h="15840"/>
          <w:pgMar w:header="0" w:footer="1032" w:top="1360" w:bottom="1220" w:left="1580" w:right="1600"/>
        </w:sectPr>
      </w:pPr>
    </w:p>
    <w:p>
      <w:pPr>
        <w:pStyle w:val="BodyText"/>
        <w:spacing w:before="50"/>
        <w:ind w:left="116" w:right="103"/>
        <w:jc w:val="both"/>
        <w:rPr>
          <w:b/>
        </w:rPr>
      </w:pPr>
      <w:r>
        <w:rPr/>
        <w:t>Como es de esperar la intimidad del vínculo se concentra en la categorías de cerca, muy cerca y extremadamente cerca, siendo esta última la prevaleciente con un 34% lo que está dado por ser los familiares cercanos los principales proveedores de Apoyo Social en estos sujetos, los cuales poseen una vinculación emocional y una significación afectiva alta, según los datos que se reflejan en la </w:t>
      </w:r>
      <w:r>
        <w:rPr>
          <w:b/>
        </w:rPr>
        <w:t>Tabla #17</w:t>
      </w:r>
    </w:p>
    <w:p>
      <w:pPr>
        <w:pStyle w:val="BodyText"/>
        <w:rPr>
          <w:b/>
        </w:rPr>
      </w:pPr>
    </w:p>
    <w:p>
      <w:pPr>
        <w:pStyle w:val="BodyText"/>
        <w:ind w:left="116" w:right="103"/>
        <w:jc w:val="both"/>
      </w:pPr>
      <w:r>
        <w:rPr/>
        <w:t>En cuanto al sector, la </w:t>
      </w:r>
      <w:r>
        <w:rPr>
          <w:b/>
        </w:rPr>
        <w:t>Tabla #18 </w:t>
      </w:r>
      <w:r>
        <w:rPr/>
        <w:t>nos muestra que la mayoría de los miembros de la red provenían del sector comunitario, destacándose los vecinos, los que representaban el 41% de la muestra, seguido por los compañeros de trabajo y estudio, esto puede ser explicado por razones culturales y de idiosincrasia, estableciendo vínculos muy especiales con los vecinos de su hogar, que los convierten en potenciales proveedores de ayuda, siendo la asistencia tangible a través de la ayuda práctica la que caracteriza a este vínculo.</w:t>
      </w:r>
    </w:p>
    <w:p>
      <w:pPr>
        <w:pStyle w:val="BodyText"/>
      </w:pPr>
    </w:p>
    <w:p>
      <w:pPr>
        <w:pStyle w:val="BodyText"/>
        <w:ind w:left="116" w:right="103"/>
        <w:jc w:val="both"/>
      </w:pPr>
      <w:r>
        <w:rPr/>
        <w:t>Otro elemento que justifica dicho comportamiento está relacionado con el hecho de que la mayoría de los sujetos establecen contactos en su comunidad y no al nivel de una  institución laboral o estudiantil pues por su estado de salud no tienen vínculo laboral o de estudio lo que limita el papel de los compañeros de trabajo y estudio como posibles proveedores.</w:t>
      </w:r>
    </w:p>
    <w:p>
      <w:pPr>
        <w:pStyle w:val="BodyText"/>
      </w:pPr>
    </w:p>
    <w:p>
      <w:pPr>
        <w:pStyle w:val="BodyText"/>
      </w:pPr>
    </w:p>
    <w:p>
      <w:pPr>
        <w:pStyle w:val="BodyText"/>
      </w:pPr>
    </w:p>
    <w:p>
      <w:pPr>
        <w:pStyle w:val="Heading1"/>
        <w:jc w:val="both"/>
      </w:pPr>
      <w:r>
        <w:rPr/>
        <w:t>Aspectos Funcionales del Apoyo Social en  Pacientes con Peritonitis en DPCA:</w:t>
      </w:r>
    </w:p>
    <w:p>
      <w:pPr>
        <w:pStyle w:val="BodyText"/>
        <w:rPr>
          <w:b/>
        </w:rPr>
      </w:pPr>
    </w:p>
    <w:p>
      <w:pPr>
        <w:pStyle w:val="BodyText"/>
        <w:ind w:left="116" w:right="103"/>
        <w:jc w:val="both"/>
      </w:pPr>
      <w:r>
        <w:rPr/>
        <w:t>Las necesidades de apoyo de una parte de la de los Pacientes en DPCA no están, completamente satisfechas. Aproximadamente un 10% dice necesitar ayuda con algunas de las actividades diarias pero no la recibe.</w:t>
      </w:r>
    </w:p>
    <w:p>
      <w:pPr>
        <w:pStyle w:val="BodyText"/>
      </w:pPr>
    </w:p>
    <w:p>
      <w:pPr>
        <w:pStyle w:val="BodyText"/>
        <w:ind w:left="116" w:right="103"/>
        <w:jc w:val="both"/>
      </w:pPr>
      <w:r>
        <w:rPr/>
        <w:t>En el caso de los más jóvenes es probable que dicha carencia corresponda al inicio de la pérdida de funcionalidad y su progresivo aumento, problemas que, por lo general, suceden  a medida que aumenta la edad.</w:t>
      </w:r>
    </w:p>
    <w:p>
      <w:pPr>
        <w:pStyle w:val="BodyText"/>
      </w:pPr>
    </w:p>
    <w:p>
      <w:pPr>
        <w:pStyle w:val="BodyText"/>
        <w:ind w:left="116" w:right="103"/>
        <w:jc w:val="both"/>
      </w:pPr>
      <w:r>
        <w:rPr/>
        <w:t>Prácticamente todas los pacientes en DPCA reciben ayuda cuando se trata de asuntos más impersonales, como tomar medicamentos, hacer compras, preparar comida o manejar dinero. En cambio, una menor proporción necesita colaboración cuando se trata de actividades de índole más personal, en que la ayuda debe ser directa.</w:t>
      </w:r>
    </w:p>
    <w:p>
      <w:pPr>
        <w:pStyle w:val="BodyText"/>
      </w:pPr>
    </w:p>
    <w:p>
      <w:pPr>
        <w:pStyle w:val="BodyText"/>
        <w:ind w:left="116" w:right="103"/>
        <w:jc w:val="both"/>
      </w:pPr>
      <w:r>
        <w:rPr/>
        <w:t>Dos tercios los pacientes en DPCA son cuidadas por una persona que reside en el hogar. En el caso de los hombres, la principal cuidadora es la cónyuge, y las hijas co-residentes, en el caso de  mujeres.  A medida que aumenta la edad, el cuidado proviene más de los hijos y  las hijas y menos del cónyuge.</w:t>
      </w:r>
    </w:p>
    <w:p>
      <w:pPr>
        <w:pStyle w:val="BodyText"/>
        <w:spacing w:before="4"/>
      </w:pPr>
    </w:p>
    <w:p>
      <w:pPr>
        <w:pStyle w:val="BodyText"/>
        <w:spacing w:line="274" w:lineRule="exact" w:before="1"/>
        <w:ind w:left="116" w:right="103"/>
        <w:jc w:val="both"/>
      </w:pPr>
      <w:r>
        <w:rPr/>
        <w:t>Casi una de cada diez los pacientes en DPCA no satisface sus necesidades de apoyo; los grupos etarios más jóvenes y los más avanzados carecen de ayuda.</w:t>
      </w:r>
    </w:p>
    <w:p>
      <w:pPr>
        <w:pStyle w:val="BodyText"/>
        <w:spacing w:before="2"/>
      </w:pPr>
    </w:p>
    <w:p>
      <w:pPr>
        <w:pStyle w:val="BodyText"/>
        <w:spacing w:line="274" w:lineRule="exact"/>
        <w:ind w:left="116" w:right="103"/>
        <w:jc w:val="both"/>
      </w:pPr>
      <w:r>
        <w:rPr/>
        <w:t>Es interesante señalar que también puede ocurrir que el padecimiento de la enfermedad crónica pueda estropear el apoyo social. Los pacientes de DPCA o no reciben suficiente</w:t>
      </w:r>
    </w:p>
    <w:p>
      <w:pPr>
        <w:spacing w:after="0" w:line="274" w:lineRule="exact"/>
        <w:jc w:val="both"/>
        <w:sectPr>
          <w:pgSz w:w="12240" w:h="15840"/>
          <w:pgMar w:header="0" w:footer="1032" w:top="1360" w:bottom="1220" w:left="1580" w:right="1600"/>
        </w:sectPr>
      </w:pPr>
    </w:p>
    <w:p>
      <w:pPr>
        <w:pStyle w:val="BodyText"/>
        <w:spacing w:line="242" w:lineRule="auto" w:before="50"/>
        <w:ind w:left="116" w:right="103"/>
        <w:jc w:val="both"/>
      </w:pPr>
      <w:r>
        <w:rPr/>
        <w:t>apoyo social, o no reciben el apoyo social apropiado, porque pueden haber sido victimizados inadvertidamente por sus familiares y amigos.</w:t>
      </w:r>
    </w:p>
    <w:p>
      <w:pPr>
        <w:pStyle w:val="BodyText"/>
        <w:spacing w:before="8"/>
        <w:rPr>
          <w:sz w:val="23"/>
        </w:rPr>
      </w:pPr>
    </w:p>
    <w:p>
      <w:pPr>
        <w:pStyle w:val="BodyText"/>
        <w:spacing w:before="1"/>
        <w:ind w:left="116" w:right="103"/>
        <w:jc w:val="both"/>
        <w:rPr>
          <w:sz w:val="16"/>
        </w:rPr>
      </w:pPr>
      <w:r>
        <w:rPr/>
        <w:t>La percepción de necesidad de apoyo social se comportó de manera muy variada, aunque la tendencia fue de ubicarse en niveles que van desde nada hasta algo de necesidad de Apoyo Social, siendo la categoría casi nada la prevaleciente con un valor del 34%, seguido por  algo (25%) y Nada (23%), esto no se corresponde con estudios realizados en otros  pacientes crónicos, en particular en sujetos con patología reumatológica y sujetos deprimidos.</w:t>
      </w:r>
      <w:r>
        <w:rPr>
          <w:spacing w:val="-4"/>
        </w:rPr>
        <w:t> </w:t>
      </w:r>
      <w:r>
        <w:rPr>
          <w:position w:val="-2"/>
          <w:sz w:val="16"/>
        </w:rPr>
        <w:t>37,38</w:t>
      </w:r>
    </w:p>
    <w:p>
      <w:pPr>
        <w:pStyle w:val="BodyText"/>
        <w:spacing w:before="10"/>
        <w:rPr>
          <w:sz w:val="22"/>
        </w:rPr>
      </w:pPr>
    </w:p>
    <w:p>
      <w:pPr>
        <w:pStyle w:val="BodyText"/>
        <w:ind w:left="116" w:right="103"/>
        <w:jc w:val="both"/>
      </w:pPr>
      <w:r>
        <w:rPr/>
        <w:t>Consideramos que esto puede estar dado por no existir en el momento del estudio situaciones con un alto grado de estrés, que generen crisis y desestructuración en los sujetos que se ubicaron en estos rangos y por consiguiente la necesidad de ser apoyado se reduzca, puede estar vinculado además a la existencia del apoyo de diversas índole como vimos en  la discusión de la tabla y por lo tanto no tener carencia de este.</w:t>
      </w:r>
    </w:p>
    <w:p>
      <w:pPr>
        <w:pStyle w:val="BodyText"/>
      </w:pPr>
    </w:p>
    <w:p>
      <w:pPr>
        <w:pStyle w:val="BodyText"/>
        <w:ind w:left="116" w:right="103"/>
        <w:jc w:val="both"/>
        <w:rPr>
          <w:sz w:val="16"/>
        </w:rPr>
      </w:pPr>
      <w:r>
        <w:rPr/>
        <w:t>Por esta razón, se refleja que la mayoría de los sujetos evaluados se encuentran muy satisfechos (45%) y moderadamente satisfechos (36%) con el apoyo social recibido. Las evidencias sobre este aspecto son contradictorias pues son referidos resultados en la literatura que confirman estos hallazgos</w:t>
      </w:r>
      <w:r>
        <w:rPr>
          <w:position w:val="-2"/>
          <w:sz w:val="16"/>
        </w:rPr>
        <w:t>34, 35,38 </w:t>
      </w:r>
      <w:r>
        <w:rPr/>
        <w:t>y otros que lo niegan.</w:t>
      </w:r>
      <w:r>
        <w:rPr>
          <w:position w:val="-2"/>
          <w:sz w:val="16"/>
        </w:rPr>
        <w:t>14</w:t>
      </w:r>
    </w:p>
    <w:p>
      <w:pPr>
        <w:pStyle w:val="BodyText"/>
        <w:spacing w:before="10"/>
        <w:rPr>
          <w:sz w:val="22"/>
        </w:rPr>
      </w:pPr>
    </w:p>
    <w:p>
      <w:pPr>
        <w:pStyle w:val="BodyText"/>
        <w:ind w:left="116" w:right="103"/>
        <w:jc w:val="both"/>
      </w:pPr>
      <w:r>
        <w:rPr/>
        <w:t>En el caso de los pacientes con ERCT que reciben tratamiento de Diálisis Peritoneal, se considera que es un aspecto que evidencia la adecuación del apoyo recibido por estos pacientes a su necesidad ya que el 57% del total considera que necesitan nada o casi nada  de Apoyo Social, lo que evidentemente garantiza el bienestar desde el punto de vista psicológico, físico y social</w:t>
      </w:r>
    </w:p>
    <w:p>
      <w:pPr>
        <w:pStyle w:val="BodyText"/>
      </w:pPr>
    </w:p>
    <w:p>
      <w:pPr>
        <w:pStyle w:val="BodyText"/>
        <w:ind w:left="116" w:right="103"/>
        <w:jc w:val="both"/>
      </w:pPr>
      <w:r>
        <w:rPr/>
        <w:t>En la población de estudio, el mayor porcentaje de pacientes que no reciben cuidados perteneció a una familia nuclear. Al respecto se ha afirmado que existe aislamiento de la familia nuclear con menor acercamiento o dependencia entre sus miembros, así como menor intercambio de apoyo entre la red de parentesco; en contraste, la familia extensa  tiene como aspecto fundamental la ayuda mutua.</w:t>
      </w:r>
    </w:p>
    <w:p>
      <w:pPr>
        <w:spacing w:after="0"/>
        <w:jc w:val="both"/>
        <w:sectPr>
          <w:pgSz w:w="12240" w:h="15840"/>
          <w:pgMar w:header="0" w:footer="1032" w:top="1360" w:bottom="1220" w:left="1580" w:right="1600"/>
        </w:sectPr>
      </w:pPr>
    </w:p>
    <w:p>
      <w:pPr>
        <w:tabs>
          <w:tab w:pos="3996" w:val="left" w:leader="none"/>
        </w:tabs>
        <w:spacing w:before="59"/>
        <w:ind w:left="3276" w:right="1109" w:firstLine="0"/>
        <w:jc w:val="left"/>
        <w:rPr>
          <w:b/>
          <w:sz w:val="21"/>
        </w:rPr>
      </w:pPr>
      <w:r>
        <w:rPr/>
        <w:pict>
          <v:shape style="position:absolute;margin-left:86.370003pt;margin-top:535.75293pt;width:12pt;height:25.55pt;mso-position-horizontal-relative:page;mso-position-vertical-relative:page;z-index:1336" type="#_x0000_t202" filled="false" stroked="false">
            <v:textbox inset="0,0,0,0" style="layout-flow:vertical;mso-layout-flow-alt:bottom-to-top">
              <w:txbxContent>
                <w:p>
                  <w:pPr>
                    <w:spacing w:line="230" w:lineRule="exact" w:before="0"/>
                    <w:ind w:left="20" w:right="-271" w:firstLine="0"/>
                    <w:jc w:val="left"/>
                    <w:rPr>
                      <w:rFonts w:ascii="Calibri"/>
                      <w:b/>
                      <w:sz w:val="20"/>
                    </w:rPr>
                  </w:pPr>
                  <w:r>
                    <w:rPr>
                      <w:rFonts w:ascii="Calibri"/>
                      <w:b/>
                      <w:sz w:val="20"/>
                    </w:rPr>
                    <w:t>EDAD</w:t>
                  </w:r>
                </w:p>
              </w:txbxContent>
            </v:textbox>
            <w10:wrap type="none"/>
          </v:shape>
        </w:pict>
      </w:r>
      <w:r>
        <w:rPr>
          <w:b/>
          <w:w w:val="105"/>
          <w:sz w:val="21"/>
        </w:rPr>
        <w:t>V.</w:t>
        <w:tab/>
        <w:t>CUADROS Y</w:t>
      </w:r>
      <w:r>
        <w:rPr>
          <w:b/>
          <w:spacing w:val="-18"/>
          <w:w w:val="105"/>
          <w:sz w:val="21"/>
        </w:rPr>
        <w:t> </w:t>
      </w:r>
      <w:r>
        <w:rPr>
          <w:b/>
          <w:w w:val="105"/>
          <w:sz w:val="21"/>
        </w:rPr>
        <w:t>GRAFICOS</w:t>
      </w:r>
    </w:p>
    <w:p>
      <w:pPr>
        <w:pStyle w:val="BodyText"/>
        <w:spacing w:before="9"/>
        <w:rPr>
          <w:b/>
          <w:sz w:val="20"/>
        </w:rPr>
      </w:pPr>
    </w:p>
    <w:p>
      <w:pPr>
        <w:pStyle w:val="Heading1"/>
        <w:spacing w:line="242" w:lineRule="auto"/>
        <w:ind w:left="296" w:right="1109"/>
      </w:pPr>
      <w:r>
        <w:rPr/>
        <w:t>TABLA#1 DISTRIBUCIÓN DE PACIENTES CON IRC SEGÚN GRUPOS DE EDAD Y SEXO.</w:t>
      </w:r>
    </w:p>
    <w:tbl>
      <w:tblPr>
        <w:tblW w:w="0" w:type="auto"/>
        <w:jc w:val="left"/>
        <w:tblInd w:w="2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162"/>
        <w:gridCol w:w="1315"/>
        <w:gridCol w:w="1142"/>
        <w:gridCol w:w="1315"/>
        <w:gridCol w:w="1142"/>
        <w:gridCol w:w="1171"/>
        <w:gridCol w:w="1152"/>
      </w:tblGrid>
      <w:tr>
        <w:trPr>
          <w:trHeight w:val="562" w:hRule="exact"/>
        </w:trPr>
        <w:tc>
          <w:tcPr>
            <w:tcW w:w="1162" w:type="dxa"/>
          </w:tcPr>
          <w:p>
            <w:pPr/>
          </w:p>
        </w:tc>
        <w:tc>
          <w:tcPr>
            <w:tcW w:w="1315" w:type="dxa"/>
          </w:tcPr>
          <w:p>
            <w:pPr>
              <w:pStyle w:val="TableParagraph"/>
              <w:spacing w:line="254" w:lineRule="auto" w:before="78"/>
              <w:ind w:left="183" w:right="42" w:hanging="121"/>
              <w:jc w:val="left"/>
              <w:rPr>
                <w:rFonts w:ascii="Cambria"/>
                <w:b/>
                <w:sz w:val="19"/>
              </w:rPr>
            </w:pPr>
            <w:r>
              <w:rPr>
                <w:rFonts w:ascii="Cambria"/>
                <w:b/>
                <w:w w:val="105"/>
                <w:sz w:val="19"/>
              </w:rPr>
              <w:t>FRECUENCIA HOMBRES</w:t>
            </w:r>
          </w:p>
        </w:tc>
        <w:tc>
          <w:tcPr>
            <w:tcW w:w="1142" w:type="dxa"/>
          </w:tcPr>
          <w:p>
            <w:pPr>
              <w:pStyle w:val="TableParagraph"/>
              <w:spacing w:before="3"/>
              <w:ind w:left="0"/>
              <w:jc w:val="left"/>
              <w:rPr>
                <w:b/>
                <w:sz w:val="27"/>
              </w:rPr>
            </w:pPr>
          </w:p>
          <w:p>
            <w:pPr>
              <w:pStyle w:val="TableParagraph"/>
              <w:ind w:left="1"/>
              <w:rPr>
                <w:rFonts w:ascii="Cambria"/>
                <w:b/>
                <w:sz w:val="19"/>
              </w:rPr>
            </w:pPr>
            <w:r>
              <w:rPr>
                <w:rFonts w:ascii="Cambria"/>
                <w:b/>
                <w:w w:val="103"/>
                <w:sz w:val="19"/>
              </w:rPr>
              <w:t>%</w:t>
            </w:r>
          </w:p>
        </w:tc>
        <w:tc>
          <w:tcPr>
            <w:tcW w:w="1315" w:type="dxa"/>
          </w:tcPr>
          <w:p>
            <w:pPr>
              <w:pStyle w:val="TableParagraph"/>
              <w:spacing w:line="254" w:lineRule="auto" w:before="78"/>
              <w:ind w:left="230" w:right="42" w:hanging="168"/>
              <w:jc w:val="left"/>
              <w:rPr>
                <w:rFonts w:ascii="Cambria"/>
                <w:b/>
                <w:sz w:val="19"/>
              </w:rPr>
            </w:pPr>
            <w:r>
              <w:rPr>
                <w:rFonts w:ascii="Cambria"/>
                <w:b/>
                <w:w w:val="105"/>
                <w:sz w:val="19"/>
              </w:rPr>
              <w:t>FRECUENCIA MUJERES</w:t>
            </w:r>
          </w:p>
        </w:tc>
        <w:tc>
          <w:tcPr>
            <w:tcW w:w="1142" w:type="dxa"/>
          </w:tcPr>
          <w:p>
            <w:pPr>
              <w:pStyle w:val="TableParagraph"/>
              <w:spacing w:before="3"/>
              <w:ind w:left="0"/>
              <w:jc w:val="left"/>
              <w:rPr>
                <w:b/>
                <w:sz w:val="27"/>
              </w:rPr>
            </w:pPr>
          </w:p>
          <w:p>
            <w:pPr>
              <w:pStyle w:val="TableParagraph"/>
              <w:ind w:left="0" w:right="462"/>
              <w:jc w:val="right"/>
              <w:rPr>
                <w:rFonts w:ascii="Cambria"/>
                <w:b/>
                <w:sz w:val="19"/>
              </w:rPr>
            </w:pPr>
            <w:r>
              <w:rPr>
                <w:rFonts w:ascii="Cambria"/>
                <w:b/>
                <w:w w:val="103"/>
                <w:sz w:val="19"/>
              </w:rPr>
              <w:t>%</w:t>
            </w:r>
          </w:p>
        </w:tc>
        <w:tc>
          <w:tcPr>
            <w:tcW w:w="1171" w:type="dxa"/>
          </w:tcPr>
          <w:p>
            <w:pPr>
              <w:pStyle w:val="TableParagraph"/>
              <w:spacing w:before="3"/>
              <w:ind w:left="0"/>
              <w:jc w:val="left"/>
              <w:rPr>
                <w:b/>
                <w:sz w:val="27"/>
              </w:rPr>
            </w:pPr>
          </w:p>
          <w:p>
            <w:pPr>
              <w:pStyle w:val="TableParagraph"/>
              <w:ind w:left="241" w:right="237"/>
              <w:rPr>
                <w:rFonts w:ascii="Cambria"/>
                <w:b/>
                <w:sz w:val="19"/>
              </w:rPr>
            </w:pPr>
            <w:r>
              <w:rPr>
                <w:rFonts w:ascii="Cambria"/>
                <w:b/>
                <w:w w:val="105"/>
                <w:sz w:val="19"/>
              </w:rPr>
              <w:t>TOTAL</w:t>
            </w:r>
          </w:p>
        </w:tc>
        <w:tc>
          <w:tcPr>
            <w:tcW w:w="1152" w:type="dxa"/>
          </w:tcPr>
          <w:p>
            <w:pPr>
              <w:pStyle w:val="TableParagraph"/>
              <w:spacing w:before="3"/>
              <w:ind w:left="0"/>
              <w:jc w:val="left"/>
              <w:rPr>
                <w:b/>
                <w:sz w:val="27"/>
              </w:rPr>
            </w:pPr>
          </w:p>
          <w:p>
            <w:pPr>
              <w:pStyle w:val="TableParagraph"/>
              <w:ind w:left="0" w:right="468"/>
              <w:jc w:val="right"/>
              <w:rPr>
                <w:rFonts w:ascii="Cambria"/>
                <w:b/>
                <w:sz w:val="19"/>
              </w:rPr>
            </w:pPr>
            <w:r>
              <w:rPr>
                <w:rFonts w:ascii="Cambria"/>
                <w:b/>
                <w:w w:val="103"/>
                <w:sz w:val="19"/>
              </w:rPr>
              <w:t>%</w:t>
            </w:r>
          </w:p>
        </w:tc>
      </w:tr>
      <w:tr>
        <w:trPr>
          <w:trHeight w:val="336" w:hRule="exact"/>
        </w:trPr>
        <w:tc>
          <w:tcPr>
            <w:tcW w:w="1162" w:type="dxa"/>
          </w:tcPr>
          <w:p>
            <w:pPr>
              <w:pStyle w:val="TableParagraph"/>
              <w:spacing w:before="88"/>
              <w:ind w:left="302"/>
              <w:jc w:val="left"/>
              <w:rPr>
                <w:rFonts w:ascii="Cambria" w:hAnsi="Cambria"/>
                <w:b/>
                <w:sz w:val="19"/>
              </w:rPr>
            </w:pPr>
            <w:r>
              <w:rPr>
                <w:rFonts w:ascii="Cambria" w:hAnsi="Cambria"/>
                <w:b/>
                <w:spacing w:val="1"/>
                <w:w w:val="103"/>
                <w:sz w:val="19"/>
              </w:rPr>
              <w:t>16</w:t>
            </w:r>
            <w:r>
              <w:rPr>
                <w:rFonts w:ascii="Cambria" w:hAnsi="Cambria"/>
                <w:b/>
                <w:w w:val="34"/>
                <w:sz w:val="19"/>
              </w:rPr>
              <w:t>-­</w:t>
            </w:r>
            <w:r>
              <w:rPr>
                <w:rFonts w:ascii="Cambria" w:hAnsi="Cambria"/>
                <w:b/>
                <w:spacing w:val="1"/>
                <w:w w:val="34"/>
                <w:sz w:val="19"/>
              </w:rPr>
              <w:t>‐</w:t>
            </w:r>
            <w:r>
              <w:rPr>
                <w:rFonts w:ascii="Cambria" w:hAnsi="Cambria"/>
                <w:b/>
                <w:spacing w:val="1"/>
                <w:w w:val="103"/>
                <w:sz w:val="19"/>
              </w:rPr>
              <w:t>20</w:t>
            </w:r>
          </w:p>
        </w:tc>
        <w:tc>
          <w:tcPr>
            <w:tcW w:w="1315" w:type="dxa"/>
          </w:tcPr>
          <w:p>
            <w:pPr>
              <w:pStyle w:val="TableParagraph"/>
              <w:spacing w:before="88"/>
              <w:ind w:left="2"/>
              <w:rPr>
                <w:rFonts w:ascii="Cambria"/>
                <w:sz w:val="19"/>
              </w:rPr>
            </w:pPr>
            <w:r>
              <w:rPr>
                <w:rFonts w:ascii="Cambria"/>
                <w:w w:val="103"/>
                <w:sz w:val="19"/>
              </w:rPr>
              <w:t>0</w:t>
            </w:r>
          </w:p>
        </w:tc>
        <w:tc>
          <w:tcPr>
            <w:tcW w:w="1142" w:type="dxa"/>
          </w:tcPr>
          <w:p>
            <w:pPr>
              <w:pStyle w:val="TableParagraph"/>
              <w:spacing w:before="88"/>
              <w:ind w:left="2"/>
              <w:rPr>
                <w:rFonts w:ascii="Cambria"/>
                <w:sz w:val="19"/>
              </w:rPr>
            </w:pPr>
            <w:r>
              <w:rPr>
                <w:rFonts w:ascii="Cambria"/>
                <w:w w:val="103"/>
                <w:sz w:val="19"/>
              </w:rPr>
              <w:t>0</w:t>
            </w:r>
          </w:p>
        </w:tc>
        <w:tc>
          <w:tcPr>
            <w:tcW w:w="1315" w:type="dxa"/>
          </w:tcPr>
          <w:p>
            <w:pPr>
              <w:pStyle w:val="TableParagraph"/>
              <w:spacing w:before="88"/>
              <w:ind w:left="594"/>
              <w:jc w:val="left"/>
              <w:rPr>
                <w:rFonts w:ascii="Cambria"/>
                <w:sz w:val="19"/>
              </w:rPr>
            </w:pPr>
            <w:r>
              <w:rPr>
                <w:rFonts w:ascii="Cambria"/>
                <w:w w:val="103"/>
                <w:sz w:val="19"/>
              </w:rPr>
              <w:t>1</w:t>
            </w:r>
          </w:p>
        </w:tc>
        <w:tc>
          <w:tcPr>
            <w:tcW w:w="1142" w:type="dxa"/>
          </w:tcPr>
          <w:p>
            <w:pPr>
              <w:pStyle w:val="TableParagraph"/>
              <w:spacing w:before="88"/>
              <w:ind w:left="0" w:right="503"/>
              <w:jc w:val="right"/>
              <w:rPr>
                <w:rFonts w:ascii="Cambria"/>
                <w:sz w:val="19"/>
              </w:rPr>
            </w:pPr>
            <w:r>
              <w:rPr>
                <w:rFonts w:ascii="Cambria"/>
                <w:w w:val="103"/>
                <w:sz w:val="19"/>
              </w:rPr>
              <w:t>1</w:t>
            </w:r>
          </w:p>
        </w:tc>
        <w:tc>
          <w:tcPr>
            <w:tcW w:w="1171" w:type="dxa"/>
          </w:tcPr>
          <w:p>
            <w:pPr>
              <w:pStyle w:val="TableParagraph"/>
              <w:spacing w:before="88"/>
              <w:ind w:left="2"/>
              <w:rPr>
                <w:rFonts w:ascii="Cambria"/>
                <w:sz w:val="19"/>
              </w:rPr>
            </w:pPr>
            <w:r>
              <w:rPr>
                <w:rFonts w:ascii="Cambria"/>
                <w:w w:val="103"/>
                <w:sz w:val="19"/>
              </w:rPr>
              <w:t>1</w:t>
            </w:r>
          </w:p>
        </w:tc>
        <w:tc>
          <w:tcPr>
            <w:tcW w:w="1152" w:type="dxa"/>
          </w:tcPr>
          <w:p>
            <w:pPr>
              <w:pStyle w:val="TableParagraph"/>
              <w:spacing w:before="88"/>
              <w:ind w:left="0" w:right="509"/>
              <w:jc w:val="right"/>
              <w:rPr>
                <w:rFonts w:ascii="Cambria"/>
                <w:sz w:val="19"/>
              </w:rPr>
            </w:pPr>
            <w:r>
              <w:rPr>
                <w:rFonts w:ascii="Cambria"/>
                <w:w w:val="103"/>
                <w:sz w:val="19"/>
              </w:rPr>
              <w:t>1</w:t>
            </w:r>
          </w:p>
        </w:tc>
      </w:tr>
      <w:tr>
        <w:trPr>
          <w:trHeight w:val="336" w:hRule="exact"/>
        </w:trPr>
        <w:tc>
          <w:tcPr>
            <w:tcW w:w="1162" w:type="dxa"/>
          </w:tcPr>
          <w:p>
            <w:pPr>
              <w:pStyle w:val="TableParagraph"/>
              <w:spacing w:before="88"/>
              <w:ind w:left="302"/>
              <w:jc w:val="left"/>
              <w:rPr>
                <w:rFonts w:ascii="Cambria" w:hAnsi="Cambria"/>
                <w:b/>
                <w:sz w:val="19"/>
              </w:rPr>
            </w:pPr>
            <w:r>
              <w:rPr>
                <w:rFonts w:ascii="Cambria" w:hAnsi="Cambria"/>
                <w:b/>
                <w:spacing w:val="1"/>
                <w:w w:val="103"/>
                <w:sz w:val="19"/>
              </w:rPr>
              <w:t>21</w:t>
            </w:r>
            <w:r>
              <w:rPr>
                <w:rFonts w:ascii="Cambria" w:hAnsi="Cambria"/>
                <w:b/>
                <w:w w:val="34"/>
                <w:sz w:val="19"/>
              </w:rPr>
              <w:t>-­</w:t>
            </w:r>
            <w:r>
              <w:rPr>
                <w:rFonts w:ascii="Cambria" w:hAnsi="Cambria"/>
                <w:b/>
                <w:spacing w:val="1"/>
                <w:w w:val="34"/>
                <w:sz w:val="19"/>
              </w:rPr>
              <w:t>‐</w:t>
            </w:r>
            <w:r>
              <w:rPr>
                <w:rFonts w:ascii="Cambria" w:hAnsi="Cambria"/>
                <w:b/>
                <w:spacing w:val="1"/>
                <w:w w:val="103"/>
                <w:sz w:val="19"/>
              </w:rPr>
              <w:t>25</w:t>
            </w:r>
          </w:p>
        </w:tc>
        <w:tc>
          <w:tcPr>
            <w:tcW w:w="1315" w:type="dxa"/>
          </w:tcPr>
          <w:p>
            <w:pPr>
              <w:pStyle w:val="TableParagraph"/>
              <w:spacing w:before="88"/>
              <w:ind w:left="2"/>
              <w:rPr>
                <w:rFonts w:ascii="Cambria"/>
                <w:sz w:val="19"/>
              </w:rPr>
            </w:pPr>
            <w:r>
              <w:rPr>
                <w:rFonts w:ascii="Cambria"/>
                <w:w w:val="103"/>
                <w:sz w:val="19"/>
              </w:rPr>
              <w:t>2</w:t>
            </w:r>
          </w:p>
        </w:tc>
        <w:tc>
          <w:tcPr>
            <w:tcW w:w="1142" w:type="dxa"/>
          </w:tcPr>
          <w:p>
            <w:pPr>
              <w:pStyle w:val="TableParagraph"/>
              <w:spacing w:before="88"/>
              <w:ind w:left="2"/>
              <w:rPr>
                <w:rFonts w:ascii="Cambria"/>
                <w:sz w:val="19"/>
              </w:rPr>
            </w:pPr>
            <w:r>
              <w:rPr>
                <w:rFonts w:ascii="Cambria"/>
                <w:w w:val="103"/>
                <w:sz w:val="19"/>
              </w:rPr>
              <w:t>3</w:t>
            </w:r>
          </w:p>
        </w:tc>
        <w:tc>
          <w:tcPr>
            <w:tcW w:w="1315" w:type="dxa"/>
          </w:tcPr>
          <w:p>
            <w:pPr>
              <w:pStyle w:val="TableParagraph"/>
              <w:spacing w:before="88"/>
              <w:ind w:left="594"/>
              <w:jc w:val="left"/>
              <w:rPr>
                <w:rFonts w:ascii="Cambria"/>
                <w:sz w:val="19"/>
              </w:rPr>
            </w:pPr>
            <w:r>
              <w:rPr>
                <w:rFonts w:ascii="Cambria"/>
                <w:w w:val="103"/>
                <w:sz w:val="19"/>
              </w:rPr>
              <w:t>2</w:t>
            </w:r>
          </w:p>
        </w:tc>
        <w:tc>
          <w:tcPr>
            <w:tcW w:w="1142" w:type="dxa"/>
          </w:tcPr>
          <w:p>
            <w:pPr>
              <w:pStyle w:val="TableParagraph"/>
              <w:spacing w:before="88"/>
              <w:ind w:left="0" w:right="503"/>
              <w:jc w:val="right"/>
              <w:rPr>
                <w:rFonts w:ascii="Cambria"/>
                <w:sz w:val="19"/>
              </w:rPr>
            </w:pPr>
            <w:r>
              <w:rPr>
                <w:rFonts w:ascii="Cambria"/>
                <w:w w:val="103"/>
                <w:sz w:val="19"/>
              </w:rPr>
              <w:t>4</w:t>
            </w:r>
          </w:p>
        </w:tc>
        <w:tc>
          <w:tcPr>
            <w:tcW w:w="1171" w:type="dxa"/>
          </w:tcPr>
          <w:p>
            <w:pPr>
              <w:pStyle w:val="TableParagraph"/>
              <w:spacing w:before="88"/>
              <w:ind w:left="2"/>
              <w:rPr>
                <w:rFonts w:ascii="Cambria"/>
                <w:sz w:val="19"/>
              </w:rPr>
            </w:pPr>
            <w:r>
              <w:rPr>
                <w:rFonts w:ascii="Cambria"/>
                <w:w w:val="103"/>
                <w:sz w:val="19"/>
              </w:rPr>
              <w:t>4</w:t>
            </w:r>
          </w:p>
        </w:tc>
        <w:tc>
          <w:tcPr>
            <w:tcW w:w="1152" w:type="dxa"/>
          </w:tcPr>
          <w:p>
            <w:pPr>
              <w:pStyle w:val="TableParagraph"/>
              <w:spacing w:before="88"/>
              <w:ind w:left="0" w:right="509"/>
              <w:jc w:val="right"/>
              <w:rPr>
                <w:rFonts w:ascii="Cambria"/>
                <w:sz w:val="19"/>
              </w:rPr>
            </w:pPr>
            <w:r>
              <w:rPr>
                <w:rFonts w:ascii="Cambria"/>
                <w:w w:val="103"/>
                <w:sz w:val="19"/>
              </w:rPr>
              <w:t>7</w:t>
            </w:r>
          </w:p>
        </w:tc>
      </w:tr>
      <w:tr>
        <w:trPr>
          <w:trHeight w:val="336" w:hRule="exact"/>
        </w:trPr>
        <w:tc>
          <w:tcPr>
            <w:tcW w:w="1162" w:type="dxa"/>
          </w:tcPr>
          <w:p>
            <w:pPr>
              <w:pStyle w:val="TableParagraph"/>
              <w:spacing w:before="88"/>
              <w:ind w:left="302"/>
              <w:jc w:val="left"/>
              <w:rPr>
                <w:rFonts w:ascii="Cambria" w:hAnsi="Cambria"/>
                <w:b/>
                <w:sz w:val="19"/>
              </w:rPr>
            </w:pPr>
            <w:r>
              <w:rPr>
                <w:rFonts w:ascii="Cambria" w:hAnsi="Cambria"/>
                <w:b/>
                <w:spacing w:val="1"/>
                <w:w w:val="103"/>
                <w:sz w:val="19"/>
              </w:rPr>
              <w:t>26</w:t>
            </w:r>
            <w:r>
              <w:rPr>
                <w:rFonts w:ascii="Cambria" w:hAnsi="Cambria"/>
                <w:b/>
                <w:w w:val="34"/>
                <w:sz w:val="19"/>
              </w:rPr>
              <w:t>-­</w:t>
            </w:r>
            <w:r>
              <w:rPr>
                <w:rFonts w:ascii="Cambria" w:hAnsi="Cambria"/>
                <w:b/>
                <w:spacing w:val="1"/>
                <w:w w:val="34"/>
                <w:sz w:val="19"/>
              </w:rPr>
              <w:t>‐</w:t>
            </w:r>
            <w:r>
              <w:rPr>
                <w:rFonts w:ascii="Cambria" w:hAnsi="Cambria"/>
                <w:b/>
                <w:spacing w:val="1"/>
                <w:w w:val="103"/>
                <w:sz w:val="19"/>
              </w:rPr>
              <w:t>30</w:t>
            </w:r>
          </w:p>
        </w:tc>
        <w:tc>
          <w:tcPr>
            <w:tcW w:w="1315" w:type="dxa"/>
          </w:tcPr>
          <w:p>
            <w:pPr>
              <w:pStyle w:val="TableParagraph"/>
              <w:spacing w:before="88"/>
              <w:ind w:left="2"/>
              <w:rPr>
                <w:rFonts w:ascii="Cambria"/>
                <w:sz w:val="19"/>
              </w:rPr>
            </w:pPr>
            <w:r>
              <w:rPr>
                <w:rFonts w:ascii="Cambria"/>
                <w:w w:val="103"/>
                <w:sz w:val="19"/>
              </w:rPr>
              <w:t>2</w:t>
            </w:r>
          </w:p>
        </w:tc>
        <w:tc>
          <w:tcPr>
            <w:tcW w:w="1142" w:type="dxa"/>
          </w:tcPr>
          <w:p>
            <w:pPr>
              <w:pStyle w:val="TableParagraph"/>
              <w:spacing w:before="88"/>
              <w:ind w:left="2"/>
              <w:rPr>
                <w:rFonts w:ascii="Cambria"/>
                <w:sz w:val="19"/>
              </w:rPr>
            </w:pPr>
            <w:r>
              <w:rPr>
                <w:rFonts w:ascii="Cambria"/>
                <w:w w:val="103"/>
                <w:sz w:val="19"/>
              </w:rPr>
              <w:t>6</w:t>
            </w:r>
          </w:p>
        </w:tc>
        <w:tc>
          <w:tcPr>
            <w:tcW w:w="1315" w:type="dxa"/>
          </w:tcPr>
          <w:p>
            <w:pPr>
              <w:pStyle w:val="TableParagraph"/>
              <w:spacing w:before="88"/>
              <w:ind w:left="594"/>
              <w:jc w:val="left"/>
              <w:rPr>
                <w:rFonts w:ascii="Cambria"/>
                <w:sz w:val="19"/>
              </w:rPr>
            </w:pPr>
            <w:r>
              <w:rPr>
                <w:rFonts w:ascii="Cambria"/>
                <w:w w:val="103"/>
                <w:sz w:val="19"/>
              </w:rPr>
              <w:t>1</w:t>
            </w:r>
          </w:p>
        </w:tc>
        <w:tc>
          <w:tcPr>
            <w:tcW w:w="1142" w:type="dxa"/>
          </w:tcPr>
          <w:p>
            <w:pPr>
              <w:pStyle w:val="TableParagraph"/>
              <w:spacing w:before="88"/>
              <w:ind w:left="0" w:right="503"/>
              <w:jc w:val="right"/>
              <w:rPr>
                <w:rFonts w:ascii="Cambria"/>
                <w:sz w:val="19"/>
              </w:rPr>
            </w:pPr>
            <w:r>
              <w:rPr>
                <w:rFonts w:ascii="Cambria"/>
                <w:w w:val="103"/>
                <w:sz w:val="19"/>
              </w:rPr>
              <w:t>1</w:t>
            </w:r>
          </w:p>
        </w:tc>
        <w:tc>
          <w:tcPr>
            <w:tcW w:w="1171" w:type="dxa"/>
          </w:tcPr>
          <w:p>
            <w:pPr>
              <w:pStyle w:val="TableParagraph"/>
              <w:spacing w:before="88"/>
              <w:ind w:left="2"/>
              <w:rPr>
                <w:rFonts w:ascii="Cambria"/>
                <w:sz w:val="19"/>
              </w:rPr>
            </w:pPr>
            <w:r>
              <w:rPr>
                <w:rFonts w:ascii="Cambria"/>
                <w:w w:val="103"/>
                <w:sz w:val="19"/>
              </w:rPr>
              <w:t>3</w:t>
            </w:r>
          </w:p>
        </w:tc>
        <w:tc>
          <w:tcPr>
            <w:tcW w:w="1152" w:type="dxa"/>
          </w:tcPr>
          <w:p>
            <w:pPr>
              <w:pStyle w:val="TableParagraph"/>
              <w:spacing w:before="88"/>
              <w:ind w:left="0" w:right="509"/>
              <w:jc w:val="right"/>
              <w:rPr>
                <w:rFonts w:ascii="Cambria"/>
                <w:sz w:val="19"/>
              </w:rPr>
            </w:pPr>
            <w:r>
              <w:rPr>
                <w:rFonts w:ascii="Cambria"/>
                <w:w w:val="103"/>
                <w:sz w:val="19"/>
              </w:rPr>
              <w:t>7</w:t>
            </w:r>
          </w:p>
        </w:tc>
      </w:tr>
      <w:tr>
        <w:trPr>
          <w:trHeight w:val="331" w:hRule="exact"/>
        </w:trPr>
        <w:tc>
          <w:tcPr>
            <w:tcW w:w="1162" w:type="dxa"/>
          </w:tcPr>
          <w:p>
            <w:pPr>
              <w:pStyle w:val="TableParagraph"/>
              <w:spacing w:before="83"/>
              <w:ind w:left="302"/>
              <w:jc w:val="left"/>
              <w:rPr>
                <w:rFonts w:ascii="Cambria" w:hAnsi="Cambria"/>
                <w:b/>
                <w:sz w:val="19"/>
              </w:rPr>
            </w:pPr>
            <w:r>
              <w:rPr>
                <w:rFonts w:ascii="Cambria" w:hAnsi="Cambria"/>
                <w:b/>
                <w:spacing w:val="1"/>
                <w:w w:val="103"/>
                <w:sz w:val="19"/>
              </w:rPr>
              <w:t>31</w:t>
            </w:r>
            <w:r>
              <w:rPr>
                <w:rFonts w:ascii="Cambria" w:hAnsi="Cambria"/>
                <w:b/>
                <w:w w:val="34"/>
                <w:sz w:val="19"/>
              </w:rPr>
              <w:t>-­</w:t>
            </w:r>
            <w:r>
              <w:rPr>
                <w:rFonts w:ascii="Cambria" w:hAnsi="Cambria"/>
                <w:b/>
                <w:spacing w:val="1"/>
                <w:w w:val="34"/>
                <w:sz w:val="19"/>
              </w:rPr>
              <w:t>‐</w:t>
            </w:r>
            <w:r>
              <w:rPr>
                <w:rFonts w:ascii="Cambria" w:hAnsi="Cambria"/>
                <w:b/>
                <w:spacing w:val="1"/>
                <w:w w:val="103"/>
                <w:sz w:val="19"/>
              </w:rPr>
              <w:t>35</w:t>
            </w:r>
          </w:p>
        </w:tc>
        <w:tc>
          <w:tcPr>
            <w:tcW w:w="1315" w:type="dxa"/>
          </w:tcPr>
          <w:p>
            <w:pPr>
              <w:pStyle w:val="TableParagraph"/>
              <w:spacing w:before="83"/>
              <w:ind w:left="2"/>
              <w:rPr>
                <w:rFonts w:ascii="Cambria"/>
                <w:sz w:val="19"/>
              </w:rPr>
            </w:pPr>
            <w:r>
              <w:rPr>
                <w:rFonts w:ascii="Cambria"/>
                <w:w w:val="103"/>
                <w:sz w:val="19"/>
              </w:rPr>
              <w:t>5</w:t>
            </w:r>
          </w:p>
        </w:tc>
        <w:tc>
          <w:tcPr>
            <w:tcW w:w="1142" w:type="dxa"/>
          </w:tcPr>
          <w:p>
            <w:pPr>
              <w:pStyle w:val="TableParagraph"/>
              <w:spacing w:before="83"/>
              <w:ind w:left="433" w:right="429"/>
              <w:rPr>
                <w:rFonts w:ascii="Cambria"/>
                <w:sz w:val="19"/>
              </w:rPr>
            </w:pPr>
            <w:r>
              <w:rPr>
                <w:rFonts w:ascii="Cambria"/>
                <w:w w:val="105"/>
                <w:sz w:val="19"/>
              </w:rPr>
              <w:t>11</w:t>
            </w:r>
          </w:p>
        </w:tc>
        <w:tc>
          <w:tcPr>
            <w:tcW w:w="1315" w:type="dxa"/>
          </w:tcPr>
          <w:p>
            <w:pPr>
              <w:pStyle w:val="TableParagraph"/>
              <w:spacing w:before="83"/>
              <w:ind w:left="594"/>
              <w:jc w:val="left"/>
              <w:rPr>
                <w:rFonts w:ascii="Cambria"/>
                <w:sz w:val="19"/>
              </w:rPr>
            </w:pPr>
            <w:r>
              <w:rPr>
                <w:rFonts w:ascii="Cambria"/>
                <w:w w:val="103"/>
                <w:sz w:val="19"/>
              </w:rPr>
              <w:t>2</w:t>
            </w:r>
          </w:p>
        </w:tc>
        <w:tc>
          <w:tcPr>
            <w:tcW w:w="1142" w:type="dxa"/>
          </w:tcPr>
          <w:p>
            <w:pPr>
              <w:pStyle w:val="TableParagraph"/>
              <w:spacing w:before="83"/>
              <w:ind w:left="0" w:right="503"/>
              <w:jc w:val="right"/>
              <w:rPr>
                <w:rFonts w:ascii="Cambria"/>
                <w:sz w:val="19"/>
              </w:rPr>
            </w:pPr>
            <w:r>
              <w:rPr>
                <w:rFonts w:ascii="Cambria"/>
                <w:w w:val="103"/>
                <w:sz w:val="19"/>
              </w:rPr>
              <w:t>6</w:t>
            </w:r>
          </w:p>
        </w:tc>
        <w:tc>
          <w:tcPr>
            <w:tcW w:w="1171" w:type="dxa"/>
          </w:tcPr>
          <w:p>
            <w:pPr>
              <w:pStyle w:val="TableParagraph"/>
              <w:spacing w:before="83"/>
              <w:ind w:left="2"/>
              <w:rPr>
                <w:rFonts w:ascii="Cambria"/>
                <w:sz w:val="19"/>
              </w:rPr>
            </w:pPr>
            <w:r>
              <w:rPr>
                <w:rFonts w:ascii="Cambria"/>
                <w:w w:val="103"/>
                <w:sz w:val="19"/>
              </w:rPr>
              <w:t>7</w:t>
            </w:r>
          </w:p>
        </w:tc>
        <w:tc>
          <w:tcPr>
            <w:tcW w:w="1152" w:type="dxa"/>
          </w:tcPr>
          <w:p>
            <w:pPr>
              <w:pStyle w:val="TableParagraph"/>
              <w:spacing w:before="83"/>
              <w:ind w:left="0" w:right="452"/>
              <w:jc w:val="right"/>
              <w:rPr>
                <w:rFonts w:ascii="Cambria"/>
                <w:sz w:val="19"/>
              </w:rPr>
            </w:pPr>
            <w:r>
              <w:rPr>
                <w:rFonts w:ascii="Cambria"/>
                <w:sz w:val="19"/>
              </w:rPr>
              <w:t>17</w:t>
            </w:r>
          </w:p>
        </w:tc>
      </w:tr>
      <w:tr>
        <w:trPr>
          <w:trHeight w:val="336" w:hRule="exact"/>
        </w:trPr>
        <w:tc>
          <w:tcPr>
            <w:tcW w:w="1162" w:type="dxa"/>
          </w:tcPr>
          <w:p>
            <w:pPr>
              <w:pStyle w:val="TableParagraph"/>
              <w:spacing w:before="88"/>
              <w:ind w:left="302"/>
              <w:jc w:val="left"/>
              <w:rPr>
                <w:rFonts w:ascii="Cambria" w:hAnsi="Cambria"/>
                <w:b/>
                <w:sz w:val="19"/>
              </w:rPr>
            </w:pPr>
            <w:r>
              <w:rPr>
                <w:rFonts w:ascii="Cambria" w:hAnsi="Cambria"/>
                <w:b/>
                <w:spacing w:val="1"/>
                <w:w w:val="103"/>
                <w:sz w:val="19"/>
              </w:rPr>
              <w:t>36</w:t>
            </w:r>
            <w:r>
              <w:rPr>
                <w:rFonts w:ascii="Cambria" w:hAnsi="Cambria"/>
                <w:b/>
                <w:w w:val="34"/>
                <w:sz w:val="19"/>
              </w:rPr>
              <w:t>-­</w:t>
            </w:r>
            <w:r>
              <w:rPr>
                <w:rFonts w:ascii="Cambria" w:hAnsi="Cambria"/>
                <w:b/>
                <w:spacing w:val="1"/>
                <w:w w:val="34"/>
                <w:sz w:val="19"/>
              </w:rPr>
              <w:t>‐</w:t>
            </w:r>
            <w:r>
              <w:rPr>
                <w:rFonts w:ascii="Cambria" w:hAnsi="Cambria"/>
                <w:b/>
                <w:spacing w:val="1"/>
                <w:w w:val="103"/>
                <w:sz w:val="19"/>
              </w:rPr>
              <w:t>40</w:t>
            </w:r>
          </w:p>
        </w:tc>
        <w:tc>
          <w:tcPr>
            <w:tcW w:w="1315" w:type="dxa"/>
          </w:tcPr>
          <w:p>
            <w:pPr>
              <w:pStyle w:val="TableParagraph"/>
              <w:spacing w:before="88"/>
              <w:ind w:left="2"/>
              <w:rPr>
                <w:rFonts w:ascii="Cambria"/>
                <w:sz w:val="19"/>
              </w:rPr>
            </w:pPr>
            <w:r>
              <w:rPr>
                <w:rFonts w:ascii="Cambria"/>
                <w:w w:val="103"/>
                <w:sz w:val="19"/>
              </w:rPr>
              <w:t>3</w:t>
            </w:r>
          </w:p>
        </w:tc>
        <w:tc>
          <w:tcPr>
            <w:tcW w:w="1142" w:type="dxa"/>
          </w:tcPr>
          <w:p>
            <w:pPr>
              <w:pStyle w:val="TableParagraph"/>
              <w:spacing w:before="88"/>
              <w:ind w:left="2"/>
              <w:rPr>
                <w:rFonts w:ascii="Cambria"/>
                <w:sz w:val="19"/>
              </w:rPr>
            </w:pPr>
            <w:r>
              <w:rPr>
                <w:rFonts w:ascii="Cambria"/>
                <w:w w:val="103"/>
                <w:sz w:val="19"/>
              </w:rPr>
              <w:t>7</w:t>
            </w:r>
          </w:p>
        </w:tc>
        <w:tc>
          <w:tcPr>
            <w:tcW w:w="1315" w:type="dxa"/>
          </w:tcPr>
          <w:p>
            <w:pPr>
              <w:pStyle w:val="TableParagraph"/>
              <w:spacing w:before="88"/>
              <w:ind w:left="594"/>
              <w:jc w:val="left"/>
              <w:rPr>
                <w:rFonts w:ascii="Cambria"/>
                <w:sz w:val="19"/>
              </w:rPr>
            </w:pPr>
            <w:r>
              <w:rPr>
                <w:rFonts w:ascii="Cambria"/>
                <w:w w:val="103"/>
                <w:sz w:val="19"/>
              </w:rPr>
              <w:t>6</w:t>
            </w:r>
          </w:p>
        </w:tc>
        <w:tc>
          <w:tcPr>
            <w:tcW w:w="1142" w:type="dxa"/>
          </w:tcPr>
          <w:p>
            <w:pPr>
              <w:pStyle w:val="TableParagraph"/>
              <w:spacing w:before="88"/>
              <w:ind w:left="0" w:right="446"/>
              <w:jc w:val="right"/>
              <w:rPr>
                <w:rFonts w:ascii="Cambria"/>
                <w:sz w:val="19"/>
              </w:rPr>
            </w:pPr>
            <w:r>
              <w:rPr>
                <w:rFonts w:ascii="Cambria"/>
                <w:sz w:val="19"/>
              </w:rPr>
              <w:t>15</w:t>
            </w:r>
          </w:p>
        </w:tc>
        <w:tc>
          <w:tcPr>
            <w:tcW w:w="1171" w:type="dxa"/>
          </w:tcPr>
          <w:p>
            <w:pPr>
              <w:pStyle w:val="TableParagraph"/>
              <w:spacing w:before="88"/>
              <w:ind w:left="2"/>
              <w:rPr>
                <w:rFonts w:ascii="Cambria"/>
                <w:sz w:val="19"/>
              </w:rPr>
            </w:pPr>
            <w:r>
              <w:rPr>
                <w:rFonts w:ascii="Cambria"/>
                <w:w w:val="103"/>
                <w:sz w:val="19"/>
              </w:rPr>
              <w:t>9</w:t>
            </w:r>
          </w:p>
        </w:tc>
        <w:tc>
          <w:tcPr>
            <w:tcW w:w="1152" w:type="dxa"/>
          </w:tcPr>
          <w:p>
            <w:pPr>
              <w:pStyle w:val="TableParagraph"/>
              <w:spacing w:before="88"/>
              <w:ind w:left="0" w:right="452"/>
              <w:jc w:val="right"/>
              <w:rPr>
                <w:rFonts w:ascii="Cambria"/>
                <w:sz w:val="19"/>
              </w:rPr>
            </w:pPr>
            <w:r>
              <w:rPr>
                <w:rFonts w:ascii="Cambria"/>
                <w:sz w:val="19"/>
              </w:rPr>
              <w:t>22</w:t>
            </w:r>
          </w:p>
        </w:tc>
      </w:tr>
      <w:tr>
        <w:trPr>
          <w:trHeight w:val="336" w:hRule="exact"/>
        </w:trPr>
        <w:tc>
          <w:tcPr>
            <w:tcW w:w="1162" w:type="dxa"/>
          </w:tcPr>
          <w:p>
            <w:pPr>
              <w:pStyle w:val="TableParagraph"/>
              <w:spacing w:before="88"/>
              <w:ind w:left="302"/>
              <w:jc w:val="left"/>
              <w:rPr>
                <w:rFonts w:ascii="Cambria" w:hAnsi="Cambria"/>
                <w:b/>
                <w:sz w:val="19"/>
              </w:rPr>
            </w:pPr>
            <w:r>
              <w:rPr>
                <w:rFonts w:ascii="Cambria" w:hAnsi="Cambria"/>
                <w:b/>
                <w:spacing w:val="1"/>
                <w:w w:val="103"/>
                <w:sz w:val="19"/>
              </w:rPr>
              <w:t>41</w:t>
            </w:r>
            <w:r>
              <w:rPr>
                <w:rFonts w:ascii="Cambria" w:hAnsi="Cambria"/>
                <w:b/>
                <w:w w:val="34"/>
                <w:sz w:val="19"/>
              </w:rPr>
              <w:t>-­</w:t>
            </w:r>
            <w:r>
              <w:rPr>
                <w:rFonts w:ascii="Cambria" w:hAnsi="Cambria"/>
                <w:b/>
                <w:spacing w:val="1"/>
                <w:w w:val="34"/>
                <w:sz w:val="19"/>
              </w:rPr>
              <w:t>‐</w:t>
            </w:r>
            <w:r>
              <w:rPr>
                <w:rFonts w:ascii="Cambria" w:hAnsi="Cambria"/>
                <w:b/>
                <w:spacing w:val="1"/>
                <w:w w:val="103"/>
                <w:sz w:val="19"/>
              </w:rPr>
              <w:t>45</w:t>
            </w:r>
          </w:p>
        </w:tc>
        <w:tc>
          <w:tcPr>
            <w:tcW w:w="1315" w:type="dxa"/>
          </w:tcPr>
          <w:p>
            <w:pPr>
              <w:pStyle w:val="TableParagraph"/>
              <w:spacing w:before="88"/>
              <w:ind w:left="2"/>
              <w:rPr>
                <w:rFonts w:ascii="Cambria"/>
                <w:sz w:val="19"/>
              </w:rPr>
            </w:pPr>
            <w:r>
              <w:rPr>
                <w:rFonts w:ascii="Cambria"/>
                <w:w w:val="103"/>
                <w:sz w:val="19"/>
              </w:rPr>
              <w:t>3</w:t>
            </w:r>
          </w:p>
        </w:tc>
        <w:tc>
          <w:tcPr>
            <w:tcW w:w="1142" w:type="dxa"/>
          </w:tcPr>
          <w:p>
            <w:pPr>
              <w:pStyle w:val="TableParagraph"/>
              <w:spacing w:before="88"/>
              <w:ind w:left="2"/>
              <w:rPr>
                <w:rFonts w:ascii="Cambria"/>
                <w:sz w:val="19"/>
              </w:rPr>
            </w:pPr>
            <w:r>
              <w:rPr>
                <w:rFonts w:ascii="Cambria"/>
                <w:w w:val="103"/>
                <w:sz w:val="19"/>
              </w:rPr>
              <w:t>7</w:t>
            </w:r>
          </w:p>
        </w:tc>
        <w:tc>
          <w:tcPr>
            <w:tcW w:w="1315" w:type="dxa"/>
          </w:tcPr>
          <w:p>
            <w:pPr>
              <w:pStyle w:val="TableParagraph"/>
              <w:spacing w:before="88"/>
              <w:ind w:left="594"/>
              <w:jc w:val="left"/>
              <w:rPr>
                <w:rFonts w:ascii="Cambria"/>
                <w:sz w:val="19"/>
              </w:rPr>
            </w:pPr>
            <w:r>
              <w:rPr>
                <w:rFonts w:ascii="Cambria"/>
                <w:w w:val="103"/>
                <w:sz w:val="19"/>
              </w:rPr>
              <w:t>2</w:t>
            </w:r>
          </w:p>
        </w:tc>
        <w:tc>
          <w:tcPr>
            <w:tcW w:w="1142" w:type="dxa"/>
          </w:tcPr>
          <w:p>
            <w:pPr>
              <w:pStyle w:val="TableParagraph"/>
              <w:spacing w:before="88"/>
              <w:ind w:left="0" w:right="503"/>
              <w:jc w:val="right"/>
              <w:rPr>
                <w:rFonts w:ascii="Cambria"/>
                <w:sz w:val="19"/>
              </w:rPr>
            </w:pPr>
            <w:r>
              <w:rPr>
                <w:rFonts w:ascii="Cambria"/>
                <w:w w:val="103"/>
                <w:sz w:val="19"/>
              </w:rPr>
              <w:t>3</w:t>
            </w:r>
          </w:p>
        </w:tc>
        <w:tc>
          <w:tcPr>
            <w:tcW w:w="1171" w:type="dxa"/>
          </w:tcPr>
          <w:p>
            <w:pPr>
              <w:pStyle w:val="TableParagraph"/>
              <w:spacing w:before="88"/>
              <w:ind w:left="2"/>
              <w:rPr>
                <w:rFonts w:ascii="Cambria"/>
                <w:sz w:val="19"/>
              </w:rPr>
            </w:pPr>
            <w:r>
              <w:rPr>
                <w:rFonts w:ascii="Cambria"/>
                <w:w w:val="103"/>
                <w:sz w:val="19"/>
              </w:rPr>
              <w:t>5</w:t>
            </w:r>
          </w:p>
        </w:tc>
        <w:tc>
          <w:tcPr>
            <w:tcW w:w="1152" w:type="dxa"/>
          </w:tcPr>
          <w:p>
            <w:pPr>
              <w:pStyle w:val="TableParagraph"/>
              <w:spacing w:before="88"/>
              <w:ind w:left="0" w:right="452"/>
              <w:jc w:val="right"/>
              <w:rPr>
                <w:rFonts w:ascii="Cambria"/>
                <w:sz w:val="19"/>
              </w:rPr>
            </w:pPr>
            <w:r>
              <w:rPr>
                <w:rFonts w:ascii="Cambria"/>
                <w:sz w:val="19"/>
              </w:rPr>
              <w:t>10</w:t>
            </w:r>
          </w:p>
        </w:tc>
      </w:tr>
      <w:tr>
        <w:trPr>
          <w:trHeight w:val="336" w:hRule="exact"/>
        </w:trPr>
        <w:tc>
          <w:tcPr>
            <w:tcW w:w="1162" w:type="dxa"/>
          </w:tcPr>
          <w:p>
            <w:pPr>
              <w:pStyle w:val="TableParagraph"/>
              <w:spacing w:before="88"/>
              <w:ind w:left="302"/>
              <w:jc w:val="left"/>
              <w:rPr>
                <w:rFonts w:ascii="Cambria" w:hAnsi="Cambria"/>
                <w:b/>
                <w:sz w:val="19"/>
              </w:rPr>
            </w:pPr>
            <w:r>
              <w:rPr>
                <w:rFonts w:ascii="Cambria" w:hAnsi="Cambria"/>
                <w:b/>
                <w:spacing w:val="1"/>
                <w:w w:val="103"/>
                <w:sz w:val="19"/>
              </w:rPr>
              <w:t>46</w:t>
            </w:r>
            <w:r>
              <w:rPr>
                <w:rFonts w:ascii="Cambria" w:hAnsi="Cambria"/>
                <w:b/>
                <w:w w:val="34"/>
                <w:sz w:val="19"/>
              </w:rPr>
              <w:t>-­</w:t>
            </w:r>
            <w:r>
              <w:rPr>
                <w:rFonts w:ascii="Cambria" w:hAnsi="Cambria"/>
                <w:b/>
                <w:spacing w:val="1"/>
                <w:w w:val="34"/>
                <w:sz w:val="19"/>
              </w:rPr>
              <w:t>‐</w:t>
            </w:r>
            <w:r>
              <w:rPr>
                <w:rFonts w:ascii="Cambria" w:hAnsi="Cambria"/>
                <w:b/>
                <w:spacing w:val="1"/>
                <w:w w:val="103"/>
                <w:sz w:val="19"/>
              </w:rPr>
              <w:t>50</w:t>
            </w:r>
          </w:p>
        </w:tc>
        <w:tc>
          <w:tcPr>
            <w:tcW w:w="1315" w:type="dxa"/>
          </w:tcPr>
          <w:p>
            <w:pPr>
              <w:pStyle w:val="TableParagraph"/>
              <w:spacing w:before="88"/>
              <w:ind w:left="2"/>
              <w:rPr>
                <w:rFonts w:ascii="Cambria"/>
                <w:sz w:val="19"/>
              </w:rPr>
            </w:pPr>
            <w:r>
              <w:rPr>
                <w:rFonts w:ascii="Cambria"/>
                <w:w w:val="103"/>
                <w:sz w:val="19"/>
              </w:rPr>
              <w:t>3</w:t>
            </w:r>
          </w:p>
        </w:tc>
        <w:tc>
          <w:tcPr>
            <w:tcW w:w="1142" w:type="dxa"/>
          </w:tcPr>
          <w:p>
            <w:pPr>
              <w:pStyle w:val="TableParagraph"/>
              <w:spacing w:before="88"/>
              <w:ind w:left="2"/>
              <w:rPr>
                <w:rFonts w:ascii="Cambria"/>
                <w:sz w:val="19"/>
              </w:rPr>
            </w:pPr>
            <w:r>
              <w:rPr>
                <w:rFonts w:ascii="Cambria"/>
                <w:w w:val="103"/>
                <w:sz w:val="19"/>
              </w:rPr>
              <w:t>7</w:t>
            </w:r>
          </w:p>
        </w:tc>
        <w:tc>
          <w:tcPr>
            <w:tcW w:w="1315" w:type="dxa"/>
          </w:tcPr>
          <w:p>
            <w:pPr>
              <w:pStyle w:val="TableParagraph"/>
              <w:spacing w:before="88"/>
              <w:ind w:left="594"/>
              <w:jc w:val="left"/>
              <w:rPr>
                <w:rFonts w:ascii="Cambria"/>
                <w:sz w:val="19"/>
              </w:rPr>
            </w:pPr>
            <w:r>
              <w:rPr>
                <w:rFonts w:ascii="Cambria"/>
                <w:w w:val="103"/>
                <w:sz w:val="19"/>
              </w:rPr>
              <w:t>2</w:t>
            </w:r>
          </w:p>
        </w:tc>
        <w:tc>
          <w:tcPr>
            <w:tcW w:w="1142" w:type="dxa"/>
          </w:tcPr>
          <w:p>
            <w:pPr>
              <w:pStyle w:val="TableParagraph"/>
              <w:spacing w:before="88"/>
              <w:ind w:left="0" w:right="503"/>
              <w:jc w:val="right"/>
              <w:rPr>
                <w:rFonts w:ascii="Cambria"/>
                <w:sz w:val="19"/>
              </w:rPr>
            </w:pPr>
            <w:r>
              <w:rPr>
                <w:rFonts w:ascii="Cambria"/>
                <w:w w:val="103"/>
                <w:sz w:val="19"/>
              </w:rPr>
              <w:t>4</w:t>
            </w:r>
          </w:p>
        </w:tc>
        <w:tc>
          <w:tcPr>
            <w:tcW w:w="1171" w:type="dxa"/>
          </w:tcPr>
          <w:p>
            <w:pPr>
              <w:pStyle w:val="TableParagraph"/>
              <w:spacing w:before="88"/>
              <w:ind w:left="2"/>
              <w:rPr>
                <w:rFonts w:ascii="Cambria"/>
                <w:sz w:val="19"/>
              </w:rPr>
            </w:pPr>
            <w:r>
              <w:rPr>
                <w:rFonts w:ascii="Cambria"/>
                <w:w w:val="103"/>
                <w:sz w:val="19"/>
              </w:rPr>
              <w:t>5</w:t>
            </w:r>
          </w:p>
        </w:tc>
        <w:tc>
          <w:tcPr>
            <w:tcW w:w="1152" w:type="dxa"/>
          </w:tcPr>
          <w:p>
            <w:pPr>
              <w:pStyle w:val="TableParagraph"/>
              <w:spacing w:before="88"/>
              <w:ind w:left="0" w:right="452"/>
              <w:jc w:val="right"/>
              <w:rPr>
                <w:rFonts w:ascii="Cambria"/>
                <w:sz w:val="19"/>
              </w:rPr>
            </w:pPr>
            <w:r>
              <w:rPr>
                <w:rFonts w:ascii="Cambria"/>
                <w:sz w:val="19"/>
              </w:rPr>
              <w:t>11</w:t>
            </w:r>
          </w:p>
        </w:tc>
      </w:tr>
      <w:tr>
        <w:trPr>
          <w:trHeight w:val="331" w:hRule="exact"/>
        </w:trPr>
        <w:tc>
          <w:tcPr>
            <w:tcW w:w="1162" w:type="dxa"/>
          </w:tcPr>
          <w:p>
            <w:pPr>
              <w:pStyle w:val="TableParagraph"/>
              <w:spacing w:before="88"/>
              <w:ind w:left="302"/>
              <w:jc w:val="left"/>
              <w:rPr>
                <w:rFonts w:ascii="Cambria" w:hAnsi="Cambria"/>
                <w:b/>
                <w:sz w:val="19"/>
              </w:rPr>
            </w:pPr>
            <w:r>
              <w:rPr>
                <w:rFonts w:ascii="Cambria" w:hAnsi="Cambria"/>
                <w:b/>
                <w:spacing w:val="1"/>
                <w:w w:val="103"/>
                <w:sz w:val="19"/>
              </w:rPr>
              <w:t>51</w:t>
            </w:r>
            <w:r>
              <w:rPr>
                <w:rFonts w:ascii="Cambria" w:hAnsi="Cambria"/>
                <w:b/>
                <w:w w:val="34"/>
                <w:sz w:val="19"/>
              </w:rPr>
              <w:t>-­</w:t>
            </w:r>
            <w:r>
              <w:rPr>
                <w:rFonts w:ascii="Cambria" w:hAnsi="Cambria"/>
                <w:b/>
                <w:spacing w:val="1"/>
                <w:w w:val="34"/>
                <w:sz w:val="19"/>
              </w:rPr>
              <w:t>‐</w:t>
            </w:r>
            <w:r>
              <w:rPr>
                <w:rFonts w:ascii="Cambria" w:hAnsi="Cambria"/>
                <w:b/>
                <w:spacing w:val="1"/>
                <w:w w:val="103"/>
                <w:sz w:val="19"/>
              </w:rPr>
              <w:t>55</w:t>
            </w:r>
          </w:p>
        </w:tc>
        <w:tc>
          <w:tcPr>
            <w:tcW w:w="1315" w:type="dxa"/>
          </w:tcPr>
          <w:p>
            <w:pPr>
              <w:pStyle w:val="TableParagraph"/>
              <w:spacing w:before="88"/>
              <w:ind w:left="2"/>
              <w:rPr>
                <w:rFonts w:ascii="Cambria"/>
                <w:sz w:val="19"/>
              </w:rPr>
            </w:pPr>
            <w:r>
              <w:rPr>
                <w:rFonts w:ascii="Cambria"/>
                <w:w w:val="103"/>
                <w:sz w:val="19"/>
              </w:rPr>
              <w:t>2</w:t>
            </w:r>
          </w:p>
        </w:tc>
        <w:tc>
          <w:tcPr>
            <w:tcW w:w="1142" w:type="dxa"/>
          </w:tcPr>
          <w:p>
            <w:pPr>
              <w:pStyle w:val="TableParagraph"/>
              <w:spacing w:before="88"/>
              <w:ind w:left="2"/>
              <w:rPr>
                <w:rFonts w:ascii="Cambria"/>
                <w:sz w:val="19"/>
              </w:rPr>
            </w:pPr>
            <w:r>
              <w:rPr>
                <w:rFonts w:ascii="Cambria"/>
                <w:w w:val="103"/>
                <w:sz w:val="19"/>
              </w:rPr>
              <w:t>6</w:t>
            </w:r>
          </w:p>
        </w:tc>
        <w:tc>
          <w:tcPr>
            <w:tcW w:w="1315" w:type="dxa"/>
          </w:tcPr>
          <w:p>
            <w:pPr>
              <w:pStyle w:val="TableParagraph"/>
              <w:spacing w:before="88"/>
              <w:ind w:left="594"/>
              <w:jc w:val="left"/>
              <w:rPr>
                <w:rFonts w:ascii="Cambria"/>
                <w:sz w:val="19"/>
              </w:rPr>
            </w:pPr>
            <w:r>
              <w:rPr>
                <w:rFonts w:ascii="Cambria"/>
                <w:w w:val="103"/>
                <w:sz w:val="19"/>
              </w:rPr>
              <w:t>2</w:t>
            </w:r>
          </w:p>
        </w:tc>
        <w:tc>
          <w:tcPr>
            <w:tcW w:w="1142" w:type="dxa"/>
          </w:tcPr>
          <w:p>
            <w:pPr>
              <w:pStyle w:val="TableParagraph"/>
              <w:spacing w:before="88"/>
              <w:ind w:left="0" w:right="503"/>
              <w:jc w:val="right"/>
              <w:rPr>
                <w:rFonts w:ascii="Cambria"/>
                <w:sz w:val="19"/>
              </w:rPr>
            </w:pPr>
            <w:r>
              <w:rPr>
                <w:rFonts w:ascii="Cambria"/>
                <w:w w:val="103"/>
                <w:sz w:val="19"/>
              </w:rPr>
              <w:t>4</w:t>
            </w:r>
          </w:p>
        </w:tc>
        <w:tc>
          <w:tcPr>
            <w:tcW w:w="1171" w:type="dxa"/>
          </w:tcPr>
          <w:p>
            <w:pPr>
              <w:pStyle w:val="TableParagraph"/>
              <w:spacing w:before="88"/>
              <w:ind w:left="2"/>
              <w:rPr>
                <w:rFonts w:ascii="Cambria"/>
                <w:sz w:val="19"/>
              </w:rPr>
            </w:pPr>
            <w:r>
              <w:rPr>
                <w:rFonts w:ascii="Cambria"/>
                <w:w w:val="103"/>
                <w:sz w:val="19"/>
              </w:rPr>
              <w:t>4</w:t>
            </w:r>
          </w:p>
        </w:tc>
        <w:tc>
          <w:tcPr>
            <w:tcW w:w="1152" w:type="dxa"/>
          </w:tcPr>
          <w:p>
            <w:pPr>
              <w:pStyle w:val="TableParagraph"/>
              <w:spacing w:before="88"/>
              <w:ind w:left="0" w:right="452"/>
              <w:jc w:val="right"/>
              <w:rPr>
                <w:rFonts w:ascii="Cambria"/>
                <w:sz w:val="19"/>
              </w:rPr>
            </w:pPr>
            <w:r>
              <w:rPr>
                <w:rFonts w:ascii="Cambria"/>
                <w:sz w:val="19"/>
              </w:rPr>
              <w:t>10</w:t>
            </w:r>
          </w:p>
        </w:tc>
      </w:tr>
      <w:tr>
        <w:trPr>
          <w:trHeight w:val="336" w:hRule="exact"/>
        </w:trPr>
        <w:tc>
          <w:tcPr>
            <w:tcW w:w="1162" w:type="dxa"/>
          </w:tcPr>
          <w:p>
            <w:pPr>
              <w:pStyle w:val="TableParagraph"/>
              <w:spacing w:before="88"/>
              <w:ind w:left="302"/>
              <w:jc w:val="left"/>
              <w:rPr>
                <w:rFonts w:ascii="Cambria" w:hAnsi="Cambria"/>
                <w:b/>
                <w:sz w:val="19"/>
              </w:rPr>
            </w:pPr>
            <w:r>
              <w:rPr>
                <w:rFonts w:ascii="Cambria" w:hAnsi="Cambria"/>
                <w:b/>
                <w:spacing w:val="1"/>
                <w:w w:val="103"/>
                <w:sz w:val="19"/>
              </w:rPr>
              <w:t>56</w:t>
            </w:r>
            <w:r>
              <w:rPr>
                <w:rFonts w:ascii="Cambria" w:hAnsi="Cambria"/>
                <w:b/>
                <w:w w:val="34"/>
                <w:sz w:val="19"/>
              </w:rPr>
              <w:t>-­</w:t>
            </w:r>
            <w:r>
              <w:rPr>
                <w:rFonts w:ascii="Cambria" w:hAnsi="Cambria"/>
                <w:b/>
                <w:spacing w:val="1"/>
                <w:w w:val="34"/>
                <w:sz w:val="19"/>
              </w:rPr>
              <w:t>‐</w:t>
            </w:r>
            <w:r>
              <w:rPr>
                <w:rFonts w:ascii="Cambria" w:hAnsi="Cambria"/>
                <w:b/>
                <w:spacing w:val="1"/>
                <w:w w:val="103"/>
                <w:sz w:val="19"/>
              </w:rPr>
              <w:t>60</w:t>
            </w:r>
          </w:p>
        </w:tc>
        <w:tc>
          <w:tcPr>
            <w:tcW w:w="1315" w:type="dxa"/>
          </w:tcPr>
          <w:p>
            <w:pPr>
              <w:pStyle w:val="TableParagraph"/>
              <w:spacing w:before="88"/>
              <w:ind w:left="2"/>
              <w:rPr>
                <w:rFonts w:ascii="Cambria"/>
                <w:sz w:val="19"/>
              </w:rPr>
            </w:pPr>
            <w:r>
              <w:rPr>
                <w:rFonts w:ascii="Cambria"/>
                <w:w w:val="103"/>
                <w:sz w:val="19"/>
              </w:rPr>
              <w:t>4</w:t>
            </w:r>
          </w:p>
        </w:tc>
        <w:tc>
          <w:tcPr>
            <w:tcW w:w="1142" w:type="dxa"/>
          </w:tcPr>
          <w:p>
            <w:pPr>
              <w:pStyle w:val="TableParagraph"/>
              <w:spacing w:before="88"/>
              <w:ind w:left="433" w:right="429"/>
              <w:rPr>
                <w:rFonts w:ascii="Cambria"/>
                <w:sz w:val="19"/>
              </w:rPr>
            </w:pPr>
            <w:r>
              <w:rPr>
                <w:rFonts w:ascii="Cambria"/>
                <w:w w:val="105"/>
                <w:sz w:val="19"/>
              </w:rPr>
              <w:t>11</w:t>
            </w:r>
          </w:p>
        </w:tc>
        <w:tc>
          <w:tcPr>
            <w:tcW w:w="1315" w:type="dxa"/>
          </w:tcPr>
          <w:p>
            <w:pPr>
              <w:pStyle w:val="TableParagraph"/>
              <w:spacing w:before="88"/>
              <w:ind w:left="594"/>
              <w:jc w:val="left"/>
              <w:rPr>
                <w:rFonts w:ascii="Cambria"/>
                <w:sz w:val="19"/>
              </w:rPr>
            </w:pPr>
            <w:r>
              <w:rPr>
                <w:rFonts w:ascii="Cambria"/>
                <w:w w:val="103"/>
                <w:sz w:val="19"/>
              </w:rPr>
              <w:t>2</w:t>
            </w:r>
          </w:p>
        </w:tc>
        <w:tc>
          <w:tcPr>
            <w:tcW w:w="1142" w:type="dxa"/>
          </w:tcPr>
          <w:p>
            <w:pPr>
              <w:pStyle w:val="TableParagraph"/>
              <w:spacing w:before="88"/>
              <w:ind w:left="0" w:right="503"/>
              <w:jc w:val="right"/>
              <w:rPr>
                <w:rFonts w:ascii="Cambria"/>
                <w:sz w:val="19"/>
              </w:rPr>
            </w:pPr>
            <w:r>
              <w:rPr>
                <w:rFonts w:ascii="Cambria"/>
                <w:w w:val="103"/>
                <w:sz w:val="19"/>
              </w:rPr>
              <w:t>4</w:t>
            </w:r>
          </w:p>
        </w:tc>
        <w:tc>
          <w:tcPr>
            <w:tcW w:w="1171" w:type="dxa"/>
          </w:tcPr>
          <w:p>
            <w:pPr>
              <w:pStyle w:val="TableParagraph"/>
              <w:spacing w:before="88"/>
              <w:ind w:left="2"/>
              <w:rPr>
                <w:rFonts w:ascii="Cambria"/>
                <w:sz w:val="19"/>
              </w:rPr>
            </w:pPr>
            <w:r>
              <w:rPr>
                <w:rFonts w:ascii="Cambria"/>
                <w:w w:val="103"/>
                <w:sz w:val="19"/>
              </w:rPr>
              <w:t>6</w:t>
            </w:r>
          </w:p>
        </w:tc>
        <w:tc>
          <w:tcPr>
            <w:tcW w:w="1152" w:type="dxa"/>
          </w:tcPr>
          <w:p>
            <w:pPr>
              <w:pStyle w:val="TableParagraph"/>
              <w:spacing w:before="88"/>
              <w:ind w:left="0" w:right="452"/>
              <w:jc w:val="right"/>
              <w:rPr>
                <w:rFonts w:ascii="Cambria"/>
                <w:sz w:val="19"/>
              </w:rPr>
            </w:pPr>
            <w:r>
              <w:rPr>
                <w:rFonts w:ascii="Cambria"/>
                <w:sz w:val="19"/>
              </w:rPr>
              <w:t>15</w:t>
            </w:r>
          </w:p>
        </w:tc>
      </w:tr>
      <w:tr>
        <w:trPr>
          <w:trHeight w:val="336" w:hRule="exact"/>
        </w:trPr>
        <w:tc>
          <w:tcPr>
            <w:tcW w:w="1162" w:type="dxa"/>
          </w:tcPr>
          <w:p>
            <w:pPr>
              <w:pStyle w:val="TableParagraph"/>
              <w:spacing w:before="88"/>
              <w:ind w:left="331"/>
              <w:jc w:val="left"/>
              <w:rPr>
                <w:rFonts w:ascii="Cambria"/>
                <w:b/>
                <w:sz w:val="19"/>
              </w:rPr>
            </w:pPr>
            <w:r>
              <w:rPr>
                <w:rFonts w:ascii="Cambria"/>
                <w:b/>
                <w:w w:val="105"/>
                <w:sz w:val="19"/>
              </w:rPr>
              <w:t>Total</w:t>
            </w:r>
          </w:p>
        </w:tc>
        <w:tc>
          <w:tcPr>
            <w:tcW w:w="1315" w:type="dxa"/>
          </w:tcPr>
          <w:p>
            <w:pPr>
              <w:pStyle w:val="TableParagraph"/>
              <w:spacing w:before="88"/>
              <w:ind w:left="519" w:right="516"/>
              <w:rPr>
                <w:rFonts w:ascii="Cambria"/>
                <w:sz w:val="19"/>
              </w:rPr>
            </w:pPr>
            <w:r>
              <w:rPr>
                <w:rFonts w:ascii="Cambria"/>
                <w:w w:val="105"/>
                <w:sz w:val="19"/>
              </w:rPr>
              <w:t>24</w:t>
            </w:r>
          </w:p>
        </w:tc>
        <w:tc>
          <w:tcPr>
            <w:tcW w:w="1142" w:type="dxa"/>
          </w:tcPr>
          <w:p>
            <w:pPr>
              <w:pStyle w:val="TableParagraph"/>
              <w:spacing w:before="88"/>
              <w:ind w:left="433" w:right="429"/>
              <w:rPr>
                <w:rFonts w:ascii="Cambria"/>
                <w:sz w:val="19"/>
              </w:rPr>
            </w:pPr>
            <w:r>
              <w:rPr>
                <w:rFonts w:ascii="Cambria"/>
                <w:w w:val="105"/>
                <w:sz w:val="19"/>
              </w:rPr>
              <w:t>58</w:t>
            </w:r>
          </w:p>
        </w:tc>
        <w:tc>
          <w:tcPr>
            <w:tcW w:w="1315" w:type="dxa"/>
          </w:tcPr>
          <w:p>
            <w:pPr>
              <w:pStyle w:val="TableParagraph"/>
              <w:spacing w:before="88"/>
              <w:ind w:left="539" w:right="42"/>
              <w:jc w:val="left"/>
              <w:rPr>
                <w:rFonts w:ascii="Cambria"/>
                <w:sz w:val="19"/>
              </w:rPr>
            </w:pPr>
            <w:r>
              <w:rPr>
                <w:rFonts w:ascii="Cambria"/>
                <w:w w:val="105"/>
                <w:sz w:val="19"/>
              </w:rPr>
              <w:t>20</w:t>
            </w:r>
          </w:p>
        </w:tc>
        <w:tc>
          <w:tcPr>
            <w:tcW w:w="1142" w:type="dxa"/>
          </w:tcPr>
          <w:p>
            <w:pPr>
              <w:pStyle w:val="TableParagraph"/>
              <w:spacing w:before="88"/>
              <w:ind w:left="0" w:right="446"/>
              <w:jc w:val="right"/>
              <w:rPr>
                <w:rFonts w:ascii="Cambria"/>
                <w:sz w:val="19"/>
              </w:rPr>
            </w:pPr>
            <w:r>
              <w:rPr>
                <w:rFonts w:ascii="Cambria"/>
                <w:sz w:val="19"/>
              </w:rPr>
              <w:t>42</w:t>
            </w:r>
          </w:p>
        </w:tc>
        <w:tc>
          <w:tcPr>
            <w:tcW w:w="1171" w:type="dxa"/>
          </w:tcPr>
          <w:p>
            <w:pPr>
              <w:pStyle w:val="TableParagraph"/>
              <w:spacing w:before="88"/>
              <w:ind w:left="240" w:right="237"/>
              <w:rPr>
                <w:rFonts w:ascii="Cambria"/>
                <w:sz w:val="19"/>
              </w:rPr>
            </w:pPr>
            <w:r>
              <w:rPr>
                <w:rFonts w:ascii="Cambria"/>
                <w:w w:val="105"/>
                <w:sz w:val="19"/>
              </w:rPr>
              <w:t>44</w:t>
            </w:r>
          </w:p>
        </w:tc>
        <w:tc>
          <w:tcPr>
            <w:tcW w:w="1152" w:type="dxa"/>
          </w:tcPr>
          <w:p>
            <w:pPr>
              <w:pStyle w:val="TableParagraph"/>
              <w:spacing w:before="88"/>
              <w:ind w:left="0" w:right="396"/>
              <w:jc w:val="right"/>
              <w:rPr>
                <w:rFonts w:ascii="Cambria"/>
                <w:sz w:val="19"/>
              </w:rPr>
            </w:pPr>
            <w:r>
              <w:rPr>
                <w:rFonts w:ascii="Cambria"/>
                <w:sz w:val="19"/>
              </w:rPr>
              <w:t>100</w:t>
            </w:r>
          </w:p>
        </w:tc>
      </w:tr>
    </w:tbl>
    <w:p>
      <w:pPr>
        <w:spacing w:line="271" w:lineRule="exact" w:before="0"/>
        <w:ind w:left="2939" w:right="1109" w:firstLine="0"/>
        <w:jc w:val="left"/>
        <w:rPr>
          <w:sz w:val="24"/>
        </w:rPr>
      </w:pPr>
      <w:r>
        <w:rPr/>
        <w:pict>
          <v:group style="position:absolute;margin-left:75.555pt;margin-top:48.546398pt;width:468.75pt;height:351.15pt;mso-position-horizontal-relative:page;mso-position-vertical-relative:paragraph;z-index:1312" coordorigin="1511,971" coordsize="9375,7023">
            <v:shape style="position:absolute;left:2772;top:1717;width:5357;height:5285" type="#_x0000_t75" stroked="false">
              <v:imagedata r:id="rId12" o:title=""/>
            </v:shape>
            <v:shape style="position:absolute;left:22161;top:-796568;width:64800479;height:836221" coordorigin="22161,-796568" coordsize="64800479,836221" path="m2815,6959l2815,7025m3664,6959l3664,7025m4514,6959l4514,7025m5368,6959l5368,7025m6218,6959l6218,7025m7067,6959l7067,7025m7917,6959l7917,7025e" filled="false" stroked="true" strokeweight=".75pt" strokecolor="#989898">
              <v:path arrowok="t"/>
            </v:shape>
            <v:rect style="position:absolute;left:8541;top:4457;width:110;height:110" filled="true" fillcolor="#cd665f" stroked="false">
              <v:fill type="solid"/>
            </v:rect>
            <v:rect style="position:absolute;left:8541;top:4457;width:110;height:110" filled="false" stroked="true" strokeweight=".75pt" strokecolor="#9e4842"/>
            <v:rect style="position:absolute;left:8541;top:4858;width:110;height:110" filled="true" fillcolor="#6095c9" stroked="false">
              <v:fill type="solid"/>
            </v:rect>
            <v:rect style="position:absolute;left:8541;top:4858;width:110;height:110" filled="false" stroked="true" strokeweight=".75pt" strokecolor="#426f9b"/>
            <v:rect style="position:absolute;left:1519;top:978;width:9360;height:7008" filled="false" stroked="true" strokeweight=".75pt" strokecolor="#989898"/>
            <v:shape style="position:absolute;left:2678;top:1052;width:6999;height:200" type="#_x0000_t202" filled="false" stroked="false">
              <v:textbox inset="0,0,0,0">
                <w:txbxContent>
                  <w:p>
                    <w:pPr>
                      <w:spacing w:line="200" w:lineRule="exact" w:before="0"/>
                      <w:ind w:left="0" w:right="-20" w:firstLine="0"/>
                      <w:jc w:val="left"/>
                      <w:rPr>
                        <w:rFonts w:ascii="Calibri" w:hAnsi="Calibri"/>
                        <w:b/>
                        <w:sz w:val="20"/>
                      </w:rPr>
                    </w:pPr>
                    <w:r>
                      <w:rPr>
                        <w:rFonts w:ascii="Calibri" w:hAnsi="Calibri"/>
                        <w:b/>
                        <w:sz w:val="20"/>
                      </w:rPr>
                      <w:t>GRÁFICO #1 DISTRIBUCIÓN DE PACIENTES CON IRC SEGÚN GRUPOS DE EDAD Y SEXO</w:t>
                    </w:r>
                  </w:p>
                </w:txbxContent>
              </v:textbox>
              <w10:wrap type="none"/>
            </v:shape>
            <v:shape style="position:absolute;left:2160;top:2089;width:467;height:3021" type="#_x0000_t202" filled="false" stroked="false">
              <v:textbox inset="0,0,0,0">
                <w:txbxContent>
                  <w:p>
                    <w:pPr>
                      <w:spacing w:line="210" w:lineRule="exact" w:before="0"/>
                      <w:ind w:left="0" w:right="0" w:firstLine="0"/>
                      <w:jc w:val="left"/>
                      <w:rPr>
                        <w:rFonts w:ascii="Calibri" w:hAnsi="Calibri"/>
                        <w:sz w:val="20"/>
                      </w:rPr>
                    </w:pPr>
                    <w:r>
                      <w:rPr>
                        <w:rFonts w:ascii="Calibri" w:hAnsi="Calibri"/>
                        <w:w w:val="75"/>
                        <w:sz w:val="20"/>
                      </w:rPr>
                      <w:t>56-­‐60</w:t>
                    </w:r>
                  </w:p>
                  <w:p>
                    <w:pPr>
                      <w:spacing w:line="240" w:lineRule="auto" w:before="9"/>
                      <w:rPr>
                        <w:sz w:val="27"/>
                      </w:rPr>
                    </w:pPr>
                  </w:p>
                  <w:p>
                    <w:pPr>
                      <w:spacing w:before="0"/>
                      <w:ind w:left="0" w:right="0" w:firstLine="0"/>
                      <w:jc w:val="left"/>
                      <w:rPr>
                        <w:rFonts w:ascii="Calibri" w:hAnsi="Calibri"/>
                        <w:sz w:val="20"/>
                      </w:rPr>
                    </w:pPr>
                    <w:r>
                      <w:rPr>
                        <w:rFonts w:ascii="Calibri" w:hAnsi="Calibri"/>
                        <w:w w:val="75"/>
                        <w:sz w:val="20"/>
                      </w:rPr>
                      <w:t>51-­‐55</w:t>
                    </w:r>
                  </w:p>
                  <w:p>
                    <w:pPr>
                      <w:spacing w:line="240" w:lineRule="auto" w:before="9"/>
                      <w:rPr>
                        <w:sz w:val="27"/>
                      </w:rPr>
                    </w:pPr>
                  </w:p>
                  <w:p>
                    <w:pPr>
                      <w:spacing w:before="0"/>
                      <w:ind w:left="0" w:right="0" w:firstLine="0"/>
                      <w:jc w:val="left"/>
                      <w:rPr>
                        <w:rFonts w:ascii="Calibri" w:hAnsi="Calibri"/>
                        <w:sz w:val="20"/>
                      </w:rPr>
                    </w:pPr>
                    <w:r>
                      <w:rPr>
                        <w:rFonts w:ascii="Calibri" w:hAnsi="Calibri"/>
                        <w:w w:val="75"/>
                        <w:sz w:val="20"/>
                      </w:rPr>
                      <w:t>46-­‐50</w:t>
                    </w:r>
                  </w:p>
                  <w:p>
                    <w:pPr>
                      <w:spacing w:line="240" w:lineRule="auto" w:before="9"/>
                      <w:rPr>
                        <w:sz w:val="27"/>
                      </w:rPr>
                    </w:pPr>
                  </w:p>
                  <w:p>
                    <w:pPr>
                      <w:spacing w:before="0"/>
                      <w:ind w:left="0" w:right="0" w:firstLine="0"/>
                      <w:jc w:val="left"/>
                      <w:rPr>
                        <w:rFonts w:ascii="Calibri" w:hAnsi="Calibri"/>
                        <w:sz w:val="20"/>
                      </w:rPr>
                    </w:pPr>
                    <w:r>
                      <w:rPr>
                        <w:rFonts w:ascii="Calibri" w:hAnsi="Calibri"/>
                        <w:w w:val="75"/>
                        <w:sz w:val="20"/>
                      </w:rPr>
                      <w:t>41-­‐45</w:t>
                    </w:r>
                  </w:p>
                  <w:p>
                    <w:pPr>
                      <w:spacing w:line="240" w:lineRule="auto" w:before="9"/>
                      <w:rPr>
                        <w:sz w:val="27"/>
                      </w:rPr>
                    </w:pPr>
                  </w:p>
                  <w:p>
                    <w:pPr>
                      <w:spacing w:before="0"/>
                      <w:ind w:left="0" w:right="0" w:firstLine="0"/>
                      <w:jc w:val="left"/>
                      <w:rPr>
                        <w:rFonts w:ascii="Calibri" w:hAnsi="Calibri"/>
                        <w:sz w:val="20"/>
                      </w:rPr>
                    </w:pPr>
                    <w:r>
                      <w:rPr>
                        <w:rFonts w:ascii="Calibri" w:hAnsi="Calibri"/>
                        <w:w w:val="75"/>
                        <w:sz w:val="20"/>
                      </w:rPr>
                      <w:t>36-­‐40</w:t>
                    </w:r>
                  </w:p>
                  <w:p>
                    <w:pPr>
                      <w:spacing w:line="240" w:lineRule="auto" w:before="9"/>
                      <w:rPr>
                        <w:sz w:val="27"/>
                      </w:rPr>
                    </w:pPr>
                  </w:p>
                  <w:p>
                    <w:pPr>
                      <w:spacing w:line="234" w:lineRule="exact" w:before="0"/>
                      <w:ind w:left="0" w:right="0" w:firstLine="0"/>
                      <w:jc w:val="left"/>
                      <w:rPr>
                        <w:rFonts w:ascii="Calibri" w:hAnsi="Calibri"/>
                        <w:sz w:val="20"/>
                      </w:rPr>
                    </w:pPr>
                    <w:r>
                      <w:rPr>
                        <w:rFonts w:ascii="Calibri" w:hAnsi="Calibri"/>
                        <w:w w:val="75"/>
                        <w:sz w:val="20"/>
                      </w:rPr>
                      <w:t>31-­‐35</w:t>
                    </w:r>
                  </w:p>
                </w:txbxContent>
              </v:textbox>
              <w10:wrap type="none"/>
            </v:shape>
            <v:shape style="position:absolute;left:8696;top:4434;width:1913;height:602" type="#_x0000_t202" filled="false" stroked="false">
              <v:textbox inset="0,0,0,0">
                <w:txbxContent>
                  <w:p>
                    <w:pPr>
                      <w:spacing w:line="210" w:lineRule="exact" w:before="0"/>
                      <w:ind w:left="0" w:right="-20" w:firstLine="0"/>
                      <w:jc w:val="left"/>
                      <w:rPr>
                        <w:rFonts w:ascii="Calibri"/>
                        <w:sz w:val="20"/>
                      </w:rPr>
                    </w:pPr>
                    <w:r>
                      <w:rPr>
                        <w:rFonts w:ascii="Calibri"/>
                        <w:sz w:val="20"/>
                      </w:rPr>
                      <w:t>FRECUENCIA MUJERES</w:t>
                    </w:r>
                  </w:p>
                  <w:p>
                    <w:pPr>
                      <w:spacing w:line="234" w:lineRule="exact" w:before="157"/>
                      <w:ind w:left="0" w:right="-20" w:firstLine="0"/>
                      <w:jc w:val="left"/>
                      <w:rPr>
                        <w:rFonts w:ascii="Calibri"/>
                        <w:sz w:val="20"/>
                      </w:rPr>
                    </w:pPr>
                    <w:r>
                      <w:rPr>
                        <w:rFonts w:ascii="Calibri"/>
                        <w:sz w:val="20"/>
                      </w:rPr>
                      <w:t>FRECUENCIA HOMBRES</w:t>
                    </w:r>
                  </w:p>
                </w:txbxContent>
              </v:textbox>
              <w10:wrap type="none"/>
            </v:shape>
            <v:shape style="position:absolute;left:2160;top:5474;width:467;height:1329" type="#_x0000_t202" filled="false" stroked="false">
              <v:textbox inset="0,0,0,0">
                <w:txbxContent>
                  <w:p>
                    <w:pPr>
                      <w:spacing w:line="210" w:lineRule="exact" w:before="0"/>
                      <w:ind w:left="0" w:right="0" w:firstLine="0"/>
                      <w:jc w:val="left"/>
                      <w:rPr>
                        <w:rFonts w:ascii="Calibri" w:hAnsi="Calibri"/>
                        <w:sz w:val="20"/>
                      </w:rPr>
                    </w:pPr>
                    <w:r>
                      <w:rPr>
                        <w:rFonts w:ascii="Calibri" w:hAnsi="Calibri"/>
                        <w:w w:val="75"/>
                        <w:sz w:val="20"/>
                      </w:rPr>
                      <w:t>26-­‐30</w:t>
                    </w:r>
                  </w:p>
                  <w:p>
                    <w:pPr>
                      <w:spacing w:line="240" w:lineRule="auto" w:before="9"/>
                      <w:rPr>
                        <w:sz w:val="27"/>
                      </w:rPr>
                    </w:pPr>
                  </w:p>
                  <w:p>
                    <w:pPr>
                      <w:spacing w:before="0"/>
                      <w:ind w:left="0" w:right="0" w:firstLine="0"/>
                      <w:jc w:val="left"/>
                      <w:rPr>
                        <w:rFonts w:ascii="Calibri" w:hAnsi="Calibri"/>
                        <w:sz w:val="20"/>
                      </w:rPr>
                    </w:pPr>
                    <w:r>
                      <w:rPr>
                        <w:rFonts w:ascii="Calibri" w:hAnsi="Calibri"/>
                        <w:w w:val="75"/>
                        <w:sz w:val="20"/>
                      </w:rPr>
                      <w:t>21-­‐25</w:t>
                    </w:r>
                  </w:p>
                  <w:p>
                    <w:pPr>
                      <w:spacing w:line="240" w:lineRule="auto" w:before="9"/>
                      <w:rPr>
                        <w:sz w:val="27"/>
                      </w:rPr>
                    </w:pPr>
                  </w:p>
                  <w:p>
                    <w:pPr>
                      <w:spacing w:line="234" w:lineRule="exact" w:before="0"/>
                      <w:ind w:left="0" w:right="0" w:firstLine="0"/>
                      <w:jc w:val="left"/>
                      <w:rPr>
                        <w:rFonts w:ascii="Calibri" w:hAnsi="Calibri"/>
                        <w:sz w:val="20"/>
                      </w:rPr>
                    </w:pPr>
                    <w:r>
                      <w:rPr>
                        <w:rFonts w:ascii="Calibri" w:hAnsi="Calibri"/>
                        <w:w w:val="75"/>
                        <w:sz w:val="20"/>
                      </w:rPr>
                      <w:t>16-­‐20</w:t>
                    </w:r>
                  </w:p>
                </w:txbxContent>
              </v:textbox>
              <w10:wrap type="none"/>
            </v:shape>
            <v:shape style="position:absolute;left:2762;top:7133;width:102;height:200" type="#_x0000_t202" filled="false" stroked="false">
              <v:textbox inset="0,0,0,0">
                <w:txbxContent>
                  <w:p>
                    <w:pPr>
                      <w:spacing w:line="200" w:lineRule="exact" w:before="0"/>
                      <w:ind w:left="0" w:right="0" w:firstLine="0"/>
                      <w:jc w:val="left"/>
                      <w:rPr>
                        <w:rFonts w:ascii="Calibri"/>
                        <w:sz w:val="20"/>
                      </w:rPr>
                    </w:pPr>
                    <w:r>
                      <w:rPr>
                        <w:rFonts w:ascii="Calibri"/>
                        <w:sz w:val="20"/>
                      </w:rPr>
                      <w:t>0</w:t>
                    </w:r>
                  </w:p>
                </w:txbxContent>
              </v:textbox>
              <w10:wrap type="none"/>
            </v:shape>
            <v:shape style="position:absolute;left:3613;top:7133;width:102;height:200" type="#_x0000_t202" filled="false" stroked="false">
              <v:textbox inset="0,0,0,0">
                <w:txbxContent>
                  <w:p>
                    <w:pPr>
                      <w:spacing w:line="200" w:lineRule="exact" w:before="0"/>
                      <w:ind w:left="0" w:right="0" w:firstLine="0"/>
                      <w:jc w:val="left"/>
                      <w:rPr>
                        <w:rFonts w:ascii="Calibri"/>
                        <w:sz w:val="20"/>
                      </w:rPr>
                    </w:pPr>
                    <w:r>
                      <w:rPr>
                        <w:rFonts w:ascii="Calibri"/>
                        <w:sz w:val="20"/>
                      </w:rPr>
                      <w:t>1</w:t>
                    </w:r>
                  </w:p>
                </w:txbxContent>
              </v:textbox>
              <w10:wrap type="none"/>
            </v:shape>
            <v:shape style="position:absolute;left:4464;top:7133;width:102;height:200" type="#_x0000_t202" filled="false" stroked="false">
              <v:textbox inset="0,0,0,0">
                <w:txbxContent>
                  <w:p>
                    <w:pPr>
                      <w:spacing w:line="200" w:lineRule="exact" w:before="0"/>
                      <w:ind w:left="0" w:right="0" w:firstLine="0"/>
                      <w:jc w:val="left"/>
                      <w:rPr>
                        <w:rFonts w:ascii="Calibri"/>
                        <w:sz w:val="20"/>
                      </w:rPr>
                    </w:pPr>
                    <w:r>
                      <w:rPr>
                        <w:rFonts w:ascii="Calibri"/>
                        <w:sz w:val="20"/>
                      </w:rPr>
                      <w:t>2</w:t>
                    </w:r>
                  </w:p>
                </w:txbxContent>
              </v:textbox>
              <w10:wrap type="none"/>
            </v:shape>
            <v:shape style="position:absolute;left:4789;top:7133;width:1159;height:517" type="#_x0000_t202" filled="false" stroked="false">
              <v:textbox inset="0,0,0,0">
                <w:txbxContent>
                  <w:p>
                    <w:pPr>
                      <w:spacing w:line="210" w:lineRule="exact" w:before="0"/>
                      <w:ind w:left="0" w:right="1" w:firstLine="0"/>
                      <w:jc w:val="center"/>
                      <w:rPr>
                        <w:rFonts w:ascii="Calibri"/>
                        <w:sz w:val="20"/>
                      </w:rPr>
                    </w:pPr>
                    <w:r>
                      <w:rPr>
                        <w:rFonts w:ascii="Calibri"/>
                        <w:sz w:val="20"/>
                      </w:rPr>
                      <w:t>3</w:t>
                    </w:r>
                  </w:p>
                  <w:p>
                    <w:pPr>
                      <w:spacing w:line="234" w:lineRule="exact" w:before="72"/>
                      <w:ind w:left="0" w:right="0" w:firstLine="0"/>
                      <w:jc w:val="center"/>
                      <w:rPr>
                        <w:rFonts w:ascii="Calibri"/>
                        <w:b/>
                        <w:sz w:val="20"/>
                      </w:rPr>
                    </w:pPr>
                    <w:r>
                      <w:rPr>
                        <w:rFonts w:ascii="Calibri"/>
                        <w:b/>
                        <w:sz w:val="20"/>
                      </w:rPr>
                      <w:t>No. DE CASOS</w:t>
                    </w:r>
                  </w:p>
                </w:txbxContent>
              </v:textbox>
              <w10:wrap type="none"/>
            </v:shape>
            <v:shape style="position:absolute;left:6166;top:7133;width:102;height:200" type="#_x0000_t202" filled="false" stroked="false">
              <v:textbox inset="0,0,0,0">
                <w:txbxContent>
                  <w:p>
                    <w:pPr>
                      <w:spacing w:line="200" w:lineRule="exact" w:before="0"/>
                      <w:ind w:left="0" w:right="0" w:firstLine="0"/>
                      <w:jc w:val="left"/>
                      <w:rPr>
                        <w:rFonts w:ascii="Calibri"/>
                        <w:sz w:val="20"/>
                      </w:rPr>
                    </w:pPr>
                    <w:r>
                      <w:rPr>
                        <w:rFonts w:ascii="Calibri"/>
                        <w:sz w:val="20"/>
                      </w:rPr>
                      <w:t>4</w:t>
                    </w:r>
                  </w:p>
                </w:txbxContent>
              </v:textbox>
              <w10:wrap type="none"/>
            </v:shape>
            <v:shape style="position:absolute;left:7017;top:7133;width:102;height:200" type="#_x0000_t202" filled="false" stroked="false">
              <v:textbox inset="0,0,0,0">
                <w:txbxContent>
                  <w:p>
                    <w:pPr>
                      <w:spacing w:line="200" w:lineRule="exact" w:before="0"/>
                      <w:ind w:left="0" w:right="0" w:firstLine="0"/>
                      <w:jc w:val="left"/>
                      <w:rPr>
                        <w:rFonts w:ascii="Calibri"/>
                        <w:sz w:val="20"/>
                      </w:rPr>
                    </w:pPr>
                    <w:r>
                      <w:rPr>
                        <w:rFonts w:ascii="Calibri"/>
                        <w:sz w:val="20"/>
                      </w:rPr>
                      <w:t>5</w:t>
                    </w:r>
                  </w:p>
                </w:txbxContent>
              </v:textbox>
              <w10:wrap type="none"/>
            </v:shape>
            <v:shape style="position:absolute;left:7868;top:7133;width:102;height:200" type="#_x0000_t202" filled="false" stroked="false">
              <v:textbox inset="0,0,0,0">
                <w:txbxContent>
                  <w:p>
                    <w:pPr>
                      <w:spacing w:line="200" w:lineRule="exact" w:before="0"/>
                      <w:ind w:left="0" w:right="0" w:firstLine="0"/>
                      <w:jc w:val="left"/>
                      <w:rPr>
                        <w:rFonts w:ascii="Calibri"/>
                        <w:sz w:val="20"/>
                      </w:rPr>
                    </w:pPr>
                    <w:r>
                      <w:rPr>
                        <w:rFonts w:ascii="Calibri"/>
                        <w:sz w:val="20"/>
                      </w:rPr>
                      <w:t>6</w:t>
                    </w:r>
                  </w:p>
                </w:txbxContent>
              </v:textbox>
              <w10:wrap type="none"/>
            </v:shape>
            <v:shape style="position:absolute;left:4331;top:7725;width:3553;height:240" type="#_x0000_t202" filled="false" stroked="false">
              <v:textbox inset="0,0,0,0">
                <w:txbxContent>
                  <w:p>
                    <w:pPr>
                      <w:spacing w:line="240" w:lineRule="exact" w:before="0"/>
                      <w:ind w:left="0" w:right="-20" w:firstLine="0"/>
                      <w:jc w:val="left"/>
                      <w:rPr>
                        <w:sz w:val="24"/>
                      </w:rPr>
                    </w:pPr>
                    <w:r>
                      <w:rPr>
                        <w:b/>
                        <w:sz w:val="24"/>
                      </w:rPr>
                      <w:t>Fuente: </w:t>
                    </w:r>
                    <w:r>
                      <w:rPr>
                        <w:sz w:val="24"/>
                      </w:rPr>
                      <w:t>Encuesta Personal. </w:t>
                    </w:r>
                    <w:r>
                      <w:rPr>
                        <w:b/>
                        <w:sz w:val="24"/>
                      </w:rPr>
                      <w:t>Anexo </w:t>
                    </w:r>
                    <w:r>
                      <w:rPr>
                        <w:sz w:val="24"/>
                      </w:rPr>
                      <w:t>2</w:t>
                    </w:r>
                  </w:p>
                </w:txbxContent>
              </v:textbox>
              <w10:wrap type="none"/>
            </v:shape>
            <w10:wrap type="none"/>
          </v:group>
        </w:pict>
      </w:r>
      <w:r>
        <w:rPr>
          <w:b/>
          <w:sz w:val="24"/>
        </w:rPr>
        <w:t>Fuente: </w:t>
      </w:r>
      <w:r>
        <w:rPr>
          <w:sz w:val="24"/>
        </w:rPr>
        <w:t>Encuesta Personal. </w:t>
      </w:r>
      <w:r>
        <w:rPr>
          <w:b/>
          <w:sz w:val="24"/>
        </w:rPr>
        <w:t>Anexo </w:t>
      </w:r>
      <w:r>
        <w:rPr>
          <w:sz w:val="24"/>
        </w:rPr>
        <w:t>2</w:t>
      </w:r>
    </w:p>
    <w:p>
      <w:pPr>
        <w:spacing w:after="0" w:line="271" w:lineRule="exact"/>
        <w:jc w:val="left"/>
        <w:rPr>
          <w:sz w:val="24"/>
        </w:rPr>
        <w:sectPr>
          <w:pgSz w:w="12240" w:h="15840"/>
          <w:pgMar w:header="0" w:footer="1032" w:top="1360" w:bottom="1220" w:left="1400" w:right="1240"/>
        </w:sectPr>
      </w:pPr>
    </w:p>
    <w:p>
      <w:pPr>
        <w:pStyle w:val="Heading1"/>
        <w:spacing w:before="50" w:after="6"/>
        <w:ind w:left="296" w:right="629"/>
      </w:pPr>
      <w:r>
        <w:rPr/>
        <w:t>TABLA#2 DISTRIBUCIÓN DE PACIENTES CON IRC SEGÚN ESTADO CIVIL.</w:t>
      </w:r>
    </w:p>
    <w:tbl>
      <w:tblPr>
        <w:tblW w:w="0" w:type="auto"/>
        <w:jc w:val="left"/>
        <w:tblInd w:w="1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95"/>
        <w:gridCol w:w="2990"/>
        <w:gridCol w:w="2995"/>
      </w:tblGrid>
      <w:tr>
        <w:trPr>
          <w:trHeight w:val="283" w:hRule="exact"/>
        </w:trPr>
        <w:tc>
          <w:tcPr>
            <w:tcW w:w="2995" w:type="dxa"/>
          </w:tcPr>
          <w:p>
            <w:pPr>
              <w:pStyle w:val="TableParagraph"/>
              <w:spacing w:line="273" w:lineRule="exact"/>
              <w:ind w:right="102"/>
              <w:rPr>
                <w:b/>
                <w:sz w:val="24"/>
              </w:rPr>
            </w:pPr>
            <w:r>
              <w:rPr>
                <w:b/>
                <w:sz w:val="24"/>
              </w:rPr>
              <w:t>ESTATUS MARITAL</w:t>
            </w:r>
          </w:p>
        </w:tc>
        <w:tc>
          <w:tcPr>
            <w:tcW w:w="2990" w:type="dxa"/>
          </w:tcPr>
          <w:p>
            <w:pPr>
              <w:pStyle w:val="TableParagraph"/>
              <w:spacing w:line="273" w:lineRule="exact"/>
              <w:ind w:left="673" w:right="666"/>
              <w:rPr>
                <w:b/>
                <w:sz w:val="24"/>
              </w:rPr>
            </w:pPr>
            <w:r>
              <w:rPr>
                <w:b/>
                <w:sz w:val="24"/>
              </w:rPr>
              <w:t>FRECUENCIA</w:t>
            </w:r>
          </w:p>
        </w:tc>
        <w:tc>
          <w:tcPr>
            <w:tcW w:w="2995" w:type="dxa"/>
          </w:tcPr>
          <w:p>
            <w:pPr>
              <w:pStyle w:val="TableParagraph"/>
              <w:spacing w:line="273" w:lineRule="exact"/>
              <w:ind w:right="101"/>
              <w:rPr>
                <w:b/>
                <w:sz w:val="24"/>
              </w:rPr>
            </w:pPr>
            <w:r>
              <w:rPr>
                <w:b/>
                <w:sz w:val="24"/>
              </w:rPr>
              <w:t>PORCENTAJE</w:t>
            </w:r>
          </w:p>
        </w:tc>
      </w:tr>
      <w:tr>
        <w:trPr>
          <w:trHeight w:val="288" w:hRule="exact"/>
        </w:trPr>
        <w:tc>
          <w:tcPr>
            <w:tcW w:w="2995" w:type="dxa"/>
          </w:tcPr>
          <w:p>
            <w:pPr>
              <w:pStyle w:val="TableParagraph"/>
              <w:spacing w:line="273" w:lineRule="exact"/>
              <w:ind w:right="102"/>
              <w:rPr>
                <w:b/>
                <w:sz w:val="24"/>
              </w:rPr>
            </w:pPr>
            <w:r>
              <w:rPr>
                <w:b/>
                <w:sz w:val="24"/>
              </w:rPr>
              <w:t>CON PAREJA</w:t>
            </w:r>
          </w:p>
        </w:tc>
        <w:tc>
          <w:tcPr>
            <w:tcW w:w="2990" w:type="dxa"/>
          </w:tcPr>
          <w:p>
            <w:pPr>
              <w:pStyle w:val="TableParagraph"/>
              <w:spacing w:line="273" w:lineRule="exact"/>
              <w:ind w:left="673" w:right="666"/>
              <w:rPr>
                <w:sz w:val="24"/>
              </w:rPr>
            </w:pPr>
            <w:r>
              <w:rPr>
                <w:sz w:val="24"/>
              </w:rPr>
              <w:t>146</w:t>
            </w:r>
          </w:p>
        </w:tc>
        <w:tc>
          <w:tcPr>
            <w:tcW w:w="2995" w:type="dxa"/>
          </w:tcPr>
          <w:p>
            <w:pPr>
              <w:pStyle w:val="TableParagraph"/>
              <w:spacing w:line="273" w:lineRule="exact"/>
              <w:ind w:right="101"/>
              <w:rPr>
                <w:sz w:val="24"/>
              </w:rPr>
            </w:pPr>
            <w:r>
              <w:rPr>
                <w:sz w:val="24"/>
              </w:rPr>
              <w:t>58</w:t>
            </w:r>
          </w:p>
        </w:tc>
      </w:tr>
      <w:tr>
        <w:trPr>
          <w:trHeight w:val="283" w:hRule="exact"/>
        </w:trPr>
        <w:tc>
          <w:tcPr>
            <w:tcW w:w="2995" w:type="dxa"/>
          </w:tcPr>
          <w:p>
            <w:pPr>
              <w:pStyle w:val="TableParagraph"/>
              <w:spacing w:line="273" w:lineRule="exact"/>
              <w:ind w:right="102"/>
              <w:rPr>
                <w:b/>
                <w:sz w:val="24"/>
              </w:rPr>
            </w:pPr>
            <w:r>
              <w:rPr>
                <w:b/>
                <w:sz w:val="24"/>
              </w:rPr>
              <w:t>SIN PAREJA</w:t>
            </w:r>
          </w:p>
        </w:tc>
        <w:tc>
          <w:tcPr>
            <w:tcW w:w="2990" w:type="dxa"/>
          </w:tcPr>
          <w:p>
            <w:pPr>
              <w:pStyle w:val="TableParagraph"/>
              <w:spacing w:line="273" w:lineRule="exact"/>
              <w:ind w:left="673" w:right="666"/>
              <w:rPr>
                <w:sz w:val="24"/>
              </w:rPr>
            </w:pPr>
            <w:r>
              <w:rPr>
                <w:sz w:val="24"/>
              </w:rPr>
              <w:t>105</w:t>
            </w:r>
          </w:p>
        </w:tc>
        <w:tc>
          <w:tcPr>
            <w:tcW w:w="2995" w:type="dxa"/>
          </w:tcPr>
          <w:p>
            <w:pPr>
              <w:pStyle w:val="TableParagraph"/>
              <w:spacing w:line="273" w:lineRule="exact"/>
              <w:ind w:right="101"/>
              <w:rPr>
                <w:sz w:val="24"/>
              </w:rPr>
            </w:pPr>
            <w:r>
              <w:rPr>
                <w:sz w:val="24"/>
              </w:rPr>
              <w:t>42</w:t>
            </w:r>
          </w:p>
        </w:tc>
      </w:tr>
      <w:tr>
        <w:trPr>
          <w:trHeight w:val="288" w:hRule="exact"/>
        </w:trPr>
        <w:tc>
          <w:tcPr>
            <w:tcW w:w="2995" w:type="dxa"/>
          </w:tcPr>
          <w:p>
            <w:pPr>
              <w:pStyle w:val="TableParagraph"/>
              <w:spacing w:before="1"/>
              <w:ind w:right="102"/>
              <w:rPr>
                <w:b/>
                <w:sz w:val="24"/>
              </w:rPr>
            </w:pPr>
            <w:r>
              <w:rPr>
                <w:b/>
                <w:sz w:val="24"/>
              </w:rPr>
              <w:t>TOTAL</w:t>
            </w:r>
          </w:p>
        </w:tc>
        <w:tc>
          <w:tcPr>
            <w:tcW w:w="2990" w:type="dxa"/>
          </w:tcPr>
          <w:p>
            <w:pPr>
              <w:pStyle w:val="TableParagraph"/>
              <w:spacing w:before="1"/>
              <w:ind w:left="673" w:right="666"/>
              <w:rPr>
                <w:sz w:val="24"/>
              </w:rPr>
            </w:pPr>
            <w:r>
              <w:rPr>
                <w:sz w:val="24"/>
              </w:rPr>
              <w:t>251</w:t>
            </w:r>
          </w:p>
        </w:tc>
        <w:tc>
          <w:tcPr>
            <w:tcW w:w="2995" w:type="dxa"/>
          </w:tcPr>
          <w:p>
            <w:pPr>
              <w:pStyle w:val="TableParagraph"/>
              <w:spacing w:before="1"/>
              <w:ind w:right="101"/>
              <w:rPr>
                <w:sz w:val="24"/>
              </w:rPr>
            </w:pPr>
            <w:r>
              <w:rPr>
                <w:sz w:val="24"/>
              </w:rPr>
              <w:t>100</w:t>
            </w:r>
          </w:p>
        </w:tc>
      </w:tr>
    </w:tbl>
    <w:p>
      <w:pPr>
        <w:spacing w:line="273" w:lineRule="exact" w:before="0"/>
        <w:ind w:left="296" w:right="1109" w:firstLine="0"/>
        <w:jc w:val="left"/>
        <w:rPr>
          <w:sz w:val="24"/>
        </w:rPr>
      </w:pPr>
      <w:r>
        <w:rPr>
          <w:b/>
          <w:sz w:val="24"/>
        </w:rPr>
        <w:t>Fuente: </w:t>
      </w:r>
      <w:r>
        <w:rPr>
          <w:sz w:val="24"/>
        </w:rPr>
        <w:t>Encuesta Personal. </w:t>
      </w:r>
      <w:r>
        <w:rPr>
          <w:b/>
          <w:sz w:val="24"/>
        </w:rPr>
        <w:t>Anexo </w:t>
      </w:r>
      <w:r>
        <w:rPr>
          <w:sz w:val="24"/>
        </w:rPr>
        <w:t>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1"/>
        </w:rPr>
      </w:pPr>
    </w:p>
    <w:tbl>
      <w:tblPr>
        <w:tblW w:w="0" w:type="auto"/>
        <w:jc w:val="left"/>
        <w:tblInd w:w="1289" w:type="dxa"/>
        <w:tblBorders>
          <w:top w:val="single" w:sz="6" w:space="0" w:color="989898"/>
          <w:left w:val="single" w:sz="6" w:space="0" w:color="989898"/>
          <w:bottom w:val="single" w:sz="6" w:space="0" w:color="989898"/>
          <w:right w:val="single" w:sz="6" w:space="0" w:color="989898"/>
          <w:insideH w:val="single" w:sz="6" w:space="0" w:color="989898"/>
          <w:insideV w:val="single" w:sz="6" w:space="0" w:color="989898"/>
        </w:tblBorders>
        <w:tblLayout w:type="fixed"/>
        <w:tblCellMar>
          <w:top w:w="0" w:type="dxa"/>
          <w:left w:w="0" w:type="dxa"/>
          <w:bottom w:w="0" w:type="dxa"/>
          <w:right w:w="0" w:type="dxa"/>
        </w:tblCellMar>
        <w:tblLook w:val="01E0"/>
      </w:tblPr>
      <w:tblGrid>
        <w:gridCol w:w="1354"/>
        <w:gridCol w:w="2549"/>
        <w:gridCol w:w="2548"/>
      </w:tblGrid>
      <w:tr>
        <w:trPr>
          <w:trHeight w:val="302" w:hRule="exact"/>
        </w:trPr>
        <w:tc>
          <w:tcPr>
            <w:tcW w:w="1354" w:type="dxa"/>
            <w:tcBorders>
              <w:top w:val="nil"/>
              <w:left w:val="nil"/>
            </w:tcBorders>
          </w:tcPr>
          <w:p>
            <w:pPr>
              <w:pStyle w:val="TableParagraph"/>
              <w:spacing w:line="132" w:lineRule="exact"/>
              <w:ind w:left="0" w:right="178"/>
              <w:jc w:val="right"/>
              <w:rPr>
                <w:rFonts w:ascii="Calibri"/>
                <w:sz w:val="20"/>
              </w:rPr>
            </w:pPr>
            <w:r>
              <w:rPr>
                <w:rFonts w:ascii="Calibri"/>
                <w:sz w:val="20"/>
              </w:rPr>
              <w:t>0</w:t>
            </w:r>
          </w:p>
        </w:tc>
        <w:tc>
          <w:tcPr>
            <w:tcW w:w="2549" w:type="dxa"/>
            <w:tcBorders>
              <w:top w:val="nil"/>
            </w:tcBorders>
          </w:tcPr>
          <w:p>
            <w:pPr>
              <w:pStyle w:val="TableParagraph"/>
              <w:spacing w:before="71"/>
              <w:ind w:left="738" w:right="737"/>
              <w:rPr>
                <w:rFonts w:ascii="Calibri"/>
                <w:sz w:val="20"/>
              </w:rPr>
            </w:pPr>
            <w:r>
              <w:rPr>
                <w:rFonts w:ascii="Calibri"/>
                <w:sz w:val="20"/>
              </w:rPr>
              <w:t>CON PAREJA</w:t>
            </w:r>
          </w:p>
        </w:tc>
        <w:tc>
          <w:tcPr>
            <w:tcW w:w="2548" w:type="dxa"/>
            <w:tcBorders>
              <w:top w:val="nil"/>
            </w:tcBorders>
          </w:tcPr>
          <w:p>
            <w:pPr>
              <w:pStyle w:val="TableParagraph"/>
              <w:spacing w:before="71"/>
              <w:ind w:left="782" w:right="788"/>
              <w:rPr>
                <w:rFonts w:ascii="Calibri"/>
                <w:sz w:val="20"/>
              </w:rPr>
            </w:pPr>
            <w:r>
              <w:rPr>
                <w:rFonts w:ascii="Calibri"/>
                <w:sz w:val="20"/>
              </w:rPr>
              <w:t>SIN PAREJA</w:t>
            </w:r>
          </w:p>
        </w:tc>
      </w:tr>
      <w:tr>
        <w:trPr>
          <w:trHeight w:val="330" w:hRule="exact"/>
        </w:trPr>
        <w:tc>
          <w:tcPr>
            <w:tcW w:w="1354" w:type="dxa"/>
          </w:tcPr>
          <w:p>
            <w:pPr>
              <w:pStyle w:val="TableParagraph"/>
              <w:spacing w:before="40"/>
              <w:ind w:left="222"/>
              <w:jc w:val="left"/>
              <w:rPr>
                <w:rFonts w:ascii="Calibri"/>
                <w:sz w:val="20"/>
              </w:rPr>
            </w:pPr>
            <w:r>
              <w:rPr>
                <w:rFonts w:ascii="Calibri"/>
                <w:sz w:val="20"/>
              </w:rPr>
              <w:t>PORCENTAJE</w:t>
            </w:r>
          </w:p>
        </w:tc>
        <w:tc>
          <w:tcPr>
            <w:tcW w:w="2549" w:type="dxa"/>
          </w:tcPr>
          <w:p>
            <w:pPr>
              <w:pStyle w:val="TableParagraph"/>
              <w:spacing w:before="46"/>
              <w:ind w:left="736" w:right="737"/>
              <w:rPr>
                <w:rFonts w:ascii="Calibri"/>
                <w:sz w:val="20"/>
              </w:rPr>
            </w:pPr>
            <w:r>
              <w:rPr>
                <w:rFonts w:ascii="Calibri"/>
                <w:sz w:val="20"/>
              </w:rPr>
              <w:t>58</w:t>
            </w:r>
          </w:p>
        </w:tc>
        <w:tc>
          <w:tcPr>
            <w:tcW w:w="2548" w:type="dxa"/>
          </w:tcPr>
          <w:p>
            <w:pPr>
              <w:pStyle w:val="TableParagraph"/>
              <w:spacing w:before="46"/>
              <w:ind w:left="782" w:right="784"/>
              <w:rPr>
                <w:rFonts w:ascii="Calibri"/>
                <w:sz w:val="20"/>
              </w:rPr>
            </w:pPr>
            <w:r>
              <w:rPr>
                <w:rFonts w:ascii="Calibri"/>
                <w:sz w:val="20"/>
              </w:rPr>
              <w:t>42</w:t>
            </w:r>
          </w:p>
        </w:tc>
      </w:tr>
    </w:tbl>
    <w:p>
      <w:pPr>
        <w:pStyle w:val="BodyText"/>
        <w:spacing w:before="4"/>
        <w:rPr>
          <w:sz w:val="10"/>
        </w:rPr>
      </w:pPr>
    </w:p>
    <w:p>
      <w:pPr>
        <w:spacing w:before="69"/>
        <w:ind w:left="3290" w:right="1109" w:firstLine="0"/>
        <w:jc w:val="left"/>
        <w:rPr>
          <w:sz w:val="24"/>
        </w:rPr>
      </w:pPr>
      <w:r>
        <w:rPr/>
        <w:pict>
          <v:group style="position:absolute;margin-left:84.555pt;margin-top:-201.061874pt;width:459.75pt;height:201.5pt;mso-position-horizontal-relative:page;mso-position-vertical-relative:paragraph;z-index:-143032" coordorigin="1691,-4021" coordsize="9195,4030">
            <v:shape style="position:absolute;left:4015;top:-3297;width:6058;height:2568" type="#_x0000_t75" stroked="false">
              <v:imagedata r:id="rId14" o:title=""/>
            </v:shape>
            <v:rect style="position:absolute;left:2772;top:-351;width:110;height:110" filled="true" fillcolor="#cd665f" stroked="false">
              <v:fill type="solid"/>
            </v:rect>
            <v:rect style="position:absolute;left:2772;top:-351;width:110;height:110" filled="false" stroked="true" strokeweight=".75pt" strokecolor="#9e4842"/>
            <v:rect style="position:absolute;left:1699;top:-4014;width:9180;height:4015" filled="false" stroked="true" strokeweight=".75pt" strokecolor="#989898"/>
            <v:shape style="position:absolute;left:3254;top:-3772;width:5853;height:200" type="#_x0000_t202" filled="false" stroked="false">
              <v:textbox inset="0,0,0,0">
                <w:txbxContent>
                  <w:p>
                    <w:pPr>
                      <w:spacing w:line="200" w:lineRule="exact" w:before="0"/>
                      <w:ind w:left="0" w:right="-20" w:firstLine="0"/>
                      <w:jc w:val="left"/>
                      <w:rPr>
                        <w:rFonts w:ascii="Calibri" w:hAnsi="Calibri"/>
                        <w:b/>
                        <w:sz w:val="20"/>
                      </w:rPr>
                    </w:pPr>
                    <w:r>
                      <w:rPr>
                        <w:rFonts w:ascii="Calibri" w:hAnsi="Calibri"/>
                        <w:b/>
                        <w:sz w:val="20"/>
                      </w:rPr>
                      <w:t>Gráﬁca #2 DISTRIBUCIÓN DE PACIENTES CON IRC SEGÚN ESTADO CIVIL</w:t>
                    </w:r>
                  </w:p>
                </w:txbxContent>
              </v:textbox>
              <w10:wrap type="none"/>
            </v:shape>
            <v:shape style="position:absolute;left:3660;top:-2664;width:203;height:1723" type="#_x0000_t202" filled="false" stroked="false">
              <v:textbox inset="0,0,0,0">
                <w:txbxContent>
                  <w:p>
                    <w:pPr>
                      <w:spacing w:line="210" w:lineRule="exact" w:before="0"/>
                      <w:ind w:left="0" w:right="-20" w:firstLine="0"/>
                      <w:jc w:val="left"/>
                      <w:rPr>
                        <w:rFonts w:ascii="Calibri"/>
                        <w:sz w:val="20"/>
                      </w:rPr>
                    </w:pPr>
                    <w:r>
                      <w:rPr>
                        <w:rFonts w:ascii="Calibri"/>
                        <w:sz w:val="20"/>
                      </w:rPr>
                      <w:t>60</w:t>
                    </w:r>
                  </w:p>
                  <w:p>
                    <w:pPr>
                      <w:spacing w:before="60"/>
                      <w:ind w:left="0" w:right="-20" w:firstLine="0"/>
                      <w:jc w:val="left"/>
                      <w:rPr>
                        <w:rFonts w:ascii="Calibri"/>
                        <w:sz w:val="20"/>
                      </w:rPr>
                    </w:pPr>
                    <w:r>
                      <w:rPr>
                        <w:rFonts w:ascii="Calibri"/>
                        <w:sz w:val="20"/>
                      </w:rPr>
                      <w:t>50</w:t>
                    </w:r>
                  </w:p>
                  <w:p>
                    <w:pPr>
                      <w:spacing w:before="60"/>
                      <w:ind w:left="0" w:right="-20" w:firstLine="0"/>
                      <w:jc w:val="left"/>
                      <w:rPr>
                        <w:rFonts w:ascii="Calibri"/>
                        <w:sz w:val="20"/>
                      </w:rPr>
                    </w:pPr>
                    <w:r>
                      <w:rPr>
                        <w:rFonts w:ascii="Calibri"/>
                        <w:sz w:val="20"/>
                      </w:rPr>
                      <w:t>40</w:t>
                    </w:r>
                  </w:p>
                  <w:p>
                    <w:pPr>
                      <w:spacing w:before="60"/>
                      <w:ind w:left="0" w:right="-20" w:firstLine="0"/>
                      <w:jc w:val="left"/>
                      <w:rPr>
                        <w:rFonts w:ascii="Calibri"/>
                        <w:sz w:val="20"/>
                      </w:rPr>
                    </w:pPr>
                    <w:r>
                      <w:rPr>
                        <w:rFonts w:ascii="Calibri"/>
                        <w:sz w:val="20"/>
                      </w:rPr>
                      <w:t>30</w:t>
                    </w:r>
                  </w:p>
                  <w:p>
                    <w:pPr>
                      <w:spacing w:before="60"/>
                      <w:ind w:left="0" w:right="-20" w:firstLine="0"/>
                      <w:jc w:val="left"/>
                      <w:rPr>
                        <w:rFonts w:ascii="Calibri"/>
                        <w:sz w:val="20"/>
                      </w:rPr>
                    </w:pPr>
                    <w:r>
                      <w:rPr>
                        <w:rFonts w:ascii="Calibri"/>
                        <w:sz w:val="20"/>
                      </w:rPr>
                      <w:t>20</w:t>
                    </w:r>
                  </w:p>
                  <w:p>
                    <w:pPr>
                      <w:spacing w:line="234" w:lineRule="exact" w:before="60"/>
                      <w:ind w:left="0" w:right="-20" w:firstLine="0"/>
                      <w:jc w:val="left"/>
                      <w:rPr>
                        <w:rFonts w:ascii="Calibri"/>
                        <w:sz w:val="20"/>
                      </w:rPr>
                    </w:pPr>
                    <w:r>
                      <w:rPr>
                        <w:rFonts w:ascii="Calibri"/>
                        <w:sz w:val="20"/>
                      </w:rPr>
                      <w:t>10</w:t>
                    </w:r>
                  </w:p>
                </w:txbxContent>
              </v:textbox>
              <w10:wrap type="none"/>
            </v:shape>
            <w10:wrap type="none"/>
          </v:group>
        </w:pict>
      </w:r>
      <w:r>
        <w:rPr>
          <w:b/>
          <w:sz w:val="24"/>
        </w:rPr>
        <w:t>Fuente: </w:t>
      </w:r>
      <w:r>
        <w:rPr>
          <w:sz w:val="24"/>
        </w:rPr>
        <w:t>Encuesta Personal. </w:t>
      </w:r>
      <w:r>
        <w:rPr>
          <w:b/>
          <w:sz w:val="24"/>
        </w:rPr>
        <w:t>Anexo </w:t>
      </w:r>
      <w:r>
        <w:rPr>
          <w:sz w:val="24"/>
        </w:rPr>
        <w:t>2</w:t>
      </w:r>
    </w:p>
    <w:p>
      <w:pPr>
        <w:pStyle w:val="BodyText"/>
        <w:spacing w:before="9"/>
        <w:rPr>
          <w:sz w:val="28"/>
        </w:rPr>
      </w:pPr>
    </w:p>
    <w:p>
      <w:pPr>
        <w:pStyle w:val="Heading1"/>
        <w:spacing w:line="274" w:lineRule="exact" w:before="74"/>
        <w:ind w:left="296" w:right="629"/>
      </w:pPr>
      <w:r>
        <w:rPr/>
        <w:t>TABLA #3 DISTRIBUCIÓN DE PACIENTES SEGÚN TIEMPO DE EVOLUCIÓN DE LA ENFERMEDAD.</w:t>
      </w:r>
    </w:p>
    <w:tbl>
      <w:tblPr>
        <w:tblW w:w="0" w:type="auto"/>
        <w:jc w:val="left"/>
        <w:tblInd w:w="1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95"/>
        <w:gridCol w:w="1819"/>
        <w:gridCol w:w="1843"/>
      </w:tblGrid>
      <w:tr>
        <w:trPr>
          <w:trHeight w:val="566" w:hRule="exact"/>
        </w:trPr>
        <w:tc>
          <w:tcPr>
            <w:tcW w:w="5395" w:type="dxa"/>
          </w:tcPr>
          <w:p>
            <w:pPr>
              <w:pStyle w:val="TableParagraph"/>
              <w:spacing w:line="274" w:lineRule="exact" w:before="6"/>
              <w:ind w:left="105" w:right="1660"/>
              <w:jc w:val="left"/>
              <w:rPr>
                <w:b/>
                <w:sz w:val="24"/>
              </w:rPr>
            </w:pPr>
            <w:r>
              <w:rPr>
                <w:b/>
                <w:sz w:val="24"/>
              </w:rPr>
              <w:t>TIEMPO DE EVOLUCON DE LA ENFERMEDAD</w:t>
            </w:r>
          </w:p>
        </w:tc>
        <w:tc>
          <w:tcPr>
            <w:tcW w:w="1819" w:type="dxa"/>
          </w:tcPr>
          <w:p>
            <w:pPr>
              <w:pStyle w:val="TableParagraph"/>
              <w:spacing w:before="1"/>
              <w:ind w:left="85" w:right="84"/>
              <w:rPr>
                <w:b/>
                <w:sz w:val="24"/>
              </w:rPr>
            </w:pPr>
            <w:r>
              <w:rPr>
                <w:b/>
                <w:sz w:val="24"/>
              </w:rPr>
              <w:t>FRECUENCIA</w:t>
            </w:r>
          </w:p>
        </w:tc>
        <w:tc>
          <w:tcPr>
            <w:tcW w:w="1843" w:type="dxa"/>
          </w:tcPr>
          <w:p>
            <w:pPr>
              <w:pStyle w:val="TableParagraph"/>
              <w:spacing w:before="1"/>
              <w:ind w:left="85" w:right="81"/>
              <w:rPr>
                <w:b/>
                <w:sz w:val="24"/>
              </w:rPr>
            </w:pPr>
            <w:r>
              <w:rPr>
                <w:b/>
                <w:sz w:val="24"/>
              </w:rPr>
              <w:t>PORCENTAJE</w:t>
            </w:r>
          </w:p>
        </w:tc>
      </w:tr>
      <w:tr>
        <w:trPr>
          <w:trHeight w:val="283" w:hRule="exact"/>
        </w:trPr>
        <w:tc>
          <w:tcPr>
            <w:tcW w:w="5395" w:type="dxa"/>
          </w:tcPr>
          <w:p>
            <w:pPr>
              <w:pStyle w:val="TableParagraph"/>
              <w:spacing w:line="273" w:lineRule="exact"/>
              <w:ind w:left="2394" w:right="2391"/>
              <w:rPr>
                <w:b/>
                <w:sz w:val="24"/>
              </w:rPr>
            </w:pPr>
            <w:r>
              <w:rPr>
                <w:b/>
                <w:sz w:val="24"/>
              </w:rPr>
              <w:t>0-10</w:t>
            </w:r>
          </w:p>
        </w:tc>
        <w:tc>
          <w:tcPr>
            <w:tcW w:w="1819" w:type="dxa"/>
          </w:tcPr>
          <w:p>
            <w:pPr>
              <w:pStyle w:val="TableParagraph"/>
              <w:spacing w:line="273" w:lineRule="exact"/>
              <w:ind w:left="85" w:right="83"/>
              <w:rPr>
                <w:sz w:val="24"/>
              </w:rPr>
            </w:pPr>
            <w:r>
              <w:rPr>
                <w:sz w:val="24"/>
              </w:rPr>
              <w:t>180</w:t>
            </w:r>
          </w:p>
        </w:tc>
        <w:tc>
          <w:tcPr>
            <w:tcW w:w="1843" w:type="dxa"/>
          </w:tcPr>
          <w:p>
            <w:pPr>
              <w:pStyle w:val="TableParagraph"/>
              <w:spacing w:line="273" w:lineRule="exact"/>
              <w:ind w:left="85" w:right="81"/>
              <w:rPr>
                <w:sz w:val="24"/>
              </w:rPr>
            </w:pPr>
            <w:r>
              <w:rPr>
                <w:sz w:val="24"/>
              </w:rPr>
              <w:t>72</w:t>
            </w:r>
          </w:p>
        </w:tc>
      </w:tr>
      <w:tr>
        <w:trPr>
          <w:trHeight w:val="288" w:hRule="exact"/>
        </w:trPr>
        <w:tc>
          <w:tcPr>
            <w:tcW w:w="5395" w:type="dxa"/>
          </w:tcPr>
          <w:p>
            <w:pPr>
              <w:pStyle w:val="TableParagraph"/>
              <w:spacing w:line="273" w:lineRule="exact"/>
              <w:ind w:left="2394" w:right="2391"/>
              <w:rPr>
                <w:b/>
                <w:sz w:val="24"/>
              </w:rPr>
            </w:pPr>
            <w:r>
              <w:rPr>
                <w:b/>
                <w:sz w:val="24"/>
              </w:rPr>
              <w:t>11-20</w:t>
            </w:r>
          </w:p>
        </w:tc>
        <w:tc>
          <w:tcPr>
            <w:tcW w:w="1819" w:type="dxa"/>
          </w:tcPr>
          <w:p>
            <w:pPr>
              <w:pStyle w:val="TableParagraph"/>
              <w:spacing w:line="273" w:lineRule="exact"/>
              <w:ind w:left="85" w:right="83"/>
              <w:rPr>
                <w:sz w:val="24"/>
              </w:rPr>
            </w:pPr>
            <w:r>
              <w:rPr>
                <w:sz w:val="24"/>
              </w:rPr>
              <w:t>55</w:t>
            </w:r>
          </w:p>
        </w:tc>
        <w:tc>
          <w:tcPr>
            <w:tcW w:w="1843" w:type="dxa"/>
          </w:tcPr>
          <w:p>
            <w:pPr>
              <w:pStyle w:val="TableParagraph"/>
              <w:spacing w:line="273" w:lineRule="exact"/>
              <w:ind w:left="85" w:right="81"/>
              <w:rPr>
                <w:sz w:val="24"/>
              </w:rPr>
            </w:pPr>
            <w:r>
              <w:rPr>
                <w:sz w:val="24"/>
              </w:rPr>
              <w:t>22</w:t>
            </w:r>
          </w:p>
        </w:tc>
      </w:tr>
      <w:tr>
        <w:trPr>
          <w:trHeight w:val="283" w:hRule="exact"/>
        </w:trPr>
        <w:tc>
          <w:tcPr>
            <w:tcW w:w="5395" w:type="dxa"/>
          </w:tcPr>
          <w:p>
            <w:pPr>
              <w:pStyle w:val="TableParagraph"/>
              <w:spacing w:line="273" w:lineRule="exact"/>
              <w:ind w:left="2394" w:right="2391"/>
              <w:rPr>
                <w:b/>
                <w:sz w:val="24"/>
              </w:rPr>
            </w:pPr>
            <w:r>
              <w:rPr>
                <w:b/>
                <w:sz w:val="24"/>
              </w:rPr>
              <w:t>21-30</w:t>
            </w:r>
          </w:p>
        </w:tc>
        <w:tc>
          <w:tcPr>
            <w:tcW w:w="1819" w:type="dxa"/>
          </w:tcPr>
          <w:p>
            <w:pPr>
              <w:pStyle w:val="TableParagraph"/>
              <w:spacing w:line="273" w:lineRule="exact"/>
              <w:ind w:left="85" w:right="83"/>
              <w:rPr>
                <w:sz w:val="24"/>
              </w:rPr>
            </w:pPr>
            <w:r>
              <w:rPr>
                <w:sz w:val="24"/>
              </w:rPr>
              <w:t>10</w:t>
            </w:r>
          </w:p>
        </w:tc>
        <w:tc>
          <w:tcPr>
            <w:tcW w:w="1843" w:type="dxa"/>
          </w:tcPr>
          <w:p>
            <w:pPr>
              <w:pStyle w:val="TableParagraph"/>
              <w:spacing w:line="273" w:lineRule="exact"/>
              <w:ind w:left="4"/>
              <w:rPr>
                <w:sz w:val="24"/>
              </w:rPr>
            </w:pPr>
            <w:r>
              <w:rPr>
                <w:sz w:val="24"/>
              </w:rPr>
              <w:t>4</w:t>
            </w:r>
          </w:p>
        </w:tc>
      </w:tr>
      <w:tr>
        <w:trPr>
          <w:trHeight w:val="288" w:hRule="exact"/>
        </w:trPr>
        <w:tc>
          <w:tcPr>
            <w:tcW w:w="5395" w:type="dxa"/>
          </w:tcPr>
          <w:p>
            <w:pPr>
              <w:pStyle w:val="TableParagraph"/>
              <w:spacing w:line="273" w:lineRule="exact"/>
              <w:ind w:left="2394" w:right="2391"/>
              <w:rPr>
                <w:b/>
                <w:sz w:val="24"/>
              </w:rPr>
            </w:pPr>
            <w:r>
              <w:rPr>
                <w:b/>
                <w:sz w:val="24"/>
              </w:rPr>
              <w:t>31-40</w:t>
            </w:r>
          </w:p>
        </w:tc>
        <w:tc>
          <w:tcPr>
            <w:tcW w:w="1819" w:type="dxa"/>
          </w:tcPr>
          <w:p>
            <w:pPr>
              <w:pStyle w:val="TableParagraph"/>
              <w:spacing w:line="273" w:lineRule="exact"/>
              <w:ind w:left="2"/>
              <w:rPr>
                <w:sz w:val="24"/>
              </w:rPr>
            </w:pPr>
            <w:r>
              <w:rPr>
                <w:sz w:val="24"/>
              </w:rPr>
              <w:t>3</w:t>
            </w:r>
          </w:p>
        </w:tc>
        <w:tc>
          <w:tcPr>
            <w:tcW w:w="1843" w:type="dxa"/>
          </w:tcPr>
          <w:p>
            <w:pPr>
              <w:pStyle w:val="TableParagraph"/>
              <w:spacing w:line="273" w:lineRule="exact"/>
              <w:ind w:left="4"/>
              <w:rPr>
                <w:sz w:val="24"/>
              </w:rPr>
            </w:pPr>
            <w:r>
              <w:rPr>
                <w:sz w:val="24"/>
              </w:rPr>
              <w:t>1</w:t>
            </w:r>
          </w:p>
        </w:tc>
      </w:tr>
      <w:tr>
        <w:trPr>
          <w:trHeight w:val="283" w:hRule="exact"/>
        </w:trPr>
        <w:tc>
          <w:tcPr>
            <w:tcW w:w="5395" w:type="dxa"/>
          </w:tcPr>
          <w:p>
            <w:pPr>
              <w:pStyle w:val="TableParagraph"/>
              <w:spacing w:line="273" w:lineRule="exact"/>
              <w:ind w:left="2394" w:right="2391"/>
              <w:rPr>
                <w:b/>
                <w:sz w:val="24"/>
              </w:rPr>
            </w:pPr>
            <w:r>
              <w:rPr>
                <w:b/>
                <w:sz w:val="24"/>
              </w:rPr>
              <w:t>41-50</w:t>
            </w:r>
          </w:p>
        </w:tc>
        <w:tc>
          <w:tcPr>
            <w:tcW w:w="1819" w:type="dxa"/>
          </w:tcPr>
          <w:p>
            <w:pPr>
              <w:pStyle w:val="TableParagraph"/>
              <w:spacing w:line="273" w:lineRule="exact"/>
              <w:ind w:left="2"/>
              <w:rPr>
                <w:sz w:val="24"/>
              </w:rPr>
            </w:pPr>
            <w:r>
              <w:rPr>
                <w:sz w:val="24"/>
              </w:rPr>
              <w:t>0</w:t>
            </w:r>
          </w:p>
        </w:tc>
        <w:tc>
          <w:tcPr>
            <w:tcW w:w="1843" w:type="dxa"/>
          </w:tcPr>
          <w:p>
            <w:pPr>
              <w:pStyle w:val="TableParagraph"/>
              <w:spacing w:line="273" w:lineRule="exact"/>
              <w:ind w:left="4"/>
              <w:rPr>
                <w:sz w:val="24"/>
              </w:rPr>
            </w:pPr>
            <w:r>
              <w:rPr>
                <w:sz w:val="24"/>
              </w:rPr>
              <w:t>0</w:t>
            </w:r>
          </w:p>
        </w:tc>
      </w:tr>
      <w:tr>
        <w:trPr>
          <w:trHeight w:val="288" w:hRule="exact"/>
        </w:trPr>
        <w:tc>
          <w:tcPr>
            <w:tcW w:w="5395" w:type="dxa"/>
          </w:tcPr>
          <w:p>
            <w:pPr>
              <w:pStyle w:val="TableParagraph"/>
              <w:spacing w:before="1"/>
              <w:ind w:left="2394" w:right="2391"/>
              <w:rPr>
                <w:b/>
                <w:sz w:val="24"/>
              </w:rPr>
            </w:pPr>
            <w:r>
              <w:rPr>
                <w:b/>
                <w:sz w:val="24"/>
              </w:rPr>
              <w:t>51-60</w:t>
            </w:r>
          </w:p>
        </w:tc>
        <w:tc>
          <w:tcPr>
            <w:tcW w:w="1819" w:type="dxa"/>
          </w:tcPr>
          <w:p>
            <w:pPr>
              <w:pStyle w:val="TableParagraph"/>
              <w:spacing w:before="1"/>
              <w:ind w:left="2"/>
              <w:rPr>
                <w:sz w:val="24"/>
              </w:rPr>
            </w:pPr>
            <w:r>
              <w:rPr>
                <w:sz w:val="24"/>
              </w:rPr>
              <w:t>3</w:t>
            </w:r>
          </w:p>
        </w:tc>
        <w:tc>
          <w:tcPr>
            <w:tcW w:w="1843" w:type="dxa"/>
          </w:tcPr>
          <w:p>
            <w:pPr>
              <w:pStyle w:val="TableParagraph"/>
              <w:spacing w:before="1"/>
              <w:ind w:left="4"/>
              <w:rPr>
                <w:sz w:val="24"/>
              </w:rPr>
            </w:pPr>
            <w:r>
              <w:rPr>
                <w:sz w:val="24"/>
              </w:rPr>
              <w:t>1</w:t>
            </w:r>
          </w:p>
        </w:tc>
      </w:tr>
      <w:tr>
        <w:trPr>
          <w:trHeight w:val="288" w:hRule="exact"/>
        </w:trPr>
        <w:tc>
          <w:tcPr>
            <w:tcW w:w="5395" w:type="dxa"/>
          </w:tcPr>
          <w:p>
            <w:pPr>
              <w:pStyle w:val="TableParagraph"/>
              <w:spacing w:line="273" w:lineRule="exact"/>
              <w:ind w:left="2394" w:right="2391"/>
              <w:rPr>
                <w:b/>
                <w:sz w:val="24"/>
              </w:rPr>
            </w:pPr>
            <w:r>
              <w:rPr>
                <w:b/>
                <w:sz w:val="24"/>
              </w:rPr>
              <w:t>Total</w:t>
            </w:r>
          </w:p>
        </w:tc>
        <w:tc>
          <w:tcPr>
            <w:tcW w:w="1819" w:type="dxa"/>
          </w:tcPr>
          <w:p>
            <w:pPr>
              <w:pStyle w:val="TableParagraph"/>
              <w:spacing w:line="273" w:lineRule="exact"/>
              <w:ind w:left="85" w:right="83"/>
              <w:rPr>
                <w:sz w:val="24"/>
              </w:rPr>
            </w:pPr>
            <w:r>
              <w:rPr>
                <w:sz w:val="24"/>
              </w:rPr>
              <w:t>251</w:t>
            </w:r>
          </w:p>
        </w:tc>
        <w:tc>
          <w:tcPr>
            <w:tcW w:w="1843" w:type="dxa"/>
          </w:tcPr>
          <w:p>
            <w:pPr>
              <w:pStyle w:val="TableParagraph"/>
              <w:spacing w:line="273" w:lineRule="exact"/>
              <w:ind w:left="85" w:right="81"/>
              <w:rPr>
                <w:sz w:val="24"/>
              </w:rPr>
            </w:pPr>
            <w:r>
              <w:rPr>
                <w:sz w:val="24"/>
              </w:rPr>
              <w:t>100</w:t>
            </w:r>
          </w:p>
        </w:tc>
      </w:tr>
    </w:tbl>
    <w:p>
      <w:pPr>
        <w:spacing w:line="271" w:lineRule="exact" w:before="0"/>
        <w:ind w:left="2939" w:right="1109" w:firstLine="0"/>
        <w:jc w:val="left"/>
        <w:rPr>
          <w:sz w:val="24"/>
        </w:rPr>
      </w:pPr>
      <w:r>
        <w:rPr>
          <w:b/>
          <w:sz w:val="24"/>
        </w:rPr>
        <w:t>Fuente: </w:t>
      </w:r>
      <w:r>
        <w:rPr>
          <w:sz w:val="24"/>
        </w:rPr>
        <w:t>Encuesta Personal. </w:t>
      </w:r>
      <w:r>
        <w:rPr>
          <w:b/>
          <w:sz w:val="24"/>
        </w:rPr>
        <w:t>Anexo </w:t>
      </w:r>
      <w:r>
        <w:rPr>
          <w:sz w:val="24"/>
        </w:rPr>
        <w:t>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2"/>
        </w:rPr>
      </w:pPr>
    </w:p>
    <w:tbl>
      <w:tblPr>
        <w:tblW w:w="0" w:type="auto"/>
        <w:jc w:val="left"/>
        <w:tblInd w:w="1023" w:type="dxa"/>
        <w:tblBorders>
          <w:top w:val="single" w:sz="6" w:space="0" w:color="989898"/>
          <w:left w:val="single" w:sz="6" w:space="0" w:color="989898"/>
          <w:bottom w:val="single" w:sz="6" w:space="0" w:color="989898"/>
          <w:right w:val="single" w:sz="6" w:space="0" w:color="989898"/>
          <w:insideH w:val="single" w:sz="6" w:space="0" w:color="989898"/>
          <w:insideV w:val="single" w:sz="6" w:space="0" w:color="989898"/>
        </w:tblBorders>
        <w:tblLayout w:type="fixed"/>
        <w:tblCellMar>
          <w:top w:w="0" w:type="dxa"/>
          <w:left w:w="0" w:type="dxa"/>
          <w:bottom w:w="0" w:type="dxa"/>
          <w:right w:w="0" w:type="dxa"/>
        </w:tblCellMar>
        <w:tblLook w:val="01E0"/>
      </w:tblPr>
      <w:tblGrid>
        <w:gridCol w:w="840"/>
        <w:gridCol w:w="950"/>
        <w:gridCol w:w="946"/>
        <w:gridCol w:w="946"/>
        <w:gridCol w:w="950"/>
        <w:gridCol w:w="946"/>
        <w:gridCol w:w="946"/>
      </w:tblGrid>
      <w:tr>
        <w:trPr>
          <w:trHeight w:val="302" w:hRule="exact"/>
        </w:trPr>
        <w:tc>
          <w:tcPr>
            <w:tcW w:w="840" w:type="dxa"/>
            <w:tcBorders>
              <w:top w:val="nil"/>
              <w:left w:val="nil"/>
            </w:tcBorders>
          </w:tcPr>
          <w:p>
            <w:pPr>
              <w:pStyle w:val="TableParagraph"/>
              <w:spacing w:line="132" w:lineRule="exact"/>
              <w:ind w:left="0" w:right="174"/>
              <w:jc w:val="right"/>
              <w:rPr>
                <w:rFonts w:ascii="Calibri"/>
                <w:sz w:val="20"/>
              </w:rPr>
            </w:pPr>
            <w:r>
              <w:rPr>
                <w:rFonts w:ascii="Calibri"/>
                <w:sz w:val="20"/>
              </w:rPr>
              <w:t>0</w:t>
            </w:r>
          </w:p>
        </w:tc>
        <w:tc>
          <w:tcPr>
            <w:tcW w:w="950" w:type="dxa"/>
            <w:tcBorders>
              <w:top w:val="nil"/>
            </w:tcBorders>
          </w:tcPr>
          <w:p>
            <w:pPr>
              <w:pStyle w:val="TableParagraph"/>
              <w:spacing w:before="71"/>
              <w:ind w:left="181" w:right="180"/>
              <w:rPr>
                <w:rFonts w:ascii="Calibri" w:hAnsi="Calibri"/>
                <w:sz w:val="20"/>
              </w:rPr>
            </w:pPr>
            <w:r>
              <w:rPr>
                <w:rFonts w:ascii="Calibri" w:hAnsi="Calibri"/>
                <w:w w:val="85"/>
                <w:sz w:val="20"/>
              </w:rPr>
              <w:t>0-­‐10</w:t>
            </w:r>
          </w:p>
        </w:tc>
        <w:tc>
          <w:tcPr>
            <w:tcW w:w="946" w:type="dxa"/>
            <w:tcBorders>
              <w:top w:val="nil"/>
            </w:tcBorders>
          </w:tcPr>
          <w:p>
            <w:pPr>
              <w:pStyle w:val="TableParagraph"/>
              <w:spacing w:before="71"/>
              <w:ind w:left="180" w:right="176"/>
              <w:rPr>
                <w:rFonts w:ascii="Calibri" w:hAnsi="Calibri"/>
                <w:sz w:val="20"/>
              </w:rPr>
            </w:pPr>
            <w:r>
              <w:rPr>
                <w:rFonts w:ascii="Calibri" w:hAnsi="Calibri"/>
                <w:w w:val="90"/>
                <w:sz w:val="20"/>
              </w:rPr>
              <w:t>11-­‐20</w:t>
            </w:r>
          </w:p>
        </w:tc>
        <w:tc>
          <w:tcPr>
            <w:tcW w:w="946" w:type="dxa"/>
            <w:tcBorders>
              <w:top w:val="nil"/>
            </w:tcBorders>
          </w:tcPr>
          <w:p>
            <w:pPr>
              <w:pStyle w:val="TableParagraph"/>
              <w:spacing w:before="71"/>
              <w:ind w:left="177" w:right="177"/>
              <w:rPr>
                <w:rFonts w:ascii="Calibri" w:hAnsi="Calibri"/>
                <w:sz w:val="20"/>
              </w:rPr>
            </w:pPr>
            <w:r>
              <w:rPr>
                <w:rFonts w:ascii="Calibri" w:hAnsi="Calibri"/>
                <w:w w:val="90"/>
                <w:sz w:val="20"/>
              </w:rPr>
              <w:t>21-­‐30</w:t>
            </w:r>
          </w:p>
        </w:tc>
        <w:tc>
          <w:tcPr>
            <w:tcW w:w="950" w:type="dxa"/>
            <w:tcBorders>
              <w:top w:val="nil"/>
            </w:tcBorders>
          </w:tcPr>
          <w:p>
            <w:pPr>
              <w:pStyle w:val="TableParagraph"/>
              <w:spacing w:before="71"/>
              <w:ind w:left="181" w:right="183"/>
              <w:rPr>
                <w:rFonts w:ascii="Calibri" w:hAnsi="Calibri"/>
                <w:sz w:val="20"/>
              </w:rPr>
            </w:pPr>
            <w:r>
              <w:rPr>
                <w:rFonts w:ascii="Calibri" w:hAnsi="Calibri"/>
                <w:w w:val="90"/>
                <w:sz w:val="20"/>
              </w:rPr>
              <w:t>31-­‐40</w:t>
            </w:r>
          </w:p>
        </w:tc>
        <w:tc>
          <w:tcPr>
            <w:tcW w:w="946" w:type="dxa"/>
            <w:tcBorders>
              <w:top w:val="nil"/>
            </w:tcBorders>
          </w:tcPr>
          <w:p>
            <w:pPr>
              <w:pStyle w:val="TableParagraph"/>
              <w:spacing w:before="71"/>
              <w:ind w:left="180" w:right="177"/>
              <w:rPr>
                <w:rFonts w:ascii="Calibri" w:hAnsi="Calibri"/>
                <w:sz w:val="20"/>
              </w:rPr>
            </w:pPr>
            <w:r>
              <w:rPr>
                <w:rFonts w:ascii="Calibri" w:hAnsi="Calibri"/>
                <w:w w:val="90"/>
                <w:sz w:val="20"/>
              </w:rPr>
              <w:t>41-­‐50</w:t>
            </w:r>
          </w:p>
        </w:tc>
        <w:tc>
          <w:tcPr>
            <w:tcW w:w="946" w:type="dxa"/>
            <w:tcBorders>
              <w:top w:val="nil"/>
            </w:tcBorders>
          </w:tcPr>
          <w:p>
            <w:pPr>
              <w:pStyle w:val="TableParagraph"/>
              <w:spacing w:before="71"/>
              <w:ind w:left="180" w:right="175"/>
              <w:rPr>
                <w:rFonts w:ascii="Calibri" w:hAnsi="Calibri"/>
                <w:sz w:val="20"/>
              </w:rPr>
            </w:pPr>
            <w:r>
              <w:rPr>
                <w:rFonts w:ascii="Calibri" w:hAnsi="Calibri"/>
                <w:w w:val="90"/>
                <w:sz w:val="20"/>
              </w:rPr>
              <w:t>51-­‐60</w:t>
            </w:r>
          </w:p>
        </w:tc>
      </w:tr>
      <w:tr>
        <w:trPr>
          <w:trHeight w:val="330" w:hRule="exact"/>
        </w:trPr>
        <w:tc>
          <w:tcPr>
            <w:tcW w:w="840" w:type="dxa"/>
          </w:tcPr>
          <w:p>
            <w:pPr>
              <w:pStyle w:val="TableParagraph"/>
              <w:spacing w:before="40"/>
              <w:ind w:left="0" w:right="58"/>
              <w:jc w:val="right"/>
              <w:rPr>
                <w:rFonts w:ascii="Calibri"/>
                <w:sz w:val="20"/>
              </w:rPr>
            </w:pPr>
            <w:r>
              <w:rPr>
                <w:rFonts w:ascii="Calibri"/>
                <w:sz w:val="20"/>
              </w:rPr>
              <w:t>CASOS</w:t>
            </w:r>
          </w:p>
        </w:tc>
        <w:tc>
          <w:tcPr>
            <w:tcW w:w="950" w:type="dxa"/>
          </w:tcPr>
          <w:p>
            <w:pPr>
              <w:pStyle w:val="TableParagraph"/>
              <w:spacing w:before="46"/>
              <w:ind w:left="181" w:right="177"/>
              <w:rPr>
                <w:rFonts w:ascii="Calibri"/>
                <w:sz w:val="20"/>
              </w:rPr>
            </w:pPr>
            <w:r>
              <w:rPr>
                <w:rFonts w:ascii="Calibri"/>
                <w:sz w:val="20"/>
              </w:rPr>
              <w:t>180</w:t>
            </w:r>
          </w:p>
        </w:tc>
        <w:tc>
          <w:tcPr>
            <w:tcW w:w="946" w:type="dxa"/>
          </w:tcPr>
          <w:p>
            <w:pPr>
              <w:pStyle w:val="TableParagraph"/>
              <w:spacing w:before="46"/>
              <w:ind w:left="177" w:right="177"/>
              <w:rPr>
                <w:rFonts w:ascii="Calibri"/>
                <w:sz w:val="20"/>
              </w:rPr>
            </w:pPr>
            <w:r>
              <w:rPr>
                <w:rFonts w:ascii="Calibri"/>
                <w:sz w:val="20"/>
              </w:rPr>
              <w:t>55</w:t>
            </w:r>
          </w:p>
        </w:tc>
        <w:tc>
          <w:tcPr>
            <w:tcW w:w="946" w:type="dxa"/>
          </w:tcPr>
          <w:p>
            <w:pPr>
              <w:pStyle w:val="TableParagraph"/>
              <w:spacing w:before="46"/>
              <w:ind w:left="179" w:right="177"/>
              <w:rPr>
                <w:rFonts w:ascii="Calibri"/>
                <w:sz w:val="20"/>
              </w:rPr>
            </w:pPr>
            <w:r>
              <w:rPr>
                <w:rFonts w:ascii="Calibri"/>
                <w:sz w:val="20"/>
              </w:rPr>
              <w:t>10</w:t>
            </w:r>
          </w:p>
        </w:tc>
        <w:tc>
          <w:tcPr>
            <w:tcW w:w="950" w:type="dxa"/>
          </w:tcPr>
          <w:p>
            <w:pPr>
              <w:pStyle w:val="TableParagraph"/>
              <w:spacing w:before="46"/>
              <w:ind w:left="0" w:right="5"/>
              <w:rPr>
                <w:rFonts w:ascii="Calibri"/>
                <w:sz w:val="20"/>
              </w:rPr>
            </w:pPr>
            <w:r>
              <w:rPr>
                <w:rFonts w:ascii="Calibri"/>
                <w:sz w:val="20"/>
              </w:rPr>
              <w:t>3</w:t>
            </w:r>
          </w:p>
        </w:tc>
        <w:tc>
          <w:tcPr>
            <w:tcW w:w="946" w:type="dxa"/>
          </w:tcPr>
          <w:p>
            <w:pPr>
              <w:pStyle w:val="TableParagraph"/>
              <w:spacing w:before="46"/>
              <w:ind w:left="0" w:right="7"/>
              <w:rPr>
                <w:rFonts w:ascii="Calibri"/>
                <w:sz w:val="20"/>
              </w:rPr>
            </w:pPr>
            <w:r>
              <w:rPr>
                <w:rFonts w:ascii="Calibri"/>
                <w:sz w:val="20"/>
              </w:rPr>
              <w:t>0</w:t>
            </w:r>
          </w:p>
        </w:tc>
        <w:tc>
          <w:tcPr>
            <w:tcW w:w="946" w:type="dxa"/>
          </w:tcPr>
          <w:p>
            <w:pPr>
              <w:pStyle w:val="TableParagraph"/>
              <w:spacing w:before="46"/>
              <w:ind w:left="0" w:right="5"/>
              <w:rPr>
                <w:rFonts w:ascii="Calibri"/>
                <w:sz w:val="20"/>
              </w:rPr>
            </w:pPr>
            <w:r>
              <w:rPr>
                <w:rFonts w:ascii="Calibri"/>
                <w:sz w:val="20"/>
              </w:rPr>
              <w:t>3</w:t>
            </w:r>
          </w:p>
        </w:tc>
      </w:tr>
    </w:tbl>
    <w:p>
      <w:pPr>
        <w:pStyle w:val="BodyText"/>
        <w:spacing w:line="251" w:lineRule="exact" w:before="6"/>
        <w:ind w:right="463"/>
        <w:jc w:val="right"/>
      </w:pPr>
      <w:r>
        <w:rPr/>
        <w:pict>
          <v:group style="position:absolute;margin-left:75.555pt;margin-top:-154.281845pt;width:432.75pt;height:162.85pt;mso-position-horizontal-relative:page;mso-position-vertical-relative:paragraph;z-index:-143104" coordorigin="1511,-3086" coordsize="8655,3257">
            <v:shape style="position:absolute;left:3238;top:-2160;width:6101;height:1555" type="#_x0000_t75" stroked="false">
              <v:imagedata r:id="rId15" o:title=""/>
            </v:shape>
            <v:rect style="position:absolute;left:2504;top:-232;width:110;height:110" filled="true" fillcolor="#6095c9" stroked="false">
              <v:fill type="solid"/>
            </v:rect>
            <v:rect style="position:absolute;left:2504;top:-232;width:110;height:110" filled="false" stroked="true" strokeweight=".75pt" strokecolor="#426f9b"/>
            <v:rect style="position:absolute;left:1519;top:-3078;width:8640;height:3242" filled="false" stroked="true" strokeweight=".75pt" strokecolor="#989898"/>
            <v:shape style="position:absolute;left:2543;top:-2847;width:6665;height:440" type="#_x0000_t202" filled="false" stroked="false">
              <v:textbox inset="0,0,0,0">
                <w:txbxContent>
                  <w:p>
                    <w:pPr>
                      <w:spacing w:line="208" w:lineRule="exact" w:before="0"/>
                      <w:ind w:left="0" w:right="0" w:firstLine="0"/>
                      <w:jc w:val="center"/>
                      <w:rPr>
                        <w:rFonts w:ascii="Calibri" w:hAnsi="Calibri"/>
                        <w:b/>
                        <w:sz w:val="20"/>
                      </w:rPr>
                    </w:pPr>
                    <w:r>
                      <w:rPr>
                        <w:rFonts w:ascii="Calibri" w:hAnsi="Calibri"/>
                        <w:b/>
                        <w:sz w:val="20"/>
                      </w:rPr>
                      <w:t>GRÁFICA  #3 DISTRIBUCIÓN DE PACIENTES SEGÚN TIEMPO DE EVOLUCIÓN DE LA</w:t>
                    </w:r>
                  </w:p>
                  <w:p>
                    <w:pPr>
                      <w:spacing w:line="232" w:lineRule="exact" w:before="0"/>
                      <w:ind w:left="0" w:right="0" w:firstLine="0"/>
                      <w:jc w:val="center"/>
                      <w:rPr>
                        <w:rFonts w:ascii="Calibri"/>
                        <w:b/>
                        <w:sz w:val="20"/>
                      </w:rPr>
                    </w:pPr>
                    <w:r>
                      <w:rPr>
                        <w:rFonts w:ascii="Calibri"/>
                        <w:b/>
                        <w:sz w:val="20"/>
                      </w:rPr>
                      <w:t>ENFERMEDAD</w:t>
                    </w:r>
                  </w:p>
                </w:txbxContent>
              </v:textbox>
              <w10:wrap type="none"/>
            </v:shape>
            <v:shape style="position:absolute;left:2783;top:-1938;width:305;height:1116" type="#_x0000_t202" filled="false" stroked="false">
              <v:textbox inset="0,0,0,0">
                <w:txbxContent>
                  <w:p>
                    <w:pPr>
                      <w:spacing w:line="210" w:lineRule="exact" w:before="0"/>
                      <w:ind w:left="0" w:right="0" w:firstLine="0"/>
                      <w:jc w:val="center"/>
                      <w:rPr>
                        <w:rFonts w:ascii="Calibri"/>
                        <w:sz w:val="20"/>
                      </w:rPr>
                    </w:pPr>
                    <w:r>
                      <w:rPr>
                        <w:rFonts w:ascii="Calibri"/>
                        <w:sz w:val="20"/>
                      </w:rPr>
                      <w:t>200</w:t>
                    </w:r>
                  </w:p>
                  <w:p>
                    <w:pPr>
                      <w:spacing w:before="61"/>
                      <w:ind w:left="0" w:right="0" w:firstLine="0"/>
                      <w:jc w:val="center"/>
                      <w:rPr>
                        <w:rFonts w:ascii="Calibri"/>
                        <w:sz w:val="20"/>
                      </w:rPr>
                    </w:pPr>
                    <w:r>
                      <w:rPr>
                        <w:rFonts w:ascii="Calibri"/>
                        <w:sz w:val="20"/>
                      </w:rPr>
                      <w:t>150</w:t>
                    </w:r>
                  </w:p>
                  <w:p>
                    <w:pPr>
                      <w:spacing w:before="61"/>
                      <w:ind w:left="0" w:right="0" w:firstLine="0"/>
                      <w:jc w:val="center"/>
                      <w:rPr>
                        <w:rFonts w:ascii="Calibri"/>
                        <w:sz w:val="20"/>
                      </w:rPr>
                    </w:pPr>
                    <w:r>
                      <w:rPr>
                        <w:rFonts w:ascii="Calibri"/>
                        <w:sz w:val="20"/>
                      </w:rPr>
                      <w:t>100</w:t>
                    </w:r>
                  </w:p>
                  <w:p>
                    <w:pPr>
                      <w:spacing w:line="234" w:lineRule="exact" w:before="61"/>
                      <w:ind w:left="101" w:right="0" w:firstLine="0"/>
                      <w:jc w:val="center"/>
                      <w:rPr>
                        <w:rFonts w:ascii="Calibri"/>
                        <w:sz w:val="20"/>
                      </w:rPr>
                    </w:pPr>
                    <w:r>
                      <w:rPr>
                        <w:rFonts w:ascii="Calibri"/>
                        <w:sz w:val="20"/>
                      </w:rPr>
                      <w:t>50</w:t>
                    </w:r>
                  </w:p>
                </w:txbxContent>
              </v:textbox>
              <w10:wrap type="none"/>
            </v:shape>
            <w10:wrap type="none"/>
          </v:group>
        </w:pict>
      </w:r>
      <w:r>
        <w:rPr/>
        <w:pict>
          <v:shape style="position:absolute;margin-left:108.099998pt;margin-top:-89.800858pt;width:12pt;height:54.45pt;mso-position-horizontal-relative:page;mso-position-vertical-relative:paragraph;z-index:1504" type="#_x0000_t202" filled="false" stroked="false">
            <v:textbox inset="0,0,0,0" style="layout-flow:vertical;mso-layout-flow-alt:bottom-to-top">
              <w:txbxContent>
                <w:p>
                  <w:pPr>
                    <w:spacing w:line="230" w:lineRule="exact" w:before="0"/>
                    <w:ind w:left="20" w:right="-849" w:firstLine="0"/>
                    <w:jc w:val="left"/>
                    <w:rPr>
                      <w:rFonts w:ascii="Calibri"/>
                      <w:b/>
                      <w:sz w:val="20"/>
                    </w:rPr>
                  </w:pPr>
                  <w:r>
                    <w:rPr>
                      <w:rFonts w:ascii="Calibri"/>
                      <w:b/>
                      <w:sz w:val="20"/>
                    </w:rPr>
                    <w:t>FRECUENCIA</w:t>
                  </w:r>
                </w:p>
              </w:txbxContent>
            </v:textbox>
            <w10:wrap type="none"/>
          </v:shape>
        </w:pict>
      </w:r>
      <w:r>
        <w:rPr/>
        <w:t>47</w:t>
      </w:r>
    </w:p>
    <w:p>
      <w:pPr>
        <w:spacing w:line="251" w:lineRule="exact" w:before="0"/>
        <w:ind w:left="3473" w:right="1109" w:firstLine="0"/>
        <w:jc w:val="left"/>
        <w:rPr>
          <w:sz w:val="24"/>
        </w:rPr>
      </w:pPr>
      <w:r>
        <w:rPr>
          <w:b/>
          <w:sz w:val="24"/>
        </w:rPr>
        <w:t>Fuente: </w:t>
      </w:r>
      <w:r>
        <w:rPr>
          <w:sz w:val="24"/>
        </w:rPr>
        <w:t>Encuesta Personal. </w:t>
      </w:r>
      <w:r>
        <w:rPr>
          <w:b/>
          <w:sz w:val="24"/>
        </w:rPr>
        <w:t>Anexo </w:t>
      </w:r>
      <w:r>
        <w:rPr>
          <w:sz w:val="24"/>
        </w:rPr>
        <w:t>2</w:t>
      </w:r>
    </w:p>
    <w:p>
      <w:pPr>
        <w:spacing w:after="0" w:line="251" w:lineRule="exact"/>
        <w:jc w:val="left"/>
        <w:rPr>
          <w:sz w:val="24"/>
        </w:rPr>
        <w:sectPr>
          <w:footerReference w:type="default" r:id="rId13"/>
          <w:pgSz w:w="12240" w:h="15840"/>
          <w:pgMar w:footer="0" w:header="0" w:top="1360" w:bottom="280" w:left="1400" w:right="1240"/>
        </w:sectPr>
      </w:pPr>
    </w:p>
    <w:p>
      <w:pPr>
        <w:pStyle w:val="Heading1"/>
        <w:spacing w:line="242" w:lineRule="auto" w:before="50"/>
        <w:ind w:left="296" w:right="1335"/>
      </w:pPr>
      <w:r>
        <w:rPr/>
        <w:t>TABLA #4 DISTRIBUCIÓN DE PACIENTES SEGÚN COMPOSICIÓN DE LA FAMILIA.</w:t>
      </w:r>
    </w:p>
    <w:tbl>
      <w:tblPr>
        <w:tblW w:w="0" w:type="auto"/>
        <w:jc w:val="left"/>
        <w:tblInd w:w="1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95"/>
        <w:gridCol w:w="2990"/>
        <w:gridCol w:w="2995"/>
      </w:tblGrid>
      <w:tr>
        <w:trPr>
          <w:trHeight w:val="562" w:hRule="exact"/>
        </w:trPr>
        <w:tc>
          <w:tcPr>
            <w:tcW w:w="2995" w:type="dxa"/>
          </w:tcPr>
          <w:p>
            <w:pPr>
              <w:pStyle w:val="TableParagraph"/>
              <w:spacing w:line="242" w:lineRule="auto"/>
              <w:ind w:left="873" w:right="586" w:hanging="267"/>
              <w:jc w:val="left"/>
              <w:rPr>
                <w:b/>
                <w:sz w:val="24"/>
              </w:rPr>
            </w:pPr>
            <w:r>
              <w:rPr>
                <w:b/>
                <w:sz w:val="24"/>
              </w:rPr>
              <w:t>COMPOSICIÓN FAMILIAR</w:t>
            </w:r>
          </w:p>
        </w:tc>
        <w:tc>
          <w:tcPr>
            <w:tcW w:w="2990" w:type="dxa"/>
          </w:tcPr>
          <w:p>
            <w:pPr>
              <w:pStyle w:val="TableParagraph"/>
              <w:spacing w:before="136"/>
              <w:ind w:left="673" w:right="666"/>
              <w:rPr>
                <w:b/>
                <w:sz w:val="24"/>
              </w:rPr>
            </w:pPr>
            <w:r>
              <w:rPr>
                <w:b/>
                <w:sz w:val="24"/>
              </w:rPr>
              <w:t>FRECUENCIA</w:t>
            </w:r>
          </w:p>
        </w:tc>
        <w:tc>
          <w:tcPr>
            <w:tcW w:w="2995" w:type="dxa"/>
          </w:tcPr>
          <w:p>
            <w:pPr>
              <w:pStyle w:val="TableParagraph"/>
              <w:spacing w:before="136"/>
              <w:ind w:right="101"/>
              <w:rPr>
                <w:b/>
                <w:sz w:val="24"/>
              </w:rPr>
            </w:pPr>
            <w:r>
              <w:rPr>
                <w:b/>
                <w:sz w:val="24"/>
              </w:rPr>
              <w:t>PORCENTAJE</w:t>
            </w:r>
          </w:p>
        </w:tc>
      </w:tr>
      <w:tr>
        <w:trPr>
          <w:trHeight w:val="288" w:hRule="exact"/>
        </w:trPr>
        <w:tc>
          <w:tcPr>
            <w:tcW w:w="2995" w:type="dxa"/>
          </w:tcPr>
          <w:p>
            <w:pPr>
              <w:pStyle w:val="TableParagraph"/>
              <w:spacing w:line="273" w:lineRule="exact"/>
              <w:ind w:right="102"/>
              <w:rPr>
                <w:sz w:val="24"/>
              </w:rPr>
            </w:pPr>
            <w:r>
              <w:rPr>
                <w:sz w:val="24"/>
              </w:rPr>
              <w:t>NUCLEAR</w:t>
            </w:r>
          </w:p>
        </w:tc>
        <w:tc>
          <w:tcPr>
            <w:tcW w:w="2990" w:type="dxa"/>
          </w:tcPr>
          <w:p>
            <w:pPr>
              <w:pStyle w:val="TableParagraph"/>
              <w:spacing w:line="273" w:lineRule="exact"/>
              <w:ind w:left="673" w:right="666"/>
              <w:rPr>
                <w:sz w:val="24"/>
              </w:rPr>
            </w:pPr>
            <w:r>
              <w:rPr>
                <w:sz w:val="24"/>
              </w:rPr>
              <w:t>133</w:t>
            </w:r>
          </w:p>
        </w:tc>
        <w:tc>
          <w:tcPr>
            <w:tcW w:w="2995" w:type="dxa"/>
          </w:tcPr>
          <w:p>
            <w:pPr>
              <w:pStyle w:val="TableParagraph"/>
              <w:spacing w:line="273" w:lineRule="exact"/>
              <w:ind w:right="101"/>
              <w:rPr>
                <w:sz w:val="24"/>
              </w:rPr>
            </w:pPr>
            <w:r>
              <w:rPr>
                <w:sz w:val="24"/>
              </w:rPr>
              <w:t>53</w:t>
            </w:r>
          </w:p>
        </w:tc>
      </w:tr>
      <w:tr>
        <w:trPr>
          <w:trHeight w:val="283" w:hRule="exact"/>
        </w:trPr>
        <w:tc>
          <w:tcPr>
            <w:tcW w:w="2995" w:type="dxa"/>
          </w:tcPr>
          <w:p>
            <w:pPr>
              <w:pStyle w:val="TableParagraph"/>
              <w:spacing w:line="273" w:lineRule="exact"/>
              <w:ind w:right="102"/>
              <w:rPr>
                <w:sz w:val="24"/>
              </w:rPr>
            </w:pPr>
            <w:r>
              <w:rPr>
                <w:sz w:val="24"/>
              </w:rPr>
              <w:t>EXTENSA</w:t>
            </w:r>
          </w:p>
        </w:tc>
        <w:tc>
          <w:tcPr>
            <w:tcW w:w="2990" w:type="dxa"/>
          </w:tcPr>
          <w:p>
            <w:pPr>
              <w:pStyle w:val="TableParagraph"/>
              <w:spacing w:line="273" w:lineRule="exact"/>
              <w:ind w:left="673" w:right="666"/>
              <w:rPr>
                <w:sz w:val="24"/>
              </w:rPr>
            </w:pPr>
            <w:r>
              <w:rPr>
                <w:sz w:val="24"/>
              </w:rPr>
              <w:t>85</w:t>
            </w:r>
          </w:p>
        </w:tc>
        <w:tc>
          <w:tcPr>
            <w:tcW w:w="2995" w:type="dxa"/>
          </w:tcPr>
          <w:p>
            <w:pPr>
              <w:pStyle w:val="TableParagraph"/>
              <w:spacing w:line="273" w:lineRule="exact"/>
              <w:ind w:right="101"/>
              <w:rPr>
                <w:sz w:val="24"/>
              </w:rPr>
            </w:pPr>
            <w:r>
              <w:rPr>
                <w:sz w:val="24"/>
              </w:rPr>
              <w:t>34</w:t>
            </w:r>
          </w:p>
        </w:tc>
      </w:tr>
      <w:tr>
        <w:trPr>
          <w:trHeight w:val="288" w:hRule="exact"/>
        </w:trPr>
        <w:tc>
          <w:tcPr>
            <w:tcW w:w="2995" w:type="dxa"/>
          </w:tcPr>
          <w:p>
            <w:pPr>
              <w:pStyle w:val="TableParagraph"/>
              <w:spacing w:before="1"/>
              <w:ind w:right="102"/>
              <w:rPr>
                <w:sz w:val="24"/>
              </w:rPr>
            </w:pPr>
            <w:r>
              <w:rPr>
                <w:sz w:val="24"/>
              </w:rPr>
              <w:t>AMPLIADA</w:t>
            </w:r>
          </w:p>
        </w:tc>
        <w:tc>
          <w:tcPr>
            <w:tcW w:w="2990" w:type="dxa"/>
          </w:tcPr>
          <w:p>
            <w:pPr>
              <w:pStyle w:val="TableParagraph"/>
              <w:spacing w:before="1"/>
              <w:ind w:left="673" w:right="666"/>
              <w:rPr>
                <w:sz w:val="24"/>
              </w:rPr>
            </w:pPr>
            <w:r>
              <w:rPr>
                <w:sz w:val="24"/>
              </w:rPr>
              <w:t>33</w:t>
            </w:r>
          </w:p>
        </w:tc>
        <w:tc>
          <w:tcPr>
            <w:tcW w:w="2995" w:type="dxa"/>
          </w:tcPr>
          <w:p>
            <w:pPr>
              <w:pStyle w:val="TableParagraph"/>
              <w:spacing w:before="1"/>
              <w:ind w:right="101"/>
              <w:rPr>
                <w:sz w:val="24"/>
              </w:rPr>
            </w:pPr>
            <w:r>
              <w:rPr>
                <w:sz w:val="24"/>
              </w:rPr>
              <w:t>13</w:t>
            </w:r>
          </w:p>
        </w:tc>
      </w:tr>
      <w:tr>
        <w:trPr>
          <w:trHeight w:val="288" w:hRule="exact"/>
        </w:trPr>
        <w:tc>
          <w:tcPr>
            <w:tcW w:w="2995" w:type="dxa"/>
          </w:tcPr>
          <w:p>
            <w:pPr>
              <w:pStyle w:val="TableParagraph"/>
              <w:spacing w:line="273" w:lineRule="exact"/>
              <w:ind w:right="102"/>
              <w:rPr>
                <w:sz w:val="24"/>
              </w:rPr>
            </w:pPr>
            <w:r>
              <w:rPr>
                <w:sz w:val="24"/>
              </w:rPr>
              <w:t>TOTAL</w:t>
            </w:r>
          </w:p>
        </w:tc>
        <w:tc>
          <w:tcPr>
            <w:tcW w:w="2990" w:type="dxa"/>
          </w:tcPr>
          <w:p>
            <w:pPr>
              <w:pStyle w:val="TableParagraph"/>
              <w:spacing w:line="273" w:lineRule="exact"/>
              <w:ind w:left="673" w:right="666"/>
              <w:rPr>
                <w:sz w:val="24"/>
              </w:rPr>
            </w:pPr>
            <w:r>
              <w:rPr>
                <w:sz w:val="24"/>
              </w:rPr>
              <w:t>251</w:t>
            </w:r>
          </w:p>
        </w:tc>
        <w:tc>
          <w:tcPr>
            <w:tcW w:w="2995" w:type="dxa"/>
          </w:tcPr>
          <w:p>
            <w:pPr>
              <w:pStyle w:val="TableParagraph"/>
              <w:spacing w:line="273" w:lineRule="exact"/>
              <w:ind w:right="101"/>
              <w:rPr>
                <w:sz w:val="24"/>
              </w:rPr>
            </w:pPr>
            <w:r>
              <w:rPr>
                <w:sz w:val="24"/>
              </w:rPr>
              <w:t>100</w:t>
            </w:r>
          </w:p>
        </w:tc>
      </w:tr>
    </w:tbl>
    <w:p>
      <w:pPr>
        <w:spacing w:line="271" w:lineRule="exact" w:before="0"/>
        <w:ind w:left="2939" w:right="1335" w:firstLine="0"/>
        <w:jc w:val="left"/>
        <w:rPr>
          <w:sz w:val="24"/>
        </w:rPr>
      </w:pPr>
      <w:r>
        <w:rPr/>
        <w:pict>
          <v:group style="position:absolute;margin-left:84.555pt;margin-top:20.416368pt;width:477.75pt;height:180.75pt;mso-position-horizontal-relative:page;mso-position-vertical-relative:paragraph;z-index:1648;mso-wrap-distance-left:0;mso-wrap-distance-right:0" coordorigin="1691,408" coordsize="9555,3615">
            <v:shape style="position:absolute;left:2465;top:1328;width:6590;height:2232" type="#_x0000_t75" stroked="false">
              <v:imagedata r:id="rId17" o:title=""/>
            </v:shape>
            <v:shape style="position:absolute;left:9934;top:1989;width:110;height:110" type="#_x0000_t75" stroked="false">
              <v:imagedata r:id="rId18" o:title=""/>
            </v:shape>
            <v:shape style="position:absolute;left:9934;top:2391;width:110;height:110" type="#_x0000_t75" stroked="false">
              <v:imagedata r:id="rId19" o:title=""/>
            </v:shape>
            <v:shape style="position:absolute;left:9934;top:2793;width:110;height:110" type="#_x0000_t75" stroked="false">
              <v:imagedata r:id="rId20" o:title=""/>
            </v:shape>
            <v:rect style="position:absolute;left:1699;top:416;width:9540;height:3600" filled="false" stroked="true" strokeweight=".75pt" strokecolor="#989898"/>
            <v:shape style="position:absolute;left:3158;top:650;width:6624;height:200" type="#_x0000_t202" filled="false" stroked="false">
              <v:textbox inset="0,0,0,0">
                <w:txbxContent>
                  <w:p>
                    <w:pPr>
                      <w:spacing w:line="200" w:lineRule="exact" w:before="0"/>
                      <w:ind w:left="0" w:right="-19" w:firstLine="0"/>
                      <w:jc w:val="left"/>
                      <w:rPr>
                        <w:rFonts w:ascii="Calibri" w:hAnsi="Calibri"/>
                        <w:b/>
                        <w:sz w:val="20"/>
                      </w:rPr>
                    </w:pPr>
                    <w:r>
                      <w:rPr>
                        <w:rFonts w:ascii="Calibri" w:hAnsi="Calibri"/>
                        <w:b/>
                        <w:sz w:val="20"/>
                      </w:rPr>
                      <w:t>GRÁFICA #4 DISTRIBUCIÓN DE PACIENTES SEGÚN COMPOSICIÓN DE LA FAMILIA</w:t>
                    </w:r>
                  </w:p>
                </w:txbxContent>
              </v:textbox>
              <w10:wrap type="none"/>
            </v:shape>
            <v:shape style="position:absolute;left:5421;top:1510;width:346;height:200" type="#_x0000_t202" filled="false" stroked="false">
              <v:textbox inset="0,0,0,0">
                <w:txbxContent>
                  <w:p>
                    <w:pPr>
                      <w:spacing w:line="200" w:lineRule="exact" w:before="0"/>
                      <w:ind w:left="0" w:right="-20" w:firstLine="0"/>
                      <w:jc w:val="left"/>
                      <w:rPr>
                        <w:rFonts w:ascii="Calibri"/>
                        <w:sz w:val="20"/>
                      </w:rPr>
                    </w:pPr>
                    <w:r>
                      <w:rPr>
                        <w:rFonts w:ascii="Calibri"/>
                        <w:sz w:val="20"/>
                      </w:rPr>
                      <w:t>13%</w:t>
                    </w:r>
                  </w:p>
                </w:txbxContent>
              </v:textbox>
              <w10:wrap type="none"/>
            </v:shape>
            <v:shape style="position:absolute;left:4519;top:2110;width:346;height:200" type="#_x0000_t202" filled="false" stroked="false">
              <v:textbox inset="0,0,0,0">
                <w:txbxContent>
                  <w:p>
                    <w:pPr>
                      <w:spacing w:line="200" w:lineRule="exact" w:before="0"/>
                      <w:ind w:left="0" w:right="-20" w:firstLine="0"/>
                      <w:jc w:val="left"/>
                      <w:rPr>
                        <w:rFonts w:ascii="Calibri"/>
                        <w:sz w:val="20"/>
                      </w:rPr>
                    </w:pPr>
                    <w:r>
                      <w:rPr>
                        <w:rFonts w:ascii="Calibri"/>
                        <w:sz w:val="20"/>
                      </w:rPr>
                      <w:t>34%</w:t>
                    </w:r>
                  </w:p>
                </w:txbxContent>
              </v:textbox>
              <w10:wrap type="none"/>
            </v:shape>
            <v:shape style="position:absolute;left:6641;top:2250;width:346;height:200" type="#_x0000_t202" filled="false" stroked="false">
              <v:textbox inset="0,0,0,0">
                <w:txbxContent>
                  <w:p>
                    <w:pPr>
                      <w:spacing w:line="200" w:lineRule="exact" w:before="0"/>
                      <w:ind w:left="0" w:right="-20" w:firstLine="0"/>
                      <w:jc w:val="left"/>
                      <w:rPr>
                        <w:rFonts w:ascii="Calibri"/>
                        <w:sz w:val="20"/>
                      </w:rPr>
                    </w:pPr>
                    <w:r>
                      <w:rPr>
                        <w:rFonts w:ascii="Calibri"/>
                        <w:sz w:val="20"/>
                      </w:rPr>
                      <w:t>53%</w:t>
                    </w:r>
                  </w:p>
                </w:txbxContent>
              </v:textbox>
              <w10:wrap type="none"/>
            </v:shape>
            <v:shape style="position:absolute;left:10089;top:1966;width:879;height:1004" type="#_x0000_t202" filled="false" stroked="false">
              <v:textbox inset="0,0,0,0">
                <w:txbxContent>
                  <w:p>
                    <w:pPr>
                      <w:spacing w:line="210" w:lineRule="exact" w:before="0"/>
                      <w:ind w:left="0" w:right="-20" w:firstLine="0"/>
                      <w:jc w:val="left"/>
                      <w:rPr>
                        <w:rFonts w:ascii="Calibri"/>
                        <w:sz w:val="20"/>
                      </w:rPr>
                    </w:pPr>
                    <w:r>
                      <w:rPr>
                        <w:rFonts w:ascii="Calibri"/>
                        <w:sz w:val="20"/>
                      </w:rPr>
                      <w:t>NUCLEAR</w:t>
                    </w:r>
                  </w:p>
                  <w:p>
                    <w:pPr>
                      <w:spacing w:line="400" w:lineRule="atLeast" w:before="1"/>
                      <w:ind w:left="0" w:right="-20" w:firstLine="0"/>
                      <w:jc w:val="left"/>
                      <w:rPr>
                        <w:rFonts w:ascii="Calibri"/>
                        <w:sz w:val="20"/>
                      </w:rPr>
                    </w:pPr>
                    <w:r>
                      <w:rPr>
                        <w:rFonts w:ascii="Calibri"/>
                        <w:sz w:val="20"/>
                      </w:rPr>
                      <w:t>EXTENSA AMPLIADA</w:t>
                    </w:r>
                  </w:p>
                </w:txbxContent>
              </v:textbox>
              <w10:wrap type="none"/>
            </v:shape>
            <w10:wrap type="topAndBottom"/>
          </v:group>
        </w:pict>
      </w:r>
      <w:r>
        <w:rPr>
          <w:b/>
          <w:sz w:val="24"/>
        </w:rPr>
        <w:t>Fuente: </w:t>
      </w:r>
      <w:r>
        <w:rPr>
          <w:sz w:val="24"/>
        </w:rPr>
        <w:t>Encuesta Personal. </w:t>
      </w:r>
      <w:r>
        <w:rPr>
          <w:b/>
          <w:sz w:val="24"/>
        </w:rPr>
        <w:t>Anexo </w:t>
      </w:r>
      <w:r>
        <w:rPr>
          <w:sz w:val="24"/>
        </w:rPr>
        <w:t>2</w:t>
      </w:r>
    </w:p>
    <w:p>
      <w:pPr>
        <w:spacing w:before="46"/>
        <w:ind w:left="3650" w:right="1335" w:firstLine="0"/>
        <w:jc w:val="left"/>
        <w:rPr>
          <w:sz w:val="24"/>
        </w:rPr>
      </w:pPr>
      <w:r>
        <w:rPr>
          <w:b/>
          <w:sz w:val="24"/>
        </w:rPr>
        <w:t>Fuente: </w:t>
      </w:r>
      <w:r>
        <w:rPr>
          <w:sz w:val="24"/>
        </w:rPr>
        <w:t>Encuesta Personal. </w:t>
      </w:r>
      <w:r>
        <w:rPr>
          <w:b/>
          <w:sz w:val="24"/>
        </w:rPr>
        <w:t>Anexo </w:t>
      </w:r>
      <w:r>
        <w:rPr>
          <w:sz w:val="24"/>
        </w:rPr>
        <w:t>2</w:t>
      </w:r>
    </w:p>
    <w:p>
      <w:pPr>
        <w:pStyle w:val="Heading1"/>
        <w:spacing w:line="274" w:lineRule="exact" w:before="41" w:after="3"/>
        <w:ind w:left="4182" w:right="187" w:hanging="3538"/>
      </w:pPr>
      <w:r>
        <w:rPr/>
        <w:t>TABLA#5 DISTRIBUCIÓN DE PACIENTES SEGÚN CICLO VITAL DE LA FAMILIA</w:t>
      </w:r>
    </w:p>
    <w:tbl>
      <w:tblPr>
        <w:tblW w:w="0" w:type="auto"/>
        <w:jc w:val="left"/>
        <w:tblInd w:w="1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95"/>
        <w:gridCol w:w="2990"/>
        <w:gridCol w:w="2995"/>
      </w:tblGrid>
      <w:tr>
        <w:trPr>
          <w:trHeight w:val="562" w:hRule="exact"/>
        </w:trPr>
        <w:tc>
          <w:tcPr>
            <w:tcW w:w="2995" w:type="dxa"/>
          </w:tcPr>
          <w:p>
            <w:pPr>
              <w:pStyle w:val="TableParagraph"/>
              <w:spacing w:line="274" w:lineRule="exact" w:before="1"/>
              <w:ind w:left="960" w:right="275" w:hanging="664"/>
              <w:jc w:val="left"/>
              <w:rPr>
                <w:b/>
                <w:sz w:val="24"/>
              </w:rPr>
            </w:pPr>
            <w:r>
              <w:rPr>
                <w:b/>
                <w:sz w:val="24"/>
              </w:rPr>
              <w:t>CICLO VITAL DE LA FAMILIA</w:t>
            </w:r>
          </w:p>
        </w:tc>
        <w:tc>
          <w:tcPr>
            <w:tcW w:w="2990" w:type="dxa"/>
          </w:tcPr>
          <w:p>
            <w:pPr>
              <w:pStyle w:val="TableParagraph"/>
              <w:spacing w:line="273" w:lineRule="exact"/>
              <w:ind w:left="673" w:right="666"/>
              <w:rPr>
                <w:b/>
                <w:sz w:val="24"/>
              </w:rPr>
            </w:pPr>
            <w:r>
              <w:rPr>
                <w:b/>
                <w:sz w:val="24"/>
              </w:rPr>
              <w:t>FRECUENCIA</w:t>
            </w:r>
          </w:p>
        </w:tc>
        <w:tc>
          <w:tcPr>
            <w:tcW w:w="2995" w:type="dxa"/>
          </w:tcPr>
          <w:p>
            <w:pPr>
              <w:pStyle w:val="TableParagraph"/>
              <w:spacing w:line="273" w:lineRule="exact"/>
              <w:ind w:right="101"/>
              <w:rPr>
                <w:b/>
                <w:sz w:val="24"/>
              </w:rPr>
            </w:pPr>
            <w:r>
              <w:rPr>
                <w:b/>
                <w:sz w:val="24"/>
              </w:rPr>
              <w:t>PORCENTAJE</w:t>
            </w:r>
          </w:p>
        </w:tc>
      </w:tr>
      <w:tr>
        <w:trPr>
          <w:trHeight w:val="283" w:hRule="exact"/>
        </w:trPr>
        <w:tc>
          <w:tcPr>
            <w:tcW w:w="2995" w:type="dxa"/>
          </w:tcPr>
          <w:p>
            <w:pPr>
              <w:pStyle w:val="TableParagraph"/>
              <w:spacing w:line="273" w:lineRule="exact"/>
              <w:ind w:right="102"/>
              <w:rPr>
                <w:b/>
                <w:sz w:val="24"/>
              </w:rPr>
            </w:pPr>
            <w:r>
              <w:rPr>
                <w:b/>
                <w:sz w:val="24"/>
              </w:rPr>
              <w:t>FORMACIÓN</w:t>
            </w:r>
          </w:p>
        </w:tc>
        <w:tc>
          <w:tcPr>
            <w:tcW w:w="2990" w:type="dxa"/>
          </w:tcPr>
          <w:p>
            <w:pPr>
              <w:pStyle w:val="TableParagraph"/>
              <w:spacing w:line="273" w:lineRule="exact"/>
              <w:ind w:left="673" w:right="666"/>
              <w:rPr>
                <w:sz w:val="24"/>
              </w:rPr>
            </w:pPr>
            <w:r>
              <w:rPr>
                <w:sz w:val="24"/>
              </w:rPr>
              <w:t>25</w:t>
            </w:r>
          </w:p>
        </w:tc>
        <w:tc>
          <w:tcPr>
            <w:tcW w:w="2995" w:type="dxa"/>
          </w:tcPr>
          <w:p>
            <w:pPr>
              <w:pStyle w:val="TableParagraph"/>
              <w:spacing w:line="273" w:lineRule="exact"/>
              <w:ind w:right="101"/>
              <w:rPr>
                <w:sz w:val="24"/>
              </w:rPr>
            </w:pPr>
            <w:r>
              <w:rPr>
                <w:sz w:val="24"/>
              </w:rPr>
              <w:t>10</w:t>
            </w:r>
          </w:p>
        </w:tc>
      </w:tr>
      <w:tr>
        <w:trPr>
          <w:trHeight w:val="288" w:hRule="exact"/>
        </w:trPr>
        <w:tc>
          <w:tcPr>
            <w:tcW w:w="2995" w:type="dxa"/>
          </w:tcPr>
          <w:p>
            <w:pPr>
              <w:pStyle w:val="TableParagraph"/>
              <w:spacing w:line="273" w:lineRule="exact"/>
              <w:ind w:right="102"/>
              <w:rPr>
                <w:b/>
                <w:sz w:val="24"/>
              </w:rPr>
            </w:pPr>
            <w:r>
              <w:rPr>
                <w:b/>
                <w:sz w:val="24"/>
              </w:rPr>
              <w:t>EXTENSIÓN</w:t>
            </w:r>
          </w:p>
        </w:tc>
        <w:tc>
          <w:tcPr>
            <w:tcW w:w="2990" w:type="dxa"/>
          </w:tcPr>
          <w:p>
            <w:pPr>
              <w:pStyle w:val="TableParagraph"/>
              <w:spacing w:line="273" w:lineRule="exact"/>
              <w:ind w:left="673" w:right="666"/>
              <w:rPr>
                <w:sz w:val="24"/>
              </w:rPr>
            </w:pPr>
            <w:r>
              <w:rPr>
                <w:sz w:val="24"/>
              </w:rPr>
              <w:t>50</w:t>
            </w:r>
          </w:p>
        </w:tc>
        <w:tc>
          <w:tcPr>
            <w:tcW w:w="2995" w:type="dxa"/>
          </w:tcPr>
          <w:p>
            <w:pPr>
              <w:pStyle w:val="TableParagraph"/>
              <w:spacing w:line="273" w:lineRule="exact"/>
              <w:ind w:right="101"/>
              <w:rPr>
                <w:sz w:val="24"/>
              </w:rPr>
            </w:pPr>
            <w:r>
              <w:rPr>
                <w:sz w:val="24"/>
              </w:rPr>
              <w:t>20</w:t>
            </w:r>
          </w:p>
        </w:tc>
      </w:tr>
      <w:tr>
        <w:trPr>
          <w:trHeight w:val="283" w:hRule="exact"/>
        </w:trPr>
        <w:tc>
          <w:tcPr>
            <w:tcW w:w="2995" w:type="dxa"/>
          </w:tcPr>
          <w:p>
            <w:pPr>
              <w:pStyle w:val="TableParagraph"/>
              <w:spacing w:line="273" w:lineRule="exact"/>
              <w:ind w:right="102"/>
              <w:rPr>
                <w:b/>
                <w:sz w:val="24"/>
              </w:rPr>
            </w:pPr>
            <w:r>
              <w:rPr>
                <w:b/>
                <w:sz w:val="24"/>
              </w:rPr>
              <w:t>CONTRACCIÓN</w:t>
            </w:r>
          </w:p>
        </w:tc>
        <w:tc>
          <w:tcPr>
            <w:tcW w:w="2990" w:type="dxa"/>
          </w:tcPr>
          <w:p>
            <w:pPr>
              <w:pStyle w:val="TableParagraph"/>
              <w:spacing w:line="273" w:lineRule="exact"/>
              <w:ind w:left="673" w:right="666"/>
              <w:rPr>
                <w:sz w:val="24"/>
              </w:rPr>
            </w:pPr>
            <w:r>
              <w:rPr>
                <w:sz w:val="24"/>
              </w:rPr>
              <w:t>48</w:t>
            </w:r>
          </w:p>
        </w:tc>
        <w:tc>
          <w:tcPr>
            <w:tcW w:w="2995" w:type="dxa"/>
          </w:tcPr>
          <w:p>
            <w:pPr>
              <w:pStyle w:val="TableParagraph"/>
              <w:spacing w:line="273" w:lineRule="exact"/>
              <w:ind w:right="101"/>
              <w:rPr>
                <w:sz w:val="24"/>
              </w:rPr>
            </w:pPr>
            <w:r>
              <w:rPr>
                <w:sz w:val="24"/>
              </w:rPr>
              <w:t>19</w:t>
            </w:r>
          </w:p>
        </w:tc>
      </w:tr>
      <w:tr>
        <w:trPr>
          <w:trHeight w:val="288" w:hRule="exact"/>
        </w:trPr>
        <w:tc>
          <w:tcPr>
            <w:tcW w:w="2995" w:type="dxa"/>
          </w:tcPr>
          <w:p>
            <w:pPr>
              <w:pStyle w:val="TableParagraph"/>
              <w:spacing w:line="273" w:lineRule="exact"/>
              <w:ind w:right="102"/>
              <w:rPr>
                <w:b/>
                <w:sz w:val="24"/>
              </w:rPr>
            </w:pPr>
            <w:r>
              <w:rPr>
                <w:b/>
                <w:sz w:val="24"/>
              </w:rPr>
              <w:t>DISOLUCI;ON</w:t>
            </w:r>
          </w:p>
        </w:tc>
        <w:tc>
          <w:tcPr>
            <w:tcW w:w="2990" w:type="dxa"/>
          </w:tcPr>
          <w:p>
            <w:pPr>
              <w:pStyle w:val="TableParagraph"/>
              <w:spacing w:line="273" w:lineRule="exact"/>
              <w:ind w:left="7"/>
              <w:rPr>
                <w:sz w:val="24"/>
              </w:rPr>
            </w:pPr>
            <w:r>
              <w:rPr>
                <w:sz w:val="24"/>
              </w:rPr>
              <w:t>3</w:t>
            </w:r>
          </w:p>
        </w:tc>
        <w:tc>
          <w:tcPr>
            <w:tcW w:w="2995" w:type="dxa"/>
          </w:tcPr>
          <w:p>
            <w:pPr>
              <w:pStyle w:val="TableParagraph"/>
              <w:spacing w:line="273" w:lineRule="exact"/>
              <w:ind w:left="2"/>
              <w:rPr>
                <w:sz w:val="24"/>
              </w:rPr>
            </w:pPr>
            <w:r>
              <w:rPr>
                <w:sz w:val="24"/>
              </w:rPr>
              <w:t>1</w:t>
            </w:r>
          </w:p>
        </w:tc>
      </w:tr>
      <w:tr>
        <w:trPr>
          <w:trHeight w:val="562" w:hRule="exact"/>
        </w:trPr>
        <w:tc>
          <w:tcPr>
            <w:tcW w:w="2995" w:type="dxa"/>
          </w:tcPr>
          <w:p>
            <w:pPr>
              <w:pStyle w:val="TableParagraph"/>
              <w:spacing w:line="242" w:lineRule="auto"/>
              <w:ind w:left="553" w:right="532" w:firstLine="480"/>
              <w:jc w:val="left"/>
              <w:rPr>
                <w:b/>
                <w:sz w:val="24"/>
              </w:rPr>
            </w:pPr>
            <w:r>
              <w:rPr>
                <w:b/>
                <w:sz w:val="24"/>
              </w:rPr>
              <w:t>CICLOS SUPERPUESTOS</w:t>
            </w:r>
          </w:p>
        </w:tc>
        <w:tc>
          <w:tcPr>
            <w:tcW w:w="2990" w:type="dxa"/>
          </w:tcPr>
          <w:p>
            <w:pPr>
              <w:pStyle w:val="TableParagraph"/>
              <w:spacing w:line="273" w:lineRule="exact"/>
              <w:ind w:left="673" w:right="666"/>
              <w:rPr>
                <w:sz w:val="24"/>
              </w:rPr>
            </w:pPr>
            <w:r>
              <w:rPr>
                <w:sz w:val="24"/>
              </w:rPr>
              <w:t>115</w:t>
            </w:r>
          </w:p>
        </w:tc>
        <w:tc>
          <w:tcPr>
            <w:tcW w:w="2995" w:type="dxa"/>
          </w:tcPr>
          <w:p>
            <w:pPr>
              <w:pStyle w:val="TableParagraph"/>
              <w:spacing w:line="273" w:lineRule="exact"/>
              <w:ind w:right="101"/>
              <w:rPr>
                <w:sz w:val="24"/>
              </w:rPr>
            </w:pPr>
            <w:r>
              <w:rPr>
                <w:sz w:val="24"/>
              </w:rPr>
              <w:t>46</w:t>
            </w:r>
          </w:p>
        </w:tc>
      </w:tr>
      <w:tr>
        <w:trPr>
          <w:trHeight w:val="288" w:hRule="exact"/>
        </w:trPr>
        <w:tc>
          <w:tcPr>
            <w:tcW w:w="2995" w:type="dxa"/>
          </w:tcPr>
          <w:p>
            <w:pPr>
              <w:pStyle w:val="TableParagraph"/>
              <w:spacing w:line="273" w:lineRule="exact"/>
              <w:ind w:right="102"/>
              <w:rPr>
                <w:b/>
                <w:sz w:val="24"/>
              </w:rPr>
            </w:pPr>
            <w:r>
              <w:rPr>
                <w:b/>
                <w:sz w:val="24"/>
              </w:rPr>
              <w:t>CICLOS NO DEFINIDOS</w:t>
            </w:r>
          </w:p>
        </w:tc>
        <w:tc>
          <w:tcPr>
            <w:tcW w:w="2990" w:type="dxa"/>
          </w:tcPr>
          <w:p>
            <w:pPr>
              <w:pStyle w:val="TableParagraph"/>
              <w:spacing w:line="273" w:lineRule="exact"/>
              <w:ind w:left="673" w:right="666"/>
              <w:rPr>
                <w:sz w:val="24"/>
              </w:rPr>
            </w:pPr>
            <w:r>
              <w:rPr>
                <w:sz w:val="24"/>
              </w:rPr>
              <w:t>10</w:t>
            </w:r>
          </w:p>
        </w:tc>
        <w:tc>
          <w:tcPr>
            <w:tcW w:w="2995" w:type="dxa"/>
          </w:tcPr>
          <w:p>
            <w:pPr>
              <w:pStyle w:val="TableParagraph"/>
              <w:spacing w:line="273" w:lineRule="exact"/>
              <w:ind w:left="2"/>
              <w:rPr>
                <w:sz w:val="24"/>
              </w:rPr>
            </w:pPr>
            <w:r>
              <w:rPr>
                <w:sz w:val="24"/>
              </w:rPr>
              <w:t>4</w:t>
            </w:r>
          </w:p>
        </w:tc>
      </w:tr>
      <w:tr>
        <w:trPr>
          <w:trHeight w:val="283" w:hRule="exact"/>
        </w:trPr>
        <w:tc>
          <w:tcPr>
            <w:tcW w:w="2995" w:type="dxa"/>
          </w:tcPr>
          <w:p>
            <w:pPr>
              <w:pStyle w:val="TableParagraph"/>
              <w:spacing w:line="273" w:lineRule="exact"/>
              <w:ind w:right="102"/>
              <w:rPr>
                <w:b/>
                <w:sz w:val="24"/>
              </w:rPr>
            </w:pPr>
            <w:r>
              <w:rPr>
                <w:b/>
                <w:sz w:val="24"/>
              </w:rPr>
              <w:t>TOTAL</w:t>
            </w:r>
          </w:p>
        </w:tc>
        <w:tc>
          <w:tcPr>
            <w:tcW w:w="2990" w:type="dxa"/>
          </w:tcPr>
          <w:p>
            <w:pPr>
              <w:pStyle w:val="TableParagraph"/>
              <w:spacing w:line="273" w:lineRule="exact"/>
              <w:ind w:left="673" w:right="666"/>
              <w:rPr>
                <w:sz w:val="24"/>
              </w:rPr>
            </w:pPr>
            <w:r>
              <w:rPr>
                <w:sz w:val="24"/>
              </w:rPr>
              <w:t>251</w:t>
            </w:r>
          </w:p>
        </w:tc>
        <w:tc>
          <w:tcPr>
            <w:tcW w:w="2995" w:type="dxa"/>
          </w:tcPr>
          <w:p>
            <w:pPr>
              <w:pStyle w:val="TableParagraph"/>
              <w:spacing w:line="273" w:lineRule="exact"/>
              <w:ind w:right="101"/>
              <w:rPr>
                <w:sz w:val="24"/>
              </w:rPr>
            </w:pPr>
            <w:r>
              <w:rPr>
                <w:sz w:val="24"/>
              </w:rPr>
              <w:t>100</w:t>
            </w:r>
          </w:p>
        </w:tc>
      </w:tr>
    </w:tbl>
    <w:p>
      <w:pPr>
        <w:spacing w:line="273" w:lineRule="exact" w:before="0"/>
        <w:ind w:left="2939" w:right="1335" w:firstLine="0"/>
        <w:jc w:val="left"/>
        <w:rPr>
          <w:sz w:val="24"/>
        </w:rPr>
      </w:pPr>
      <w:r>
        <w:rPr>
          <w:b/>
          <w:sz w:val="24"/>
        </w:rPr>
        <w:t>Fuente: </w:t>
      </w:r>
      <w:r>
        <w:rPr>
          <w:sz w:val="24"/>
        </w:rPr>
        <w:t>Encuesta Personal. </w:t>
      </w:r>
      <w:r>
        <w:rPr>
          <w:b/>
          <w:sz w:val="24"/>
        </w:rPr>
        <w:t>Anexo </w:t>
      </w:r>
      <w:r>
        <w:rPr>
          <w:sz w:val="24"/>
        </w:rPr>
        <w:t>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7"/>
        </w:rPr>
      </w:pPr>
    </w:p>
    <w:p>
      <w:pPr>
        <w:pStyle w:val="BodyText"/>
        <w:spacing w:before="69"/>
        <w:ind w:right="823"/>
        <w:jc w:val="right"/>
      </w:pPr>
      <w:r>
        <w:rPr/>
        <w:pict>
          <v:group style="position:absolute;margin-left:75.555pt;margin-top:-133.031845pt;width:432.75pt;height:162.75pt;mso-position-horizontal-relative:page;mso-position-vertical-relative:paragraph;z-index:1888" coordorigin="1511,-2661" coordsize="8655,3255">
            <v:shape style="position:absolute;left:2162;top:-1761;width:4920;height:1915" type="#_x0000_t75" stroked="false">
              <v:imagedata r:id="rId21" o:title=""/>
            </v:shape>
            <v:shape style="position:absolute;left:8367;top:-2089;width:110;height:110" type="#_x0000_t75" stroked="false">
              <v:imagedata r:id="rId22" o:title=""/>
            </v:shape>
            <v:shape style="position:absolute;left:8367;top:-1637;width:110;height:110" type="#_x0000_t75" stroked="false">
              <v:imagedata r:id="rId23" o:title=""/>
            </v:shape>
            <v:shape style="position:absolute;left:8367;top:-1185;width:110;height:110" type="#_x0000_t75" stroked="false">
              <v:imagedata r:id="rId24" o:title=""/>
            </v:shape>
            <v:shape style="position:absolute;left:8367;top:-734;width:110;height:110" type="#_x0000_t75" stroked="false">
              <v:imagedata r:id="rId25" o:title=""/>
            </v:shape>
            <v:rect style="position:absolute;left:1519;top:-2653;width:8640;height:3240" filled="false" stroked="true" strokeweight=".75pt" strokecolor="#989898"/>
            <v:shape style="position:absolute;left:2617;top:-2419;width:6943;height:720" type="#_x0000_t202" filled="false" stroked="false">
              <v:textbox inset="0,0,0,0">
                <w:txbxContent>
                  <w:p>
                    <w:pPr>
                      <w:spacing w:line="210" w:lineRule="exact" w:before="0"/>
                      <w:ind w:left="0" w:right="0" w:firstLine="0"/>
                      <w:jc w:val="left"/>
                      <w:rPr>
                        <w:rFonts w:ascii="Calibri" w:hAnsi="Calibri"/>
                        <w:b/>
                        <w:sz w:val="20"/>
                      </w:rPr>
                    </w:pPr>
                    <w:r>
                      <w:rPr>
                        <w:rFonts w:ascii="Calibri" w:hAnsi="Calibri"/>
                        <w:b/>
                        <w:sz w:val="20"/>
                      </w:rPr>
                      <w:t>GRÁFICA #5  DISTRIBUCIÓN DE PACIENTES SEGÚN CICLO VITAL DE LA FAMILIA</w:t>
                    </w:r>
                  </w:p>
                  <w:p>
                    <w:pPr>
                      <w:spacing w:line="229" w:lineRule="exact" w:before="62"/>
                      <w:ind w:left="0" w:right="0" w:firstLine="0"/>
                      <w:jc w:val="right"/>
                      <w:rPr>
                        <w:rFonts w:ascii="Calibri" w:hAnsi="Calibri"/>
                        <w:sz w:val="20"/>
                      </w:rPr>
                    </w:pPr>
                    <w:r>
                      <w:rPr>
                        <w:rFonts w:ascii="Calibri" w:hAnsi="Calibri"/>
                        <w:sz w:val="20"/>
                      </w:rPr>
                      <w:t>FORMACIÓN</w:t>
                    </w:r>
                  </w:p>
                  <w:p>
                    <w:pPr>
                      <w:spacing w:line="219" w:lineRule="exact" w:before="0"/>
                      <w:ind w:left="1684" w:right="0" w:firstLine="0"/>
                      <w:jc w:val="left"/>
                      <w:rPr>
                        <w:rFonts w:ascii="Calibri"/>
                        <w:sz w:val="20"/>
                      </w:rPr>
                    </w:pPr>
                    <w:r>
                      <w:rPr>
                        <w:rFonts w:ascii="Calibri"/>
                        <w:sz w:val="20"/>
                      </w:rPr>
                      <w:t>4%</w:t>
                    </w:r>
                  </w:p>
                </w:txbxContent>
              </v:textbox>
              <w10:wrap type="none"/>
            </v:shape>
            <v:shape style="position:absolute;left:4839;top:-1919;width:346;height:200" type="#_x0000_t202" filled="false" stroked="false">
              <v:textbox inset="0,0,0,0">
                <w:txbxContent>
                  <w:p>
                    <w:pPr>
                      <w:spacing w:line="200" w:lineRule="exact" w:before="0"/>
                      <w:ind w:left="0" w:right="-20" w:firstLine="0"/>
                      <w:jc w:val="left"/>
                      <w:rPr>
                        <w:rFonts w:ascii="Calibri"/>
                        <w:sz w:val="20"/>
                      </w:rPr>
                    </w:pPr>
                    <w:r>
                      <w:rPr>
                        <w:rFonts w:ascii="Calibri"/>
                        <w:sz w:val="20"/>
                      </w:rPr>
                      <w:t>10%</w:t>
                    </w:r>
                  </w:p>
                </w:txbxContent>
              </v:textbox>
              <w10:wrap type="none"/>
            </v:shape>
            <v:shape style="position:absolute;left:8522;top:-1660;width:930;height:200" type="#_x0000_t202" filled="false" stroked="false">
              <v:textbox inset="0,0,0,0">
                <w:txbxContent>
                  <w:p>
                    <w:pPr>
                      <w:spacing w:line="200" w:lineRule="exact" w:before="0"/>
                      <w:ind w:left="0" w:right="-20" w:firstLine="0"/>
                      <w:jc w:val="left"/>
                      <w:rPr>
                        <w:rFonts w:ascii="Calibri" w:hAnsi="Calibri"/>
                        <w:sz w:val="20"/>
                      </w:rPr>
                    </w:pPr>
                    <w:r>
                      <w:rPr>
                        <w:rFonts w:ascii="Calibri" w:hAnsi="Calibri"/>
                        <w:sz w:val="20"/>
                      </w:rPr>
                      <w:t>EXTENSIÓN</w:t>
                    </w:r>
                  </w:p>
                </w:txbxContent>
              </v:textbox>
              <w10:wrap type="none"/>
            </v:shape>
            <v:shape style="position:absolute;left:5179;top:-1319;width:346;height:200" type="#_x0000_t202" filled="false" stroked="false">
              <v:textbox inset="0,0,0,0">
                <w:txbxContent>
                  <w:p>
                    <w:pPr>
                      <w:spacing w:line="200" w:lineRule="exact" w:before="0"/>
                      <w:ind w:left="0" w:right="-20" w:firstLine="0"/>
                      <w:jc w:val="left"/>
                      <w:rPr>
                        <w:rFonts w:ascii="Calibri"/>
                        <w:sz w:val="20"/>
                      </w:rPr>
                    </w:pPr>
                    <w:r>
                      <w:rPr>
                        <w:rFonts w:ascii="Calibri"/>
                        <w:sz w:val="20"/>
                      </w:rPr>
                      <w:t>20%</w:t>
                    </w:r>
                  </w:p>
                </w:txbxContent>
              </v:textbox>
              <w10:wrap type="none"/>
            </v:shape>
            <v:shape style="position:absolute;left:8522;top:-1209;width:1216;height:200" type="#_x0000_t202" filled="false" stroked="false">
              <v:textbox inset="0,0,0,0">
                <w:txbxContent>
                  <w:p>
                    <w:pPr>
                      <w:spacing w:line="200" w:lineRule="exact" w:before="0"/>
                      <w:ind w:left="0" w:right="-20" w:firstLine="0"/>
                      <w:jc w:val="left"/>
                      <w:rPr>
                        <w:rFonts w:ascii="Calibri" w:hAnsi="Calibri"/>
                        <w:sz w:val="20"/>
                      </w:rPr>
                    </w:pPr>
                    <w:r>
                      <w:rPr>
                        <w:rFonts w:ascii="Calibri" w:hAnsi="Calibri"/>
                        <w:sz w:val="20"/>
                      </w:rPr>
                      <w:t>CONTRACCIÓN</w:t>
                    </w:r>
                  </w:p>
                </w:txbxContent>
              </v:textbox>
              <w10:wrap type="none"/>
            </v:shape>
            <v:shape style="position:absolute;left:3539;top:-1039;width:346;height:200" type="#_x0000_t202" filled="false" stroked="false">
              <v:textbox inset="0,0,0,0">
                <w:txbxContent>
                  <w:p>
                    <w:pPr>
                      <w:spacing w:line="200" w:lineRule="exact" w:before="0"/>
                      <w:ind w:left="0" w:right="-20" w:firstLine="0"/>
                      <w:jc w:val="left"/>
                      <w:rPr>
                        <w:rFonts w:ascii="Calibri"/>
                        <w:sz w:val="20"/>
                      </w:rPr>
                    </w:pPr>
                    <w:r>
                      <w:rPr>
                        <w:rFonts w:ascii="Calibri"/>
                        <w:sz w:val="20"/>
                      </w:rPr>
                      <w:t>46%</w:t>
                    </w:r>
                  </w:p>
                </w:txbxContent>
              </v:textbox>
              <w10:wrap type="none"/>
            </v:shape>
            <v:shape style="position:absolute;left:4959;top:-839;width:346;height:200" type="#_x0000_t202" filled="false" stroked="false">
              <v:textbox inset="0,0,0,0">
                <w:txbxContent>
                  <w:p>
                    <w:pPr>
                      <w:spacing w:line="200" w:lineRule="exact" w:before="0"/>
                      <w:ind w:left="0" w:right="-20" w:firstLine="0"/>
                      <w:jc w:val="left"/>
                      <w:rPr>
                        <w:rFonts w:ascii="Calibri"/>
                        <w:sz w:val="20"/>
                      </w:rPr>
                    </w:pPr>
                    <w:r>
                      <w:rPr>
                        <w:rFonts w:ascii="Calibri"/>
                        <w:sz w:val="20"/>
                      </w:rPr>
                      <w:t>19%</w:t>
                    </w:r>
                  </w:p>
                </w:txbxContent>
              </v:textbox>
              <w10:wrap type="none"/>
            </v:shape>
            <v:shape style="position:absolute;left:8522;top:-757;width:1083;height:200" type="#_x0000_t202" filled="false" stroked="false">
              <v:textbox inset="0,0,0,0">
                <w:txbxContent>
                  <w:p>
                    <w:pPr>
                      <w:spacing w:line="200" w:lineRule="exact" w:before="0"/>
                      <w:ind w:left="0" w:right="-20" w:firstLine="0"/>
                      <w:jc w:val="left"/>
                      <w:rPr>
                        <w:rFonts w:ascii="Calibri"/>
                        <w:sz w:val="20"/>
                      </w:rPr>
                    </w:pPr>
                    <w:r>
                      <w:rPr>
                        <w:rFonts w:ascii="Calibri"/>
                        <w:sz w:val="20"/>
                      </w:rPr>
                      <w:t>DISOLUCI;ON</w:t>
                    </w:r>
                  </w:p>
                </w:txbxContent>
              </v:textbox>
              <w10:wrap type="none"/>
            </v:shape>
            <v:shape style="position:absolute;left:4541;top:1;width:245;height:200" type="#_x0000_t202" filled="false" stroked="false">
              <v:textbox inset="0,0,0,0">
                <w:txbxContent>
                  <w:p>
                    <w:pPr>
                      <w:spacing w:line="200" w:lineRule="exact" w:before="0"/>
                      <w:ind w:left="0" w:right="-20" w:firstLine="0"/>
                      <w:jc w:val="left"/>
                      <w:rPr>
                        <w:rFonts w:ascii="Calibri"/>
                        <w:sz w:val="20"/>
                      </w:rPr>
                    </w:pPr>
                    <w:r>
                      <w:rPr>
                        <w:rFonts w:ascii="Calibri"/>
                        <w:sz w:val="20"/>
                      </w:rPr>
                      <w:t>1%</w:t>
                    </w:r>
                  </w:p>
                </w:txbxContent>
              </v:textbox>
              <w10:wrap type="none"/>
            </v:shape>
            <w10:wrap type="none"/>
          </v:group>
        </w:pict>
      </w:r>
      <w:r>
        <w:rPr/>
        <w:t>48</w:t>
      </w:r>
    </w:p>
    <w:p>
      <w:pPr>
        <w:pStyle w:val="BodyText"/>
        <w:spacing w:before="10"/>
        <w:rPr>
          <w:sz w:val="20"/>
        </w:rPr>
      </w:pPr>
    </w:p>
    <w:p>
      <w:pPr>
        <w:spacing w:before="69"/>
        <w:ind w:left="3650" w:right="1335" w:firstLine="0"/>
        <w:jc w:val="left"/>
        <w:rPr>
          <w:sz w:val="24"/>
        </w:rPr>
      </w:pPr>
      <w:r>
        <w:rPr>
          <w:b/>
          <w:sz w:val="24"/>
        </w:rPr>
        <w:t>Fuente: </w:t>
      </w:r>
      <w:r>
        <w:rPr>
          <w:sz w:val="24"/>
        </w:rPr>
        <w:t>Encuesta Personal. </w:t>
      </w:r>
      <w:r>
        <w:rPr>
          <w:b/>
          <w:sz w:val="24"/>
        </w:rPr>
        <w:t>Anexo </w:t>
      </w:r>
      <w:r>
        <w:rPr>
          <w:sz w:val="24"/>
        </w:rPr>
        <w:t>2</w:t>
      </w:r>
    </w:p>
    <w:p>
      <w:pPr>
        <w:spacing w:after="0"/>
        <w:jc w:val="left"/>
        <w:rPr>
          <w:sz w:val="24"/>
        </w:rPr>
        <w:sectPr>
          <w:footerReference w:type="default" r:id="rId16"/>
          <w:pgSz w:w="12240" w:h="15840"/>
          <w:pgMar w:footer="0" w:header="0" w:top="1360" w:bottom="280" w:left="1400" w:right="880"/>
        </w:sectPr>
      </w:pPr>
    </w:p>
    <w:p>
      <w:pPr>
        <w:pStyle w:val="Heading1"/>
        <w:spacing w:line="242" w:lineRule="auto" w:before="50"/>
        <w:ind w:left="4015" w:hanging="3688"/>
      </w:pPr>
      <w:r>
        <w:rPr/>
        <w:t>TABLA#6 DISTRIBUCIÓN DE PACIENTES SEGÚN GRADO DE DISFUNCIÓN FAMILIAR</w:t>
      </w: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81"/>
        <w:gridCol w:w="1838"/>
        <w:gridCol w:w="1843"/>
        <w:gridCol w:w="2918"/>
      </w:tblGrid>
      <w:tr>
        <w:trPr>
          <w:trHeight w:val="562" w:hRule="exact"/>
        </w:trPr>
        <w:tc>
          <w:tcPr>
            <w:tcW w:w="2381" w:type="dxa"/>
          </w:tcPr>
          <w:p>
            <w:pPr>
              <w:pStyle w:val="TableParagraph"/>
              <w:spacing w:line="242" w:lineRule="auto"/>
              <w:ind w:left="565" w:right="407" w:hanging="141"/>
              <w:jc w:val="left"/>
              <w:rPr>
                <w:b/>
                <w:sz w:val="24"/>
              </w:rPr>
            </w:pPr>
            <w:r>
              <w:rPr>
                <w:b/>
                <w:sz w:val="24"/>
              </w:rPr>
              <w:t>DISFUNCIÓN FAMILIAR</w:t>
            </w:r>
          </w:p>
        </w:tc>
        <w:tc>
          <w:tcPr>
            <w:tcW w:w="1838" w:type="dxa"/>
          </w:tcPr>
          <w:p>
            <w:pPr>
              <w:pStyle w:val="TableParagraph"/>
              <w:spacing w:line="273" w:lineRule="exact"/>
              <w:ind w:left="94" w:right="94"/>
              <w:rPr>
                <w:b/>
                <w:sz w:val="24"/>
              </w:rPr>
            </w:pPr>
            <w:r>
              <w:rPr>
                <w:b/>
                <w:sz w:val="24"/>
              </w:rPr>
              <w:t>FRECUENCIA</w:t>
            </w:r>
          </w:p>
        </w:tc>
        <w:tc>
          <w:tcPr>
            <w:tcW w:w="1843" w:type="dxa"/>
          </w:tcPr>
          <w:p>
            <w:pPr>
              <w:pStyle w:val="TableParagraph"/>
              <w:spacing w:line="273" w:lineRule="exact"/>
              <w:ind w:left="85" w:right="81"/>
              <w:rPr>
                <w:b/>
                <w:sz w:val="24"/>
              </w:rPr>
            </w:pPr>
            <w:r>
              <w:rPr>
                <w:b/>
                <w:sz w:val="24"/>
              </w:rPr>
              <w:t>PORCENTAJE</w:t>
            </w:r>
          </w:p>
        </w:tc>
        <w:tc>
          <w:tcPr>
            <w:tcW w:w="2918" w:type="dxa"/>
          </w:tcPr>
          <w:p>
            <w:pPr>
              <w:pStyle w:val="TableParagraph"/>
              <w:spacing w:line="242" w:lineRule="auto"/>
              <w:ind w:left="648" w:right="621" w:hanging="7"/>
              <w:jc w:val="left"/>
              <w:rPr>
                <w:b/>
                <w:sz w:val="24"/>
              </w:rPr>
            </w:pPr>
            <w:r>
              <w:rPr>
                <w:b/>
                <w:sz w:val="24"/>
              </w:rPr>
              <w:t>PORCENTAJE ACUMULADO</w:t>
            </w:r>
          </w:p>
        </w:tc>
      </w:tr>
      <w:tr>
        <w:trPr>
          <w:trHeight w:val="288" w:hRule="exact"/>
        </w:trPr>
        <w:tc>
          <w:tcPr>
            <w:tcW w:w="2381" w:type="dxa"/>
          </w:tcPr>
          <w:p>
            <w:pPr>
              <w:pStyle w:val="TableParagraph"/>
              <w:spacing w:line="273" w:lineRule="exact"/>
              <w:ind w:left="108" w:right="108"/>
              <w:rPr>
                <w:b/>
                <w:sz w:val="24"/>
              </w:rPr>
            </w:pPr>
            <w:r>
              <w:rPr>
                <w:b/>
                <w:sz w:val="24"/>
              </w:rPr>
              <w:t>SIN DISFUNCION</w:t>
            </w:r>
          </w:p>
        </w:tc>
        <w:tc>
          <w:tcPr>
            <w:tcW w:w="1838" w:type="dxa"/>
          </w:tcPr>
          <w:p>
            <w:pPr>
              <w:pStyle w:val="TableParagraph"/>
              <w:spacing w:line="273" w:lineRule="exact"/>
              <w:ind w:left="94" w:right="94"/>
              <w:rPr>
                <w:sz w:val="24"/>
              </w:rPr>
            </w:pPr>
            <w:r>
              <w:rPr>
                <w:sz w:val="24"/>
              </w:rPr>
              <w:t>98</w:t>
            </w:r>
          </w:p>
        </w:tc>
        <w:tc>
          <w:tcPr>
            <w:tcW w:w="1843" w:type="dxa"/>
          </w:tcPr>
          <w:p>
            <w:pPr>
              <w:pStyle w:val="TableParagraph"/>
              <w:spacing w:line="273" w:lineRule="exact"/>
              <w:ind w:left="85" w:right="81"/>
              <w:rPr>
                <w:sz w:val="24"/>
              </w:rPr>
            </w:pPr>
            <w:r>
              <w:rPr>
                <w:sz w:val="24"/>
              </w:rPr>
              <w:t>39</w:t>
            </w:r>
          </w:p>
        </w:tc>
        <w:tc>
          <w:tcPr>
            <w:tcW w:w="2918" w:type="dxa"/>
          </w:tcPr>
          <w:p>
            <w:pPr>
              <w:pStyle w:val="TableParagraph"/>
              <w:spacing w:line="273" w:lineRule="exact"/>
              <w:ind w:left="1255" w:right="1253"/>
              <w:rPr>
                <w:sz w:val="24"/>
              </w:rPr>
            </w:pPr>
            <w:r>
              <w:rPr>
                <w:sz w:val="24"/>
              </w:rPr>
              <w:t>39</w:t>
            </w:r>
          </w:p>
        </w:tc>
      </w:tr>
      <w:tr>
        <w:trPr>
          <w:trHeight w:val="283" w:hRule="exact"/>
        </w:trPr>
        <w:tc>
          <w:tcPr>
            <w:tcW w:w="2381" w:type="dxa"/>
          </w:tcPr>
          <w:p>
            <w:pPr>
              <w:pStyle w:val="TableParagraph"/>
              <w:spacing w:line="273" w:lineRule="exact"/>
              <w:ind w:left="108" w:right="108"/>
              <w:rPr>
                <w:b/>
                <w:sz w:val="24"/>
              </w:rPr>
            </w:pPr>
            <w:r>
              <w:rPr>
                <w:b/>
                <w:sz w:val="24"/>
              </w:rPr>
              <w:t>CON DISFUNCION</w:t>
            </w:r>
          </w:p>
        </w:tc>
        <w:tc>
          <w:tcPr>
            <w:tcW w:w="1838" w:type="dxa"/>
          </w:tcPr>
          <w:p>
            <w:pPr>
              <w:pStyle w:val="TableParagraph"/>
              <w:spacing w:line="273" w:lineRule="exact"/>
              <w:ind w:left="94" w:right="94"/>
              <w:rPr>
                <w:sz w:val="24"/>
              </w:rPr>
            </w:pPr>
            <w:r>
              <w:rPr>
                <w:sz w:val="24"/>
              </w:rPr>
              <w:t>153</w:t>
            </w:r>
          </w:p>
        </w:tc>
        <w:tc>
          <w:tcPr>
            <w:tcW w:w="1843" w:type="dxa"/>
          </w:tcPr>
          <w:p>
            <w:pPr>
              <w:pStyle w:val="TableParagraph"/>
              <w:spacing w:line="273" w:lineRule="exact"/>
              <w:ind w:left="85" w:right="81"/>
              <w:rPr>
                <w:sz w:val="24"/>
              </w:rPr>
            </w:pPr>
            <w:r>
              <w:rPr>
                <w:sz w:val="24"/>
              </w:rPr>
              <w:t>61</w:t>
            </w:r>
          </w:p>
        </w:tc>
        <w:tc>
          <w:tcPr>
            <w:tcW w:w="2918" w:type="dxa"/>
          </w:tcPr>
          <w:p>
            <w:pPr>
              <w:pStyle w:val="TableParagraph"/>
              <w:spacing w:line="273" w:lineRule="exact"/>
              <w:ind w:left="1255" w:right="1253"/>
              <w:rPr>
                <w:sz w:val="24"/>
              </w:rPr>
            </w:pPr>
            <w:r>
              <w:rPr>
                <w:sz w:val="24"/>
              </w:rPr>
              <w:t>100</w:t>
            </w:r>
          </w:p>
        </w:tc>
      </w:tr>
      <w:tr>
        <w:trPr>
          <w:trHeight w:val="288" w:hRule="exact"/>
        </w:trPr>
        <w:tc>
          <w:tcPr>
            <w:tcW w:w="2381" w:type="dxa"/>
          </w:tcPr>
          <w:p>
            <w:pPr>
              <w:pStyle w:val="TableParagraph"/>
              <w:spacing w:before="1"/>
              <w:ind w:left="108" w:right="108"/>
              <w:rPr>
                <w:b/>
                <w:sz w:val="24"/>
              </w:rPr>
            </w:pPr>
            <w:r>
              <w:rPr>
                <w:b/>
                <w:sz w:val="24"/>
              </w:rPr>
              <w:t>LEVE</w:t>
            </w:r>
          </w:p>
        </w:tc>
        <w:tc>
          <w:tcPr>
            <w:tcW w:w="1838" w:type="dxa"/>
          </w:tcPr>
          <w:p>
            <w:pPr>
              <w:pStyle w:val="TableParagraph"/>
              <w:spacing w:before="1"/>
              <w:ind w:left="94" w:right="94"/>
              <w:rPr>
                <w:sz w:val="24"/>
              </w:rPr>
            </w:pPr>
            <w:r>
              <w:rPr>
                <w:sz w:val="24"/>
              </w:rPr>
              <w:t>50</w:t>
            </w:r>
          </w:p>
        </w:tc>
        <w:tc>
          <w:tcPr>
            <w:tcW w:w="1843" w:type="dxa"/>
          </w:tcPr>
          <w:p>
            <w:pPr>
              <w:pStyle w:val="TableParagraph"/>
              <w:spacing w:before="1"/>
              <w:ind w:left="85" w:right="81"/>
              <w:rPr>
                <w:sz w:val="24"/>
              </w:rPr>
            </w:pPr>
            <w:r>
              <w:rPr>
                <w:sz w:val="24"/>
              </w:rPr>
              <w:t>20</w:t>
            </w:r>
          </w:p>
        </w:tc>
        <w:tc>
          <w:tcPr>
            <w:tcW w:w="2918" w:type="dxa"/>
          </w:tcPr>
          <w:p>
            <w:pPr>
              <w:pStyle w:val="TableParagraph"/>
              <w:spacing w:before="1"/>
              <w:ind w:left="1255" w:right="1253"/>
              <w:rPr>
                <w:sz w:val="24"/>
              </w:rPr>
            </w:pPr>
            <w:r>
              <w:rPr>
                <w:sz w:val="24"/>
              </w:rPr>
              <w:t>20</w:t>
            </w:r>
          </w:p>
        </w:tc>
      </w:tr>
      <w:tr>
        <w:trPr>
          <w:trHeight w:val="288" w:hRule="exact"/>
        </w:trPr>
        <w:tc>
          <w:tcPr>
            <w:tcW w:w="2381" w:type="dxa"/>
          </w:tcPr>
          <w:p>
            <w:pPr>
              <w:pStyle w:val="TableParagraph"/>
              <w:spacing w:line="273" w:lineRule="exact"/>
              <w:ind w:left="108" w:right="108"/>
              <w:rPr>
                <w:b/>
                <w:sz w:val="24"/>
              </w:rPr>
            </w:pPr>
            <w:r>
              <w:rPr>
                <w:b/>
                <w:sz w:val="24"/>
              </w:rPr>
              <w:t>MODERADA</w:t>
            </w:r>
          </w:p>
        </w:tc>
        <w:tc>
          <w:tcPr>
            <w:tcW w:w="1838" w:type="dxa"/>
          </w:tcPr>
          <w:p>
            <w:pPr>
              <w:pStyle w:val="TableParagraph"/>
              <w:spacing w:line="273" w:lineRule="exact"/>
              <w:ind w:left="94" w:right="94"/>
              <w:rPr>
                <w:sz w:val="24"/>
              </w:rPr>
            </w:pPr>
            <w:r>
              <w:rPr>
                <w:sz w:val="24"/>
              </w:rPr>
              <w:t>80</w:t>
            </w:r>
          </w:p>
        </w:tc>
        <w:tc>
          <w:tcPr>
            <w:tcW w:w="1843" w:type="dxa"/>
          </w:tcPr>
          <w:p>
            <w:pPr>
              <w:pStyle w:val="TableParagraph"/>
              <w:spacing w:line="273" w:lineRule="exact"/>
              <w:ind w:left="85" w:right="81"/>
              <w:rPr>
                <w:sz w:val="24"/>
              </w:rPr>
            </w:pPr>
            <w:r>
              <w:rPr>
                <w:sz w:val="24"/>
              </w:rPr>
              <w:t>32</w:t>
            </w:r>
          </w:p>
        </w:tc>
        <w:tc>
          <w:tcPr>
            <w:tcW w:w="2918" w:type="dxa"/>
          </w:tcPr>
          <w:p>
            <w:pPr>
              <w:pStyle w:val="TableParagraph"/>
              <w:spacing w:line="273" w:lineRule="exact"/>
              <w:ind w:left="1255" w:right="1253"/>
              <w:rPr>
                <w:sz w:val="24"/>
              </w:rPr>
            </w:pPr>
            <w:r>
              <w:rPr>
                <w:sz w:val="24"/>
              </w:rPr>
              <w:t>52</w:t>
            </w:r>
          </w:p>
        </w:tc>
      </w:tr>
      <w:tr>
        <w:trPr>
          <w:trHeight w:val="283" w:hRule="exact"/>
        </w:trPr>
        <w:tc>
          <w:tcPr>
            <w:tcW w:w="2381" w:type="dxa"/>
          </w:tcPr>
          <w:p>
            <w:pPr>
              <w:pStyle w:val="TableParagraph"/>
              <w:spacing w:line="273" w:lineRule="exact"/>
              <w:ind w:left="108" w:right="108"/>
              <w:rPr>
                <w:b/>
                <w:sz w:val="24"/>
              </w:rPr>
            </w:pPr>
            <w:r>
              <w:rPr>
                <w:b/>
                <w:sz w:val="24"/>
              </w:rPr>
              <w:t>SEVERA</w:t>
            </w:r>
          </w:p>
        </w:tc>
        <w:tc>
          <w:tcPr>
            <w:tcW w:w="1838" w:type="dxa"/>
          </w:tcPr>
          <w:p>
            <w:pPr>
              <w:pStyle w:val="TableParagraph"/>
              <w:spacing w:line="273" w:lineRule="exact"/>
              <w:ind w:left="94" w:right="94"/>
              <w:rPr>
                <w:sz w:val="24"/>
              </w:rPr>
            </w:pPr>
            <w:r>
              <w:rPr>
                <w:sz w:val="24"/>
              </w:rPr>
              <w:t>23</w:t>
            </w:r>
          </w:p>
        </w:tc>
        <w:tc>
          <w:tcPr>
            <w:tcW w:w="1843" w:type="dxa"/>
          </w:tcPr>
          <w:p>
            <w:pPr>
              <w:pStyle w:val="TableParagraph"/>
              <w:spacing w:line="273" w:lineRule="exact"/>
              <w:ind w:left="4"/>
              <w:rPr>
                <w:sz w:val="24"/>
              </w:rPr>
            </w:pPr>
            <w:r>
              <w:rPr>
                <w:sz w:val="24"/>
              </w:rPr>
              <w:t>9</w:t>
            </w:r>
          </w:p>
        </w:tc>
        <w:tc>
          <w:tcPr>
            <w:tcW w:w="2918" w:type="dxa"/>
          </w:tcPr>
          <w:p>
            <w:pPr>
              <w:pStyle w:val="TableParagraph"/>
              <w:spacing w:line="273" w:lineRule="exact"/>
              <w:ind w:left="1255" w:right="1253"/>
              <w:rPr>
                <w:sz w:val="24"/>
              </w:rPr>
            </w:pPr>
            <w:r>
              <w:rPr>
                <w:sz w:val="24"/>
              </w:rPr>
              <w:t>100</w:t>
            </w:r>
          </w:p>
        </w:tc>
      </w:tr>
    </w:tbl>
    <w:p>
      <w:pPr>
        <w:pStyle w:val="BodyText"/>
        <w:spacing w:before="3"/>
        <w:rPr>
          <w:b/>
          <w:sz w:val="15"/>
        </w:rPr>
      </w:pPr>
    </w:p>
    <w:p>
      <w:pPr>
        <w:spacing w:before="69"/>
        <w:ind w:left="3240" w:right="0" w:firstLine="0"/>
        <w:jc w:val="left"/>
        <w:rPr>
          <w:sz w:val="24"/>
        </w:rPr>
      </w:pPr>
      <w:r>
        <w:rPr/>
        <w:pict>
          <v:group style="position:absolute;margin-left:111.555pt;margin-top:22.828114pt;width:360.75pt;height:216.75pt;mso-position-horizontal-relative:page;mso-position-vertical-relative:paragraph;z-index:-142504" coordorigin="2231,457" coordsize="7215,4335">
            <v:shape style="position:absolute;left:3578;top:1421;width:5352;height:2861" type="#_x0000_t75" stroked="false">
              <v:imagedata r:id="rId27" o:title=""/>
            </v:shape>
            <v:shape style="position:absolute;left:20639;top:-27816003;width:785383;height:27850062" coordorigin="20639,-27816003" coordsize="785383,27850062" path="m3611,4247l3549,4247m3611,3700l3549,3700m3611,3153l3549,3153m3611,2601l3549,2601m3611,2054l3549,2054e" filled="false" stroked="true" strokeweight=".75pt" strokecolor="#989898">
              <v:path arrowok="t"/>
            </v:shape>
            <v:rect style="position:absolute;left:2239;top:464;width:7200;height:4320" filled="false" stroked="true" strokeweight=".75pt" strokecolor="#989898"/>
            <v:shape style="position:absolute;left:3307;top:698;width:5063;height:440" type="#_x0000_t202" filled="false" stroked="false">
              <v:textbox inset="0,0,0,0">
                <w:txbxContent>
                  <w:p>
                    <w:pPr>
                      <w:spacing w:line="208" w:lineRule="exact" w:before="0"/>
                      <w:ind w:left="0" w:right="0" w:firstLine="0"/>
                      <w:jc w:val="center"/>
                      <w:rPr>
                        <w:rFonts w:ascii="Calibri" w:hAnsi="Calibri"/>
                        <w:b/>
                        <w:sz w:val="20"/>
                      </w:rPr>
                    </w:pPr>
                    <w:r>
                      <w:rPr>
                        <w:rFonts w:ascii="Calibri" w:hAnsi="Calibri"/>
                        <w:b/>
                        <w:sz w:val="20"/>
                      </w:rPr>
                      <w:t>GRAFICA #6  DISTRIBUCIÓN DE PACIENTES SEGÚN GRADO DE</w:t>
                    </w:r>
                  </w:p>
                  <w:p>
                    <w:pPr>
                      <w:spacing w:line="232" w:lineRule="exact" w:before="0"/>
                      <w:ind w:left="0" w:right="0" w:firstLine="0"/>
                      <w:jc w:val="center"/>
                      <w:rPr>
                        <w:rFonts w:ascii="Calibri" w:hAnsi="Calibri"/>
                        <w:b/>
                        <w:sz w:val="20"/>
                      </w:rPr>
                    </w:pPr>
                    <w:r>
                      <w:rPr>
                        <w:rFonts w:ascii="Calibri" w:hAnsi="Calibri"/>
                        <w:b/>
                        <w:sz w:val="20"/>
                      </w:rPr>
                      <w:t>DISFUNCIÓN FAMILIAR</w:t>
                    </w:r>
                  </w:p>
                </w:txbxContent>
              </v:textbox>
              <w10:wrap type="none"/>
            </v:shape>
            <v:shape style="position:absolute;left:3121;top:1979;width:305;height:2392" type="#_x0000_t202" filled="false" stroked="false">
              <v:textbox inset="0,0,0,0">
                <w:txbxContent>
                  <w:p>
                    <w:pPr>
                      <w:spacing w:line="210" w:lineRule="exact" w:before="0"/>
                      <w:ind w:left="0" w:right="0" w:firstLine="0"/>
                      <w:jc w:val="center"/>
                      <w:rPr>
                        <w:rFonts w:ascii="Calibri"/>
                        <w:sz w:val="20"/>
                      </w:rPr>
                    </w:pPr>
                    <w:r>
                      <w:rPr>
                        <w:rFonts w:ascii="Calibri"/>
                        <w:sz w:val="20"/>
                      </w:rPr>
                      <w:t>200</w:t>
                    </w:r>
                  </w:p>
                  <w:p>
                    <w:pPr>
                      <w:spacing w:line="240" w:lineRule="auto" w:before="4"/>
                      <w:rPr>
                        <w:sz w:val="26"/>
                      </w:rPr>
                    </w:pPr>
                  </w:p>
                  <w:p>
                    <w:pPr>
                      <w:spacing w:before="0"/>
                      <w:ind w:left="0" w:right="0" w:firstLine="0"/>
                      <w:jc w:val="center"/>
                      <w:rPr>
                        <w:rFonts w:ascii="Calibri"/>
                        <w:sz w:val="20"/>
                      </w:rPr>
                    </w:pPr>
                    <w:r>
                      <w:rPr>
                        <w:rFonts w:ascii="Calibri"/>
                        <w:sz w:val="20"/>
                      </w:rPr>
                      <w:t>150</w:t>
                    </w:r>
                  </w:p>
                  <w:p>
                    <w:pPr>
                      <w:spacing w:line="240" w:lineRule="auto" w:before="4"/>
                      <w:rPr>
                        <w:sz w:val="26"/>
                      </w:rPr>
                    </w:pPr>
                  </w:p>
                  <w:p>
                    <w:pPr>
                      <w:spacing w:before="0"/>
                      <w:ind w:left="0" w:right="0" w:firstLine="0"/>
                      <w:jc w:val="center"/>
                      <w:rPr>
                        <w:rFonts w:ascii="Calibri"/>
                        <w:sz w:val="20"/>
                      </w:rPr>
                    </w:pPr>
                    <w:r>
                      <w:rPr>
                        <w:rFonts w:ascii="Calibri"/>
                        <w:sz w:val="20"/>
                      </w:rPr>
                      <w:t>100</w:t>
                    </w:r>
                  </w:p>
                  <w:p>
                    <w:pPr>
                      <w:spacing w:line="240" w:lineRule="auto" w:before="4"/>
                      <w:rPr>
                        <w:sz w:val="26"/>
                      </w:rPr>
                    </w:pPr>
                  </w:p>
                  <w:p>
                    <w:pPr>
                      <w:spacing w:before="0"/>
                      <w:ind w:left="101" w:right="0" w:firstLine="0"/>
                      <w:jc w:val="center"/>
                      <w:rPr>
                        <w:rFonts w:ascii="Calibri"/>
                        <w:sz w:val="20"/>
                      </w:rPr>
                    </w:pPr>
                    <w:r>
                      <w:rPr>
                        <w:rFonts w:ascii="Calibri"/>
                        <w:sz w:val="20"/>
                      </w:rPr>
                      <w:t>50</w:t>
                    </w:r>
                  </w:p>
                  <w:p>
                    <w:pPr>
                      <w:spacing w:line="240" w:lineRule="auto" w:before="4"/>
                      <w:rPr>
                        <w:sz w:val="26"/>
                      </w:rPr>
                    </w:pPr>
                  </w:p>
                  <w:p>
                    <w:pPr>
                      <w:spacing w:line="234" w:lineRule="exact" w:before="0"/>
                      <w:ind w:left="202" w:right="0" w:firstLine="0"/>
                      <w:jc w:val="center"/>
                      <w:rPr>
                        <w:rFonts w:ascii="Calibri"/>
                        <w:sz w:val="20"/>
                      </w:rPr>
                    </w:pPr>
                    <w:r>
                      <w:rPr>
                        <w:rFonts w:ascii="Calibri"/>
                        <w:sz w:val="20"/>
                      </w:rPr>
                      <w:t>0</w:t>
                    </w:r>
                  </w:p>
                </w:txbxContent>
              </v:textbox>
              <w10:wrap type="none"/>
            </v:shape>
            <v:shape style="position:absolute;left:4059;top:4417;width:1350;height:200" type="#_x0000_t202" filled="false" stroked="false">
              <v:textbox inset="0,0,0,0">
                <w:txbxContent>
                  <w:p>
                    <w:pPr>
                      <w:spacing w:line="200" w:lineRule="exact" w:before="0"/>
                      <w:ind w:left="0" w:right="-20" w:firstLine="0"/>
                      <w:jc w:val="left"/>
                      <w:rPr>
                        <w:rFonts w:ascii="Calibri"/>
                        <w:sz w:val="20"/>
                      </w:rPr>
                    </w:pPr>
                    <w:r>
                      <w:rPr>
                        <w:rFonts w:ascii="Calibri"/>
                        <w:sz w:val="20"/>
                      </w:rPr>
                      <w:t>SIN DISFUNCION</w:t>
                    </w:r>
                  </w:p>
                </w:txbxContent>
              </v:textbox>
              <w10:wrap type="none"/>
            </v:shape>
            <v:shape style="position:absolute;left:6259;top:4417;width:1447;height:200" type="#_x0000_t202" filled="false" stroked="false">
              <v:textbox inset="0,0,0,0">
                <w:txbxContent>
                  <w:p>
                    <w:pPr>
                      <w:spacing w:line="200" w:lineRule="exact" w:before="0"/>
                      <w:ind w:left="0" w:right="-20" w:firstLine="0"/>
                      <w:jc w:val="left"/>
                      <w:rPr>
                        <w:rFonts w:ascii="Calibri"/>
                        <w:sz w:val="20"/>
                      </w:rPr>
                    </w:pPr>
                    <w:r>
                      <w:rPr>
                        <w:rFonts w:ascii="Calibri"/>
                        <w:sz w:val="20"/>
                      </w:rPr>
                      <w:t>CON DISFUNCION</w:t>
                    </w:r>
                  </w:p>
                </w:txbxContent>
              </v:textbox>
              <w10:wrap type="none"/>
            </v:shape>
            <w10:wrap type="none"/>
          </v:group>
        </w:pict>
      </w:r>
      <w:r>
        <w:rPr>
          <w:b/>
          <w:sz w:val="24"/>
        </w:rPr>
        <w:t>Fuente: </w:t>
      </w:r>
      <w:r>
        <w:rPr>
          <w:sz w:val="24"/>
        </w:rPr>
        <w:t>Escala de Holmes. </w:t>
      </w:r>
      <w:r>
        <w:rPr>
          <w:b/>
          <w:sz w:val="24"/>
        </w:rPr>
        <w:t>Anexo </w:t>
      </w:r>
      <w:r>
        <w:rPr>
          <w:sz w:val="24"/>
        </w:rPr>
        <w:t>4</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23"/>
        </w:rPr>
      </w:pPr>
    </w:p>
    <w:p>
      <w:pPr>
        <w:spacing w:before="0"/>
        <w:ind w:left="3240" w:right="0" w:firstLine="0"/>
        <w:jc w:val="left"/>
        <w:rPr>
          <w:sz w:val="24"/>
        </w:rPr>
      </w:pPr>
      <w:r>
        <w:rPr/>
        <w:pict>
          <v:group style="position:absolute;margin-left:120.555pt;margin-top:34.448139pt;width:360.75pt;height:216.75pt;mso-position-horizontal-relative:page;mso-position-vertical-relative:paragraph;z-index:-142336" coordorigin="2411,689" coordsize="7215,4335">
            <v:shape style="position:absolute;left:3031;top:1880;width:4435;height:2654" type="#_x0000_t75" stroked="false">
              <v:imagedata r:id="rId28" o:title=""/>
            </v:shape>
            <v:shape style="position:absolute;left:8194;top:2750;width:110;height:110" type="#_x0000_t75" stroked="false">
              <v:imagedata r:id="rId29" o:title=""/>
            </v:shape>
            <v:shape style="position:absolute;left:8194;top:3152;width:110;height:110" type="#_x0000_t75" stroked="false">
              <v:imagedata r:id="rId19" o:title=""/>
            </v:shape>
            <v:shape style="position:absolute;left:8194;top:3553;width:110;height:110" type="#_x0000_t75" stroked="false">
              <v:imagedata r:id="rId20" o:title=""/>
            </v:shape>
            <v:rect style="position:absolute;left:2419;top:696;width:7200;height:4320" filled="false" stroked="true" strokeweight=".75pt" strokecolor="#989898"/>
            <v:shape style="position:absolute;left:3410;top:930;width:5218;height:440" type="#_x0000_t202" filled="false" stroked="false">
              <v:textbox inset="0,0,0,0">
                <w:txbxContent>
                  <w:p>
                    <w:pPr>
                      <w:spacing w:line="208" w:lineRule="exact" w:before="0"/>
                      <w:ind w:left="0" w:right="0" w:firstLine="0"/>
                      <w:jc w:val="center"/>
                      <w:rPr>
                        <w:rFonts w:ascii="Calibri" w:hAnsi="Calibri"/>
                        <w:b/>
                        <w:sz w:val="20"/>
                      </w:rPr>
                    </w:pPr>
                    <w:r>
                      <w:rPr>
                        <w:rFonts w:ascii="Calibri" w:hAnsi="Calibri"/>
                        <w:b/>
                        <w:sz w:val="20"/>
                      </w:rPr>
                      <w:t>GRÁFICA #6.1  DISTRIBUCIÓN DE PACIENTES SEGÚN GRADO DE</w:t>
                    </w:r>
                  </w:p>
                  <w:p>
                    <w:pPr>
                      <w:spacing w:line="232" w:lineRule="exact" w:before="0"/>
                      <w:ind w:left="0" w:right="0" w:firstLine="0"/>
                      <w:jc w:val="center"/>
                      <w:rPr>
                        <w:rFonts w:ascii="Calibri" w:hAnsi="Calibri"/>
                        <w:b/>
                        <w:sz w:val="20"/>
                      </w:rPr>
                    </w:pPr>
                    <w:r>
                      <w:rPr>
                        <w:rFonts w:ascii="Calibri" w:hAnsi="Calibri"/>
                        <w:b/>
                        <w:sz w:val="20"/>
                      </w:rPr>
                      <w:t>DISFUNCIÓN FAMILIAR</w:t>
                    </w:r>
                  </w:p>
                </w:txbxContent>
              </v:textbox>
              <w10:wrap type="none"/>
            </v:shape>
            <v:shape style="position:absolute;left:4599;top:2170;width:346;height:200" type="#_x0000_t202" filled="false" stroked="false">
              <v:textbox inset="0,0,0,0">
                <w:txbxContent>
                  <w:p>
                    <w:pPr>
                      <w:spacing w:line="200" w:lineRule="exact" w:before="0"/>
                      <w:ind w:left="0" w:right="-20" w:firstLine="0"/>
                      <w:jc w:val="left"/>
                      <w:rPr>
                        <w:rFonts w:ascii="Calibri"/>
                        <w:sz w:val="20"/>
                      </w:rPr>
                    </w:pPr>
                    <w:r>
                      <w:rPr>
                        <w:rFonts w:ascii="Calibri"/>
                        <w:sz w:val="20"/>
                      </w:rPr>
                      <w:t>15%</w:t>
                    </w:r>
                  </w:p>
                </w:txbxContent>
              </v:textbox>
              <w10:wrap type="none"/>
            </v:shape>
            <v:shape style="position:absolute;left:6099;top:2310;width:346;height:200" type="#_x0000_t202" filled="false" stroked="false">
              <v:textbox inset="0,0,0,0">
                <w:txbxContent>
                  <w:p>
                    <w:pPr>
                      <w:spacing w:line="200" w:lineRule="exact" w:before="0"/>
                      <w:ind w:left="0" w:right="-20" w:firstLine="0"/>
                      <w:jc w:val="left"/>
                      <w:rPr>
                        <w:rFonts w:ascii="Calibri"/>
                        <w:sz w:val="20"/>
                      </w:rPr>
                    </w:pPr>
                    <w:r>
                      <w:rPr>
                        <w:rFonts w:ascii="Calibri"/>
                        <w:sz w:val="20"/>
                      </w:rPr>
                      <w:t>33%</w:t>
                    </w:r>
                  </w:p>
                </w:txbxContent>
              </v:textbox>
              <w10:wrap type="none"/>
            </v:shape>
            <v:shape style="position:absolute;left:8349;top:2727;width:393;height:200" type="#_x0000_t202" filled="false" stroked="false">
              <v:textbox inset="0,0,0,0">
                <w:txbxContent>
                  <w:p>
                    <w:pPr>
                      <w:spacing w:line="200" w:lineRule="exact" w:before="0"/>
                      <w:ind w:left="0" w:right="-20" w:firstLine="0"/>
                      <w:jc w:val="left"/>
                      <w:rPr>
                        <w:rFonts w:ascii="Calibri"/>
                        <w:sz w:val="20"/>
                      </w:rPr>
                    </w:pPr>
                    <w:r>
                      <w:rPr>
                        <w:rFonts w:ascii="Calibri"/>
                        <w:sz w:val="20"/>
                      </w:rPr>
                      <w:t>LEVE</w:t>
                    </w:r>
                  </w:p>
                </w:txbxContent>
              </v:textbox>
              <w10:wrap type="none"/>
            </v:shape>
            <v:shape style="position:absolute;left:4079;top:3410;width:346;height:200" type="#_x0000_t202" filled="false" stroked="false">
              <v:textbox inset="0,0,0,0">
                <w:txbxContent>
                  <w:p>
                    <w:pPr>
                      <w:spacing w:line="200" w:lineRule="exact" w:before="0"/>
                      <w:ind w:left="0" w:right="-20" w:firstLine="0"/>
                      <w:jc w:val="left"/>
                      <w:rPr>
                        <w:rFonts w:ascii="Calibri"/>
                        <w:sz w:val="20"/>
                      </w:rPr>
                    </w:pPr>
                    <w:r>
                      <w:rPr>
                        <w:rFonts w:ascii="Calibri"/>
                        <w:sz w:val="20"/>
                      </w:rPr>
                      <w:t>52%</w:t>
                    </w:r>
                  </w:p>
                </w:txbxContent>
              </v:textbox>
              <w10:wrap type="none"/>
            </v:shape>
            <v:shape style="position:absolute;left:8349;top:3128;width:988;height:602" type="#_x0000_t202" filled="false" stroked="false">
              <v:textbox inset="0,0,0,0">
                <w:txbxContent>
                  <w:p>
                    <w:pPr>
                      <w:spacing w:line="210" w:lineRule="exact" w:before="0"/>
                      <w:ind w:left="0" w:right="-20" w:firstLine="0"/>
                      <w:jc w:val="left"/>
                      <w:rPr>
                        <w:rFonts w:ascii="Calibri"/>
                        <w:sz w:val="20"/>
                      </w:rPr>
                    </w:pPr>
                    <w:r>
                      <w:rPr>
                        <w:rFonts w:ascii="Calibri"/>
                        <w:sz w:val="20"/>
                      </w:rPr>
                      <w:t>MODERADA</w:t>
                    </w:r>
                  </w:p>
                  <w:p>
                    <w:pPr>
                      <w:spacing w:line="234" w:lineRule="exact" w:before="157"/>
                      <w:ind w:left="0" w:right="-20" w:firstLine="0"/>
                      <w:jc w:val="left"/>
                      <w:rPr>
                        <w:rFonts w:ascii="Calibri"/>
                        <w:sz w:val="20"/>
                      </w:rPr>
                    </w:pPr>
                    <w:r>
                      <w:rPr>
                        <w:rFonts w:ascii="Calibri"/>
                        <w:sz w:val="20"/>
                      </w:rPr>
                      <w:t>SEVERA</w:t>
                    </w:r>
                  </w:p>
                </w:txbxContent>
              </v:textbox>
              <w10:wrap type="none"/>
            </v:shape>
            <w10:wrap type="none"/>
          </v:group>
        </w:pict>
      </w:r>
      <w:r>
        <w:rPr/>
        <w:pict>
          <v:shape style="position:absolute;margin-left:141.348694pt;margin-top:-107.545876pt;width:12pt;height:54.45pt;mso-position-horizontal-relative:page;mso-position-vertical-relative:paragraph;z-index:2200" type="#_x0000_t202" filled="false" stroked="false">
            <v:textbox inset="0,0,0,0" style="layout-flow:vertical;mso-layout-flow-alt:bottom-to-top">
              <w:txbxContent>
                <w:p>
                  <w:pPr>
                    <w:spacing w:line="230" w:lineRule="exact" w:before="0"/>
                    <w:ind w:left="20" w:right="-849" w:firstLine="0"/>
                    <w:jc w:val="left"/>
                    <w:rPr>
                      <w:rFonts w:ascii="Calibri"/>
                      <w:b/>
                      <w:sz w:val="20"/>
                    </w:rPr>
                  </w:pPr>
                  <w:r>
                    <w:rPr>
                      <w:rFonts w:ascii="Calibri"/>
                      <w:b/>
                      <w:sz w:val="20"/>
                    </w:rPr>
                    <w:t>FRECUENCIA</w:t>
                  </w:r>
                </w:p>
              </w:txbxContent>
            </v:textbox>
            <w10:wrap type="none"/>
          </v:shape>
        </w:pict>
      </w:r>
      <w:r>
        <w:rPr>
          <w:b/>
          <w:sz w:val="24"/>
        </w:rPr>
        <w:t>Fuente: </w:t>
      </w:r>
      <w:r>
        <w:rPr>
          <w:sz w:val="24"/>
        </w:rPr>
        <w:t>Escala de Holmes. </w:t>
      </w:r>
      <w:r>
        <w:rPr>
          <w:b/>
          <w:sz w:val="24"/>
        </w:rPr>
        <w:t>Anexo </w:t>
      </w:r>
      <w:r>
        <w:rPr>
          <w:sz w:val="24"/>
        </w:rPr>
        <w:t>4</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19"/>
        </w:rPr>
      </w:pPr>
    </w:p>
    <w:p>
      <w:pPr>
        <w:spacing w:before="1"/>
        <w:ind w:left="3423" w:right="0" w:firstLine="0"/>
        <w:jc w:val="left"/>
        <w:rPr>
          <w:sz w:val="24"/>
        </w:rPr>
      </w:pPr>
      <w:r>
        <w:rPr>
          <w:b/>
          <w:sz w:val="24"/>
        </w:rPr>
        <w:t>Fuente: </w:t>
      </w:r>
      <w:r>
        <w:rPr>
          <w:sz w:val="24"/>
        </w:rPr>
        <w:t>Escala de Holmes. </w:t>
      </w:r>
      <w:r>
        <w:rPr>
          <w:b/>
          <w:sz w:val="24"/>
        </w:rPr>
        <w:t>Anexo </w:t>
      </w:r>
      <w:r>
        <w:rPr>
          <w:sz w:val="24"/>
        </w:rPr>
        <w:t>4</w:t>
      </w:r>
    </w:p>
    <w:p>
      <w:pPr>
        <w:pStyle w:val="BodyText"/>
        <w:rPr>
          <w:sz w:val="20"/>
        </w:rPr>
      </w:pPr>
    </w:p>
    <w:p>
      <w:pPr>
        <w:pStyle w:val="BodyText"/>
        <w:spacing w:before="6"/>
        <w:rPr>
          <w:sz w:val="21"/>
        </w:rPr>
      </w:pPr>
    </w:p>
    <w:p>
      <w:pPr>
        <w:pStyle w:val="BodyText"/>
        <w:ind w:right="143"/>
        <w:jc w:val="right"/>
      </w:pPr>
      <w:r>
        <w:rPr/>
        <w:t>49</w:t>
      </w:r>
    </w:p>
    <w:p>
      <w:pPr>
        <w:spacing w:after="0"/>
        <w:jc w:val="right"/>
        <w:sectPr>
          <w:footerReference w:type="default" r:id="rId26"/>
          <w:pgSz w:w="12240" w:h="15840"/>
          <w:pgMar w:footer="0" w:header="0" w:top="1360" w:bottom="280" w:left="1480" w:right="1560"/>
        </w:sectPr>
      </w:pPr>
    </w:p>
    <w:p>
      <w:pPr>
        <w:pStyle w:val="Heading1"/>
        <w:spacing w:line="242" w:lineRule="auto" w:before="50"/>
        <w:ind w:left="4015" w:right="790" w:hanging="3688"/>
      </w:pPr>
      <w:r>
        <w:rPr/>
        <w:t>TABLA#7 DISTRIBUCIÓN DE PACIENTES SEGÚN GRADO DE DISFUNCIÓN FAMILIAR</w:t>
      </w: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95"/>
        <w:gridCol w:w="2990"/>
        <w:gridCol w:w="2995"/>
      </w:tblGrid>
      <w:tr>
        <w:trPr>
          <w:trHeight w:val="562" w:hRule="exact"/>
        </w:trPr>
        <w:tc>
          <w:tcPr>
            <w:tcW w:w="2995" w:type="dxa"/>
          </w:tcPr>
          <w:p>
            <w:pPr>
              <w:pStyle w:val="TableParagraph"/>
              <w:spacing w:line="242" w:lineRule="auto"/>
              <w:ind w:left="873" w:right="326" w:hanging="527"/>
              <w:jc w:val="left"/>
              <w:rPr>
                <w:b/>
                <w:sz w:val="24"/>
              </w:rPr>
            </w:pPr>
            <w:r>
              <w:rPr>
                <w:b/>
                <w:sz w:val="24"/>
              </w:rPr>
              <w:t>FUNCIONAMIENTO FAMILIAR</w:t>
            </w:r>
          </w:p>
        </w:tc>
        <w:tc>
          <w:tcPr>
            <w:tcW w:w="2990" w:type="dxa"/>
          </w:tcPr>
          <w:p>
            <w:pPr>
              <w:pStyle w:val="TableParagraph"/>
              <w:spacing w:line="273" w:lineRule="exact"/>
              <w:ind w:left="673" w:right="666"/>
              <w:rPr>
                <w:b/>
                <w:sz w:val="24"/>
              </w:rPr>
            </w:pPr>
            <w:r>
              <w:rPr>
                <w:b/>
                <w:sz w:val="24"/>
              </w:rPr>
              <w:t>FRECUENCIA</w:t>
            </w:r>
          </w:p>
        </w:tc>
        <w:tc>
          <w:tcPr>
            <w:tcW w:w="2995" w:type="dxa"/>
          </w:tcPr>
          <w:p>
            <w:pPr>
              <w:pStyle w:val="TableParagraph"/>
              <w:spacing w:line="273" w:lineRule="exact"/>
              <w:ind w:right="101"/>
              <w:rPr>
                <w:b/>
                <w:sz w:val="24"/>
              </w:rPr>
            </w:pPr>
            <w:r>
              <w:rPr>
                <w:b/>
                <w:sz w:val="24"/>
              </w:rPr>
              <w:t>PORCENTAJE</w:t>
            </w:r>
          </w:p>
        </w:tc>
      </w:tr>
      <w:tr>
        <w:trPr>
          <w:trHeight w:val="288" w:hRule="exact"/>
        </w:trPr>
        <w:tc>
          <w:tcPr>
            <w:tcW w:w="2995" w:type="dxa"/>
          </w:tcPr>
          <w:p>
            <w:pPr>
              <w:pStyle w:val="TableParagraph"/>
              <w:spacing w:line="273" w:lineRule="exact"/>
              <w:ind w:right="102"/>
              <w:rPr>
                <w:b/>
                <w:sz w:val="24"/>
              </w:rPr>
            </w:pPr>
            <w:r>
              <w:rPr>
                <w:b/>
                <w:sz w:val="24"/>
              </w:rPr>
              <w:t>FUNCIONAL</w:t>
            </w:r>
          </w:p>
        </w:tc>
        <w:tc>
          <w:tcPr>
            <w:tcW w:w="2990" w:type="dxa"/>
          </w:tcPr>
          <w:p>
            <w:pPr>
              <w:pStyle w:val="TableParagraph"/>
              <w:spacing w:line="273" w:lineRule="exact"/>
              <w:ind w:left="673" w:right="666"/>
              <w:rPr>
                <w:sz w:val="24"/>
              </w:rPr>
            </w:pPr>
            <w:r>
              <w:rPr>
                <w:sz w:val="24"/>
              </w:rPr>
              <w:t>136</w:t>
            </w:r>
          </w:p>
        </w:tc>
        <w:tc>
          <w:tcPr>
            <w:tcW w:w="2995" w:type="dxa"/>
          </w:tcPr>
          <w:p>
            <w:pPr>
              <w:pStyle w:val="TableParagraph"/>
              <w:spacing w:line="273" w:lineRule="exact"/>
              <w:ind w:right="101"/>
              <w:rPr>
                <w:sz w:val="24"/>
              </w:rPr>
            </w:pPr>
            <w:r>
              <w:rPr>
                <w:sz w:val="24"/>
              </w:rPr>
              <w:t>54</w:t>
            </w:r>
          </w:p>
        </w:tc>
      </w:tr>
      <w:tr>
        <w:trPr>
          <w:trHeight w:val="283" w:hRule="exact"/>
        </w:trPr>
        <w:tc>
          <w:tcPr>
            <w:tcW w:w="2995" w:type="dxa"/>
          </w:tcPr>
          <w:p>
            <w:pPr>
              <w:pStyle w:val="TableParagraph"/>
              <w:spacing w:line="273" w:lineRule="exact"/>
              <w:ind w:right="102"/>
              <w:rPr>
                <w:b/>
                <w:sz w:val="24"/>
              </w:rPr>
            </w:pPr>
            <w:r>
              <w:rPr>
                <w:b/>
                <w:sz w:val="24"/>
              </w:rPr>
              <w:t>MOD. FUNCIONAL</w:t>
            </w:r>
          </w:p>
        </w:tc>
        <w:tc>
          <w:tcPr>
            <w:tcW w:w="2990" w:type="dxa"/>
          </w:tcPr>
          <w:p>
            <w:pPr>
              <w:pStyle w:val="TableParagraph"/>
              <w:spacing w:line="273" w:lineRule="exact"/>
              <w:ind w:left="673" w:right="666"/>
              <w:rPr>
                <w:sz w:val="24"/>
              </w:rPr>
            </w:pPr>
            <w:r>
              <w:rPr>
                <w:sz w:val="24"/>
              </w:rPr>
              <w:t>102</w:t>
            </w:r>
          </w:p>
        </w:tc>
        <w:tc>
          <w:tcPr>
            <w:tcW w:w="2995" w:type="dxa"/>
          </w:tcPr>
          <w:p>
            <w:pPr>
              <w:pStyle w:val="TableParagraph"/>
              <w:spacing w:line="273" w:lineRule="exact"/>
              <w:ind w:right="101"/>
              <w:rPr>
                <w:sz w:val="24"/>
              </w:rPr>
            </w:pPr>
            <w:r>
              <w:rPr>
                <w:sz w:val="24"/>
              </w:rPr>
              <w:t>41</w:t>
            </w:r>
          </w:p>
        </w:tc>
      </w:tr>
      <w:tr>
        <w:trPr>
          <w:trHeight w:val="288" w:hRule="exact"/>
        </w:trPr>
        <w:tc>
          <w:tcPr>
            <w:tcW w:w="2995" w:type="dxa"/>
          </w:tcPr>
          <w:p>
            <w:pPr>
              <w:pStyle w:val="TableParagraph"/>
              <w:spacing w:before="1"/>
              <w:ind w:right="102"/>
              <w:rPr>
                <w:b/>
                <w:sz w:val="24"/>
              </w:rPr>
            </w:pPr>
            <w:r>
              <w:rPr>
                <w:b/>
                <w:sz w:val="24"/>
              </w:rPr>
              <w:t>DISFUNCIONAL</w:t>
            </w:r>
          </w:p>
        </w:tc>
        <w:tc>
          <w:tcPr>
            <w:tcW w:w="2990" w:type="dxa"/>
          </w:tcPr>
          <w:p>
            <w:pPr>
              <w:pStyle w:val="TableParagraph"/>
              <w:spacing w:before="1"/>
              <w:ind w:left="673" w:right="666"/>
              <w:rPr>
                <w:sz w:val="24"/>
              </w:rPr>
            </w:pPr>
            <w:r>
              <w:rPr>
                <w:sz w:val="24"/>
              </w:rPr>
              <w:t>13</w:t>
            </w:r>
          </w:p>
        </w:tc>
        <w:tc>
          <w:tcPr>
            <w:tcW w:w="2995" w:type="dxa"/>
          </w:tcPr>
          <w:p>
            <w:pPr>
              <w:pStyle w:val="TableParagraph"/>
              <w:spacing w:before="1"/>
              <w:ind w:left="2"/>
              <w:rPr>
                <w:sz w:val="24"/>
              </w:rPr>
            </w:pPr>
            <w:r>
              <w:rPr>
                <w:sz w:val="24"/>
              </w:rPr>
              <w:t>5</w:t>
            </w:r>
          </w:p>
        </w:tc>
      </w:tr>
      <w:tr>
        <w:trPr>
          <w:trHeight w:val="288" w:hRule="exact"/>
        </w:trPr>
        <w:tc>
          <w:tcPr>
            <w:tcW w:w="2995" w:type="dxa"/>
          </w:tcPr>
          <w:p>
            <w:pPr>
              <w:pStyle w:val="TableParagraph"/>
              <w:spacing w:line="273" w:lineRule="exact"/>
              <w:ind w:right="102"/>
              <w:rPr>
                <w:b/>
                <w:sz w:val="24"/>
              </w:rPr>
            </w:pPr>
            <w:r>
              <w:rPr>
                <w:b/>
                <w:sz w:val="24"/>
              </w:rPr>
              <w:t>TOTAL</w:t>
            </w:r>
          </w:p>
        </w:tc>
        <w:tc>
          <w:tcPr>
            <w:tcW w:w="2990" w:type="dxa"/>
          </w:tcPr>
          <w:p>
            <w:pPr>
              <w:pStyle w:val="TableParagraph"/>
              <w:spacing w:line="273" w:lineRule="exact"/>
              <w:ind w:left="673" w:right="666"/>
              <w:rPr>
                <w:sz w:val="24"/>
              </w:rPr>
            </w:pPr>
            <w:r>
              <w:rPr>
                <w:sz w:val="24"/>
              </w:rPr>
              <w:t>251</w:t>
            </w:r>
          </w:p>
        </w:tc>
        <w:tc>
          <w:tcPr>
            <w:tcW w:w="2995" w:type="dxa"/>
          </w:tcPr>
          <w:p>
            <w:pPr>
              <w:pStyle w:val="TableParagraph"/>
              <w:spacing w:line="273" w:lineRule="exact"/>
              <w:ind w:right="101"/>
              <w:rPr>
                <w:sz w:val="24"/>
              </w:rPr>
            </w:pPr>
            <w:r>
              <w:rPr>
                <w:sz w:val="24"/>
              </w:rPr>
              <w:t>100</w:t>
            </w:r>
          </w:p>
        </w:tc>
      </w:tr>
    </w:tbl>
    <w:p>
      <w:pPr>
        <w:spacing w:line="271" w:lineRule="exact" w:before="0"/>
        <w:ind w:left="2876" w:right="790" w:firstLine="0"/>
        <w:jc w:val="left"/>
        <w:rPr>
          <w:sz w:val="24"/>
        </w:rPr>
      </w:pPr>
      <w:r>
        <w:rPr>
          <w:b/>
          <w:sz w:val="24"/>
        </w:rPr>
        <w:t>Fuente: </w:t>
      </w:r>
      <w:r>
        <w:rPr>
          <w:sz w:val="24"/>
        </w:rPr>
        <w:t>Escala de Holmes. </w:t>
      </w:r>
      <w:r>
        <w:rPr>
          <w:b/>
          <w:sz w:val="24"/>
        </w:rPr>
        <w:t>Anexo </w:t>
      </w:r>
      <w:r>
        <w:rPr>
          <w:sz w:val="24"/>
        </w:rPr>
        <w:t>4</w:t>
      </w:r>
    </w:p>
    <w:p>
      <w:pPr>
        <w:pStyle w:val="BodyText"/>
        <w:spacing w:before="3"/>
        <w:rPr>
          <w:sz w:val="22"/>
        </w:rPr>
      </w:pPr>
      <w:r>
        <w:rPr/>
        <w:pict>
          <v:group style="position:absolute;margin-left:84.555pt;margin-top:14.769287pt;width:477.75pt;height:196.8pt;mso-position-horizontal-relative:page;mso-position-vertical-relative:paragraph;z-index:2344;mso-wrap-distance-left:0;mso-wrap-distance-right:0" coordorigin="1691,295" coordsize="9555,3936">
            <v:shape style="position:absolute;left:3305;top:1018;width:6696;height:2702" type="#_x0000_t75" stroked="false">
              <v:imagedata r:id="rId31" o:title=""/>
            </v:shape>
            <v:line style="position:absolute" from="3331,3691" to="3268,3691" stroked="true" strokeweight=".75pt" strokecolor="#989898"/>
            <v:line style="position:absolute" from="3331,3135" to="3268,3135" stroked="true" strokeweight=".75pt" strokecolor="#989898"/>
            <v:line style="position:absolute" from="3331,2583" to="3268,2583" stroked="true" strokeweight=".75pt" strokecolor="#989898"/>
            <v:line style="position:absolute" from="3331,2026" to="3268,2026" stroked="true" strokeweight=".75pt" strokecolor="#989898"/>
            <v:line style="position:absolute" from="3331,3692" to="3331,3754" stroked="true" strokeweight=".75pt" strokecolor="#989898"/>
            <v:line style="position:absolute" from="5116,3692" to="5116,3754" stroked="true" strokeweight=".75pt" strokecolor="#989898"/>
            <v:line style="position:absolute" from="6902,3692" to="6902,3754" stroked="true" strokeweight=".75pt" strokecolor="#989898"/>
            <v:line style="position:absolute" from="8683,3692" to="8683,3754" stroked="true" strokeweight=".75pt" strokecolor="#989898"/>
            <v:rect style="position:absolute;left:1699;top:303;width:9540;height:3921" filled="false" stroked="true" strokeweight=".75pt" strokecolor="#989898"/>
            <v:shape style="position:absolute;left:2620;top:468;width:7021;height:200" type="#_x0000_t202" filled="false" stroked="false">
              <v:textbox inset="0,0,0,0">
                <w:txbxContent>
                  <w:p>
                    <w:pPr>
                      <w:spacing w:line="200" w:lineRule="exact" w:before="0"/>
                      <w:ind w:left="0" w:right="-20" w:firstLine="0"/>
                      <w:jc w:val="left"/>
                      <w:rPr>
                        <w:rFonts w:ascii="Calibri" w:hAnsi="Calibri"/>
                        <w:b/>
                        <w:sz w:val="20"/>
                      </w:rPr>
                    </w:pPr>
                    <w:r>
                      <w:rPr>
                        <w:rFonts w:ascii="Calibri" w:hAnsi="Calibri"/>
                        <w:b/>
                        <w:sz w:val="20"/>
                      </w:rPr>
                      <w:t>GRAFICA #7  DISTRIBUCIÓN DE PACIENTES SEGÚN GRADO DE DISFUNCIÓN FAMILIAR</w:t>
                    </w:r>
                  </w:p>
                </w:txbxContent>
              </v:textbox>
              <w10:wrap type="none"/>
            </v:shape>
            <v:shape style="position:absolute;left:2842;top:1949;width:305;height:1867" type="#_x0000_t202" filled="false" stroked="false">
              <v:textbox inset="0,0,0,0">
                <w:txbxContent>
                  <w:p>
                    <w:pPr>
                      <w:spacing w:line="210" w:lineRule="exact" w:before="0"/>
                      <w:ind w:left="0" w:right="0" w:firstLine="0"/>
                      <w:jc w:val="center"/>
                      <w:rPr>
                        <w:rFonts w:ascii="Calibri"/>
                        <w:sz w:val="20"/>
                      </w:rPr>
                    </w:pPr>
                    <w:r>
                      <w:rPr>
                        <w:rFonts w:ascii="Calibri"/>
                        <w:sz w:val="20"/>
                      </w:rPr>
                      <w:t>150</w:t>
                    </w:r>
                  </w:p>
                  <w:p>
                    <w:pPr>
                      <w:spacing w:line="240" w:lineRule="auto" w:before="0"/>
                      <w:rPr>
                        <w:sz w:val="27"/>
                      </w:rPr>
                    </w:pPr>
                  </w:p>
                  <w:p>
                    <w:pPr>
                      <w:spacing w:before="1"/>
                      <w:ind w:left="0" w:right="0" w:firstLine="0"/>
                      <w:jc w:val="center"/>
                      <w:rPr>
                        <w:rFonts w:ascii="Calibri"/>
                        <w:sz w:val="20"/>
                      </w:rPr>
                    </w:pPr>
                    <w:r>
                      <w:rPr>
                        <w:rFonts w:ascii="Calibri"/>
                        <w:sz w:val="20"/>
                      </w:rPr>
                      <w:t>100</w:t>
                    </w:r>
                  </w:p>
                  <w:p>
                    <w:pPr>
                      <w:spacing w:line="240" w:lineRule="auto" w:before="0"/>
                      <w:rPr>
                        <w:sz w:val="27"/>
                      </w:rPr>
                    </w:pPr>
                  </w:p>
                  <w:p>
                    <w:pPr>
                      <w:spacing w:before="1"/>
                      <w:ind w:left="101" w:right="0" w:firstLine="0"/>
                      <w:jc w:val="center"/>
                      <w:rPr>
                        <w:rFonts w:ascii="Calibri"/>
                        <w:sz w:val="20"/>
                      </w:rPr>
                    </w:pPr>
                    <w:r>
                      <w:rPr>
                        <w:rFonts w:ascii="Calibri"/>
                        <w:sz w:val="20"/>
                      </w:rPr>
                      <w:t>50</w:t>
                    </w:r>
                  </w:p>
                  <w:p>
                    <w:pPr>
                      <w:spacing w:line="240" w:lineRule="auto" w:before="0"/>
                      <w:rPr>
                        <w:sz w:val="27"/>
                      </w:rPr>
                    </w:pPr>
                  </w:p>
                  <w:p>
                    <w:pPr>
                      <w:spacing w:line="234" w:lineRule="exact" w:before="1"/>
                      <w:ind w:left="202" w:right="0" w:firstLine="0"/>
                      <w:jc w:val="center"/>
                      <w:rPr>
                        <w:rFonts w:ascii="Calibri"/>
                        <w:sz w:val="20"/>
                      </w:rPr>
                    </w:pPr>
                    <w:r>
                      <w:rPr>
                        <w:rFonts w:ascii="Calibri"/>
                        <w:sz w:val="20"/>
                      </w:rPr>
                      <w:t>0</w:t>
                    </w:r>
                  </w:p>
                </w:txbxContent>
              </v:textbox>
              <w10:wrap type="none"/>
            </v:shape>
            <v:shape style="position:absolute;left:3741;top:3863;width:968;height:200" type="#_x0000_t202" filled="false" stroked="false">
              <v:textbox inset="0,0,0,0">
                <w:txbxContent>
                  <w:p>
                    <w:pPr>
                      <w:spacing w:line="200" w:lineRule="exact" w:before="0"/>
                      <w:ind w:left="0" w:right="-20" w:firstLine="0"/>
                      <w:jc w:val="left"/>
                      <w:rPr>
                        <w:rFonts w:ascii="Calibri"/>
                        <w:sz w:val="20"/>
                      </w:rPr>
                    </w:pPr>
                    <w:r>
                      <w:rPr>
                        <w:rFonts w:ascii="Calibri"/>
                        <w:sz w:val="20"/>
                      </w:rPr>
                      <w:t>FUNCIONAL</w:t>
                    </w:r>
                  </w:p>
                </w:txbxContent>
              </v:textbox>
              <w10:wrap type="none"/>
            </v:shape>
            <v:shape style="position:absolute;left:5263;top:3863;width:1490;height:200" type="#_x0000_t202" filled="false" stroked="false">
              <v:textbox inset="0,0,0,0">
                <w:txbxContent>
                  <w:p>
                    <w:pPr>
                      <w:spacing w:line="200" w:lineRule="exact" w:before="0"/>
                      <w:ind w:left="0" w:right="-20" w:firstLine="0"/>
                      <w:jc w:val="left"/>
                      <w:rPr>
                        <w:rFonts w:ascii="Calibri"/>
                        <w:sz w:val="20"/>
                      </w:rPr>
                    </w:pPr>
                    <w:r>
                      <w:rPr>
                        <w:rFonts w:ascii="Calibri"/>
                        <w:sz w:val="20"/>
                      </w:rPr>
                      <w:t>MOD. FUNCIONAL</w:t>
                    </w:r>
                  </w:p>
                </w:txbxContent>
              </v:textbox>
              <w10:wrap type="none"/>
            </v:shape>
            <v:shape style="position:absolute;left:7174;top:3863;width:1234;height:200" type="#_x0000_t202" filled="false" stroked="false">
              <v:textbox inset="0,0,0,0">
                <w:txbxContent>
                  <w:p>
                    <w:pPr>
                      <w:spacing w:line="200" w:lineRule="exact" w:before="0"/>
                      <w:ind w:left="0" w:right="-19" w:firstLine="0"/>
                      <w:jc w:val="left"/>
                      <w:rPr>
                        <w:rFonts w:ascii="Calibri"/>
                        <w:sz w:val="20"/>
                      </w:rPr>
                    </w:pPr>
                    <w:r>
                      <w:rPr>
                        <w:rFonts w:ascii="Calibri"/>
                        <w:sz w:val="20"/>
                      </w:rPr>
                      <w:t>DISFUNCIONAL</w:t>
                    </w:r>
                  </w:p>
                </w:txbxContent>
              </v:textbox>
              <w10:wrap type="none"/>
            </v:shape>
            <w10:wrap type="topAndBottom"/>
          </v:group>
        </w:pict>
      </w:r>
    </w:p>
    <w:p>
      <w:pPr>
        <w:spacing w:before="139"/>
        <w:ind w:left="3423" w:right="790" w:firstLine="0"/>
        <w:jc w:val="left"/>
        <w:rPr>
          <w:sz w:val="24"/>
        </w:rPr>
      </w:pPr>
      <w:r>
        <w:rPr>
          <w:b/>
          <w:sz w:val="24"/>
        </w:rPr>
        <w:t>Fuente: </w:t>
      </w:r>
      <w:r>
        <w:rPr>
          <w:sz w:val="24"/>
        </w:rPr>
        <w:t>Escala de Holmes. </w:t>
      </w:r>
      <w:r>
        <w:rPr>
          <w:b/>
          <w:sz w:val="24"/>
        </w:rPr>
        <w:t>Anexo </w:t>
      </w:r>
      <w:r>
        <w:rPr>
          <w:sz w:val="24"/>
        </w:rPr>
        <w:t>4</w:t>
      </w:r>
    </w:p>
    <w:p>
      <w:pPr>
        <w:pStyle w:val="BodyText"/>
        <w:spacing w:before="2"/>
        <w:rPr>
          <w:sz w:val="19"/>
        </w:rPr>
      </w:pPr>
    </w:p>
    <w:p>
      <w:pPr>
        <w:pStyle w:val="Heading1"/>
        <w:spacing w:line="242" w:lineRule="auto" w:before="70"/>
        <w:ind w:left="3962" w:right="790" w:hanging="3154"/>
      </w:pPr>
      <w:r>
        <w:rPr/>
        <w:t>TABLA#8 DISTRIBUCIÓN DE PACIENTES SEGÚN TIPO DE APOYO RECIBIDOS</w:t>
      </w:r>
    </w:p>
    <w:tbl>
      <w:tblPr>
        <w:tblW w:w="0" w:type="auto"/>
        <w:jc w:val="left"/>
        <w:tblInd w:w="19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362"/>
        <w:gridCol w:w="1517"/>
        <w:gridCol w:w="1450"/>
        <w:gridCol w:w="1315"/>
        <w:gridCol w:w="1176"/>
        <w:gridCol w:w="1181"/>
        <w:gridCol w:w="1181"/>
      </w:tblGrid>
      <w:tr>
        <w:trPr>
          <w:trHeight w:val="658" w:hRule="exact"/>
        </w:trPr>
        <w:tc>
          <w:tcPr>
            <w:tcW w:w="2362" w:type="dxa"/>
          </w:tcPr>
          <w:p>
            <w:pPr>
              <w:pStyle w:val="TableParagraph"/>
              <w:spacing w:before="6"/>
              <w:ind w:left="112" w:right="108"/>
              <w:rPr>
                <w:rFonts w:ascii="Cambria"/>
                <w:b/>
                <w:sz w:val="19"/>
              </w:rPr>
            </w:pPr>
            <w:r>
              <w:rPr>
                <w:rFonts w:ascii="Cambria"/>
                <w:b/>
                <w:w w:val="105"/>
                <w:sz w:val="19"/>
              </w:rPr>
              <w:t>TIPOS DE APOYO</w:t>
            </w:r>
          </w:p>
        </w:tc>
        <w:tc>
          <w:tcPr>
            <w:tcW w:w="1517" w:type="dxa"/>
          </w:tcPr>
          <w:p>
            <w:pPr>
              <w:pStyle w:val="TableParagraph"/>
              <w:spacing w:line="345" w:lineRule="auto" w:before="6"/>
              <w:ind w:left="265" w:right="145" w:hanging="104"/>
              <w:jc w:val="left"/>
              <w:rPr>
                <w:rFonts w:ascii="Cambria"/>
                <w:b/>
                <w:sz w:val="19"/>
              </w:rPr>
            </w:pPr>
            <w:r>
              <w:rPr>
                <w:rFonts w:ascii="Cambria"/>
                <w:b/>
                <w:w w:val="105"/>
                <w:sz w:val="19"/>
              </w:rPr>
              <w:t>FRECUENCIA PRESENTE</w:t>
            </w:r>
          </w:p>
        </w:tc>
        <w:tc>
          <w:tcPr>
            <w:tcW w:w="1450" w:type="dxa"/>
          </w:tcPr>
          <w:p>
            <w:pPr>
              <w:pStyle w:val="TableParagraph"/>
              <w:spacing w:before="6"/>
              <w:ind w:left="619"/>
              <w:jc w:val="left"/>
              <w:rPr>
                <w:rFonts w:ascii="Cambria"/>
                <w:b/>
                <w:sz w:val="19"/>
              </w:rPr>
            </w:pPr>
            <w:r>
              <w:rPr>
                <w:rFonts w:ascii="Cambria"/>
                <w:b/>
                <w:w w:val="103"/>
                <w:sz w:val="19"/>
              </w:rPr>
              <w:t>%</w:t>
            </w:r>
          </w:p>
        </w:tc>
        <w:tc>
          <w:tcPr>
            <w:tcW w:w="1315" w:type="dxa"/>
          </w:tcPr>
          <w:p>
            <w:pPr>
              <w:pStyle w:val="TableParagraph"/>
              <w:spacing w:line="254" w:lineRule="auto" w:before="6"/>
              <w:ind w:left="218" w:right="42" w:hanging="156"/>
              <w:jc w:val="left"/>
              <w:rPr>
                <w:rFonts w:ascii="Cambria"/>
                <w:b/>
                <w:sz w:val="19"/>
              </w:rPr>
            </w:pPr>
            <w:r>
              <w:rPr>
                <w:rFonts w:ascii="Cambria"/>
                <w:b/>
                <w:w w:val="105"/>
                <w:sz w:val="19"/>
              </w:rPr>
              <w:t>FRECUNECIA AUSENTE</w:t>
            </w:r>
          </w:p>
        </w:tc>
        <w:tc>
          <w:tcPr>
            <w:tcW w:w="1176" w:type="dxa"/>
          </w:tcPr>
          <w:p>
            <w:pPr>
              <w:pStyle w:val="TableParagraph"/>
              <w:spacing w:before="6"/>
              <w:ind w:left="482"/>
              <w:jc w:val="left"/>
              <w:rPr>
                <w:rFonts w:ascii="Cambria"/>
                <w:b/>
                <w:sz w:val="19"/>
              </w:rPr>
            </w:pPr>
            <w:r>
              <w:rPr>
                <w:rFonts w:ascii="Cambria"/>
                <w:b/>
                <w:w w:val="103"/>
                <w:sz w:val="19"/>
              </w:rPr>
              <w:t>%</w:t>
            </w:r>
          </w:p>
        </w:tc>
        <w:tc>
          <w:tcPr>
            <w:tcW w:w="2362" w:type="dxa"/>
            <w:gridSpan w:val="2"/>
          </w:tcPr>
          <w:p>
            <w:pPr>
              <w:pStyle w:val="TableParagraph"/>
              <w:spacing w:before="6"/>
              <w:ind w:left="112" w:right="108"/>
              <w:rPr>
                <w:rFonts w:ascii="Cambria"/>
                <w:b/>
                <w:sz w:val="19"/>
              </w:rPr>
            </w:pPr>
            <w:r>
              <w:rPr>
                <w:rFonts w:ascii="Cambria"/>
                <w:b/>
                <w:w w:val="105"/>
                <w:sz w:val="19"/>
              </w:rPr>
              <w:t>TOTAL</w:t>
            </w:r>
          </w:p>
        </w:tc>
      </w:tr>
      <w:tr>
        <w:trPr>
          <w:trHeight w:val="331" w:hRule="exact"/>
        </w:trPr>
        <w:tc>
          <w:tcPr>
            <w:tcW w:w="2362" w:type="dxa"/>
          </w:tcPr>
          <w:p>
            <w:pPr>
              <w:pStyle w:val="TableParagraph"/>
              <w:spacing w:before="6"/>
              <w:ind w:left="110" w:right="108"/>
              <w:rPr>
                <w:rFonts w:ascii="Cambria"/>
                <w:b/>
                <w:sz w:val="19"/>
              </w:rPr>
            </w:pPr>
            <w:r>
              <w:rPr>
                <w:rFonts w:ascii="Cambria"/>
                <w:b/>
                <w:w w:val="105"/>
                <w:sz w:val="19"/>
              </w:rPr>
              <w:t>APOYO EMOCIONAL</w:t>
            </w:r>
          </w:p>
        </w:tc>
        <w:tc>
          <w:tcPr>
            <w:tcW w:w="1517" w:type="dxa"/>
          </w:tcPr>
          <w:p>
            <w:pPr>
              <w:pStyle w:val="TableParagraph"/>
              <w:spacing w:before="6"/>
              <w:ind w:left="572" w:right="145"/>
              <w:jc w:val="left"/>
              <w:rPr>
                <w:rFonts w:ascii="Cambria"/>
                <w:b/>
                <w:sz w:val="19"/>
              </w:rPr>
            </w:pPr>
            <w:r>
              <w:rPr>
                <w:rFonts w:ascii="Cambria"/>
                <w:b/>
                <w:w w:val="105"/>
                <w:sz w:val="19"/>
              </w:rPr>
              <w:t>243</w:t>
            </w:r>
          </w:p>
        </w:tc>
        <w:tc>
          <w:tcPr>
            <w:tcW w:w="1450" w:type="dxa"/>
          </w:tcPr>
          <w:p>
            <w:pPr>
              <w:pStyle w:val="TableParagraph"/>
              <w:spacing w:before="6"/>
              <w:ind w:left="598"/>
              <w:jc w:val="left"/>
              <w:rPr>
                <w:rFonts w:ascii="Cambria"/>
                <w:b/>
                <w:sz w:val="19"/>
              </w:rPr>
            </w:pPr>
            <w:r>
              <w:rPr>
                <w:rFonts w:ascii="Cambria"/>
                <w:b/>
                <w:w w:val="105"/>
                <w:sz w:val="19"/>
              </w:rPr>
              <w:t>97</w:t>
            </w:r>
          </w:p>
        </w:tc>
        <w:tc>
          <w:tcPr>
            <w:tcW w:w="1315" w:type="dxa"/>
          </w:tcPr>
          <w:p>
            <w:pPr>
              <w:pStyle w:val="TableParagraph"/>
              <w:spacing w:before="6"/>
              <w:ind w:left="0" w:right="586"/>
              <w:jc w:val="right"/>
              <w:rPr>
                <w:rFonts w:ascii="Cambria"/>
                <w:b/>
                <w:sz w:val="19"/>
              </w:rPr>
            </w:pPr>
            <w:r>
              <w:rPr>
                <w:rFonts w:ascii="Cambria"/>
                <w:b/>
                <w:w w:val="103"/>
                <w:sz w:val="19"/>
              </w:rPr>
              <w:t>8</w:t>
            </w:r>
          </w:p>
        </w:tc>
        <w:tc>
          <w:tcPr>
            <w:tcW w:w="1176" w:type="dxa"/>
          </w:tcPr>
          <w:p>
            <w:pPr>
              <w:pStyle w:val="TableParagraph"/>
              <w:spacing w:before="6"/>
              <w:ind w:left="521"/>
              <w:jc w:val="left"/>
              <w:rPr>
                <w:rFonts w:ascii="Cambria"/>
                <w:b/>
                <w:sz w:val="19"/>
              </w:rPr>
            </w:pPr>
            <w:r>
              <w:rPr>
                <w:rFonts w:ascii="Cambria"/>
                <w:b/>
                <w:w w:val="103"/>
                <w:sz w:val="19"/>
              </w:rPr>
              <w:t>3</w:t>
            </w:r>
          </w:p>
        </w:tc>
        <w:tc>
          <w:tcPr>
            <w:tcW w:w="1181" w:type="dxa"/>
          </w:tcPr>
          <w:p>
            <w:pPr>
              <w:pStyle w:val="TableParagraph"/>
              <w:spacing w:before="6"/>
              <w:ind w:left="405"/>
              <w:jc w:val="left"/>
              <w:rPr>
                <w:rFonts w:ascii="Cambria"/>
                <w:b/>
                <w:sz w:val="19"/>
              </w:rPr>
            </w:pPr>
            <w:r>
              <w:rPr>
                <w:rFonts w:ascii="Cambria"/>
                <w:b/>
                <w:w w:val="105"/>
                <w:sz w:val="19"/>
              </w:rPr>
              <w:t>251</w:t>
            </w:r>
          </w:p>
        </w:tc>
        <w:tc>
          <w:tcPr>
            <w:tcW w:w="1181" w:type="dxa"/>
          </w:tcPr>
          <w:p>
            <w:pPr>
              <w:pStyle w:val="TableParagraph"/>
              <w:spacing w:before="6"/>
              <w:ind w:left="385" w:right="381"/>
              <w:rPr>
                <w:rFonts w:ascii="Cambria"/>
                <w:b/>
                <w:sz w:val="19"/>
              </w:rPr>
            </w:pPr>
            <w:r>
              <w:rPr>
                <w:rFonts w:ascii="Cambria"/>
                <w:b/>
                <w:w w:val="105"/>
                <w:sz w:val="19"/>
              </w:rPr>
              <w:t>100</w:t>
            </w:r>
          </w:p>
        </w:tc>
      </w:tr>
      <w:tr>
        <w:trPr>
          <w:trHeight w:val="336" w:hRule="exact"/>
        </w:trPr>
        <w:tc>
          <w:tcPr>
            <w:tcW w:w="2362" w:type="dxa"/>
          </w:tcPr>
          <w:p>
            <w:pPr>
              <w:pStyle w:val="TableParagraph"/>
              <w:spacing w:before="6"/>
              <w:ind w:left="112" w:right="108"/>
              <w:rPr>
                <w:rFonts w:ascii="Cambria"/>
                <w:b/>
                <w:sz w:val="19"/>
              </w:rPr>
            </w:pPr>
            <w:r>
              <w:rPr>
                <w:rFonts w:ascii="Cambria"/>
                <w:b/>
                <w:w w:val="105"/>
                <w:sz w:val="19"/>
              </w:rPr>
              <w:t>APOYO INTRUMENTAL</w:t>
            </w:r>
          </w:p>
        </w:tc>
        <w:tc>
          <w:tcPr>
            <w:tcW w:w="1517" w:type="dxa"/>
          </w:tcPr>
          <w:p>
            <w:pPr>
              <w:pStyle w:val="TableParagraph"/>
              <w:spacing w:before="6"/>
              <w:ind w:left="572" w:right="145"/>
              <w:jc w:val="left"/>
              <w:rPr>
                <w:rFonts w:ascii="Cambria"/>
                <w:b/>
                <w:sz w:val="19"/>
              </w:rPr>
            </w:pPr>
            <w:r>
              <w:rPr>
                <w:rFonts w:ascii="Cambria"/>
                <w:b/>
                <w:w w:val="105"/>
                <w:sz w:val="19"/>
              </w:rPr>
              <w:t>228</w:t>
            </w:r>
          </w:p>
        </w:tc>
        <w:tc>
          <w:tcPr>
            <w:tcW w:w="1450" w:type="dxa"/>
          </w:tcPr>
          <w:p>
            <w:pPr>
              <w:pStyle w:val="TableParagraph"/>
              <w:spacing w:before="6"/>
              <w:ind w:left="598"/>
              <w:jc w:val="left"/>
              <w:rPr>
                <w:rFonts w:ascii="Cambria"/>
                <w:b/>
                <w:sz w:val="19"/>
              </w:rPr>
            </w:pPr>
            <w:r>
              <w:rPr>
                <w:rFonts w:ascii="Cambria"/>
                <w:b/>
                <w:w w:val="105"/>
                <w:sz w:val="19"/>
              </w:rPr>
              <w:t>91</w:t>
            </w:r>
          </w:p>
        </w:tc>
        <w:tc>
          <w:tcPr>
            <w:tcW w:w="1315" w:type="dxa"/>
          </w:tcPr>
          <w:p>
            <w:pPr>
              <w:pStyle w:val="TableParagraph"/>
              <w:spacing w:before="6"/>
              <w:ind w:left="0" w:right="527"/>
              <w:jc w:val="right"/>
              <w:rPr>
                <w:rFonts w:ascii="Cambria"/>
                <w:b/>
                <w:sz w:val="19"/>
              </w:rPr>
            </w:pPr>
            <w:r>
              <w:rPr>
                <w:rFonts w:ascii="Cambria"/>
                <w:b/>
                <w:sz w:val="19"/>
              </w:rPr>
              <w:t>23</w:t>
            </w:r>
          </w:p>
        </w:tc>
        <w:tc>
          <w:tcPr>
            <w:tcW w:w="1176" w:type="dxa"/>
          </w:tcPr>
          <w:p>
            <w:pPr>
              <w:pStyle w:val="TableParagraph"/>
              <w:spacing w:before="6"/>
              <w:ind w:left="521"/>
              <w:jc w:val="left"/>
              <w:rPr>
                <w:rFonts w:ascii="Cambria"/>
                <w:b/>
                <w:sz w:val="19"/>
              </w:rPr>
            </w:pPr>
            <w:r>
              <w:rPr>
                <w:rFonts w:ascii="Cambria"/>
                <w:b/>
                <w:w w:val="103"/>
                <w:sz w:val="19"/>
              </w:rPr>
              <w:t>9</w:t>
            </w:r>
          </w:p>
        </w:tc>
        <w:tc>
          <w:tcPr>
            <w:tcW w:w="1181" w:type="dxa"/>
          </w:tcPr>
          <w:p>
            <w:pPr>
              <w:pStyle w:val="TableParagraph"/>
              <w:spacing w:before="6"/>
              <w:ind w:left="405"/>
              <w:jc w:val="left"/>
              <w:rPr>
                <w:rFonts w:ascii="Cambria"/>
                <w:b/>
                <w:sz w:val="19"/>
              </w:rPr>
            </w:pPr>
            <w:r>
              <w:rPr>
                <w:rFonts w:ascii="Cambria"/>
                <w:b/>
                <w:w w:val="105"/>
                <w:sz w:val="19"/>
              </w:rPr>
              <w:t>251</w:t>
            </w:r>
          </w:p>
        </w:tc>
        <w:tc>
          <w:tcPr>
            <w:tcW w:w="1181" w:type="dxa"/>
          </w:tcPr>
          <w:p>
            <w:pPr>
              <w:pStyle w:val="TableParagraph"/>
              <w:spacing w:before="6"/>
              <w:ind w:left="385" w:right="381"/>
              <w:rPr>
                <w:rFonts w:ascii="Cambria"/>
                <w:b/>
                <w:sz w:val="19"/>
              </w:rPr>
            </w:pPr>
            <w:r>
              <w:rPr>
                <w:rFonts w:ascii="Cambria"/>
                <w:b/>
                <w:w w:val="105"/>
                <w:sz w:val="19"/>
              </w:rPr>
              <w:t>100</w:t>
            </w:r>
          </w:p>
        </w:tc>
      </w:tr>
      <w:tr>
        <w:trPr>
          <w:trHeight w:val="490" w:hRule="exact"/>
        </w:trPr>
        <w:tc>
          <w:tcPr>
            <w:tcW w:w="2362" w:type="dxa"/>
          </w:tcPr>
          <w:p>
            <w:pPr>
              <w:pStyle w:val="TableParagraph"/>
              <w:spacing w:line="254" w:lineRule="auto" w:before="6"/>
              <w:ind w:left="379" w:right="360" w:firstLine="467"/>
              <w:jc w:val="left"/>
              <w:rPr>
                <w:rFonts w:ascii="Cambria"/>
                <w:b/>
                <w:sz w:val="19"/>
              </w:rPr>
            </w:pPr>
            <w:r>
              <w:rPr>
                <w:rFonts w:ascii="Cambria"/>
                <w:b/>
                <w:w w:val="105"/>
                <w:sz w:val="19"/>
              </w:rPr>
              <w:t>APOYO INFORMACIONAL</w:t>
            </w:r>
          </w:p>
        </w:tc>
        <w:tc>
          <w:tcPr>
            <w:tcW w:w="1517" w:type="dxa"/>
          </w:tcPr>
          <w:p>
            <w:pPr>
              <w:pStyle w:val="TableParagraph"/>
              <w:spacing w:before="6"/>
              <w:ind w:left="572" w:right="145"/>
              <w:jc w:val="left"/>
              <w:rPr>
                <w:rFonts w:ascii="Cambria"/>
                <w:b/>
                <w:sz w:val="19"/>
              </w:rPr>
            </w:pPr>
            <w:r>
              <w:rPr>
                <w:rFonts w:ascii="Cambria"/>
                <w:b/>
                <w:w w:val="105"/>
                <w:sz w:val="19"/>
              </w:rPr>
              <w:t>248</w:t>
            </w:r>
          </w:p>
        </w:tc>
        <w:tc>
          <w:tcPr>
            <w:tcW w:w="1450" w:type="dxa"/>
          </w:tcPr>
          <w:p>
            <w:pPr>
              <w:pStyle w:val="TableParagraph"/>
              <w:spacing w:before="6"/>
              <w:ind w:left="598"/>
              <w:jc w:val="left"/>
              <w:rPr>
                <w:rFonts w:ascii="Cambria"/>
                <w:b/>
                <w:sz w:val="19"/>
              </w:rPr>
            </w:pPr>
            <w:r>
              <w:rPr>
                <w:rFonts w:ascii="Cambria"/>
                <w:b/>
                <w:w w:val="105"/>
                <w:sz w:val="19"/>
              </w:rPr>
              <w:t>99</w:t>
            </w:r>
          </w:p>
        </w:tc>
        <w:tc>
          <w:tcPr>
            <w:tcW w:w="1315" w:type="dxa"/>
          </w:tcPr>
          <w:p>
            <w:pPr>
              <w:pStyle w:val="TableParagraph"/>
              <w:spacing w:before="6"/>
              <w:ind w:left="0" w:right="586"/>
              <w:jc w:val="right"/>
              <w:rPr>
                <w:rFonts w:ascii="Cambria"/>
                <w:b/>
                <w:sz w:val="19"/>
              </w:rPr>
            </w:pPr>
            <w:r>
              <w:rPr>
                <w:rFonts w:ascii="Cambria"/>
                <w:b/>
                <w:w w:val="103"/>
                <w:sz w:val="19"/>
              </w:rPr>
              <w:t>3</w:t>
            </w:r>
          </w:p>
        </w:tc>
        <w:tc>
          <w:tcPr>
            <w:tcW w:w="1176" w:type="dxa"/>
          </w:tcPr>
          <w:p>
            <w:pPr>
              <w:pStyle w:val="TableParagraph"/>
              <w:spacing w:before="6"/>
              <w:ind w:left="521"/>
              <w:jc w:val="left"/>
              <w:rPr>
                <w:rFonts w:ascii="Cambria"/>
                <w:b/>
                <w:sz w:val="19"/>
              </w:rPr>
            </w:pPr>
            <w:r>
              <w:rPr>
                <w:rFonts w:ascii="Cambria"/>
                <w:b/>
                <w:w w:val="103"/>
                <w:sz w:val="19"/>
              </w:rPr>
              <w:t>1</w:t>
            </w:r>
          </w:p>
        </w:tc>
        <w:tc>
          <w:tcPr>
            <w:tcW w:w="1181" w:type="dxa"/>
          </w:tcPr>
          <w:p>
            <w:pPr>
              <w:pStyle w:val="TableParagraph"/>
              <w:spacing w:before="6"/>
              <w:ind w:left="405"/>
              <w:jc w:val="left"/>
              <w:rPr>
                <w:rFonts w:ascii="Cambria"/>
                <w:b/>
                <w:sz w:val="19"/>
              </w:rPr>
            </w:pPr>
            <w:r>
              <w:rPr>
                <w:rFonts w:ascii="Cambria"/>
                <w:b/>
                <w:w w:val="105"/>
                <w:sz w:val="19"/>
              </w:rPr>
              <w:t>251</w:t>
            </w:r>
          </w:p>
        </w:tc>
        <w:tc>
          <w:tcPr>
            <w:tcW w:w="1181" w:type="dxa"/>
          </w:tcPr>
          <w:p>
            <w:pPr>
              <w:pStyle w:val="TableParagraph"/>
              <w:spacing w:before="6"/>
              <w:ind w:left="385" w:right="381"/>
              <w:rPr>
                <w:rFonts w:ascii="Cambria"/>
                <w:b/>
                <w:sz w:val="19"/>
              </w:rPr>
            </w:pPr>
            <w:r>
              <w:rPr>
                <w:rFonts w:ascii="Cambria"/>
                <w:b/>
                <w:w w:val="105"/>
                <w:sz w:val="19"/>
              </w:rPr>
              <w:t>100</w:t>
            </w:r>
          </w:p>
        </w:tc>
      </w:tr>
    </w:tbl>
    <w:p>
      <w:pPr>
        <w:spacing w:line="271" w:lineRule="exact" w:before="0"/>
        <w:ind w:left="2952" w:right="790" w:firstLine="0"/>
        <w:jc w:val="left"/>
        <w:rPr>
          <w:sz w:val="24"/>
        </w:rPr>
      </w:pPr>
      <w:r>
        <w:rPr>
          <w:b/>
          <w:sz w:val="24"/>
        </w:rPr>
        <w:t>Fuente: </w:t>
      </w:r>
      <w:r>
        <w:rPr>
          <w:sz w:val="24"/>
        </w:rPr>
        <w:t>Escala de ASSIS </w:t>
      </w:r>
      <w:r>
        <w:rPr>
          <w:b/>
          <w:sz w:val="24"/>
        </w:rPr>
        <w:t>Anexo </w:t>
      </w:r>
      <w:r>
        <w:rPr>
          <w:sz w:val="24"/>
        </w:rPr>
        <w:t>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0"/>
        </w:rPr>
      </w:pPr>
    </w:p>
    <w:p>
      <w:pPr>
        <w:pStyle w:val="BodyText"/>
        <w:ind w:right="1463"/>
        <w:jc w:val="right"/>
      </w:pPr>
      <w:r>
        <w:rPr/>
        <w:pict>
          <v:group style="position:absolute;margin-left:84.555pt;margin-top:-145.481857pt;width:414.75pt;height:170.75pt;mso-position-horizontal-relative:page;mso-position-vertical-relative:paragraph;z-index:2608" coordorigin="1691,-2910" coordsize="8295,3415">
            <v:shape style="position:absolute;left:4178;top:-2186;width:3922;height:1718" type="#_x0000_t75" stroked="false">
              <v:imagedata r:id="rId32" o:title=""/>
            </v:shape>
            <v:shape style="position:absolute;left:138;top:-804756;width:46878242;height:834221" coordorigin="138,-804756" coordsize="46878242,834221" path="m4219,-507l4219,-441m4958,-507l4958,-441m5697,-507l5697,-441m6436,-507l6436,-441m7175,-507l7175,-441m7910,-507l7910,-441e" filled="false" stroked="true" strokeweight=".75pt" strokecolor="#989898">
              <v:path arrowok="t"/>
            </v:shape>
            <v:rect style="position:absolute;left:8730;top:-1228;width:110;height:110" filled="true" fillcolor="#cd665f" stroked="false">
              <v:fill type="solid"/>
            </v:rect>
            <v:rect style="position:absolute;left:8730;top:-1228;width:110;height:110" filled="false" stroked="true" strokeweight=".75pt" strokecolor="#9e4842"/>
            <v:rect style="position:absolute;left:8730;top:-826;width:110;height:110" filled="true" fillcolor="#6095c9" stroked="false">
              <v:fill type="solid"/>
            </v:rect>
            <v:rect style="position:absolute;left:8730;top:-826;width:110;height:110" filled="false" stroked="true" strokeweight=".75pt" strokecolor="#426f9b"/>
            <v:rect style="position:absolute;left:1699;top:-2902;width:8280;height:3400" filled="false" stroked="true" strokeweight=".75pt" strokecolor="#989898"/>
            <v:shape style="position:absolute;left:2801;top:-2786;width:6418;height:200" type="#_x0000_t202" filled="false" stroked="false">
              <v:textbox inset="0,0,0,0">
                <w:txbxContent>
                  <w:p>
                    <w:pPr>
                      <w:spacing w:line="200" w:lineRule="exact" w:before="0"/>
                      <w:ind w:left="0" w:right="-20" w:firstLine="0"/>
                      <w:jc w:val="left"/>
                      <w:rPr>
                        <w:rFonts w:ascii="Calibri" w:hAnsi="Calibri"/>
                        <w:b/>
                        <w:sz w:val="20"/>
                      </w:rPr>
                    </w:pPr>
                    <w:r>
                      <w:rPr>
                        <w:rFonts w:ascii="Calibri" w:hAnsi="Calibri"/>
                        <w:b/>
                        <w:sz w:val="20"/>
                      </w:rPr>
                      <w:t>GRAFICA #8  DISTRIBUCIÓN DE PACIENTES SEGÚN TIPO DE APOYO RECIBIDOS</w:t>
                    </w:r>
                  </w:p>
                </w:txbxContent>
              </v:textbox>
              <w10:wrap type="none"/>
            </v:shape>
            <v:shape style="position:absolute;left:1988;top:-1853;width:2045;height:1218" type="#_x0000_t202" filled="false" stroked="false">
              <v:textbox inset="0,0,0,0">
                <w:txbxContent>
                  <w:p>
                    <w:pPr>
                      <w:spacing w:line="210" w:lineRule="exact" w:before="0"/>
                      <w:ind w:left="204" w:right="-19" w:hanging="205"/>
                      <w:jc w:val="left"/>
                      <w:rPr>
                        <w:rFonts w:ascii="Calibri"/>
                        <w:sz w:val="20"/>
                      </w:rPr>
                    </w:pPr>
                    <w:r>
                      <w:rPr>
                        <w:rFonts w:ascii="Calibri"/>
                        <w:sz w:val="20"/>
                      </w:rPr>
                      <w:t>APOYO INFORMACIONAL</w:t>
                    </w:r>
                  </w:p>
                  <w:p>
                    <w:pPr>
                      <w:spacing w:line="510" w:lineRule="atLeast" w:before="0"/>
                      <w:ind w:left="398" w:right="-19" w:hanging="195"/>
                      <w:jc w:val="left"/>
                      <w:rPr>
                        <w:rFonts w:ascii="Calibri"/>
                        <w:sz w:val="20"/>
                      </w:rPr>
                    </w:pPr>
                    <w:r>
                      <w:rPr>
                        <w:rFonts w:ascii="Calibri"/>
                        <w:sz w:val="20"/>
                      </w:rPr>
                      <w:t>APOYO INTRUMENTAL APOYO EMOCIONAL</w:t>
                    </w:r>
                  </w:p>
                </w:txbxContent>
              </v:textbox>
              <w10:wrap type="none"/>
            </v:shape>
            <v:shape style="position:absolute;left:8885;top:-1251;width:824;height:602" type="#_x0000_t202" filled="false" stroked="false">
              <v:textbox inset="0,0,0,0">
                <w:txbxContent>
                  <w:p>
                    <w:pPr>
                      <w:spacing w:line="210" w:lineRule="exact" w:before="0"/>
                      <w:ind w:left="0" w:right="-20" w:firstLine="0"/>
                      <w:jc w:val="left"/>
                      <w:rPr>
                        <w:rFonts w:ascii="Calibri"/>
                        <w:sz w:val="20"/>
                      </w:rPr>
                    </w:pPr>
                    <w:r>
                      <w:rPr>
                        <w:rFonts w:ascii="Calibri"/>
                        <w:sz w:val="20"/>
                      </w:rPr>
                      <w:t>AUSENTE</w:t>
                    </w:r>
                  </w:p>
                  <w:p>
                    <w:pPr>
                      <w:spacing w:line="234" w:lineRule="exact" w:before="157"/>
                      <w:ind w:left="0" w:right="-20" w:firstLine="0"/>
                      <w:jc w:val="left"/>
                      <w:rPr>
                        <w:rFonts w:ascii="Calibri"/>
                        <w:sz w:val="20"/>
                      </w:rPr>
                    </w:pPr>
                    <w:r>
                      <w:rPr>
                        <w:rFonts w:ascii="Calibri"/>
                        <w:sz w:val="20"/>
                      </w:rPr>
                      <w:t>PRESENTE</w:t>
                    </w:r>
                  </w:p>
                </w:txbxContent>
              </v:textbox>
              <w10:wrap type="none"/>
            </v:shape>
            <v:shape style="position:absolute;left:4168;top:-334;width:102;height:200" type="#_x0000_t202" filled="false" stroked="false">
              <v:textbox inset="0,0,0,0">
                <w:txbxContent>
                  <w:p>
                    <w:pPr>
                      <w:spacing w:line="200" w:lineRule="exact" w:before="0"/>
                      <w:ind w:left="0" w:right="0" w:firstLine="0"/>
                      <w:jc w:val="left"/>
                      <w:rPr>
                        <w:rFonts w:ascii="Calibri"/>
                        <w:sz w:val="20"/>
                      </w:rPr>
                    </w:pPr>
                    <w:r>
                      <w:rPr>
                        <w:rFonts w:ascii="Calibri"/>
                        <w:sz w:val="20"/>
                      </w:rPr>
                      <w:t>0</w:t>
                    </w:r>
                  </w:p>
                </w:txbxContent>
              </v:textbox>
              <w10:wrap type="none"/>
            </v:shape>
            <v:shape style="position:absolute;left:4856;top:-334;width:203;height:200" type="#_x0000_t202" filled="false" stroked="false">
              <v:textbox inset="0,0,0,0">
                <w:txbxContent>
                  <w:p>
                    <w:pPr>
                      <w:spacing w:line="200" w:lineRule="exact" w:before="0"/>
                      <w:ind w:left="0" w:right="-20" w:firstLine="0"/>
                      <w:jc w:val="left"/>
                      <w:rPr>
                        <w:rFonts w:ascii="Calibri"/>
                        <w:sz w:val="20"/>
                      </w:rPr>
                    </w:pPr>
                    <w:r>
                      <w:rPr>
                        <w:rFonts w:ascii="Calibri"/>
                        <w:sz w:val="20"/>
                      </w:rPr>
                      <w:t>50</w:t>
                    </w:r>
                  </w:p>
                </w:txbxContent>
              </v:textbox>
              <w10:wrap type="none"/>
            </v:shape>
            <v:shape style="position:absolute;left:5544;top:-334;width:305;height:200" type="#_x0000_t202" filled="false" stroked="false">
              <v:textbox inset="0,0,0,0">
                <w:txbxContent>
                  <w:p>
                    <w:pPr>
                      <w:spacing w:line="200" w:lineRule="exact" w:before="0"/>
                      <w:ind w:left="0" w:right="-20" w:firstLine="0"/>
                      <w:jc w:val="left"/>
                      <w:rPr>
                        <w:rFonts w:ascii="Calibri"/>
                        <w:sz w:val="20"/>
                      </w:rPr>
                    </w:pPr>
                    <w:r>
                      <w:rPr>
                        <w:rFonts w:ascii="Calibri"/>
                        <w:sz w:val="20"/>
                      </w:rPr>
                      <w:t>100</w:t>
                    </w:r>
                  </w:p>
                </w:txbxContent>
              </v:textbox>
              <w10:wrap type="none"/>
            </v:shape>
            <v:shape style="position:absolute;left:6282;top:-334;width:305;height:200" type="#_x0000_t202" filled="false" stroked="false">
              <v:textbox inset="0,0,0,0">
                <w:txbxContent>
                  <w:p>
                    <w:pPr>
                      <w:spacing w:line="200" w:lineRule="exact" w:before="0"/>
                      <w:ind w:left="0" w:right="-20" w:firstLine="0"/>
                      <w:jc w:val="left"/>
                      <w:rPr>
                        <w:rFonts w:ascii="Calibri"/>
                        <w:sz w:val="20"/>
                      </w:rPr>
                    </w:pPr>
                    <w:r>
                      <w:rPr>
                        <w:rFonts w:ascii="Calibri"/>
                        <w:sz w:val="20"/>
                      </w:rPr>
                      <w:t>150</w:t>
                    </w:r>
                  </w:p>
                </w:txbxContent>
              </v:textbox>
              <w10:wrap type="none"/>
            </v:shape>
            <v:shape style="position:absolute;left:7021;top:-334;width:305;height:200" type="#_x0000_t202" filled="false" stroked="false">
              <v:textbox inset="0,0,0,0">
                <w:txbxContent>
                  <w:p>
                    <w:pPr>
                      <w:spacing w:line="200" w:lineRule="exact" w:before="0"/>
                      <w:ind w:left="0" w:right="-20" w:firstLine="0"/>
                      <w:jc w:val="left"/>
                      <w:rPr>
                        <w:rFonts w:ascii="Calibri"/>
                        <w:sz w:val="20"/>
                      </w:rPr>
                    </w:pPr>
                    <w:r>
                      <w:rPr>
                        <w:rFonts w:ascii="Calibri"/>
                        <w:sz w:val="20"/>
                      </w:rPr>
                      <w:t>200</w:t>
                    </w:r>
                  </w:p>
                </w:txbxContent>
              </v:textbox>
              <w10:wrap type="none"/>
            </v:shape>
            <v:shape style="position:absolute;left:7760;top:-334;width:305;height:200" type="#_x0000_t202" filled="false" stroked="false">
              <v:textbox inset="0,0,0,0">
                <w:txbxContent>
                  <w:p>
                    <w:pPr>
                      <w:spacing w:line="200" w:lineRule="exact" w:before="0"/>
                      <w:ind w:left="0" w:right="-20" w:firstLine="0"/>
                      <w:jc w:val="left"/>
                      <w:rPr>
                        <w:rFonts w:ascii="Calibri"/>
                        <w:sz w:val="20"/>
                      </w:rPr>
                    </w:pPr>
                    <w:r>
                      <w:rPr>
                        <w:rFonts w:ascii="Calibri"/>
                        <w:sz w:val="20"/>
                      </w:rPr>
                      <w:t>250</w:t>
                    </w:r>
                  </w:p>
                </w:txbxContent>
              </v:textbox>
              <w10:wrap type="none"/>
            </v:shape>
            <v:shape style="position:absolute;left:5544;top:-12;width:1049;height:200" type="#_x0000_t202" filled="false" stroked="false">
              <v:textbox inset="0,0,0,0">
                <w:txbxContent>
                  <w:p>
                    <w:pPr>
                      <w:spacing w:line="200" w:lineRule="exact" w:before="0"/>
                      <w:ind w:left="0" w:right="-20" w:firstLine="0"/>
                      <w:jc w:val="left"/>
                      <w:rPr>
                        <w:rFonts w:ascii="Calibri"/>
                        <w:b/>
                        <w:sz w:val="20"/>
                      </w:rPr>
                    </w:pPr>
                    <w:r>
                      <w:rPr>
                        <w:rFonts w:ascii="Calibri"/>
                        <w:b/>
                        <w:sz w:val="20"/>
                      </w:rPr>
                      <w:t>FRECUENCIA</w:t>
                    </w:r>
                  </w:p>
                </w:txbxContent>
              </v:textbox>
              <w10:wrap type="none"/>
            </v:shape>
            <w10:wrap type="none"/>
          </v:group>
        </w:pict>
      </w:r>
      <w:r>
        <w:rPr/>
        <w:t>50</w:t>
      </w:r>
    </w:p>
    <w:p>
      <w:pPr>
        <w:pStyle w:val="BodyText"/>
        <w:spacing w:before="2"/>
        <w:rPr>
          <w:sz w:val="14"/>
        </w:rPr>
      </w:pPr>
    </w:p>
    <w:p>
      <w:pPr>
        <w:spacing w:before="70"/>
        <w:ind w:left="3600" w:right="790" w:firstLine="0"/>
        <w:jc w:val="left"/>
        <w:rPr>
          <w:sz w:val="24"/>
        </w:rPr>
      </w:pPr>
      <w:r>
        <w:rPr>
          <w:b/>
          <w:sz w:val="24"/>
        </w:rPr>
        <w:t>Fuente: </w:t>
      </w:r>
      <w:r>
        <w:rPr>
          <w:sz w:val="24"/>
        </w:rPr>
        <w:t>Escala de ASSIS. </w:t>
      </w:r>
      <w:r>
        <w:rPr>
          <w:b/>
          <w:sz w:val="24"/>
        </w:rPr>
        <w:t>Anexo </w:t>
      </w:r>
      <w:r>
        <w:rPr>
          <w:sz w:val="24"/>
        </w:rPr>
        <w:t>5</w:t>
      </w:r>
    </w:p>
    <w:p>
      <w:pPr>
        <w:spacing w:after="0"/>
        <w:jc w:val="left"/>
        <w:rPr>
          <w:sz w:val="24"/>
        </w:rPr>
        <w:sectPr>
          <w:footerReference w:type="default" r:id="rId30"/>
          <w:pgSz w:w="12240" w:h="15840"/>
          <w:pgMar w:footer="0" w:header="0" w:top="1360" w:bottom="280" w:left="1480" w:right="240"/>
        </w:sectPr>
      </w:pPr>
    </w:p>
    <w:p>
      <w:pPr>
        <w:pStyle w:val="Heading1"/>
        <w:spacing w:before="50" w:after="6"/>
        <w:ind w:left="508"/>
      </w:pPr>
      <w:r>
        <w:rPr/>
        <w:t>TABLA#9  DISTRIBUCIÓN DE PACIENTES SEGÚN TAMAÑO DE LA RED.</w:t>
      </w: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95"/>
        <w:gridCol w:w="2990"/>
        <w:gridCol w:w="2995"/>
      </w:tblGrid>
      <w:tr>
        <w:trPr>
          <w:trHeight w:val="283" w:hRule="exact"/>
        </w:trPr>
        <w:tc>
          <w:tcPr>
            <w:tcW w:w="2995" w:type="dxa"/>
          </w:tcPr>
          <w:p>
            <w:pPr>
              <w:pStyle w:val="TableParagraph"/>
              <w:spacing w:line="273" w:lineRule="exact"/>
              <w:ind w:right="102"/>
              <w:rPr>
                <w:b/>
                <w:sz w:val="24"/>
              </w:rPr>
            </w:pPr>
            <w:r>
              <w:rPr>
                <w:b/>
                <w:sz w:val="24"/>
              </w:rPr>
              <w:t>TAMANO DE LA RED</w:t>
            </w:r>
          </w:p>
        </w:tc>
        <w:tc>
          <w:tcPr>
            <w:tcW w:w="2990" w:type="dxa"/>
          </w:tcPr>
          <w:p>
            <w:pPr>
              <w:pStyle w:val="TableParagraph"/>
              <w:spacing w:line="273" w:lineRule="exact"/>
              <w:ind w:left="673" w:right="666"/>
              <w:rPr>
                <w:b/>
                <w:sz w:val="24"/>
              </w:rPr>
            </w:pPr>
            <w:r>
              <w:rPr>
                <w:b/>
                <w:sz w:val="24"/>
              </w:rPr>
              <w:t>FRECUENCIA</w:t>
            </w:r>
          </w:p>
        </w:tc>
        <w:tc>
          <w:tcPr>
            <w:tcW w:w="2995" w:type="dxa"/>
          </w:tcPr>
          <w:p>
            <w:pPr>
              <w:pStyle w:val="TableParagraph"/>
              <w:spacing w:line="273" w:lineRule="exact"/>
              <w:ind w:right="101"/>
              <w:rPr>
                <w:b/>
                <w:sz w:val="24"/>
              </w:rPr>
            </w:pPr>
            <w:r>
              <w:rPr>
                <w:b/>
                <w:sz w:val="24"/>
              </w:rPr>
              <w:t>PORCENTAJE</w:t>
            </w:r>
          </w:p>
        </w:tc>
      </w:tr>
      <w:tr>
        <w:trPr>
          <w:trHeight w:val="288" w:hRule="exact"/>
        </w:trPr>
        <w:tc>
          <w:tcPr>
            <w:tcW w:w="2995" w:type="dxa"/>
          </w:tcPr>
          <w:p>
            <w:pPr>
              <w:pStyle w:val="TableParagraph"/>
              <w:spacing w:line="273" w:lineRule="exact"/>
              <w:ind w:right="102"/>
              <w:rPr>
                <w:b/>
                <w:sz w:val="24"/>
              </w:rPr>
            </w:pPr>
            <w:r>
              <w:rPr>
                <w:b/>
                <w:sz w:val="24"/>
              </w:rPr>
              <w:t>PEQUENA</w:t>
            </w:r>
          </w:p>
        </w:tc>
        <w:tc>
          <w:tcPr>
            <w:tcW w:w="2990" w:type="dxa"/>
          </w:tcPr>
          <w:p>
            <w:pPr>
              <w:pStyle w:val="TableParagraph"/>
              <w:spacing w:line="273" w:lineRule="exact"/>
              <w:ind w:left="673" w:right="666"/>
              <w:rPr>
                <w:sz w:val="24"/>
              </w:rPr>
            </w:pPr>
            <w:r>
              <w:rPr>
                <w:sz w:val="24"/>
              </w:rPr>
              <w:t>176</w:t>
            </w:r>
          </w:p>
        </w:tc>
        <w:tc>
          <w:tcPr>
            <w:tcW w:w="2995" w:type="dxa"/>
          </w:tcPr>
          <w:p>
            <w:pPr>
              <w:pStyle w:val="TableParagraph"/>
              <w:spacing w:line="273" w:lineRule="exact"/>
              <w:ind w:right="101"/>
              <w:rPr>
                <w:sz w:val="24"/>
              </w:rPr>
            </w:pPr>
            <w:r>
              <w:rPr>
                <w:sz w:val="24"/>
              </w:rPr>
              <w:t>70</w:t>
            </w:r>
          </w:p>
        </w:tc>
      </w:tr>
      <w:tr>
        <w:trPr>
          <w:trHeight w:val="283" w:hRule="exact"/>
        </w:trPr>
        <w:tc>
          <w:tcPr>
            <w:tcW w:w="2995" w:type="dxa"/>
          </w:tcPr>
          <w:p>
            <w:pPr>
              <w:pStyle w:val="TableParagraph"/>
              <w:spacing w:line="273" w:lineRule="exact"/>
              <w:ind w:right="102"/>
              <w:rPr>
                <w:b/>
                <w:sz w:val="24"/>
              </w:rPr>
            </w:pPr>
            <w:r>
              <w:rPr>
                <w:b/>
                <w:sz w:val="24"/>
              </w:rPr>
              <w:t>MEDIANA</w:t>
            </w:r>
          </w:p>
        </w:tc>
        <w:tc>
          <w:tcPr>
            <w:tcW w:w="2990" w:type="dxa"/>
          </w:tcPr>
          <w:p>
            <w:pPr>
              <w:pStyle w:val="TableParagraph"/>
              <w:spacing w:line="273" w:lineRule="exact"/>
              <w:ind w:left="673" w:right="666"/>
              <w:rPr>
                <w:sz w:val="24"/>
              </w:rPr>
            </w:pPr>
            <w:r>
              <w:rPr>
                <w:sz w:val="24"/>
              </w:rPr>
              <w:t>45</w:t>
            </w:r>
          </w:p>
        </w:tc>
        <w:tc>
          <w:tcPr>
            <w:tcW w:w="2995" w:type="dxa"/>
          </w:tcPr>
          <w:p>
            <w:pPr>
              <w:pStyle w:val="TableParagraph"/>
              <w:spacing w:line="273" w:lineRule="exact"/>
              <w:ind w:right="101"/>
              <w:rPr>
                <w:sz w:val="24"/>
              </w:rPr>
            </w:pPr>
            <w:r>
              <w:rPr>
                <w:sz w:val="24"/>
              </w:rPr>
              <w:t>18</w:t>
            </w:r>
          </w:p>
        </w:tc>
      </w:tr>
      <w:tr>
        <w:trPr>
          <w:trHeight w:val="288" w:hRule="exact"/>
        </w:trPr>
        <w:tc>
          <w:tcPr>
            <w:tcW w:w="2995" w:type="dxa"/>
          </w:tcPr>
          <w:p>
            <w:pPr>
              <w:pStyle w:val="TableParagraph"/>
              <w:spacing w:before="1"/>
              <w:ind w:right="102"/>
              <w:rPr>
                <w:b/>
                <w:sz w:val="24"/>
              </w:rPr>
            </w:pPr>
            <w:r>
              <w:rPr>
                <w:b/>
                <w:sz w:val="24"/>
              </w:rPr>
              <w:t>GRANDE</w:t>
            </w:r>
          </w:p>
        </w:tc>
        <w:tc>
          <w:tcPr>
            <w:tcW w:w="2990" w:type="dxa"/>
          </w:tcPr>
          <w:p>
            <w:pPr>
              <w:pStyle w:val="TableParagraph"/>
              <w:spacing w:before="1"/>
              <w:ind w:left="673" w:right="666"/>
              <w:rPr>
                <w:sz w:val="24"/>
              </w:rPr>
            </w:pPr>
            <w:r>
              <w:rPr>
                <w:sz w:val="24"/>
              </w:rPr>
              <w:t>30</w:t>
            </w:r>
          </w:p>
        </w:tc>
        <w:tc>
          <w:tcPr>
            <w:tcW w:w="2995" w:type="dxa"/>
          </w:tcPr>
          <w:p>
            <w:pPr>
              <w:pStyle w:val="TableParagraph"/>
              <w:spacing w:before="1"/>
              <w:ind w:right="101"/>
              <w:rPr>
                <w:sz w:val="24"/>
              </w:rPr>
            </w:pPr>
            <w:r>
              <w:rPr>
                <w:sz w:val="24"/>
              </w:rPr>
              <w:t>12</w:t>
            </w:r>
          </w:p>
        </w:tc>
      </w:tr>
      <w:tr>
        <w:trPr>
          <w:trHeight w:val="288" w:hRule="exact"/>
        </w:trPr>
        <w:tc>
          <w:tcPr>
            <w:tcW w:w="2995" w:type="dxa"/>
          </w:tcPr>
          <w:p>
            <w:pPr>
              <w:pStyle w:val="TableParagraph"/>
              <w:spacing w:line="273" w:lineRule="exact"/>
              <w:ind w:right="102"/>
              <w:rPr>
                <w:b/>
                <w:sz w:val="24"/>
              </w:rPr>
            </w:pPr>
            <w:r>
              <w:rPr>
                <w:b/>
                <w:sz w:val="24"/>
              </w:rPr>
              <w:t>TOTAL</w:t>
            </w:r>
          </w:p>
        </w:tc>
        <w:tc>
          <w:tcPr>
            <w:tcW w:w="2990" w:type="dxa"/>
          </w:tcPr>
          <w:p>
            <w:pPr>
              <w:pStyle w:val="TableParagraph"/>
              <w:spacing w:line="273" w:lineRule="exact"/>
              <w:ind w:left="673" w:right="666"/>
              <w:rPr>
                <w:sz w:val="24"/>
              </w:rPr>
            </w:pPr>
            <w:r>
              <w:rPr>
                <w:sz w:val="24"/>
              </w:rPr>
              <w:t>251</w:t>
            </w:r>
          </w:p>
        </w:tc>
        <w:tc>
          <w:tcPr>
            <w:tcW w:w="2995" w:type="dxa"/>
          </w:tcPr>
          <w:p>
            <w:pPr>
              <w:pStyle w:val="TableParagraph"/>
              <w:spacing w:line="273" w:lineRule="exact"/>
              <w:ind w:right="101"/>
              <w:rPr>
                <w:sz w:val="24"/>
              </w:rPr>
            </w:pPr>
            <w:r>
              <w:rPr>
                <w:sz w:val="24"/>
              </w:rPr>
              <w:t>100</w:t>
            </w:r>
          </w:p>
        </w:tc>
      </w:tr>
    </w:tbl>
    <w:p>
      <w:pPr>
        <w:spacing w:line="273" w:lineRule="exact" w:before="0"/>
        <w:ind w:left="2952" w:right="0" w:firstLine="0"/>
        <w:jc w:val="left"/>
        <w:rPr>
          <w:sz w:val="24"/>
        </w:rPr>
      </w:pPr>
      <w:r>
        <w:rPr>
          <w:b/>
          <w:sz w:val="24"/>
        </w:rPr>
        <w:t>Fuente: </w:t>
      </w:r>
      <w:r>
        <w:rPr>
          <w:sz w:val="24"/>
        </w:rPr>
        <w:t>Escala de ASSIS </w:t>
      </w:r>
      <w:r>
        <w:rPr>
          <w:b/>
          <w:sz w:val="24"/>
        </w:rPr>
        <w:t>Anexo </w:t>
      </w:r>
      <w:r>
        <w:rPr>
          <w:sz w:val="24"/>
        </w:rPr>
        <w:t>5</w:t>
      </w:r>
    </w:p>
    <w:p>
      <w:pPr>
        <w:pStyle w:val="BodyText"/>
        <w:spacing w:before="1"/>
        <w:rPr>
          <w:sz w:val="20"/>
        </w:rPr>
      </w:pPr>
      <w:r>
        <w:rPr/>
        <w:pict>
          <v:group style="position:absolute;margin-left:88.504997pt;margin-top:13.509962pt;width:432.75pt;height:147.950pt;mso-position-horizontal-relative:page;mso-position-vertical-relative:paragraph;z-index:2752;mso-wrap-distance-left:0;mso-wrap-distance-right:0" coordorigin="1770,270" coordsize="8655,2959">
            <v:shape style="position:absolute;left:3550;top:994;width:5462;height:1723" type="#_x0000_t75" stroked="false">
              <v:imagedata r:id="rId34" o:title=""/>
            </v:shape>
            <v:line style="position:absolute" from="3578,2691" to="3515,2691" stroked="true" strokeweight=".75pt" strokecolor="#989898"/>
            <v:line style="position:absolute" from="3578,2188" to="3515,2188" stroked="true" strokeweight=".75pt" strokecolor="#989898"/>
            <v:line style="position:absolute" from="3578,1689" to="3515,1689" stroked="true" strokeweight=".75pt" strokecolor="#989898"/>
            <v:line style="position:absolute" from="3578,2692" to="3578,2754" stroked="true" strokeweight=".75pt" strokecolor="#989898"/>
            <v:line style="position:absolute" from="5090,2692" to="5090,2754" stroked="true" strokeweight=".75pt" strokecolor="#989898"/>
            <v:line style="position:absolute" from="6597,2692" to="6597,2754" stroked="true" strokeweight=".75pt" strokecolor="#989898"/>
            <v:line style="position:absolute" from="8108,2692" to="8108,2754" stroked="true" strokeweight=".75pt" strokecolor="#989898"/>
            <v:rect style="position:absolute;left:1778;top:278;width:8640;height:2944" filled="false" stroked="true" strokeweight=".75pt" strokecolor="#989898"/>
            <v:shape style="position:absolute;left:3146;top:512;width:5910;height:200" type="#_x0000_t202" filled="false" stroked="false">
              <v:textbox inset="0,0,0,0">
                <w:txbxContent>
                  <w:p>
                    <w:pPr>
                      <w:spacing w:line="200" w:lineRule="exact" w:before="0"/>
                      <w:ind w:left="0" w:right="-20" w:firstLine="0"/>
                      <w:jc w:val="left"/>
                      <w:rPr>
                        <w:rFonts w:ascii="Calibri" w:hAnsi="Calibri"/>
                        <w:b/>
                        <w:sz w:val="20"/>
                      </w:rPr>
                    </w:pPr>
                    <w:r>
                      <w:rPr>
                        <w:rFonts w:ascii="Calibri" w:hAnsi="Calibri"/>
                        <w:b/>
                        <w:sz w:val="20"/>
                      </w:rPr>
                      <w:t>GRAFICA #9  DISTRIBUCIÓN DE PACIENTES SEGÚN TAMAÑO DE LA RED.</w:t>
                    </w:r>
                  </w:p>
                </w:txbxContent>
              </v:textbox>
              <w10:wrap type="none"/>
            </v:shape>
            <v:shape style="position:absolute;left:3087;top:1611;width:305;height:1204" type="#_x0000_t202" filled="false" stroked="false">
              <v:textbox inset="0,0,0,0">
                <w:txbxContent>
                  <w:p>
                    <w:pPr>
                      <w:spacing w:line="210" w:lineRule="exact" w:before="0"/>
                      <w:ind w:left="0" w:right="0" w:firstLine="0"/>
                      <w:jc w:val="center"/>
                      <w:rPr>
                        <w:rFonts w:ascii="Calibri"/>
                        <w:sz w:val="20"/>
                      </w:rPr>
                    </w:pPr>
                    <w:r>
                      <w:rPr>
                        <w:rFonts w:ascii="Calibri"/>
                        <w:sz w:val="20"/>
                      </w:rPr>
                      <w:t>100</w:t>
                    </w:r>
                  </w:p>
                  <w:p>
                    <w:pPr>
                      <w:spacing w:line="240" w:lineRule="auto" w:before="4"/>
                      <w:rPr>
                        <w:sz w:val="22"/>
                      </w:rPr>
                    </w:pPr>
                  </w:p>
                  <w:p>
                    <w:pPr>
                      <w:spacing w:before="0"/>
                      <w:ind w:left="101" w:right="0" w:firstLine="0"/>
                      <w:jc w:val="center"/>
                      <w:rPr>
                        <w:rFonts w:ascii="Calibri"/>
                        <w:sz w:val="20"/>
                      </w:rPr>
                    </w:pPr>
                    <w:r>
                      <w:rPr>
                        <w:rFonts w:ascii="Calibri"/>
                        <w:sz w:val="20"/>
                      </w:rPr>
                      <w:t>50</w:t>
                    </w:r>
                  </w:p>
                  <w:p>
                    <w:pPr>
                      <w:spacing w:line="240" w:lineRule="auto" w:before="4"/>
                      <w:rPr>
                        <w:sz w:val="22"/>
                      </w:rPr>
                    </w:pPr>
                  </w:p>
                  <w:p>
                    <w:pPr>
                      <w:spacing w:line="234" w:lineRule="exact" w:before="0"/>
                      <w:ind w:left="202" w:right="0" w:firstLine="0"/>
                      <w:jc w:val="center"/>
                      <w:rPr>
                        <w:rFonts w:ascii="Calibri"/>
                        <w:sz w:val="20"/>
                      </w:rPr>
                    </w:pPr>
                    <w:r>
                      <w:rPr>
                        <w:rFonts w:ascii="Calibri"/>
                        <w:sz w:val="20"/>
                      </w:rPr>
                      <w:t>0</w:t>
                    </w:r>
                  </w:p>
                </w:txbxContent>
              </v:textbox>
              <w10:wrap type="none"/>
            </v:shape>
            <v:shape style="position:absolute;left:3928;top:2862;width:807;height:200" type="#_x0000_t202" filled="false" stroked="false">
              <v:textbox inset="0,0,0,0">
                <w:txbxContent>
                  <w:p>
                    <w:pPr>
                      <w:spacing w:line="200" w:lineRule="exact" w:before="0"/>
                      <w:ind w:left="0" w:right="-20" w:firstLine="0"/>
                      <w:jc w:val="left"/>
                      <w:rPr>
                        <w:rFonts w:ascii="Calibri" w:hAnsi="Calibri"/>
                        <w:sz w:val="20"/>
                      </w:rPr>
                    </w:pPr>
                    <w:r>
                      <w:rPr>
                        <w:rFonts w:ascii="Calibri" w:hAnsi="Calibri"/>
                        <w:sz w:val="20"/>
                      </w:rPr>
                      <w:t>PEQUEÑA</w:t>
                    </w:r>
                  </w:p>
                </w:txbxContent>
              </v:textbox>
              <w10:wrap type="none"/>
            </v:shape>
            <v:shape style="position:absolute;left:5439;top:2862;width:803;height:200" type="#_x0000_t202" filled="false" stroked="false">
              <v:textbox inset="0,0,0,0">
                <w:txbxContent>
                  <w:p>
                    <w:pPr>
                      <w:spacing w:line="200" w:lineRule="exact" w:before="0"/>
                      <w:ind w:left="0" w:right="-20" w:firstLine="0"/>
                      <w:jc w:val="left"/>
                      <w:rPr>
                        <w:rFonts w:ascii="Calibri"/>
                        <w:sz w:val="20"/>
                      </w:rPr>
                    </w:pPr>
                    <w:r>
                      <w:rPr>
                        <w:rFonts w:ascii="Calibri"/>
                        <w:sz w:val="20"/>
                      </w:rPr>
                      <w:t>MEDIANA</w:t>
                    </w:r>
                  </w:p>
                </w:txbxContent>
              </v:textbox>
              <w10:wrap type="none"/>
            </v:shape>
            <v:shape style="position:absolute;left:7005;top:2862;width:701;height:200" type="#_x0000_t202" filled="false" stroked="false">
              <v:textbox inset="0,0,0,0">
                <w:txbxContent>
                  <w:p>
                    <w:pPr>
                      <w:spacing w:line="200" w:lineRule="exact" w:before="0"/>
                      <w:ind w:left="0" w:right="-20" w:firstLine="0"/>
                      <w:jc w:val="left"/>
                      <w:rPr>
                        <w:rFonts w:ascii="Calibri"/>
                        <w:sz w:val="20"/>
                      </w:rPr>
                    </w:pPr>
                    <w:r>
                      <w:rPr>
                        <w:rFonts w:ascii="Calibri"/>
                        <w:sz w:val="20"/>
                      </w:rPr>
                      <w:t>GRANDE</w:t>
                    </w:r>
                  </w:p>
                </w:txbxContent>
              </v:textbox>
              <w10:wrap type="none"/>
            </v:shape>
            <w10:wrap type="topAndBottom"/>
          </v:group>
        </w:pict>
      </w:r>
    </w:p>
    <w:p>
      <w:pPr>
        <w:spacing w:before="118"/>
        <w:ind w:left="3063" w:right="0" w:firstLine="0"/>
        <w:jc w:val="left"/>
        <w:rPr>
          <w:sz w:val="24"/>
        </w:rPr>
      </w:pPr>
      <w:r>
        <w:rPr>
          <w:b/>
          <w:sz w:val="24"/>
        </w:rPr>
        <w:t>Fuente: </w:t>
      </w:r>
      <w:r>
        <w:rPr>
          <w:sz w:val="24"/>
        </w:rPr>
        <w:t>Escala de ASSIS. </w:t>
      </w:r>
      <w:r>
        <w:rPr>
          <w:b/>
          <w:sz w:val="24"/>
        </w:rPr>
        <w:t>Anexo </w:t>
      </w:r>
      <w:r>
        <w:rPr>
          <w:sz w:val="24"/>
        </w:rPr>
        <w:t>5</w:t>
      </w:r>
    </w:p>
    <w:p>
      <w:pPr>
        <w:pStyle w:val="Heading1"/>
        <w:spacing w:before="175"/>
        <w:ind w:left="368"/>
      </w:pPr>
      <w:r>
        <w:rPr/>
        <w:t>TABLA#10  DISTRIBUCIÓN DE PACIENTES SEGÚN DENSIDAD DE LA RED.</w:t>
      </w: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95"/>
        <w:gridCol w:w="2990"/>
        <w:gridCol w:w="2995"/>
      </w:tblGrid>
      <w:tr>
        <w:trPr>
          <w:trHeight w:val="562" w:hRule="exact"/>
        </w:trPr>
        <w:tc>
          <w:tcPr>
            <w:tcW w:w="2995" w:type="dxa"/>
          </w:tcPr>
          <w:p>
            <w:pPr>
              <w:pStyle w:val="TableParagraph"/>
              <w:spacing w:line="242" w:lineRule="auto"/>
              <w:ind w:left="1033" w:right="562" w:hanging="450"/>
              <w:jc w:val="left"/>
              <w:rPr>
                <w:b/>
                <w:sz w:val="24"/>
              </w:rPr>
            </w:pPr>
            <w:r>
              <w:rPr>
                <w:b/>
                <w:sz w:val="24"/>
              </w:rPr>
              <w:t>DENSIDAD RED SOCIAL</w:t>
            </w:r>
          </w:p>
        </w:tc>
        <w:tc>
          <w:tcPr>
            <w:tcW w:w="2990" w:type="dxa"/>
          </w:tcPr>
          <w:p>
            <w:pPr>
              <w:pStyle w:val="TableParagraph"/>
              <w:spacing w:before="136"/>
              <w:ind w:left="673" w:right="666"/>
              <w:rPr>
                <w:b/>
                <w:sz w:val="24"/>
              </w:rPr>
            </w:pPr>
            <w:r>
              <w:rPr>
                <w:b/>
                <w:sz w:val="24"/>
              </w:rPr>
              <w:t>FRECUENCIA</w:t>
            </w:r>
          </w:p>
        </w:tc>
        <w:tc>
          <w:tcPr>
            <w:tcW w:w="2995" w:type="dxa"/>
          </w:tcPr>
          <w:p>
            <w:pPr>
              <w:pStyle w:val="TableParagraph"/>
              <w:spacing w:before="136"/>
              <w:ind w:right="101"/>
              <w:rPr>
                <w:b/>
                <w:sz w:val="24"/>
              </w:rPr>
            </w:pPr>
            <w:r>
              <w:rPr>
                <w:b/>
                <w:sz w:val="24"/>
              </w:rPr>
              <w:t>PORCENTAJE</w:t>
            </w:r>
          </w:p>
        </w:tc>
      </w:tr>
      <w:tr>
        <w:trPr>
          <w:trHeight w:val="288" w:hRule="exact"/>
        </w:trPr>
        <w:tc>
          <w:tcPr>
            <w:tcW w:w="2995" w:type="dxa"/>
          </w:tcPr>
          <w:p>
            <w:pPr>
              <w:pStyle w:val="TableParagraph"/>
              <w:spacing w:line="273" w:lineRule="exact"/>
              <w:ind w:right="102"/>
              <w:rPr>
                <w:b/>
                <w:sz w:val="24"/>
              </w:rPr>
            </w:pPr>
            <w:r>
              <w:rPr>
                <w:b/>
                <w:sz w:val="24"/>
              </w:rPr>
              <w:t>DENSAS</w:t>
            </w:r>
          </w:p>
        </w:tc>
        <w:tc>
          <w:tcPr>
            <w:tcW w:w="2990" w:type="dxa"/>
          </w:tcPr>
          <w:p>
            <w:pPr>
              <w:pStyle w:val="TableParagraph"/>
              <w:spacing w:line="273" w:lineRule="exact"/>
              <w:ind w:left="673" w:right="666"/>
              <w:rPr>
                <w:sz w:val="24"/>
              </w:rPr>
            </w:pPr>
            <w:r>
              <w:rPr>
                <w:sz w:val="24"/>
              </w:rPr>
              <w:t>248</w:t>
            </w:r>
          </w:p>
        </w:tc>
        <w:tc>
          <w:tcPr>
            <w:tcW w:w="2995" w:type="dxa"/>
          </w:tcPr>
          <w:p>
            <w:pPr>
              <w:pStyle w:val="TableParagraph"/>
              <w:spacing w:line="273" w:lineRule="exact"/>
              <w:ind w:right="101"/>
              <w:rPr>
                <w:sz w:val="24"/>
              </w:rPr>
            </w:pPr>
            <w:r>
              <w:rPr>
                <w:sz w:val="24"/>
              </w:rPr>
              <w:t>99</w:t>
            </w:r>
          </w:p>
        </w:tc>
      </w:tr>
      <w:tr>
        <w:trPr>
          <w:trHeight w:val="283" w:hRule="exact"/>
        </w:trPr>
        <w:tc>
          <w:tcPr>
            <w:tcW w:w="2995" w:type="dxa"/>
          </w:tcPr>
          <w:p>
            <w:pPr>
              <w:pStyle w:val="TableParagraph"/>
              <w:spacing w:line="273" w:lineRule="exact"/>
              <w:ind w:right="102"/>
              <w:rPr>
                <w:b/>
                <w:sz w:val="24"/>
              </w:rPr>
            </w:pPr>
            <w:r>
              <w:rPr>
                <w:b/>
                <w:sz w:val="24"/>
              </w:rPr>
              <w:t>NO DENSAS</w:t>
            </w:r>
          </w:p>
        </w:tc>
        <w:tc>
          <w:tcPr>
            <w:tcW w:w="2990" w:type="dxa"/>
          </w:tcPr>
          <w:p>
            <w:pPr>
              <w:pStyle w:val="TableParagraph"/>
              <w:spacing w:line="273" w:lineRule="exact"/>
              <w:ind w:left="7"/>
              <w:rPr>
                <w:sz w:val="24"/>
              </w:rPr>
            </w:pPr>
            <w:r>
              <w:rPr>
                <w:sz w:val="24"/>
              </w:rPr>
              <w:t>3</w:t>
            </w:r>
          </w:p>
        </w:tc>
        <w:tc>
          <w:tcPr>
            <w:tcW w:w="2995" w:type="dxa"/>
          </w:tcPr>
          <w:p>
            <w:pPr>
              <w:pStyle w:val="TableParagraph"/>
              <w:spacing w:line="273" w:lineRule="exact"/>
              <w:ind w:left="2"/>
              <w:rPr>
                <w:sz w:val="24"/>
              </w:rPr>
            </w:pPr>
            <w:r>
              <w:rPr>
                <w:sz w:val="24"/>
              </w:rPr>
              <w:t>1</w:t>
            </w:r>
          </w:p>
        </w:tc>
      </w:tr>
      <w:tr>
        <w:trPr>
          <w:trHeight w:val="288" w:hRule="exact"/>
        </w:trPr>
        <w:tc>
          <w:tcPr>
            <w:tcW w:w="2995" w:type="dxa"/>
          </w:tcPr>
          <w:p>
            <w:pPr>
              <w:pStyle w:val="TableParagraph"/>
              <w:spacing w:line="273" w:lineRule="exact"/>
              <w:ind w:right="102"/>
              <w:rPr>
                <w:b/>
                <w:sz w:val="24"/>
              </w:rPr>
            </w:pPr>
            <w:r>
              <w:rPr>
                <w:b/>
                <w:sz w:val="24"/>
              </w:rPr>
              <w:t>TOTAL</w:t>
            </w:r>
          </w:p>
        </w:tc>
        <w:tc>
          <w:tcPr>
            <w:tcW w:w="2990" w:type="dxa"/>
          </w:tcPr>
          <w:p>
            <w:pPr>
              <w:pStyle w:val="TableParagraph"/>
              <w:spacing w:line="273" w:lineRule="exact"/>
              <w:ind w:left="673" w:right="666"/>
              <w:rPr>
                <w:sz w:val="24"/>
              </w:rPr>
            </w:pPr>
            <w:r>
              <w:rPr>
                <w:sz w:val="24"/>
              </w:rPr>
              <w:t>251</w:t>
            </w:r>
          </w:p>
        </w:tc>
        <w:tc>
          <w:tcPr>
            <w:tcW w:w="2995" w:type="dxa"/>
          </w:tcPr>
          <w:p>
            <w:pPr>
              <w:pStyle w:val="TableParagraph"/>
              <w:spacing w:line="273" w:lineRule="exact"/>
              <w:ind w:right="101"/>
              <w:rPr>
                <w:sz w:val="24"/>
              </w:rPr>
            </w:pPr>
            <w:r>
              <w:rPr>
                <w:sz w:val="24"/>
              </w:rPr>
              <w:t>100</w:t>
            </w:r>
          </w:p>
        </w:tc>
      </w:tr>
    </w:tbl>
    <w:p>
      <w:pPr>
        <w:spacing w:line="273" w:lineRule="exact" w:before="0"/>
        <w:ind w:left="2952" w:right="0" w:firstLine="0"/>
        <w:jc w:val="left"/>
        <w:rPr>
          <w:sz w:val="24"/>
        </w:rPr>
      </w:pPr>
      <w:r>
        <w:rPr>
          <w:b/>
          <w:sz w:val="24"/>
        </w:rPr>
        <w:t>Fuente: </w:t>
      </w:r>
      <w:r>
        <w:rPr>
          <w:sz w:val="24"/>
        </w:rPr>
        <w:t>Escala de ASSIS </w:t>
      </w:r>
      <w:r>
        <w:rPr>
          <w:b/>
          <w:sz w:val="24"/>
        </w:rPr>
        <w:t>Anexo </w:t>
      </w:r>
      <w:r>
        <w:rPr>
          <w:sz w:val="24"/>
        </w:rPr>
        <w:t>5</w:t>
      </w:r>
    </w:p>
    <w:p>
      <w:pPr>
        <w:pStyle w:val="BodyText"/>
        <w:spacing w:before="9"/>
        <w:rPr>
          <w:sz w:val="11"/>
        </w:rPr>
      </w:pPr>
      <w:r>
        <w:rPr/>
        <w:pict>
          <v:group style="position:absolute;margin-left:93.555pt;margin-top:8.769277pt;width:421.75pt;height:216.75pt;mso-position-horizontal-relative:page;mso-position-vertical-relative:paragraph;z-index:2920;mso-wrap-distance-left:0;mso-wrap-distance-right:0" coordorigin="1871,175" coordsize="8435,4335">
            <v:shape style="position:absolute;left:2734;top:898;width:5582;height:3101" type="#_x0000_t75" stroked="false">
              <v:imagedata r:id="rId35" o:title=""/>
            </v:shape>
            <v:line style="position:absolute" from="2767,3964" to="2704,3964" stroked="true" strokeweight=".75pt" strokecolor="#989898"/>
            <v:line style="position:absolute" from="2767,3485" to="2704,3485" stroked="true" strokeweight=".75pt" strokecolor="#989898"/>
            <v:line style="position:absolute" from="2767,3000" to="2704,3000" stroked="true" strokeweight=".75pt" strokecolor="#989898"/>
            <v:line style="position:absolute" from="2767,2520" to="2704,2520" stroked="true" strokeweight=".75pt" strokecolor="#989898"/>
            <v:line style="position:absolute" from="2767,2040" to="2704,2040" stroked="true" strokeweight=".75pt" strokecolor="#989898"/>
            <v:line style="position:absolute" from="2767,1560" to="2704,1560" stroked="true" strokeweight=".75pt" strokecolor="#989898"/>
            <v:line style="position:absolute" from="2767,3965" to="2767,4028" stroked="true" strokeweight=".75pt" strokecolor="#989898"/>
            <v:line style="position:absolute" from="5114,3965" to="5114,4028" stroked="true" strokeweight=".75pt" strokecolor="#989898"/>
            <v:line style="position:absolute" from="7456,3965" to="7456,4028" stroked="true" strokeweight=".75pt" strokecolor="#989898"/>
            <v:shape style="position:absolute;left:8918;top:2317;width:110;height:110" type="#_x0000_t75" stroked="false">
              <v:imagedata r:id="rId29" o:title=""/>
            </v:shape>
            <v:rect style="position:absolute;left:8918;top:2719;width:110;height:110" filled="true" fillcolor="#aac46c" stroked="false">
              <v:fill type="solid"/>
            </v:rect>
            <v:rect style="position:absolute;left:1879;top:183;width:8420;height:4320" filled="false" stroked="true" strokeweight=".75pt" strokecolor="#989898"/>
            <v:shape style="position:absolute;left:3037;top:417;width:6105;height:200" type="#_x0000_t202" filled="false" stroked="false">
              <v:textbox inset="0,0,0,0">
                <w:txbxContent>
                  <w:p>
                    <w:pPr>
                      <w:spacing w:line="200" w:lineRule="exact" w:before="0"/>
                      <w:ind w:left="0" w:right="-19" w:firstLine="0"/>
                      <w:jc w:val="left"/>
                      <w:rPr>
                        <w:rFonts w:ascii="Calibri" w:hAnsi="Calibri"/>
                        <w:b/>
                        <w:sz w:val="20"/>
                      </w:rPr>
                    </w:pPr>
                    <w:r>
                      <w:rPr>
                        <w:rFonts w:ascii="Calibri" w:hAnsi="Calibri"/>
                        <w:b/>
                        <w:sz w:val="20"/>
                      </w:rPr>
                      <w:t>GRAFICA #10  DISTRIBUCIÓN DE PACIENTES SEGÚN DENSIDAD DE LA RED.</w:t>
                    </w:r>
                  </w:p>
                </w:txbxContent>
              </v:textbox>
              <w10:wrap type="none"/>
            </v:shape>
            <v:shape style="position:absolute;left:2277;top:1484;width:305;height:1162" type="#_x0000_t202" filled="false" stroked="false">
              <v:textbox inset="0,0,0,0">
                <w:txbxContent>
                  <w:p>
                    <w:pPr>
                      <w:spacing w:line="210" w:lineRule="exact" w:before="0"/>
                      <w:ind w:left="0" w:right="-20" w:firstLine="0"/>
                      <w:jc w:val="left"/>
                      <w:rPr>
                        <w:rFonts w:ascii="Calibri"/>
                        <w:sz w:val="20"/>
                      </w:rPr>
                    </w:pPr>
                    <w:r>
                      <w:rPr>
                        <w:rFonts w:ascii="Calibri"/>
                        <w:sz w:val="20"/>
                      </w:rPr>
                      <w:t>250</w:t>
                    </w:r>
                  </w:p>
                  <w:p>
                    <w:pPr>
                      <w:spacing w:line="240" w:lineRule="auto" w:before="6"/>
                      <w:rPr>
                        <w:sz w:val="20"/>
                      </w:rPr>
                    </w:pPr>
                  </w:p>
                  <w:p>
                    <w:pPr>
                      <w:spacing w:before="0"/>
                      <w:ind w:left="0" w:right="-20" w:firstLine="0"/>
                      <w:jc w:val="left"/>
                      <w:rPr>
                        <w:rFonts w:ascii="Calibri"/>
                        <w:sz w:val="20"/>
                      </w:rPr>
                    </w:pPr>
                    <w:r>
                      <w:rPr>
                        <w:rFonts w:ascii="Calibri"/>
                        <w:sz w:val="20"/>
                      </w:rPr>
                      <w:t>200</w:t>
                    </w:r>
                  </w:p>
                  <w:p>
                    <w:pPr>
                      <w:spacing w:line="240" w:lineRule="auto" w:before="6"/>
                      <w:rPr>
                        <w:sz w:val="20"/>
                      </w:rPr>
                    </w:pPr>
                  </w:p>
                  <w:p>
                    <w:pPr>
                      <w:spacing w:line="234" w:lineRule="exact" w:before="0"/>
                      <w:ind w:left="0" w:right="-20" w:firstLine="0"/>
                      <w:jc w:val="left"/>
                      <w:rPr>
                        <w:rFonts w:ascii="Calibri"/>
                        <w:sz w:val="20"/>
                      </w:rPr>
                    </w:pPr>
                    <w:r>
                      <w:rPr>
                        <w:rFonts w:ascii="Calibri"/>
                        <w:sz w:val="20"/>
                      </w:rPr>
                      <w:t>150</w:t>
                    </w:r>
                  </w:p>
                </w:txbxContent>
              </v:textbox>
              <w10:wrap type="none"/>
            </v:shape>
            <v:shape style="position:absolute;left:9073;top:2294;width:957;height:602" type="#_x0000_t202" filled="false" stroked="false">
              <v:textbox inset="0,0,0,0">
                <w:txbxContent>
                  <w:p>
                    <w:pPr>
                      <w:spacing w:line="210" w:lineRule="exact" w:before="0"/>
                      <w:ind w:left="0" w:right="-20" w:firstLine="0"/>
                      <w:jc w:val="left"/>
                      <w:rPr>
                        <w:rFonts w:ascii="Calibri"/>
                        <w:sz w:val="20"/>
                      </w:rPr>
                    </w:pPr>
                    <w:r>
                      <w:rPr>
                        <w:rFonts w:ascii="Calibri"/>
                        <w:sz w:val="20"/>
                      </w:rPr>
                      <w:t>DENSAS</w:t>
                    </w:r>
                  </w:p>
                  <w:p>
                    <w:pPr>
                      <w:spacing w:line="234" w:lineRule="exact" w:before="157"/>
                      <w:ind w:left="0" w:right="-20" w:firstLine="0"/>
                      <w:jc w:val="left"/>
                      <w:rPr>
                        <w:rFonts w:ascii="Calibri"/>
                        <w:sz w:val="20"/>
                      </w:rPr>
                    </w:pPr>
                    <w:r>
                      <w:rPr>
                        <w:rFonts w:ascii="Calibri"/>
                        <w:sz w:val="20"/>
                      </w:rPr>
                      <w:t>NO DENSAS</w:t>
                    </w:r>
                  </w:p>
                </w:txbxContent>
              </v:textbox>
              <w10:wrap type="none"/>
            </v:shape>
            <v:shape style="position:absolute;left:2277;top:2926;width:305;height:1162" type="#_x0000_t202" filled="false" stroked="false">
              <v:textbox inset="0,0,0,0">
                <w:txbxContent>
                  <w:p>
                    <w:pPr>
                      <w:spacing w:line="210" w:lineRule="exact" w:before="0"/>
                      <w:ind w:left="0" w:right="0" w:firstLine="0"/>
                      <w:jc w:val="center"/>
                      <w:rPr>
                        <w:rFonts w:ascii="Calibri"/>
                        <w:sz w:val="20"/>
                      </w:rPr>
                    </w:pPr>
                    <w:r>
                      <w:rPr>
                        <w:rFonts w:ascii="Calibri"/>
                        <w:sz w:val="20"/>
                      </w:rPr>
                      <w:t>100</w:t>
                    </w:r>
                  </w:p>
                  <w:p>
                    <w:pPr>
                      <w:spacing w:line="240" w:lineRule="auto" w:before="6"/>
                      <w:rPr>
                        <w:sz w:val="20"/>
                      </w:rPr>
                    </w:pPr>
                  </w:p>
                  <w:p>
                    <w:pPr>
                      <w:spacing w:before="0"/>
                      <w:ind w:left="101" w:right="0" w:firstLine="0"/>
                      <w:jc w:val="center"/>
                      <w:rPr>
                        <w:rFonts w:ascii="Calibri"/>
                        <w:sz w:val="20"/>
                      </w:rPr>
                    </w:pPr>
                    <w:r>
                      <w:rPr>
                        <w:rFonts w:ascii="Calibri"/>
                        <w:sz w:val="20"/>
                      </w:rPr>
                      <w:t>50</w:t>
                    </w:r>
                  </w:p>
                  <w:p>
                    <w:pPr>
                      <w:spacing w:line="240" w:lineRule="auto" w:before="6"/>
                      <w:rPr>
                        <w:sz w:val="20"/>
                      </w:rPr>
                    </w:pPr>
                  </w:p>
                  <w:p>
                    <w:pPr>
                      <w:spacing w:line="234" w:lineRule="exact" w:before="0"/>
                      <w:ind w:left="202" w:right="0" w:firstLine="0"/>
                      <w:jc w:val="center"/>
                      <w:rPr>
                        <w:rFonts w:ascii="Calibri"/>
                        <w:sz w:val="20"/>
                      </w:rPr>
                    </w:pPr>
                    <w:r>
                      <w:rPr>
                        <w:rFonts w:ascii="Calibri"/>
                        <w:sz w:val="20"/>
                      </w:rPr>
                      <w:t>0</w:t>
                    </w:r>
                  </w:p>
                </w:txbxContent>
              </v:textbox>
              <w10:wrap type="none"/>
            </v:shape>
            <v:shape style="position:absolute;left:3615;top:4136;width:650;height:200" type="#_x0000_t202" filled="false" stroked="false">
              <v:textbox inset="0,0,0,0">
                <w:txbxContent>
                  <w:p>
                    <w:pPr>
                      <w:spacing w:line="200" w:lineRule="exact" w:before="0"/>
                      <w:ind w:left="0" w:right="-20" w:firstLine="0"/>
                      <w:jc w:val="left"/>
                      <w:rPr>
                        <w:rFonts w:ascii="Calibri"/>
                        <w:sz w:val="20"/>
                      </w:rPr>
                    </w:pPr>
                    <w:r>
                      <w:rPr>
                        <w:rFonts w:ascii="Calibri"/>
                        <w:sz w:val="20"/>
                      </w:rPr>
                      <w:t>DENSAS</w:t>
                    </w:r>
                  </w:p>
                </w:txbxContent>
              </v:textbox>
              <w10:wrap type="none"/>
            </v:shape>
            <v:shape style="position:absolute;left:5807;top:4136;width:957;height:200" type="#_x0000_t202" filled="false" stroked="false">
              <v:textbox inset="0,0,0,0">
                <w:txbxContent>
                  <w:p>
                    <w:pPr>
                      <w:spacing w:line="200" w:lineRule="exact" w:before="0"/>
                      <w:ind w:left="0" w:right="-20" w:firstLine="0"/>
                      <w:jc w:val="left"/>
                      <w:rPr>
                        <w:rFonts w:ascii="Calibri"/>
                        <w:sz w:val="20"/>
                      </w:rPr>
                    </w:pPr>
                    <w:r>
                      <w:rPr>
                        <w:rFonts w:ascii="Calibri"/>
                        <w:sz w:val="20"/>
                      </w:rPr>
                      <w:t>NO DENSAS</w:t>
                    </w:r>
                  </w:p>
                </w:txbxContent>
              </v:textbox>
              <w10:wrap type="none"/>
            </v:shape>
            <w10:wrap type="topAndBottom"/>
          </v:group>
        </w:pict>
      </w:r>
    </w:p>
    <w:p>
      <w:pPr>
        <w:pStyle w:val="BodyText"/>
        <w:spacing w:before="3"/>
        <w:rPr>
          <w:sz w:val="7"/>
        </w:rPr>
      </w:pPr>
    </w:p>
    <w:p>
      <w:pPr>
        <w:spacing w:before="69"/>
        <w:ind w:left="3240" w:right="0" w:firstLine="0"/>
        <w:jc w:val="left"/>
        <w:rPr>
          <w:sz w:val="24"/>
        </w:rPr>
      </w:pPr>
      <w:r>
        <w:rPr>
          <w:b/>
          <w:sz w:val="24"/>
        </w:rPr>
        <w:t>Fuente: </w:t>
      </w:r>
      <w:r>
        <w:rPr>
          <w:sz w:val="24"/>
        </w:rPr>
        <w:t>Escala de ASSIS. </w:t>
      </w:r>
      <w:r>
        <w:rPr>
          <w:b/>
          <w:sz w:val="24"/>
        </w:rPr>
        <w:t>Anexo </w:t>
      </w:r>
      <w:r>
        <w:rPr>
          <w:sz w:val="24"/>
        </w:rPr>
        <w:t>5</w:t>
      </w:r>
    </w:p>
    <w:p>
      <w:pPr>
        <w:spacing w:after="0"/>
        <w:jc w:val="left"/>
        <w:rPr>
          <w:sz w:val="24"/>
        </w:rPr>
        <w:sectPr>
          <w:footerReference w:type="default" r:id="rId33"/>
          <w:pgSz w:w="12240" w:h="15840"/>
          <w:pgMar w:footer="915" w:header="0" w:top="1360" w:bottom="1100" w:left="1480" w:right="1560"/>
          <w:pgNumType w:start="51"/>
        </w:sectPr>
      </w:pPr>
    </w:p>
    <w:p>
      <w:pPr>
        <w:pStyle w:val="Heading1"/>
        <w:spacing w:before="50" w:after="6"/>
        <w:ind w:left="271"/>
      </w:pPr>
      <w:r>
        <w:rPr/>
        <w:t>TABLA#11  DISTRIBUCIÓN DE PACIENTES SEGÚN SEXO DEL PROVEEDOR.</w:t>
      </w: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95"/>
        <w:gridCol w:w="2990"/>
        <w:gridCol w:w="2995"/>
      </w:tblGrid>
      <w:tr>
        <w:trPr>
          <w:trHeight w:val="562" w:hRule="exact"/>
        </w:trPr>
        <w:tc>
          <w:tcPr>
            <w:tcW w:w="2995" w:type="dxa"/>
          </w:tcPr>
          <w:p>
            <w:pPr>
              <w:pStyle w:val="TableParagraph"/>
              <w:spacing w:line="274" w:lineRule="exact" w:before="1"/>
              <w:ind w:left="726" w:right="706" w:firstLine="163"/>
              <w:jc w:val="left"/>
              <w:rPr>
                <w:b/>
                <w:sz w:val="24"/>
              </w:rPr>
            </w:pPr>
            <w:r>
              <w:rPr>
                <w:b/>
                <w:sz w:val="24"/>
              </w:rPr>
              <w:t>SEXO DEL PROVEEDOR</w:t>
            </w:r>
          </w:p>
        </w:tc>
        <w:tc>
          <w:tcPr>
            <w:tcW w:w="2990" w:type="dxa"/>
          </w:tcPr>
          <w:p>
            <w:pPr>
              <w:pStyle w:val="TableParagraph"/>
              <w:spacing w:before="136"/>
              <w:ind w:left="673" w:right="666"/>
              <w:rPr>
                <w:b/>
                <w:sz w:val="24"/>
              </w:rPr>
            </w:pPr>
            <w:r>
              <w:rPr>
                <w:b/>
                <w:sz w:val="24"/>
              </w:rPr>
              <w:t>FRECUENCIA</w:t>
            </w:r>
          </w:p>
        </w:tc>
        <w:tc>
          <w:tcPr>
            <w:tcW w:w="2995" w:type="dxa"/>
          </w:tcPr>
          <w:p>
            <w:pPr>
              <w:pStyle w:val="TableParagraph"/>
              <w:spacing w:before="136"/>
              <w:ind w:right="101"/>
              <w:rPr>
                <w:b/>
                <w:sz w:val="24"/>
              </w:rPr>
            </w:pPr>
            <w:r>
              <w:rPr>
                <w:b/>
                <w:sz w:val="24"/>
              </w:rPr>
              <w:t>PORCENTAJE</w:t>
            </w:r>
          </w:p>
        </w:tc>
      </w:tr>
      <w:tr>
        <w:trPr>
          <w:trHeight w:val="283" w:hRule="exact"/>
        </w:trPr>
        <w:tc>
          <w:tcPr>
            <w:tcW w:w="2995" w:type="dxa"/>
          </w:tcPr>
          <w:p>
            <w:pPr>
              <w:pStyle w:val="TableParagraph"/>
              <w:spacing w:line="273" w:lineRule="exact"/>
              <w:ind w:right="102"/>
              <w:rPr>
                <w:b/>
                <w:sz w:val="24"/>
              </w:rPr>
            </w:pPr>
            <w:r>
              <w:rPr>
                <w:b/>
                <w:sz w:val="24"/>
              </w:rPr>
              <w:t>MASCULINO</w:t>
            </w:r>
          </w:p>
        </w:tc>
        <w:tc>
          <w:tcPr>
            <w:tcW w:w="2990" w:type="dxa"/>
          </w:tcPr>
          <w:p>
            <w:pPr>
              <w:pStyle w:val="TableParagraph"/>
              <w:spacing w:line="273" w:lineRule="exact"/>
              <w:ind w:left="673" w:right="666"/>
              <w:rPr>
                <w:sz w:val="24"/>
              </w:rPr>
            </w:pPr>
            <w:r>
              <w:rPr>
                <w:sz w:val="24"/>
              </w:rPr>
              <w:t>98</w:t>
            </w:r>
          </w:p>
        </w:tc>
        <w:tc>
          <w:tcPr>
            <w:tcW w:w="2995" w:type="dxa"/>
          </w:tcPr>
          <w:p>
            <w:pPr>
              <w:pStyle w:val="TableParagraph"/>
              <w:spacing w:line="273" w:lineRule="exact"/>
              <w:ind w:right="101"/>
              <w:rPr>
                <w:sz w:val="24"/>
              </w:rPr>
            </w:pPr>
            <w:r>
              <w:rPr>
                <w:sz w:val="24"/>
              </w:rPr>
              <w:t>39</w:t>
            </w:r>
          </w:p>
        </w:tc>
      </w:tr>
      <w:tr>
        <w:trPr>
          <w:trHeight w:val="288" w:hRule="exact"/>
        </w:trPr>
        <w:tc>
          <w:tcPr>
            <w:tcW w:w="2995" w:type="dxa"/>
          </w:tcPr>
          <w:p>
            <w:pPr>
              <w:pStyle w:val="TableParagraph"/>
              <w:spacing w:line="273" w:lineRule="exact"/>
              <w:ind w:right="102"/>
              <w:rPr>
                <w:b/>
                <w:sz w:val="24"/>
              </w:rPr>
            </w:pPr>
            <w:r>
              <w:rPr>
                <w:b/>
                <w:sz w:val="24"/>
              </w:rPr>
              <w:t>FEMENINO</w:t>
            </w:r>
          </w:p>
        </w:tc>
        <w:tc>
          <w:tcPr>
            <w:tcW w:w="2990" w:type="dxa"/>
          </w:tcPr>
          <w:p>
            <w:pPr>
              <w:pStyle w:val="TableParagraph"/>
              <w:spacing w:line="273" w:lineRule="exact"/>
              <w:ind w:left="673" w:right="666"/>
              <w:rPr>
                <w:sz w:val="24"/>
              </w:rPr>
            </w:pPr>
            <w:r>
              <w:rPr>
                <w:sz w:val="24"/>
              </w:rPr>
              <w:t>153</w:t>
            </w:r>
          </w:p>
        </w:tc>
        <w:tc>
          <w:tcPr>
            <w:tcW w:w="2995" w:type="dxa"/>
          </w:tcPr>
          <w:p>
            <w:pPr>
              <w:pStyle w:val="TableParagraph"/>
              <w:spacing w:line="273" w:lineRule="exact"/>
              <w:ind w:right="101"/>
              <w:rPr>
                <w:sz w:val="24"/>
              </w:rPr>
            </w:pPr>
            <w:r>
              <w:rPr>
                <w:sz w:val="24"/>
              </w:rPr>
              <w:t>61</w:t>
            </w:r>
          </w:p>
        </w:tc>
      </w:tr>
      <w:tr>
        <w:trPr>
          <w:trHeight w:val="288" w:hRule="exact"/>
        </w:trPr>
        <w:tc>
          <w:tcPr>
            <w:tcW w:w="2995" w:type="dxa"/>
          </w:tcPr>
          <w:p>
            <w:pPr>
              <w:pStyle w:val="TableParagraph"/>
              <w:spacing w:line="273" w:lineRule="exact"/>
              <w:ind w:right="102"/>
              <w:rPr>
                <w:b/>
                <w:sz w:val="24"/>
              </w:rPr>
            </w:pPr>
            <w:r>
              <w:rPr>
                <w:b/>
                <w:sz w:val="24"/>
              </w:rPr>
              <w:t>TOTAL</w:t>
            </w:r>
          </w:p>
        </w:tc>
        <w:tc>
          <w:tcPr>
            <w:tcW w:w="2990" w:type="dxa"/>
          </w:tcPr>
          <w:p>
            <w:pPr>
              <w:pStyle w:val="TableParagraph"/>
              <w:spacing w:line="273" w:lineRule="exact"/>
              <w:ind w:left="673" w:right="666"/>
              <w:rPr>
                <w:sz w:val="24"/>
              </w:rPr>
            </w:pPr>
            <w:r>
              <w:rPr>
                <w:sz w:val="24"/>
              </w:rPr>
              <w:t>251</w:t>
            </w:r>
          </w:p>
        </w:tc>
        <w:tc>
          <w:tcPr>
            <w:tcW w:w="2995" w:type="dxa"/>
          </w:tcPr>
          <w:p>
            <w:pPr>
              <w:pStyle w:val="TableParagraph"/>
              <w:spacing w:line="273" w:lineRule="exact"/>
              <w:ind w:right="101"/>
              <w:rPr>
                <w:sz w:val="24"/>
              </w:rPr>
            </w:pPr>
            <w:r>
              <w:rPr>
                <w:sz w:val="24"/>
              </w:rPr>
              <w:t>100</w:t>
            </w:r>
          </w:p>
        </w:tc>
      </w:tr>
    </w:tbl>
    <w:p>
      <w:pPr>
        <w:spacing w:line="273" w:lineRule="exact" w:before="0"/>
        <w:ind w:left="2952" w:right="0" w:firstLine="0"/>
        <w:jc w:val="left"/>
        <w:rPr>
          <w:sz w:val="24"/>
        </w:rPr>
      </w:pPr>
      <w:r>
        <w:rPr>
          <w:b/>
          <w:sz w:val="24"/>
        </w:rPr>
        <w:t>Fuente: </w:t>
      </w:r>
      <w:r>
        <w:rPr>
          <w:sz w:val="24"/>
        </w:rPr>
        <w:t>Escala de ASSIS </w:t>
      </w:r>
      <w:r>
        <w:rPr>
          <w:b/>
          <w:sz w:val="24"/>
        </w:rPr>
        <w:t>Anexo </w:t>
      </w:r>
      <w:r>
        <w:rPr>
          <w:sz w:val="24"/>
        </w:rPr>
        <w:t>5</w:t>
      </w:r>
    </w:p>
    <w:p>
      <w:pPr>
        <w:pStyle w:val="BodyText"/>
        <w:ind w:left="205"/>
        <w:rPr>
          <w:sz w:val="20"/>
        </w:rPr>
      </w:pPr>
      <w:r>
        <w:rPr>
          <w:sz w:val="20"/>
        </w:rPr>
        <w:pict>
          <v:group style="width:397pt;height:198.5pt;mso-position-horizontal-relative:char;mso-position-vertical-relative:line" coordorigin="0,0" coordsize="7940,3970">
            <v:shape style="position:absolute;left:1581;top:723;width:5760;height:2736" type="#_x0000_t75" stroked="false">
              <v:imagedata r:id="rId36" o:title=""/>
            </v:shape>
            <v:line style="position:absolute" from="1616,3420" to="1616,3483" stroked="true" strokeweight=".75pt" strokecolor="#989898"/>
            <v:line style="position:absolute" from="2273,3420" to="2273,3483" stroked="true" strokeweight=".75pt" strokecolor="#989898"/>
            <v:line style="position:absolute" from="2931,3420" to="2931,3483" stroked="true" strokeweight=".75pt" strokecolor="#989898"/>
            <v:line style="position:absolute" from="3588,3420" to="3588,3483" stroked="true" strokeweight=".75pt" strokecolor="#989898"/>
            <v:line style="position:absolute" from="4246,3420" to="4246,3483" stroked="true" strokeweight=".75pt" strokecolor="#989898"/>
            <v:line style="position:absolute" from="4904,3420" to="4904,3483" stroked="true" strokeweight=".75pt" strokecolor="#989898"/>
            <v:line style="position:absolute" from="5561,3420" to="5561,3483" stroked="true" strokeweight=".75pt" strokecolor="#989898"/>
            <v:line style="position:absolute" from="6219,3420" to="6219,3483" stroked="true" strokeweight=".75pt" strokecolor="#989898"/>
            <v:line style="position:absolute" from="6876,3420" to="6876,3483" stroked="true" strokeweight=".75pt" strokecolor="#989898"/>
            <v:line style="position:absolute" from="1616,3420" to="1553,3420" stroked="true" strokeweight=".75pt" strokecolor="#989898"/>
            <v:line style="position:absolute" from="1616,2254" to="1553,2254" stroked="true" strokeweight=".75pt" strokecolor="#989898"/>
            <v:line style="position:absolute" from="1616,1083" to="1553,1083" stroked="true" strokeweight=".75pt" strokecolor="#989898"/>
            <v:rect style="position:absolute;left:7;top:7;width:7925;height:3955" filled="false" stroked="true" strokeweight=".75pt" strokecolor="#989898"/>
            <v:shape style="position:absolute;left:868;top:241;width:6204;height:200" type="#_x0000_t202" filled="false" stroked="false">
              <v:textbox inset="0,0,0,0">
                <w:txbxContent>
                  <w:p>
                    <w:pPr>
                      <w:spacing w:line="200" w:lineRule="exact" w:before="0"/>
                      <w:ind w:left="0" w:right="-20" w:firstLine="0"/>
                      <w:jc w:val="left"/>
                      <w:rPr>
                        <w:rFonts w:ascii="Calibri" w:hAnsi="Calibri"/>
                        <w:b/>
                        <w:sz w:val="20"/>
                      </w:rPr>
                    </w:pPr>
                    <w:r>
                      <w:rPr>
                        <w:rFonts w:ascii="Calibri" w:hAnsi="Calibri"/>
                        <w:b/>
                        <w:sz w:val="20"/>
                      </w:rPr>
                      <w:t>GRAFICA #11  DISTRIBUCIÓN DE PACIENTES SEGÚN SEXO DEL PROVEEDOR.</w:t>
                    </w:r>
                  </w:p>
                </w:txbxContent>
              </v:textbox>
              <w10:wrap type="none"/>
            </v:shape>
            <v:shape style="position:absolute;left:531;top:1593;width:900;height:200" type="#_x0000_t202" filled="false" stroked="false">
              <v:textbox inset="0,0,0,0">
                <w:txbxContent>
                  <w:p>
                    <w:pPr>
                      <w:spacing w:line="200" w:lineRule="exact" w:before="0"/>
                      <w:ind w:left="0" w:right="-20" w:firstLine="0"/>
                      <w:jc w:val="left"/>
                      <w:rPr>
                        <w:rFonts w:ascii="Calibri"/>
                        <w:sz w:val="20"/>
                      </w:rPr>
                    </w:pPr>
                    <w:r>
                      <w:rPr>
                        <w:rFonts w:ascii="Calibri"/>
                        <w:sz w:val="20"/>
                      </w:rPr>
                      <w:t>FEMENINO</w:t>
                    </w:r>
                  </w:p>
                </w:txbxContent>
              </v:textbox>
              <w10:wrap type="none"/>
            </v:shape>
            <v:shape style="position:absolute;left:375;top:2761;width:1010;height:200" type="#_x0000_t202" filled="false" stroked="false">
              <v:textbox inset="0,0,0,0">
                <w:txbxContent>
                  <w:p>
                    <w:pPr>
                      <w:spacing w:line="200" w:lineRule="exact" w:before="0"/>
                      <w:ind w:left="0" w:right="-20" w:firstLine="0"/>
                      <w:jc w:val="left"/>
                      <w:rPr>
                        <w:rFonts w:ascii="Calibri"/>
                        <w:sz w:val="20"/>
                      </w:rPr>
                    </w:pPr>
                    <w:r>
                      <w:rPr>
                        <w:rFonts w:ascii="Calibri"/>
                        <w:sz w:val="20"/>
                      </w:rPr>
                      <w:t>MASCULINO</w:t>
                    </w:r>
                  </w:p>
                </w:txbxContent>
              </v:textbox>
              <w10:wrap type="none"/>
            </v:shape>
            <v:shape style="position:absolute;left:1566;top:3592;width:102;height:200" type="#_x0000_t202" filled="false" stroked="false">
              <v:textbox inset="0,0,0,0">
                <w:txbxContent>
                  <w:p>
                    <w:pPr>
                      <w:spacing w:line="200" w:lineRule="exact" w:before="0"/>
                      <w:ind w:left="0" w:right="0" w:firstLine="0"/>
                      <w:jc w:val="left"/>
                      <w:rPr>
                        <w:rFonts w:ascii="Calibri"/>
                        <w:sz w:val="20"/>
                      </w:rPr>
                    </w:pPr>
                    <w:r>
                      <w:rPr>
                        <w:rFonts w:ascii="Calibri"/>
                        <w:sz w:val="20"/>
                      </w:rPr>
                      <w:t>0</w:t>
                    </w:r>
                  </w:p>
                </w:txbxContent>
              </v:textbox>
              <w10:wrap type="none"/>
            </v:shape>
            <v:shape style="position:absolute;left:2173;top:3592;width:203;height:200" type="#_x0000_t202" filled="false" stroked="false">
              <v:textbox inset="0,0,0,0">
                <w:txbxContent>
                  <w:p>
                    <w:pPr>
                      <w:spacing w:line="200" w:lineRule="exact" w:before="0"/>
                      <w:ind w:left="0" w:right="-20" w:firstLine="0"/>
                      <w:jc w:val="left"/>
                      <w:rPr>
                        <w:rFonts w:ascii="Calibri"/>
                        <w:sz w:val="20"/>
                      </w:rPr>
                    </w:pPr>
                    <w:r>
                      <w:rPr>
                        <w:rFonts w:ascii="Calibri"/>
                        <w:sz w:val="20"/>
                      </w:rPr>
                      <w:t>20</w:t>
                    </w:r>
                  </w:p>
                </w:txbxContent>
              </v:textbox>
              <w10:wrap type="none"/>
            </v:shape>
            <v:shape style="position:absolute;left:2830;top:3592;width:203;height:200" type="#_x0000_t202" filled="false" stroked="false">
              <v:textbox inset="0,0,0,0">
                <w:txbxContent>
                  <w:p>
                    <w:pPr>
                      <w:spacing w:line="200" w:lineRule="exact" w:before="0"/>
                      <w:ind w:left="0" w:right="-20" w:firstLine="0"/>
                      <w:jc w:val="left"/>
                      <w:rPr>
                        <w:rFonts w:ascii="Calibri"/>
                        <w:sz w:val="20"/>
                      </w:rPr>
                    </w:pPr>
                    <w:r>
                      <w:rPr>
                        <w:rFonts w:ascii="Calibri"/>
                        <w:sz w:val="20"/>
                      </w:rPr>
                      <w:t>40</w:t>
                    </w:r>
                  </w:p>
                </w:txbxContent>
              </v:textbox>
              <w10:wrap type="none"/>
            </v:shape>
            <v:shape style="position:absolute;left:3488;top:3592;width:203;height:200" type="#_x0000_t202" filled="false" stroked="false">
              <v:textbox inset="0,0,0,0">
                <w:txbxContent>
                  <w:p>
                    <w:pPr>
                      <w:spacing w:line="200" w:lineRule="exact" w:before="0"/>
                      <w:ind w:left="0" w:right="-20" w:firstLine="0"/>
                      <w:jc w:val="left"/>
                      <w:rPr>
                        <w:rFonts w:ascii="Calibri"/>
                        <w:sz w:val="20"/>
                      </w:rPr>
                    </w:pPr>
                    <w:r>
                      <w:rPr>
                        <w:rFonts w:ascii="Calibri"/>
                        <w:sz w:val="20"/>
                      </w:rPr>
                      <w:t>60</w:t>
                    </w:r>
                  </w:p>
                </w:txbxContent>
              </v:textbox>
              <w10:wrap type="none"/>
            </v:shape>
            <v:shape style="position:absolute;left:4146;top:3592;width:203;height:200" type="#_x0000_t202" filled="false" stroked="false">
              <v:textbox inset="0,0,0,0">
                <w:txbxContent>
                  <w:p>
                    <w:pPr>
                      <w:spacing w:line="200" w:lineRule="exact" w:before="0"/>
                      <w:ind w:left="0" w:right="-20" w:firstLine="0"/>
                      <w:jc w:val="left"/>
                      <w:rPr>
                        <w:rFonts w:ascii="Calibri"/>
                        <w:sz w:val="20"/>
                      </w:rPr>
                    </w:pPr>
                    <w:r>
                      <w:rPr>
                        <w:rFonts w:ascii="Calibri"/>
                        <w:sz w:val="20"/>
                      </w:rPr>
                      <w:t>80</w:t>
                    </w:r>
                  </w:p>
                </w:txbxContent>
              </v:textbox>
              <w10:wrap type="none"/>
            </v:shape>
            <v:shape style="position:absolute;left:4753;top:3592;width:2278;height:200" type="#_x0000_t202" filled="false" stroked="false">
              <v:textbox inset="0,0,0,0">
                <w:txbxContent>
                  <w:p>
                    <w:pPr>
                      <w:tabs>
                        <w:tab w:pos="657" w:val="left" w:leader="none"/>
                        <w:tab w:pos="1315" w:val="left" w:leader="none"/>
                        <w:tab w:pos="1972" w:val="left" w:leader="none"/>
                      </w:tabs>
                      <w:spacing w:line="200" w:lineRule="exact" w:before="0"/>
                      <w:ind w:left="0" w:right="0" w:firstLine="0"/>
                      <w:jc w:val="left"/>
                      <w:rPr>
                        <w:rFonts w:ascii="Calibri"/>
                        <w:sz w:val="20"/>
                      </w:rPr>
                    </w:pPr>
                    <w:r>
                      <w:rPr>
                        <w:rFonts w:ascii="Calibri"/>
                        <w:sz w:val="20"/>
                      </w:rPr>
                      <w:t>100</w:t>
                      <w:tab/>
                      <w:t>120</w:t>
                      <w:tab/>
                      <w:t>140</w:t>
                      <w:tab/>
                      <w:t>160</w:t>
                    </w:r>
                  </w:p>
                </w:txbxContent>
              </v:textbox>
              <w10:wrap type="none"/>
            </v:shape>
          </v:group>
        </w:pict>
      </w:r>
      <w:r>
        <w:rPr>
          <w:sz w:val="20"/>
        </w:rPr>
      </w:r>
    </w:p>
    <w:p>
      <w:pPr>
        <w:spacing w:line="258" w:lineRule="exact" w:before="0"/>
        <w:ind w:left="3423" w:right="0" w:firstLine="0"/>
        <w:jc w:val="left"/>
        <w:rPr>
          <w:sz w:val="24"/>
        </w:rPr>
      </w:pPr>
      <w:r>
        <w:rPr>
          <w:b/>
          <w:sz w:val="24"/>
        </w:rPr>
        <w:t>Fuente: </w:t>
      </w:r>
      <w:r>
        <w:rPr>
          <w:sz w:val="24"/>
        </w:rPr>
        <w:t>Escala de ASSIS. </w:t>
      </w:r>
      <w:r>
        <w:rPr>
          <w:b/>
          <w:sz w:val="24"/>
        </w:rPr>
        <w:t>Anexo </w:t>
      </w:r>
      <w:r>
        <w:rPr>
          <w:sz w:val="24"/>
        </w:rPr>
        <w:t>5</w:t>
      </w:r>
    </w:p>
    <w:p>
      <w:pPr>
        <w:pStyle w:val="Heading1"/>
        <w:spacing w:line="242" w:lineRule="auto" w:before="161"/>
        <w:ind w:left="4039" w:hanging="3414"/>
      </w:pPr>
      <w:r>
        <w:rPr/>
        <w:t>TABLA#12 DISTRIBUCIÓN DE PACIENTES SEGÚN FRECUENCIA DEL VÍNCULO.</w:t>
      </w: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021"/>
        <w:gridCol w:w="1814"/>
        <w:gridCol w:w="1843"/>
      </w:tblGrid>
      <w:tr>
        <w:trPr>
          <w:trHeight w:val="288" w:hRule="exact"/>
        </w:trPr>
        <w:tc>
          <w:tcPr>
            <w:tcW w:w="5021" w:type="dxa"/>
          </w:tcPr>
          <w:p>
            <w:pPr>
              <w:pStyle w:val="TableParagraph"/>
              <w:spacing w:line="273" w:lineRule="exact"/>
              <w:ind w:left="85" w:right="84"/>
              <w:rPr>
                <w:b/>
                <w:sz w:val="24"/>
              </w:rPr>
            </w:pPr>
            <w:r>
              <w:rPr>
                <w:b/>
                <w:sz w:val="24"/>
              </w:rPr>
              <w:t>FRECUENCIA DEL VÍNCULO</w:t>
            </w:r>
          </w:p>
        </w:tc>
        <w:tc>
          <w:tcPr>
            <w:tcW w:w="1814" w:type="dxa"/>
          </w:tcPr>
          <w:p>
            <w:pPr>
              <w:pStyle w:val="TableParagraph"/>
              <w:spacing w:line="273" w:lineRule="exact"/>
              <w:ind w:left="85" w:right="78"/>
              <w:rPr>
                <w:b/>
                <w:sz w:val="24"/>
              </w:rPr>
            </w:pPr>
            <w:r>
              <w:rPr>
                <w:b/>
                <w:sz w:val="24"/>
              </w:rPr>
              <w:t>FRECUENCIA</w:t>
            </w:r>
          </w:p>
        </w:tc>
        <w:tc>
          <w:tcPr>
            <w:tcW w:w="1843" w:type="dxa"/>
          </w:tcPr>
          <w:p>
            <w:pPr>
              <w:pStyle w:val="TableParagraph"/>
              <w:spacing w:line="273" w:lineRule="exact"/>
              <w:ind w:left="85" w:right="81"/>
              <w:rPr>
                <w:b/>
                <w:sz w:val="24"/>
              </w:rPr>
            </w:pPr>
            <w:r>
              <w:rPr>
                <w:b/>
                <w:sz w:val="24"/>
              </w:rPr>
              <w:t>PORCENTAJE</w:t>
            </w:r>
          </w:p>
        </w:tc>
      </w:tr>
      <w:tr>
        <w:trPr>
          <w:trHeight w:val="283" w:hRule="exact"/>
        </w:trPr>
        <w:tc>
          <w:tcPr>
            <w:tcW w:w="5021" w:type="dxa"/>
          </w:tcPr>
          <w:p>
            <w:pPr>
              <w:pStyle w:val="TableParagraph"/>
              <w:spacing w:line="273" w:lineRule="exact"/>
              <w:ind w:left="85" w:right="84"/>
              <w:rPr>
                <w:b/>
                <w:sz w:val="24"/>
              </w:rPr>
            </w:pPr>
            <w:r>
              <w:rPr>
                <w:b/>
                <w:sz w:val="24"/>
              </w:rPr>
              <w:t>MAS O MENOS TODOS LOS DIAS</w:t>
            </w:r>
          </w:p>
        </w:tc>
        <w:tc>
          <w:tcPr>
            <w:tcW w:w="1814" w:type="dxa"/>
          </w:tcPr>
          <w:p>
            <w:pPr>
              <w:pStyle w:val="TableParagraph"/>
              <w:spacing w:line="273" w:lineRule="exact"/>
              <w:ind w:left="85" w:right="78"/>
              <w:rPr>
                <w:sz w:val="24"/>
              </w:rPr>
            </w:pPr>
            <w:r>
              <w:rPr>
                <w:sz w:val="24"/>
              </w:rPr>
              <w:t>205</w:t>
            </w:r>
          </w:p>
        </w:tc>
        <w:tc>
          <w:tcPr>
            <w:tcW w:w="1843" w:type="dxa"/>
          </w:tcPr>
          <w:p>
            <w:pPr>
              <w:pStyle w:val="TableParagraph"/>
              <w:spacing w:line="273" w:lineRule="exact"/>
              <w:ind w:left="85" w:right="81"/>
              <w:rPr>
                <w:sz w:val="24"/>
              </w:rPr>
            </w:pPr>
            <w:r>
              <w:rPr>
                <w:sz w:val="24"/>
              </w:rPr>
              <w:t>82</w:t>
            </w:r>
          </w:p>
        </w:tc>
      </w:tr>
      <w:tr>
        <w:trPr>
          <w:trHeight w:val="288" w:hRule="exact"/>
        </w:trPr>
        <w:tc>
          <w:tcPr>
            <w:tcW w:w="5021" w:type="dxa"/>
          </w:tcPr>
          <w:p>
            <w:pPr>
              <w:pStyle w:val="TableParagraph"/>
              <w:spacing w:line="273" w:lineRule="exact"/>
              <w:ind w:left="85" w:right="84"/>
              <w:rPr>
                <w:b/>
                <w:sz w:val="24"/>
              </w:rPr>
            </w:pPr>
            <w:r>
              <w:rPr>
                <w:b/>
                <w:sz w:val="24"/>
              </w:rPr>
              <w:t>MAS O MENOS DOS VECES POR SEMANA</w:t>
            </w:r>
          </w:p>
        </w:tc>
        <w:tc>
          <w:tcPr>
            <w:tcW w:w="1814" w:type="dxa"/>
          </w:tcPr>
          <w:p>
            <w:pPr>
              <w:pStyle w:val="TableParagraph"/>
              <w:spacing w:line="273" w:lineRule="exact"/>
              <w:ind w:left="85" w:right="78"/>
              <w:rPr>
                <w:sz w:val="24"/>
              </w:rPr>
            </w:pPr>
            <w:r>
              <w:rPr>
                <w:sz w:val="24"/>
              </w:rPr>
              <w:t>35</w:t>
            </w:r>
          </w:p>
        </w:tc>
        <w:tc>
          <w:tcPr>
            <w:tcW w:w="1843" w:type="dxa"/>
          </w:tcPr>
          <w:p>
            <w:pPr>
              <w:pStyle w:val="TableParagraph"/>
              <w:spacing w:line="273" w:lineRule="exact"/>
              <w:ind w:left="85" w:right="81"/>
              <w:rPr>
                <w:sz w:val="24"/>
              </w:rPr>
            </w:pPr>
            <w:r>
              <w:rPr>
                <w:sz w:val="24"/>
              </w:rPr>
              <w:t>14</w:t>
            </w:r>
          </w:p>
        </w:tc>
      </w:tr>
      <w:tr>
        <w:trPr>
          <w:trHeight w:val="283" w:hRule="exact"/>
        </w:trPr>
        <w:tc>
          <w:tcPr>
            <w:tcW w:w="5021" w:type="dxa"/>
          </w:tcPr>
          <w:p>
            <w:pPr>
              <w:pStyle w:val="TableParagraph"/>
              <w:spacing w:line="273" w:lineRule="exact"/>
              <w:ind w:left="85" w:right="84"/>
              <w:rPr>
                <w:b/>
                <w:sz w:val="24"/>
              </w:rPr>
            </w:pPr>
            <w:r>
              <w:rPr>
                <w:b/>
                <w:sz w:val="24"/>
              </w:rPr>
              <w:t>UNA O DOS VECES AL MES</w:t>
            </w:r>
          </w:p>
        </w:tc>
        <w:tc>
          <w:tcPr>
            <w:tcW w:w="1814" w:type="dxa"/>
          </w:tcPr>
          <w:p>
            <w:pPr>
              <w:pStyle w:val="TableParagraph"/>
              <w:spacing w:line="273" w:lineRule="exact"/>
              <w:ind w:left="7"/>
              <w:rPr>
                <w:sz w:val="24"/>
              </w:rPr>
            </w:pPr>
            <w:r>
              <w:rPr>
                <w:sz w:val="24"/>
              </w:rPr>
              <w:t>8</w:t>
            </w:r>
          </w:p>
        </w:tc>
        <w:tc>
          <w:tcPr>
            <w:tcW w:w="1843" w:type="dxa"/>
          </w:tcPr>
          <w:p>
            <w:pPr>
              <w:pStyle w:val="TableParagraph"/>
              <w:spacing w:line="273" w:lineRule="exact"/>
              <w:ind w:left="4"/>
              <w:rPr>
                <w:sz w:val="24"/>
              </w:rPr>
            </w:pPr>
            <w:r>
              <w:rPr>
                <w:sz w:val="24"/>
              </w:rPr>
              <w:t>3</w:t>
            </w:r>
          </w:p>
        </w:tc>
      </w:tr>
      <w:tr>
        <w:trPr>
          <w:trHeight w:val="288" w:hRule="exact"/>
        </w:trPr>
        <w:tc>
          <w:tcPr>
            <w:tcW w:w="5021" w:type="dxa"/>
          </w:tcPr>
          <w:p>
            <w:pPr>
              <w:pStyle w:val="TableParagraph"/>
              <w:spacing w:line="273" w:lineRule="exact"/>
              <w:ind w:left="85" w:right="84"/>
              <w:rPr>
                <w:b/>
                <w:sz w:val="24"/>
              </w:rPr>
            </w:pPr>
            <w:r>
              <w:rPr>
                <w:b/>
                <w:sz w:val="24"/>
              </w:rPr>
              <w:t>MAS O MENOS UNA VEZ AL MES</w:t>
            </w:r>
          </w:p>
        </w:tc>
        <w:tc>
          <w:tcPr>
            <w:tcW w:w="1814" w:type="dxa"/>
          </w:tcPr>
          <w:p>
            <w:pPr>
              <w:pStyle w:val="TableParagraph"/>
              <w:spacing w:line="273" w:lineRule="exact"/>
              <w:ind w:left="7"/>
              <w:rPr>
                <w:sz w:val="24"/>
              </w:rPr>
            </w:pPr>
            <w:r>
              <w:rPr>
                <w:sz w:val="24"/>
              </w:rPr>
              <w:t>3</w:t>
            </w:r>
          </w:p>
        </w:tc>
        <w:tc>
          <w:tcPr>
            <w:tcW w:w="1843" w:type="dxa"/>
          </w:tcPr>
          <w:p>
            <w:pPr>
              <w:pStyle w:val="TableParagraph"/>
              <w:spacing w:line="273" w:lineRule="exact"/>
              <w:ind w:left="4"/>
              <w:rPr>
                <w:sz w:val="24"/>
              </w:rPr>
            </w:pPr>
            <w:r>
              <w:rPr>
                <w:sz w:val="24"/>
              </w:rPr>
              <w:t>1</w:t>
            </w:r>
          </w:p>
        </w:tc>
      </w:tr>
      <w:tr>
        <w:trPr>
          <w:trHeight w:val="288" w:hRule="exact"/>
        </w:trPr>
        <w:tc>
          <w:tcPr>
            <w:tcW w:w="5021" w:type="dxa"/>
          </w:tcPr>
          <w:p>
            <w:pPr>
              <w:pStyle w:val="TableParagraph"/>
              <w:spacing w:line="273" w:lineRule="exact"/>
              <w:ind w:left="85" w:right="84"/>
              <w:rPr>
                <w:b/>
                <w:sz w:val="24"/>
              </w:rPr>
            </w:pPr>
            <w:r>
              <w:rPr>
                <w:b/>
                <w:sz w:val="24"/>
              </w:rPr>
              <w:t>TOTAL</w:t>
            </w:r>
          </w:p>
        </w:tc>
        <w:tc>
          <w:tcPr>
            <w:tcW w:w="1814" w:type="dxa"/>
          </w:tcPr>
          <w:p>
            <w:pPr>
              <w:pStyle w:val="TableParagraph"/>
              <w:spacing w:line="273" w:lineRule="exact"/>
              <w:ind w:left="85" w:right="78"/>
              <w:rPr>
                <w:sz w:val="24"/>
              </w:rPr>
            </w:pPr>
            <w:r>
              <w:rPr>
                <w:sz w:val="24"/>
              </w:rPr>
              <w:t>251</w:t>
            </w:r>
          </w:p>
        </w:tc>
        <w:tc>
          <w:tcPr>
            <w:tcW w:w="1843" w:type="dxa"/>
          </w:tcPr>
          <w:p>
            <w:pPr>
              <w:pStyle w:val="TableParagraph"/>
              <w:spacing w:line="273" w:lineRule="exact"/>
              <w:ind w:left="85" w:right="81"/>
              <w:rPr>
                <w:sz w:val="24"/>
              </w:rPr>
            </w:pPr>
            <w:r>
              <w:rPr>
                <w:sz w:val="24"/>
              </w:rPr>
              <w:t>100</w:t>
            </w:r>
          </w:p>
        </w:tc>
      </w:tr>
    </w:tbl>
    <w:p>
      <w:pPr>
        <w:spacing w:line="271" w:lineRule="exact" w:before="0"/>
        <w:ind w:left="2952" w:right="0" w:firstLine="0"/>
        <w:jc w:val="left"/>
        <w:rPr>
          <w:sz w:val="24"/>
        </w:rPr>
      </w:pPr>
      <w:r>
        <w:rPr>
          <w:b/>
          <w:sz w:val="24"/>
        </w:rPr>
        <w:t>Fuente: </w:t>
      </w:r>
      <w:r>
        <w:rPr>
          <w:sz w:val="24"/>
        </w:rPr>
        <w:t>Escala de ASSIS </w:t>
      </w:r>
      <w:r>
        <w:rPr>
          <w:b/>
          <w:sz w:val="24"/>
        </w:rPr>
        <w:t>Anexo </w:t>
      </w:r>
      <w:r>
        <w:rPr>
          <w:sz w:val="24"/>
        </w:rPr>
        <w:t>5</w:t>
      </w:r>
    </w:p>
    <w:p>
      <w:pPr>
        <w:pStyle w:val="BodyText"/>
        <w:rPr>
          <w:sz w:val="12"/>
        </w:rPr>
      </w:pPr>
      <w:r>
        <w:rPr/>
        <w:pict>
          <v:group style="position:absolute;margin-left:93.555pt;margin-top:8.869283pt;width:432.75pt;height:189.5pt;mso-position-horizontal-relative:page;mso-position-vertical-relative:paragraph;z-index:3304;mso-wrap-distance-left:0;mso-wrap-distance-right:0" coordorigin="1871,177" coordsize="8655,3790">
            <v:rect style="position:absolute;left:2407;top:905;width:7852;height:2308" filled="true" fillcolor="#edf4f7" stroked="false">
              <v:fill type="solid"/>
            </v:rect>
            <v:line style="position:absolute" from="2407,2954" to="10259,2954" stroked="true" strokeweight=".75pt" strokecolor="#989898"/>
            <v:line style="position:absolute" from="2407,2700" to="10259,2700" stroked="true" strokeweight=".75pt" strokecolor="#989898"/>
            <v:line style="position:absolute" from="2407,2446" to="10259,2446" stroked="true" strokeweight=".75pt" strokecolor="#989898"/>
            <v:line style="position:absolute" from="2407,2186" to="10259,2186" stroked="true" strokeweight=".75pt" strokecolor="#989898"/>
            <v:line style="position:absolute" from="2407,1932" to="10259,1932" stroked="true" strokeweight=".75pt" strokecolor="#989898"/>
            <v:line style="position:absolute" from="2407,1673" to="10259,1673" stroked="true" strokeweight=".75pt" strokecolor="#989898"/>
            <v:line style="position:absolute" from="2407,1418" to="10259,1418" stroked="true" strokeweight=".75pt" strokecolor="#989898"/>
            <v:line style="position:absolute" from="2407,1159" to="10259,1159" stroked="true" strokeweight=".75pt" strokecolor="#989898"/>
            <v:line style="position:absolute" from="2407,905" to="10259,905" stroked="true" strokeweight=".75pt" strokecolor="#989898"/>
            <v:line style="position:absolute" from="2407,3213" to="2407,905" stroked="true" strokeweight=".75pt" strokecolor="#989898"/>
            <v:line style="position:absolute" from="2344,3213" to="2407,3213" stroked="true" strokeweight=".75pt" strokecolor="#989898"/>
            <v:line style="position:absolute" from="2344,2954" to="2407,2954" stroked="true" strokeweight=".75pt" strokecolor="#989898"/>
            <v:line style="position:absolute" from="2344,2700" to="2407,2700" stroked="true" strokeweight=".75pt" strokecolor="#989898"/>
            <v:line style="position:absolute" from="2344,2446" to="2407,2446" stroked="true" strokeweight=".75pt" strokecolor="#989898"/>
            <v:line style="position:absolute" from="2344,2186" to="2407,2186" stroked="true" strokeweight=".75pt" strokecolor="#989898"/>
            <v:line style="position:absolute" from="2344,1932" to="2407,1932" stroked="true" strokeweight=".75pt" strokecolor="#989898"/>
            <v:line style="position:absolute" from="2344,1673" to="2407,1673" stroked="true" strokeweight=".75pt" strokecolor="#989898"/>
            <v:line style="position:absolute" from="2344,1418" to="2407,1418" stroked="true" strokeweight=".75pt" strokecolor="#989898"/>
            <v:line style="position:absolute" from="2344,1159" to="2407,1159" stroked="true" strokeweight=".75pt" strokecolor="#989898"/>
            <v:line style="position:absolute" from="2344,905" to="2407,905" stroked="true" strokeweight=".75pt" strokecolor="#989898"/>
            <v:line style="position:absolute" from="2407,3213" to="10259,3213" stroked="true" strokeweight=".75pt" strokecolor="#989898"/>
            <v:line style="position:absolute" from="2407,3214" to="2407,3276" stroked="true" strokeweight=".75pt" strokecolor="#989898"/>
            <v:line style="position:absolute" from="4370,3214" to="4370,3276" stroked="true" strokeweight=".75pt" strokecolor="#989898"/>
            <v:line style="position:absolute" from="6333,3214" to="6333,3276" stroked="true" strokeweight=".75pt" strokecolor="#989898"/>
            <v:line style="position:absolute" from="8296,3214" to="8296,3276" stroked="true" strokeweight=".75pt" strokecolor="#989898"/>
            <v:line style="position:absolute" from="10259,3214" to="10259,3276" stroked="true" strokeweight=".75pt" strokecolor="#989898"/>
            <v:line style="position:absolute" from="3391,1111" to="5349,2854" stroked="true" strokeweight="3.75pt" strokecolor="#54b8d0"/>
            <v:line style="position:absolute" from="5349,2854" to="7312,3137" stroked="true" strokeweight="3.75pt" strokecolor="#54b8d0"/>
            <v:line style="position:absolute" from="7312,3137" to="9275,3187" stroked="true" strokeweight="3.75pt" strokecolor="#54b8d0"/>
            <v:shape style="position:absolute;left:3292;top:1013;width:193;height:193" type="#_x0000_t75" stroked="false">
              <v:imagedata r:id="rId37" o:title=""/>
            </v:shape>
            <v:shape style="position:absolute;left:5255;top:2755;width:193;height:196" type="#_x0000_t75" stroked="false">
              <v:imagedata r:id="rId38" o:title=""/>
            </v:shape>
            <v:shape style="position:absolute;left:7218;top:3038;width:193;height:195" type="#_x0000_t75" stroked="false">
              <v:imagedata r:id="rId39" o:title=""/>
            </v:shape>
            <v:shape style="position:absolute;left:9181;top:3091;width:193;height:193" type="#_x0000_t75" stroked="false">
              <v:imagedata r:id="rId40" o:title=""/>
            </v:shape>
            <v:rect style="position:absolute;left:1879;top:185;width:8640;height:3775" filled="false" stroked="true" strokeweight=".75pt" strokecolor="#989898"/>
            <v:shape style="position:absolute;left:2932;top:419;width:6533;height:200" type="#_x0000_t202" filled="false" stroked="false">
              <v:textbox inset="0,0,0,0">
                <w:txbxContent>
                  <w:p>
                    <w:pPr>
                      <w:spacing w:line="200" w:lineRule="exact" w:before="0"/>
                      <w:ind w:left="0" w:right="-20" w:firstLine="0"/>
                      <w:jc w:val="left"/>
                      <w:rPr>
                        <w:rFonts w:ascii="Calibri" w:hAnsi="Calibri"/>
                        <w:b/>
                        <w:sz w:val="20"/>
                      </w:rPr>
                    </w:pPr>
                    <w:r>
                      <w:rPr>
                        <w:rFonts w:ascii="Calibri" w:hAnsi="Calibri"/>
                        <w:b/>
                        <w:sz w:val="20"/>
                      </w:rPr>
                      <w:t>GRAFICA #12  DISTRIBUCIÓN DE PACIENTES SEGÚN FRECUENCIA DEL VÍNCULO.</w:t>
                    </w:r>
                  </w:p>
                </w:txbxContent>
              </v:textbox>
              <w10:wrap type="none"/>
            </v:shape>
            <v:shape style="position:absolute;left:2019;top:829;width:203;height:2509" type="#_x0000_t202" filled="false" stroked="false">
              <v:textbox inset="0,0,0,0">
                <w:txbxContent>
                  <w:p>
                    <w:pPr>
                      <w:spacing w:line="210" w:lineRule="exact" w:before="0"/>
                      <w:ind w:left="0" w:right="0" w:firstLine="0"/>
                      <w:jc w:val="center"/>
                      <w:rPr>
                        <w:rFonts w:ascii="Calibri"/>
                        <w:sz w:val="20"/>
                      </w:rPr>
                    </w:pPr>
                    <w:r>
                      <w:rPr>
                        <w:rFonts w:ascii="Calibri"/>
                        <w:sz w:val="20"/>
                      </w:rPr>
                      <w:t>90</w:t>
                    </w:r>
                  </w:p>
                  <w:p>
                    <w:pPr>
                      <w:spacing w:before="12"/>
                      <w:ind w:left="0" w:right="0" w:firstLine="0"/>
                      <w:jc w:val="center"/>
                      <w:rPr>
                        <w:rFonts w:ascii="Calibri"/>
                        <w:sz w:val="20"/>
                      </w:rPr>
                    </w:pPr>
                    <w:r>
                      <w:rPr>
                        <w:rFonts w:ascii="Calibri"/>
                        <w:sz w:val="20"/>
                      </w:rPr>
                      <w:t>80</w:t>
                    </w:r>
                  </w:p>
                  <w:p>
                    <w:pPr>
                      <w:spacing w:before="12"/>
                      <w:ind w:left="0" w:right="0" w:firstLine="0"/>
                      <w:jc w:val="center"/>
                      <w:rPr>
                        <w:rFonts w:ascii="Calibri"/>
                        <w:sz w:val="20"/>
                      </w:rPr>
                    </w:pPr>
                    <w:r>
                      <w:rPr>
                        <w:rFonts w:ascii="Calibri"/>
                        <w:sz w:val="20"/>
                      </w:rPr>
                      <w:t>70</w:t>
                    </w:r>
                  </w:p>
                  <w:p>
                    <w:pPr>
                      <w:spacing w:before="12"/>
                      <w:ind w:left="0" w:right="0" w:firstLine="0"/>
                      <w:jc w:val="center"/>
                      <w:rPr>
                        <w:rFonts w:ascii="Calibri"/>
                        <w:sz w:val="20"/>
                      </w:rPr>
                    </w:pPr>
                    <w:r>
                      <w:rPr>
                        <w:rFonts w:ascii="Calibri"/>
                        <w:sz w:val="20"/>
                      </w:rPr>
                      <w:t>60</w:t>
                    </w:r>
                  </w:p>
                  <w:p>
                    <w:pPr>
                      <w:spacing w:before="12"/>
                      <w:ind w:left="0" w:right="0" w:firstLine="0"/>
                      <w:jc w:val="center"/>
                      <w:rPr>
                        <w:rFonts w:ascii="Calibri"/>
                        <w:sz w:val="20"/>
                      </w:rPr>
                    </w:pPr>
                    <w:r>
                      <w:rPr>
                        <w:rFonts w:ascii="Calibri"/>
                        <w:sz w:val="20"/>
                      </w:rPr>
                      <w:t>50</w:t>
                    </w:r>
                  </w:p>
                  <w:p>
                    <w:pPr>
                      <w:spacing w:before="12"/>
                      <w:ind w:left="0" w:right="0" w:firstLine="0"/>
                      <w:jc w:val="center"/>
                      <w:rPr>
                        <w:rFonts w:ascii="Calibri"/>
                        <w:sz w:val="20"/>
                      </w:rPr>
                    </w:pPr>
                    <w:r>
                      <w:rPr>
                        <w:rFonts w:ascii="Calibri"/>
                        <w:sz w:val="20"/>
                      </w:rPr>
                      <w:t>40</w:t>
                    </w:r>
                  </w:p>
                  <w:p>
                    <w:pPr>
                      <w:spacing w:before="12"/>
                      <w:ind w:left="0" w:right="0" w:firstLine="0"/>
                      <w:jc w:val="center"/>
                      <w:rPr>
                        <w:rFonts w:ascii="Calibri"/>
                        <w:sz w:val="20"/>
                      </w:rPr>
                    </w:pPr>
                    <w:r>
                      <w:rPr>
                        <w:rFonts w:ascii="Calibri"/>
                        <w:sz w:val="20"/>
                      </w:rPr>
                      <w:t>30</w:t>
                    </w:r>
                  </w:p>
                  <w:p>
                    <w:pPr>
                      <w:spacing w:before="12"/>
                      <w:ind w:left="0" w:right="0" w:firstLine="0"/>
                      <w:jc w:val="center"/>
                      <w:rPr>
                        <w:rFonts w:ascii="Calibri"/>
                        <w:sz w:val="20"/>
                      </w:rPr>
                    </w:pPr>
                    <w:r>
                      <w:rPr>
                        <w:rFonts w:ascii="Calibri"/>
                        <w:sz w:val="20"/>
                      </w:rPr>
                      <w:t>20</w:t>
                    </w:r>
                  </w:p>
                  <w:p>
                    <w:pPr>
                      <w:spacing w:before="12"/>
                      <w:ind w:left="0" w:right="0" w:firstLine="0"/>
                      <w:jc w:val="center"/>
                      <w:rPr>
                        <w:rFonts w:ascii="Calibri"/>
                        <w:sz w:val="20"/>
                      </w:rPr>
                    </w:pPr>
                    <w:r>
                      <w:rPr>
                        <w:rFonts w:ascii="Calibri"/>
                        <w:sz w:val="20"/>
                      </w:rPr>
                      <w:t>10</w:t>
                    </w:r>
                  </w:p>
                  <w:p>
                    <w:pPr>
                      <w:spacing w:line="234" w:lineRule="exact" w:before="12"/>
                      <w:ind w:left="101" w:right="0" w:firstLine="0"/>
                      <w:jc w:val="center"/>
                      <w:rPr>
                        <w:rFonts w:ascii="Calibri"/>
                        <w:sz w:val="20"/>
                      </w:rPr>
                    </w:pPr>
                    <w:r>
                      <w:rPr>
                        <w:rFonts w:ascii="Calibri"/>
                        <w:sz w:val="20"/>
                      </w:rPr>
                      <w:t>0</w:t>
                    </w:r>
                  </w:p>
                </w:txbxContent>
              </v:textbox>
              <w10:wrap type="none"/>
            </v:shape>
            <v:shape style="position:absolute;left:2465;top:3384;width:3694;height:440" type="#_x0000_t202" filled="false" stroked="false">
              <v:textbox inset="0,0,0,0">
                <w:txbxContent>
                  <w:p>
                    <w:pPr>
                      <w:tabs>
                        <w:tab w:pos="2076" w:val="left" w:leader="none"/>
                      </w:tabs>
                      <w:spacing w:line="208" w:lineRule="exact" w:before="0"/>
                      <w:ind w:left="0" w:right="0" w:firstLine="0"/>
                      <w:jc w:val="left"/>
                      <w:rPr>
                        <w:rFonts w:ascii="Calibri"/>
                        <w:sz w:val="20"/>
                      </w:rPr>
                    </w:pPr>
                    <w:r>
                      <w:rPr>
                        <w:rFonts w:ascii="Calibri"/>
                        <w:sz w:val="20"/>
                      </w:rPr>
                      <w:t>MAS O MENOS TODOS</w:t>
                      <w:tab/>
                      <w:t>MAS O MENOS DOS</w:t>
                    </w:r>
                  </w:p>
                  <w:p>
                    <w:pPr>
                      <w:spacing w:line="232" w:lineRule="exact" w:before="0"/>
                      <w:ind w:left="555" w:right="0" w:firstLine="0"/>
                      <w:jc w:val="left"/>
                      <w:rPr>
                        <w:rFonts w:ascii="Calibri"/>
                        <w:sz w:val="20"/>
                      </w:rPr>
                    </w:pPr>
                    <w:r>
                      <w:rPr>
                        <w:rFonts w:ascii="Calibri"/>
                        <w:sz w:val="20"/>
                      </w:rPr>
                      <w:t>LOS DIAS</w:t>
                    </w:r>
                  </w:p>
                </w:txbxContent>
              </v:textbox>
              <w10:wrap type="none"/>
            </v:shape>
            <v:shape style="position:absolute;left:4519;top:3624;width:1664;height:200" type="#_x0000_t202" filled="false" stroked="false">
              <v:textbox inset="0,0,0,0">
                <w:txbxContent>
                  <w:p>
                    <w:pPr>
                      <w:spacing w:line="200" w:lineRule="exact" w:before="0"/>
                      <w:ind w:left="0" w:right="-20" w:firstLine="0"/>
                      <w:jc w:val="left"/>
                      <w:rPr>
                        <w:rFonts w:ascii="Calibri"/>
                        <w:sz w:val="20"/>
                      </w:rPr>
                    </w:pPr>
                    <w:r>
                      <w:rPr>
                        <w:rFonts w:ascii="Calibri"/>
                        <w:sz w:val="20"/>
                      </w:rPr>
                      <w:t>VECES POR SEMANA</w:t>
                    </w:r>
                  </w:p>
                </w:txbxContent>
              </v:textbox>
              <w10:wrap type="none"/>
            </v:shape>
            <v:shape style="position:absolute;left:6442;top:3384;width:3650;height:440" type="#_x0000_t202" filled="false" stroked="false">
              <v:textbox inset="0,0,0,0">
                <w:txbxContent>
                  <w:p>
                    <w:pPr>
                      <w:tabs>
                        <w:tab w:pos="2007" w:val="left" w:leader="none"/>
                      </w:tabs>
                      <w:spacing w:line="208" w:lineRule="exact" w:before="0"/>
                      <w:ind w:left="0" w:right="0" w:firstLine="0"/>
                      <w:jc w:val="left"/>
                      <w:rPr>
                        <w:rFonts w:ascii="Calibri"/>
                        <w:sz w:val="20"/>
                      </w:rPr>
                    </w:pPr>
                    <w:r>
                      <w:rPr>
                        <w:rFonts w:ascii="Calibri"/>
                        <w:sz w:val="20"/>
                      </w:rPr>
                      <w:t>UNA O DOS</w:t>
                    </w:r>
                    <w:r>
                      <w:rPr>
                        <w:rFonts w:ascii="Calibri"/>
                        <w:spacing w:val="-1"/>
                        <w:sz w:val="20"/>
                      </w:rPr>
                      <w:t> </w:t>
                    </w:r>
                    <w:r>
                      <w:rPr>
                        <w:rFonts w:ascii="Calibri"/>
                        <w:sz w:val="20"/>
                      </w:rPr>
                      <w:t>VECES AL</w:t>
                      <w:tab/>
                      <w:t>MAS O MENOS UNA</w:t>
                    </w:r>
                  </w:p>
                  <w:p>
                    <w:pPr>
                      <w:tabs>
                        <w:tab w:pos="2350" w:val="left" w:leader="none"/>
                      </w:tabs>
                      <w:spacing w:line="232" w:lineRule="exact" w:before="0"/>
                      <w:ind w:left="690" w:right="0" w:firstLine="0"/>
                      <w:jc w:val="left"/>
                      <w:rPr>
                        <w:rFonts w:ascii="Calibri"/>
                        <w:sz w:val="20"/>
                      </w:rPr>
                    </w:pPr>
                    <w:r>
                      <w:rPr>
                        <w:rFonts w:ascii="Calibri"/>
                        <w:sz w:val="20"/>
                      </w:rPr>
                      <w:t>MES</w:t>
                      <w:tab/>
                      <w:t>VEZ AL MES</w:t>
                    </w:r>
                  </w:p>
                </w:txbxContent>
              </v:textbox>
              <w10:wrap type="none"/>
            </v:shape>
            <w10:wrap type="topAndBottom"/>
          </v:group>
        </w:pict>
      </w:r>
    </w:p>
    <w:p>
      <w:pPr>
        <w:spacing w:before="33"/>
        <w:ind w:left="3423" w:right="0" w:firstLine="0"/>
        <w:jc w:val="left"/>
        <w:rPr>
          <w:sz w:val="24"/>
        </w:rPr>
      </w:pPr>
      <w:r>
        <w:rPr>
          <w:b/>
          <w:sz w:val="24"/>
        </w:rPr>
        <w:t>Fuente: </w:t>
      </w:r>
      <w:r>
        <w:rPr>
          <w:sz w:val="24"/>
        </w:rPr>
        <w:t>Escala de ASSIS. </w:t>
      </w:r>
      <w:r>
        <w:rPr>
          <w:b/>
          <w:sz w:val="24"/>
        </w:rPr>
        <w:t>Anexo </w:t>
      </w:r>
      <w:r>
        <w:rPr>
          <w:sz w:val="24"/>
        </w:rPr>
        <w:t>5</w:t>
      </w:r>
    </w:p>
    <w:p>
      <w:pPr>
        <w:spacing w:after="0"/>
        <w:jc w:val="left"/>
        <w:rPr>
          <w:sz w:val="24"/>
        </w:rPr>
        <w:sectPr>
          <w:pgSz w:w="12240" w:h="15840"/>
          <w:pgMar w:header="0" w:footer="915" w:top="1360" w:bottom="1100" w:left="1480" w:right="1560"/>
        </w:sectPr>
      </w:pPr>
    </w:p>
    <w:p>
      <w:pPr>
        <w:pStyle w:val="Heading1"/>
        <w:spacing w:line="242" w:lineRule="auto" w:before="50"/>
        <w:ind w:left="4119" w:right="142" w:hanging="3221"/>
      </w:pPr>
      <w:r>
        <w:rPr/>
        <w:t>TABLA#13 DISTRIBUCIÓN DE PACIENTES SEGÚN SIMETRIA DEL VÍNCULO.</w:t>
      </w:r>
    </w:p>
    <w:tbl>
      <w:tblPr>
        <w:tblW w:w="0" w:type="auto"/>
        <w:jc w:val="left"/>
        <w:tblInd w:w="1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95"/>
        <w:gridCol w:w="2990"/>
        <w:gridCol w:w="2995"/>
      </w:tblGrid>
      <w:tr>
        <w:trPr>
          <w:trHeight w:val="288" w:hRule="exact"/>
        </w:trPr>
        <w:tc>
          <w:tcPr>
            <w:tcW w:w="2995" w:type="dxa"/>
          </w:tcPr>
          <w:p>
            <w:pPr>
              <w:pStyle w:val="TableParagraph"/>
              <w:spacing w:line="273" w:lineRule="exact"/>
              <w:ind w:right="102"/>
              <w:rPr>
                <w:b/>
                <w:sz w:val="24"/>
              </w:rPr>
            </w:pPr>
            <w:r>
              <w:rPr>
                <w:b/>
                <w:sz w:val="24"/>
              </w:rPr>
              <w:t>SIMETRIA</w:t>
            </w:r>
          </w:p>
        </w:tc>
        <w:tc>
          <w:tcPr>
            <w:tcW w:w="2990" w:type="dxa"/>
          </w:tcPr>
          <w:p>
            <w:pPr>
              <w:pStyle w:val="TableParagraph"/>
              <w:spacing w:line="273" w:lineRule="exact"/>
              <w:ind w:left="673" w:right="666"/>
              <w:rPr>
                <w:b/>
                <w:sz w:val="24"/>
              </w:rPr>
            </w:pPr>
            <w:r>
              <w:rPr>
                <w:b/>
                <w:sz w:val="24"/>
              </w:rPr>
              <w:t>FRECUENCIA</w:t>
            </w:r>
          </w:p>
        </w:tc>
        <w:tc>
          <w:tcPr>
            <w:tcW w:w="2995" w:type="dxa"/>
          </w:tcPr>
          <w:p>
            <w:pPr>
              <w:pStyle w:val="TableParagraph"/>
              <w:spacing w:line="273" w:lineRule="exact"/>
              <w:ind w:right="101"/>
              <w:rPr>
                <w:b/>
                <w:sz w:val="24"/>
              </w:rPr>
            </w:pPr>
            <w:r>
              <w:rPr>
                <w:b/>
                <w:sz w:val="24"/>
              </w:rPr>
              <w:t>PORCENTAJE</w:t>
            </w:r>
          </w:p>
        </w:tc>
      </w:tr>
      <w:tr>
        <w:trPr>
          <w:trHeight w:val="283" w:hRule="exact"/>
        </w:trPr>
        <w:tc>
          <w:tcPr>
            <w:tcW w:w="2995" w:type="dxa"/>
          </w:tcPr>
          <w:p>
            <w:pPr>
              <w:pStyle w:val="TableParagraph"/>
              <w:spacing w:line="273" w:lineRule="exact"/>
              <w:ind w:right="102"/>
              <w:rPr>
                <w:b/>
                <w:sz w:val="24"/>
              </w:rPr>
            </w:pPr>
            <w:r>
              <w:rPr>
                <w:b/>
                <w:sz w:val="24"/>
              </w:rPr>
              <w:t>SI</w:t>
            </w:r>
          </w:p>
        </w:tc>
        <w:tc>
          <w:tcPr>
            <w:tcW w:w="2990" w:type="dxa"/>
          </w:tcPr>
          <w:p>
            <w:pPr>
              <w:pStyle w:val="TableParagraph"/>
              <w:spacing w:line="273" w:lineRule="exact"/>
              <w:ind w:left="673" w:right="666"/>
              <w:rPr>
                <w:sz w:val="24"/>
              </w:rPr>
            </w:pPr>
            <w:r>
              <w:rPr>
                <w:sz w:val="24"/>
              </w:rPr>
              <w:t>193</w:t>
            </w:r>
          </w:p>
        </w:tc>
        <w:tc>
          <w:tcPr>
            <w:tcW w:w="2995" w:type="dxa"/>
          </w:tcPr>
          <w:p>
            <w:pPr>
              <w:pStyle w:val="TableParagraph"/>
              <w:spacing w:line="273" w:lineRule="exact"/>
              <w:ind w:right="101"/>
              <w:rPr>
                <w:sz w:val="24"/>
              </w:rPr>
            </w:pPr>
            <w:r>
              <w:rPr>
                <w:sz w:val="24"/>
              </w:rPr>
              <w:t>77</w:t>
            </w:r>
          </w:p>
        </w:tc>
      </w:tr>
      <w:tr>
        <w:trPr>
          <w:trHeight w:val="288" w:hRule="exact"/>
        </w:trPr>
        <w:tc>
          <w:tcPr>
            <w:tcW w:w="2995" w:type="dxa"/>
          </w:tcPr>
          <w:p>
            <w:pPr>
              <w:pStyle w:val="TableParagraph"/>
              <w:spacing w:line="273" w:lineRule="exact"/>
              <w:ind w:right="102"/>
              <w:rPr>
                <w:b/>
                <w:sz w:val="24"/>
              </w:rPr>
            </w:pPr>
            <w:r>
              <w:rPr>
                <w:b/>
                <w:sz w:val="24"/>
              </w:rPr>
              <w:t>NO</w:t>
            </w:r>
          </w:p>
        </w:tc>
        <w:tc>
          <w:tcPr>
            <w:tcW w:w="2990" w:type="dxa"/>
          </w:tcPr>
          <w:p>
            <w:pPr>
              <w:pStyle w:val="TableParagraph"/>
              <w:spacing w:line="273" w:lineRule="exact"/>
              <w:ind w:left="673" w:right="666"/>
              <w:rPr>
                <w:sz w:val="24"/>
              </w:rPr>
            </w:pPr>
            <w:r>
              <w:rPr>
                <w:sz w:val="24"/>
              </w:rPr>
              <w:t>58</w:t>
            </w:r>
          </w:p>
        </w:tc>
        <w:tc>
          <w:tcPr>
            <w:tcW w:w="2995" w:type="dxa"/>
          </w:tcPr>
          <w:p>
            <w:pPr>
              <w:pStyle w:val="TableParagraph"/>
              <w:spacing w:line="273" w:lineRule="exact"/>
              <w:ind w:right="101"/>
              <w:rPr>
                <w:sz w:val="24"/>
              </w:rPr>
            </w:pPr>
            <w:r>
              <w:rPr>
                <w:sz w:val="24"/>
              </w:rPr>
              <w:t>23</w:t>
            </w:r>
          </w:p>
        </w:tc>
      </w:tr>
      <w:tr>
        <w:trPr>
          <w:trHeight w:val="288" w:hRule="exact"/>
        </w:trPr>
        <w:tc>
          <w:tcPr>
            <w:tcW w:w="2995" w:type="dxa"/>
          </w:tcPr>
          <w:p>
            <w:pPr>
              <w:pStyle w:val="TableParagraph"/>
              <w:spacing w:line="273" w:lineRule="exact"/>
              <w:ind w:right="102"/>
              <w:rPr>
                <w:b/>
                <w:sz w:val="24"/>
              </w:rPr>
            </w:pPr>
            <w:r>
              <w:rPr>
                <w:b/>
                <w:sz w:val="24"/>
              </w:rPr>
              <w:t>TOTAL</w:t>
            </w:r>
          </w:p>
        </w:tc>
        <w:tc>
          <w:tcPr>
            <w:tcW w:w="2990" w:type="dxa"/>
          </w:tcPr>
          <w:p>
            <w:pPr>
              <w:pStyle w:val="TableParagraph"/>
              <w:spacing w:line="273" w:lineRule="exact"/>
              <w:ind w:left="673" w:right="666"/>
              <w:rPr>
                <w:sz w:val="24"/>
              </w:rPr>
            </w:pPr>
            <w:r>
              <w:rPr>
                <w:sz w:val="24"/>
              </w:rPr>
              <w:t>251</w:t>
            </w:r>
          </w:p>
        </w:tc>
        <w:tc>
          <w:tcPr>
            <w:tcW w:w="2995" w:type="dxa"/>
          </w:tcPr>
          <w:p>
            <w:pPr>
              <w:pStyle w:val="TableParagraph"/>
              <w:spacing w:line="273" w:lineRule="exact"/>
              <w:ind w:right="101"/>
              <w:rPr>
                <w:sz w:val="24"/>
              </w:rPr>
            </w:pPr>
            <w:r>
              <w:rPr>
                <w:sz w:val="24"/>
              </w:rPr>
              <w:t>100</w:t>
            </w:r>
          </w:p>
        </w:tc>
      </w:tr>
    </w:tbl>
    <w:p>
      <w:pPr>
        <w:spacing w:line="271" w:lineRule="exact" w:before="0"/>
        <w:ind w:left="3032" w:right="142" w:firstLine="0"/>
        <w:jc w:val="left"/>
        <w:rPr>
          <w:sz w:val="24"/>
        </w:rPr>
      </w:pPr>
      <w:r>
        <w:rPr>
          <w:b/>
          <w:sz w:val="24"/>
        </w:rPr>
        <w:t>Fuente: </w:t>
      </w:r>
      <w:r>
        <w:rPr>
          <w:sz w:val="24"/>
        </w:rPr>
        <w:t>Escala de ASSIS </w:t>
      </w:r>
      <w:r>
        <w:rPr>
          <w:b/>
          <w:sz w:val="24"/>
        </w:rPr>
        <w:t>Anexo </w:t>
      </w:r>
      <w:r>
        <w:rPr>
          <w:sz w:val="24"/>
        </w:rPr>
        <w:t>5</w:t>
      </w:r>
    </w:p>
    <w:p>
      <w:pPr>
        <w:pStyle w:val="BodyText"/>
        <w:spacing w:before="5"/>
        <w:rPr>
          <w:sz w:val="22"/>
        </w:rPr>
      </w:pPr>
      <w:r>
        <w:rPr/>
        <w:pict>
          <v:group style="position:absolute;margin-left:75.555pt;margin-top:14.849304pt;width:432.75pt;height:189.25pt;mso-position-horizontal-relative:page;mso-position-vertical-relative:paragraph;z-index:3592;mso-wrap-distance-left:0;mso-wrap-distance-right:0" coordorigin="1511,297" coordsize="8655,3785">
            <v:shape style="position:absolute;left:2110;top:1023;width:6605;height:2549" type="#_x0000_t75" stroked="false">
              <v:imagedata r:id="rId41" o:title=""/>
            </v:shape>
            <v:line style="position:absolute" from="2147,3535" to="2147,3597" stroked="true" strokeweight=".75pt" strokecolor="#989898"/>
            <v:line style="position:absolute" from="2915,3535" to="2915,3597" stroked="true" strokeweight=".75pt" strokecolor="#989898"/>
            <v:line style="position:absolute" from="3679,3535" to="3679,3597" stroked="true" strokeweight=".75pt" strokecolor="#989898"/>
            <v:line style="position:absolute" from="4447,3535" to="4447,3597" stroked="true" strokeweight=".75pt" strokecolor="#989898"/>
            <v:line style="position:absolute" from="5215,3535" to="5215,3597" stroked="true" strokeweight=".75pt" strokecolor="#989898"/>
            <v:line style="position:absolute" from="5983,3535" to="5983,3597" stroked="true" strokeweight=".75pt" strokecolor="#989898"/>
            <v:line style="position:absolute" from="6746,3535" to="6746,3597" stroked="true" strokeweight=".75pt" strokecolor="#989898"/>
            <v:line style="position:absolute" from="7514,3535" to="7514,3597" stroked="true" strokeweight=".75pt" strokecolor="#989898"/>
            <v:line style="position:absolute" from="8280,3535" to="8280,3597" stroked="true" strokeweight=".75pt" strokecolor="#989898"/>
            <v:rect style="position:absolute;left:9472;top:2164;width:110;height:110" filled="true" fillcolor="#3c97ac" stroked="false">
              <v:fill type="solid"/>
            </v:rect>
            <v:rect style="position:absolute;left:9472;top:2164;width:110;height:110" filled="false" stroked="true" strokeweight=".75pt" strokecolor="#426f9b"/>
            <v:rect style="position:absolute;left:9472;top:2565;width:110;height:110" filled="true" fillcolor="#745f8e" stroked="false">
              <v:fill type="solid"/>
            </v:rect>
            <v:rect style="position:absolute;left:9472;top:2565;width:110;height:110" filled="false" stroked="true" strokeweight=".75pt" strokecolor="#426f9b"/>
            <v:rect style="position:absolute;left:1519;top:304;width:8640;height:3770" filled="false" stroked="true" strokeweight=".75pt" strokecolor="#989898"/>
            <v:shape style="position:absolute;left:3036;top:483;width:6291;height:200" type="#_x0000_t202" filled="false" stroked="false">
              <v:textbox inset="0,0,0,0">
                <w:txbxContent>
                  <w:p>
                    <w:pPr>
                      <w:spacing w:line="200" w:lineRule="exact" w:before="0"/>
                      <w:ind w:left="0" w:right="-20" w:firstLine="0"/>
                      <w:jc w:val="left"/>
                      <w:rPr>
                        <w:rFonts w:ascii="Calibri" w:hAnsi="Calibri"/>
                        <w:b/>
                        <w:sz w:val="20"/>
                      </w:rPr>
                    </w:pPr>
                    <w:r>
                      <w:rPr>
                        <w:rFonts w:ascii="Calibri" w:hAnsi="Calibri"/>
                        <w:b/>
                        <w:sz w:val="20"/>
                      </w:rPr>
                      <w:t>GRAFICA #13  DISTRIBUCIÓN DE PACIENTES SEGÚN SIMETRIA DEL VÍNCULO.</w:t>
                    </w:r>
                  </w:p>
                </w:txbxContent>
              </v:textbox>
              <w10:wrap type="none"/>
            </v:shape>
            <v:shape style="position:absolute;left:9627;top:2141;width:262;height:602" type="#_x0000_t202" filled="false" stroked="false">
              <v:textbox inset="0,0,0,0">
                <w:txbxContent>
                  <w:p>
                    <w:pPr>
                      <w:spacing w:line="210" w:lineRule="exact" w:before="0"/>
                      <w:ind w:left="0" w:right="-20" w:firstLine="0"/>
                      <w:jc w:val="left"/>
                      <w:rPr>
                        <w:rFonts w:ascii="Calibri"/>
                        <w:sz w:val="20"/>
                      </w:rPr>
                    </w:pPr>
                    <w:r>
                      <w:rPr>
                        <w:rFonts w:ascii="Calibri"/>
                        <w:sz w:val="20"/>
                      </w:rPr>
                      <w:t>SI</w:t>
                    </w:r>
                  </w:p>
                  <w:p>
                    <w:pPr>
                      <w:spacing w:line="234" w:lineRule="exact" w:before="157"/>
                      <w:ind w:left="0" w:right="-20" w:firstLine="0"/>
                      <w:jc w:val="left"/>
                      <w:rPr>
                        <w:rFonts w:ascii="Calibri"/>
                        <w:sz w:val="20"/>
                      </w:rPr>
                    </w:pPr>
                    <w:r>
                      <w:rPr>
                        <w:rFonts w:ascii="Calibri"/>
                        <w:sz w:val="20"/>
                      </w:rPr>
                      <w:t>NO</w:t>
                    </w:r>
                  </w:p>
                </w:txbxContent>
              </v:textbox>
              <w10:wrap type="none"/>
            </v:shape>
            <v:shape style="position:absolute;left:2097;top:3704;width:102;height:200" type="#_x0000_t202" filled="false" stroked="false">
              <v:textbox inset="0,0,0,0">
                <w:txbxContent>
                  <w:p>
                    <w:pPr>
                      <w:spacing w:line="200" w:lineRule="exact" w:before="0"/>
                      <w:ind w:left="0" w:right="0" w:firstLine="0"/>
                      <w:jc w:val="left"/>
                      <w:rPr>
                        <w:rFonts w:ascii="Calibri"/>
                        <w:sz w:val="20"/>
                      </w:rPr>
                    </w:pPr>
                    <w:r>
                      <w:rPr>
                        <w:rFonts w:ascii="Calibri"/>
                        <w:sz w:val="20"/>
                      </w:rPr>
                      <w:t>0</w:t>
                    </w:r>
                  </w:p>
                </w:txbxContent>
              </v:textbox>
              <w10:wrap type="none"/>
            </v:shape>
            <v:shape style="position:absolute;left:2813;top:3704;width:203;height:200" type="#_x0000_t202" filled="false" stroked="false">
              <v:textbox inset="0,0,0,0">
                <w:txbxContent>
                  <w:p>
                    <w:pPr>
                      <w:spacing w:line="200" w:lineRule="exact" w:before="0"/>
                      <w:ind w:left="0" w:right="-20" w:firstLine="0"/>
                      <w:jc w:val="left"/>
                      <w:rPr>
                        <w:rFonts w:ascii="Calibri"/>
                        <w:sz w:val="20"/>
                      </w:rPr>
                    </w:pPr>
                    <w:r>
                      <w:rPr>
                        <w:rFonts w:ascii="Calibri"/>
                        <w:sz w:val="20"/>
                      </w:rPr>
                      <w:t>10</w:t>
                    </w:r>
                  </w:p>
                </w:txbxContent>
              </v:textbox>
              <w10:wrap type="none"/>
            </v:shape>
            <v:shape style="position:absolute;left:3579;top:3704;width:203;height:200" type="#_x0000_t202" filled="false" stroked="false">
              <v:textbox inset="0,0,0,0">
                <w:txbxContent>
                  <w:p>
                    <w:pPr>
                      <w:spacing w:line="200" w:lineRule="exact" w:before="0"/>
                      <w:ind w:left="0" w:right="-20" w:firstLine="0"/>
                      <w:jc w:val="left"/>
                      <w:rPr>
                        <w:rFonts w:ascii="Calibri"/>
                        <w:sz w:val="20"/>
                      </w:rPr>
                    </w:pPr>
                    <w:r>
                      <w:rPr>
                        <w:rFonts w:ascii="Calibri"/>
                        <w:sz w:val="20"/>
                      </w:rPr>
                      <w:t>20</w:t>
                    </w:r>
                  </w:p>
                </w:txbxContent>
              </v:textbox>
              <w10:wrap type="none"/>
            </v:shape>
            <v:shape style="position:absolute;left:4346;top:3704;width:203;height:200" type="#_x0000_t202" filled="false" stroked="false">
              <v:textbox inset="0,0,0,0">
                <w:txbxContent>
                  <w:p>
                    <w:pPr>
                      <w:spacing w:line="200" w:lineRule="exact" w:before="0"/>
                      <w:ind w:left="0" w:right="-20" w:firstLine="0"/>
                      <w:jc w:val="left"/>
                      <w:rPr>
                        <w:rFonts w:ascii="Calibri"/>
                        <w:sz w:val="20"/>
                      </w:rPr>
                    </w:pPr>
                    <w:r>
                      <w:rPr>
                        <w:rFonts w:ascii="Calibri"/>
                        <w:sz w:val="20"/>
                      </w:rPr>
                      <w:t>30</w:t>
                    </w:r>
                  </w:p>
                </w:txbxContent>
              </v:textbox>
              <w10:wrap type="none"/>
            </v:shape>
            <v:shape style="position:absolute;left:5112;top:3704;width:203;height:200" type="#_x0000_t202" filled="false" stroked="false">
              <v:textbox inset="0,0,0,0">
                <w:txbxContent>
                  <w:p>
                    <w:pPr>
                      <w:spacing w:line="200" w:lineRule="exact" w:before="0"/>
                      <w:ind w:left="0" w:right="-20" w:firstLine="0"/>
                      <w:jc w:val="left"/>
                      <w:rPr>
                        <w:rFonts w:ascii="Calibri"/>
                        <w:sz w:val="20"/>
                      </w:rPr>
                    </w:pPr>
                    <w:r>
                      <w:rPr>
                        <w:rFonts w:ascii="Calibri"/>
                        <w:sz w:val="20"/>
                      </w:rPr>
                      <w:t>40</w:t>
                    </w:r>
                  </w:p>
                </w:txbxContent>
              </v:textbox>
              <w10:wrap type="none"/>
            </v:shape>
            <v:shape style="position:absolute;left:5879;top:3704;width:203;height:200" type="#_x0000_t202" filled="false" stroked="false">
              <v:textbox inset="0,0,0,0">
                <w:txbxContent>
                  <w:p>
                    <w:pPr>
                      <w:spacing w:line="200" w:lineRule="exact" w:before="0"/>
                      <w:ind w:left="0" w:right="-20" w:firstLine="0"/>
                      <w:jc w:val="left"/>
                      <w:rPr>
                        <w:rFonts w:ascii="Calibri"/>
                        <w:sz w:val="20"/>
                      </w:rPr>
                    </w:pPr>
                    <w:r>
                      <w:rPr>
                        <w:rFonts w:ascii="Calibri"/>
                        <w:sz w:val="20"/>
                      </w:rPr>
                      <w:t>50</w:t>
                    </w:r>
                  </w:p>
                </w:txbxContent>
              </v:textbox>
              <w10:wrap type="none"/>
            </v:shape>
            <v:shape style="position:absolute;left:6645;top:3704;width:203;height:200" type="#_x0000_t202" filled="false" stroked="false">
              <v:textbox inset="0,0,0,0">
                <w:txbxContent>
                  <w:p>
                    <w:pPr>
                      <w:spacing w:line="200" w:lineRule="exact" w:before="0"/>
                      <w:ind w:left="0" w:right="-20" w:firstLine="0"/>
                      <w:jc w:val="left"/>
                      <w:rPr>
                        <w:rFonts w:ascii="Calibri"/>
                        <w:sz w:val="20"/>
                      </w:rPr>
                    </w:pPr>
                    <w:r>
                      <w:rPr>
                        <w:rFonts w:ascii="Calibri"/>
                        <w:sz w:val="20"/>
                      </w:rPr>
                      <w:t>60</w:t>
                    </w:r>
                  </w:p>
                </w:txbxContent>
              </v:textbox>
              <w10:wrap type="none"/>
            </v:shape>
            <v:shape style="position:absolute;left:7412;top:3704;width:203;height:200" type="#_x0000_t202" filled="false" stroked="false">
              <v:textbox inset="0,0,0,0">
                <w:txbxContent>
                  <w:p>
                    <w:pPr>
                      <w:spacing w:line="200" w:lineRule="exact" w:before="0"/>
                      <w:ind w:left="0" w:right="-20" w:firstLine="0"/>
                      <w:jc w:val="left"/>
                      <w:rPr>
                        <w:rFonts w:ascii="Calibri"/>
                        <w:sz w:val="20"/>
                      </w:rPr>
                    </w:pPr>
                    <w:r>
                      <w:rPr>
                        <w:rFonts w:ascii="Calibri"/>
                        <w:sz w:val="20"/>
                      </w:rPr>
                      <w:t>70</w:t>
                    </w:r>
                  </w:p>
                </w:txbxContent>
              </v:textbox>
              <w10:wrap type="none"/>
            </v:shape>
            <v:shape style="position:absolute;left:8179;top:3704;width:203;height:200" type="#_x0000_t202" filled="false" stroked="false">
              <v:textbox inset="0,0,0,0">
                <w:txbxContent>
                  <w:p>
                    <w:pPr>
                      <w:spacing w:line="200" w:lineRule="exact" w:before="0"/>
                      <w:ind w:left="0" w:right="-20" w:firstLine="0"/>
                      <w:jc w:val="left"/>
                      <w:rPr>
                        <w:rFonts w:ascii="Calibri"/>
                        <w:sz w:val="20"/>
                      </w:rPr>
                    </w:pPr>
                    <w:r>
                      <w:rPr>
                        <w:rFonts w:ascii="Calibri"/>
                        <w:sz w:val="20"/>
                      </w:rPr>
                      <w:t>80</w:t>
                    </w:r>
                  </w:p>
                </w:txbxContent>
              </v:textbox>
              <w10:wrap type="none"/>
            </v:shape>
            <w10:wrap type="topAndBottom"/>
          </v:group>
        </w:pict>
      </w:r>
    </w:p>
    <w:p>
      <w:pPr>
        <w:spacing w:before="110"/>
        <w:ind w:left="3320" w:right="142" w:firstLine="0"/>
        <w:jc w:val="left"/>
        <w:rPr>
          <w:sz w:val="24"/>
        </w:rPr>
      </w:pPr>
      <w:r>
        <w:rPr>
          <w:b/>
          <w:sz w:val="24"/>
        </w:rPr>
        <w:t>Fuente: </w:t>
      </w:r>
      <w:r>
        <w:rPr>
          <w:sz w:val="24"/>
        </w:rPr>
        <w:t>Escala de ASSIS. </w:t>
      </w:r>
      <w:r>
        <w:rPr>
          <w:b/>
          <w:sz w:val="24"/>
        </w:rPr>
        <w:t>Anexo </w:t>
      </w:r>
      <w:r>
        <w:rPr>
          <w:sz w:val="24"/>
        </w:rPr>
        <w:t>5</w:t>
      </w:r>
    </w:p>
    <w:p>
      <w:pPr>
        <w:pStyle w:val="Heading1"/>
        <w:spacing w:line="274" w:lineRule="exact" w:before="199"/>
        <w:ind w:left="4119" w:right="142" w:hanging="3614"/>
      </w:pPr>
      <w:r>
        <w:rPr/>
        <w:t>TABLA#14 DISTRIBUCIÓN DE PACIENTES SEGÚN MULTIPLICIDAD DEL VÍNCULO.</w:t>
      </w:r>
    </w:p>
    <w:tbl>
      <w:tblPr>
        <w:tblW w:w="0" w:type="auto"/>
        <w:jc w:val="left"/>
        <w:tblInd w:w="1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95"/>
        <w:gridCol w:w="2990"/>
        <w:gridCol w:w="2995"/>
      </w:tblGrid>
      <w:tr>
        <w:trPr>
          <w:trHeight w:val="288" w:hRule="exact"/>
        </w:trPr>
        <w:tc>
          <w:tcPr>
            <w:tcW w:w="2995" w:type="dxa"/>
          </w:tcPr>
          <w:p>
            <w:pPr>
              <w:pStyle w:val="TableParagraph"/>
              <w:spacing w:before="1"/>
              <w:ind w:right="102"/>
              <w:rPr>
                <w:b/>
                <w:sz w:val="24"/>
              </w:rPr>
            </w:pPr>
            <w:r>
              <w:rPr>
                <w:b/>
                <w:sz w:val="24"/>
              </w:rPr>
              <w:t>MULTIPLICIDAD</w:t>
            </w:r>
          </w:p>
        </w:tc>
        <w:tc>
          <w:tcPr>
            <w:tcW w:w="2990" w:type="dxa"/>
          </w:tcPr>
          <w:p>
            <w:pPr>
              <w:pStyle w:val="TableParagraph"/>
              <w:spacing w:before="1"/>
              <w:ind w:left="673" w:right="666"/>
              <w:rPr>
                <w:b/>
                <w:sz w:val="24"/>
              </w:rPr>
            </w:pPr>
            <w:r>
              <w:rPr>
                <w:b/>
                <w:sz w:val="24"/>
              </w:rPr>
              <w:t>FRECUENCIA</w:t>
            </w:r>
          </w:p>
        </w:tc>
        <w:tc>
          <w:tcPr>
            <w:tcW w:w="2995" w:type="dxa"/>
          </w:tcPr>
          <w:p>
            <w:pPr>
              <w:pStyle w:val="TableParagraph"/>
              <w:spacing w:before="1"/>
              <w:ind w:right="101"/>
              <w:rPr>
                <w:b/>
                <w:sz w:val="24"/>
              </w:rPr>
            </w:pPr>
            <w:r>
              <w:rPr>
                <w:b/>
                <w:sz w:val="24"/>
              </w:rPr>
              <w:t>PORCENTAJA</w:t>
            </w:r>
          </w:p>
        </w:tc>
      </w:tr>
      <w:tr>
        <w:trPr>
          <w:trHeight w:val="288" w:hRule="exact"/>
        </w:trPr>
        <w:tc>
          <w:tcPr>
            <w:tcW w:w="2995" w:type="dxa"/>
          </w:tcPr>
          <w:p>
            <w:pPr>
              <w:pStyle w:val="TableParagraph"/>
              <w:spacing w:line="273" w:lineRule="exact"/>
              <w:ind w:right="102"/>
              <w:rPr>
                <w:b/>
                <w:sz w:val="24"/>
              </w:rPr>
            </w:pPr>
            <w:r>
              <w:rPr>
                <w:b/>
                <w:sz w:val="24"/>
              </w:rPr>
              <w:t>SI</w:t>
            </w:r>
          </w:p>
        </w:tc>
        <w:tc>
          <w:tcPr>
            <w:tcW w:w="2990" w:type="dxa"/>
          </w:tcPr>
          <w:p>
            <w:pPr>
              <w:pStyle w:val="TableParagraph"/>
              <w:spacing w:line="273" w:lineRule="exact"/>
              <w:ind w:left="673" w:right="666"/>
              <w:rPr>
                <w:sz w:val="24"/>
              </w:rPr>
            </w:pPr>
            <w:r>
              <w:rPr>
                <w:sz w:val="24"/>
              </w:rPr>
              <w:t>233</w:t>
            </w:r>
          </w:p>
        </w:tc>
        <w:tc>
          <w:tcPr>
            <w:tcW w:w="2995" w:type="dxa"/>
          </w:tcPr>
          <w:p>
            <w:pPr>
              <w:pStyle w:val="TableParagraph"/>
              <w:spacing w:line="273" w:lineRule="exact"/>
              <w:ind w:right="101"/>
              <w:rPr>
                <w:sz w:val="24"/>
              </w:rPr>
            </w:pPr>
            <w:r>
              <w:rPr>
                <w:sz w:val="24"/>
              </w:rPr>
              <w:t>93</w:t>
            </w:r>
          </w:p>
        </w:tc>
      </w:tr>
      <w:tr>
        <w:trPr>
          <w:trHeight w:val="283" w:hRule="exact"/>
        </w:trPr>
        <w:tc>
          <w:tcPr>
            <w:tcW w:w="2995" w:type="dxa"/>
          </w:tcPr>
          <w:p>
            <w:pPr>
              <w:pStyle w:val="TableParagraph"/>
              <w:spacing w:line="273" w:lineRule="exact"/>
              <w:ind w:right="102"/>
              <w:rPr>
                <w:b/>
                <w:sz w:val="24"/>
              </w:rPr>
            </w:pPr>
            <w:r>
              <w:rPr>
                <w:b/>
                <w:sz w:val="24"/>
              </w:rPr>
              <w:t>NO</w:t>
            </w:r>
          </w:p>
        </w:tc>
        <w:tc>
          <w:tcPr>
            <w:tcW w:w="2990" w:type="dxa"/>
          </w:tcPr>
          <w:p>
            <w:pPr>
              <w:pStyle w:val="TableParagraph"/>
              <w:spacing w:line="273" w:lineRule="exact"/>
              <w:ind w:left="673" w:right="666"/>
              <w:rPr>
                <w:sz w:val="24"/>
              </w:rPr>
            </w:pPr>
            <w:r>
              <w:rPr>
                <w:sz w:val="24"/>
              </w:rPr>
              <w:t>18</w:t>
            </w:r>
          </w:p>
        </w:tc>
        <w:tc>
          <w:tcPr>
            <w:tcW w:w="2995" w:type="dxa"/>
          </w:tcPr>
          <w:p>
            <w:pPr>
              <w:pStyle w:val="TableParagraph"/>
              <w:spacing w:line="273" w:lineRule="exact"/>
              <w:ind w:left="2"/>
              <w:rPr>
                <w:sz w:val="24"/>
              </w:rPr>
            </w:pPr>
            <w:r>
              <w:rPr>
                <w:sz w:val="24"/>
              </w:rPr>
              <w:t>7</w:t>
            </w:r>
          </w:p>
        </w:tc>
      </w:tr>
      <w:tr>
        <w:trPr>
          <w:trHeight w:val="288" w:hRule="exact"/>
        </w:trPr>
        <w:tc>
          <w:tcPr>
            <w:tcW w:w="2995" w:type="dxa"/>
          </w:tcPr>
          <w:p>
            <w:pPr>
              <w:pStyle w:val="TableParagraph"/>
              <w:spacing w:line="273" w:lineRule="exact"/>
              <w:ind w:right="102"/>
              <w:rPr>
                <w:b/>
                <w:sz w:val="24"/>
              </w:rPr>
            </w:pPr>
            <w:r>
              <w:rPr>
                <w:b/>
                <w:sz w:val="24"/>
              </w:rPr>
              <w:t>TOTAL</w:t>
            </w:r>
          </w:p>
        </w:tc>
        <w:tc>
          <w:tcPr>
            <w:tcW w:w="2990" w:type="dxa"/>
          </w:tcPr>
          <w:p>
            <w:pPr>
              <w:pStyle w:val="TableParagraph"/>
              <w:spacing w:line="273" w:lineRule="exact"/>
              <w:ind w:left="673" w:right="666"/>
              <w:rPr>
                <w:sz w:val="24"/>
              </w:rPr>
            </w:pPr>
            <w:r>
              <w:rPr>
                <w:sz w:val="24"/>
              </w:rPr>
              <w:t>251</w:t>
            </w:r>
          </w:p>
        </w:tc>
        <w:tc>
          <w:tcPr>
            <w:tcW w:w="2995" w:type="dxa"/>
          </w:tcPr>
          <w:p>
            <w:pPr>
              <w:pStyle w:val="TableParagraph"/>
              <w:spacing w:line="273" w:lineRule="exact"/>
              <w:ind w:right="101"/>
              <w:rPr>
                <w:sz w:val="24"/>
              </w:rPr>
            </w:pPr>
            <w:r>
              <w:rPr>
                <w:sz w:val="24"/>
              </w:rPr>
              <w:t>100</w:t>
            </w:r>
          </w:p>
        </w:tc>
      </w:tr>
    </w:tbl>
    <w:p>
      <w:pPr>
        <w:spacing w:line="271" w:lineRule="exact" w:before="0"/>
        <w:ind w:left="3032" w:right="142" w:firstLine="0"/>
        <w:jc w:val="left"/>
        <w:rPr>
          <w:sz w:val="24"/>
        </w:rPr>
      </w:pPr>
      <w:r>
        <w:rPr/>
        <w:pict>
          <v:group style="position:absolute;margin-left:93.555pt;margin-top:15.735013pt;width:432.75pt;height:190.8pt;mso-position-horizontal-relative:page;mso-position-vertical-relative:paragraph;z-index:3808;mso-wrap-distance-left:0;mso-wrap-distance-right:0" coordorigin="1871,315" coordsize="8655,3816">
            <v:shape style="position:absolute;left:2494;top:1280;width:6509;height:2338" type="#_x0000_t75" stroked="false">
              <v:imagedata r:id="rId42" o:title=""/>
            </v:shape>
            <v:line style="position:absolute" from="2531,3581" to="2531,3644" stroked="true" strokeweight=".75pt" strokecolor="#989898"/>
            <v:line style="position:absolute" from="3746,3581" to="3746,3644" stroked="true" strokeweight=".75pt" strokecolor="#989898"/>
            <v:line style="position:absolute" from="4960,3581" to="4960,3644" stroked="true" strokeweight=".75pt" strokecolor="#989898"/>
            <v:line style="position:absolute" from="6170,3581" to="6170,3644" stroked="true" strokeweight=".75pt" strokecolor="#989898"/>
            <v:line style="position:absolute" from="7384,3581" to="7384,3644" stroked="true" strokeweight=".75pt" strokecolor="#989898"/>
            <v:line style="position:absolute" from="8599,3581" to="8599,3644" stroked="true" strokeweight=".75pt" strokecolor="#989898"/>
            <v:rect style="position:absolute;left:9832;top:2317;width:110;height:110" filled="true" fillcolor="#3c97ac" stroked="false">
              <v:fill type="solid"/>
            </v:rect>
            <v:rect style="position:absolute;left:9832;top:2317;width:110;height:110" filled="false" stroked="true" strokeweight=".75pt" strokecolor="#426f9b"/>
            <v:rect style="position:absolute;left:9832;top:2719;width:110;height:110" filled="true" fillcolor="#745f8e" stroked="false">
              <v:fill type="solid"/>
            </v:rect>
            <v:rect style="position:absolute;left:9832;top:2719;width:110;height:110" filled="false" stroked="true" strokeweight=".75pt" strokecolor="#426f9b"/>
            <v:rect style="position:absolute;left:1879;top:322;width:8640;height:3801" filled="false" stroked="true" strokeweight=".75pt" strokecolor="#989898"/>
            <v:shape style="position:absolute;left:3230;top:556;width:5946;height:440" type="#_x0000_t202" filled="false" stroked="false">
              <v:textbox inset="0,0,0,0">
                <w:txbxContent>
                  <w:p>
                    <w:pPr>
                      <w:spacing w:line="208" w:lineRule="exact" w:before="0"/>
                      <w:ind w:left="0" w:right="0" w:firstLine="0"/>
                      <w:jc w:val="center"/>
                      <w:rPr>
                        <w:rFonts w:ascii="Calibri" w:hAnsi="Calibri"/>
                        <w:b/>
                        <w:sz w:val="20"/>
                      </w:rPr>
                    </w:pPr>
                    <w:r>
                      <w:rPr>
                        <w:rFonts w:ascii="Calibri" w:hAnsi="Calibri"/>
                        <w:b/>
                        <w:sz w:val="20"/>
                      </w:rPr>
                      <w:t>GRAFICA #14  DISTRIBUCIÓN DE PACIENTES SEGÚN MULTIPLICIDAD DEL</w:t>
                    </w:r>
                  </w:p>
                  <w:p>
                    <w:pPr>
                      <w:spacing w:line="232" w:lineRule="exact" w:before="0"/>
                      <w:ind w:left="0" w:right="0" w:firstLine="0"/>
                      <w:jc w:val="center"/>
                      <w:rPr>
                        <w:rFonts w:ascii="Calibri" w:hAnsi="Calibri"/>
                        <w:b/>
                        <w:sz w:val="20"/>
                      </w:rPr>
                    </w:pPr>
                    <w:r>
                      <w:rPr>
                        <w:rFonts w:ascii="Calibri" w:hAnsi="Calibri"/>
                        <w:b/>
                        <w:sz w:val="20"/>
                      </w:rPr>
                      <w:t>VÍNCULO.</w:t>
                    </w:r>
                  </w:p>
                </w:txbxContent>
              </v:textbox>
              <w10:wrap type="none"/>
            </v:shape>
            <v:shape style="position:absolute;left:9987;top:2294;width:262;height:602" type="#_x0000_t202" filled="false" stroked="false">
              <v:textbox inset="0,0,0,0">
                <w:txbxContent>
                  <w:p>
                    <w:pPr>
                      <w:spacing w:line="210" w:lineRule="exact" w:before="0"/>
                      <w:ind w:left="0" w:right="-20" w:firstLine="0"/>
                      <w:jc w:val="left"/>
                      <w:rPr>
                        <w:rFonts w:ascii="Calibri"/>
                        <w:sz w:val="20"/>
                      </w:rPr>
                    </w:pPr>
                    <w:r>
                      <w:rPr>
                        <w:rFonts w:ascii="Calibri"/>
                        <w:sz w:val="20"/>
                      </w:rPr>
                      <w:t>SI</w:t>
                    </w:r>
                  </w:p>
                  <w:p>
                    <w:pPr>
                      <w:spacing w:line="234" w:lineRule="exact" w:before="157"/>
                      <w:ind w:left="0" w:right="-20" w:firstLine="0"/>
                      <w:jc w:val="left"/>
                      <w:rPr>
                        <w:rFonts w:ascii="Calibri"/>
                        <w:sz w:val="20"/>
                      </w:rPr>
                    </w:pPr>
                    <w:r>
                      <w:rPr>
                        <w:rFonts w:ascii="Calibri"/>
                        <w:sz w:val="20"/>
                      </w:rPr>
                      <w:t>NO</w:t>
                    </w:r>
                  </w:p>
                </w:txbxContent>
              </v:textbox>
              <w10:wrap type="none"/>
            </v:shape>
            <v:shape style="position:absolute;left:2479;top:3753;width:102;height:200" type="#_x0000_t202" filled="false" stroked="false">
              <v:textbox inset="0,0,0,0">
                <w:txbxContent>
                  <w:p>
                    <w:pPr>
                      <w:spacing w:line="200" w:lineRule="exact" w:before="0"/>
                      <w:ind w:left="0" w:right="0" w:firstLine="0"/>
                      <w:jc w:val="left"/>
                      <w:rPr>
                        <w:rFonts w:ascii="Calibri"/>
                        <w:sz w:val="20"/>
                      </w:rPr>
                    </w:pPr>
                    <w:r>
                      <w:rPr>
                        <w:rFonts w:ascii="Calibri"/>
                        <w:sz w:val="20"/>
                      </w:rPr>
                      <w:t>0</w:t>
                    </w:r>
                  </w:p>
                </w:txbxContent>
              </v:textbox>
              <w10:wrap type="none"/>
            </v:shape>
            <v:shape style="position:absolute;left:3642;top:3753;width:203;height:200" type="#_x0000_t202" filled="false" stroked="false">
              <v:textbox inset="0,0,0,0">
                <w:txbxContent>
                  <w:p>
                    <w:pPr>
                      <w:spacing w:line="200" w:lineRule="exact" w:before="0"/>
                      <w:ind w:left="0" w:right="-20" w:firstLine="0"/>
                      <w:jc w:val="left"/>
                      <w:rPr>
                        <w:rFonts w:ascii="Calibri"/>
                        <w:sz w:val="20"/>
                      </w:rPr>
                    </w:pPr>
                    <w:r>
                      <w:rPr>
                        <w:rFonts w:ascii="Calibri"/>
                        <w:sz w:val="20"/>
                      </w:rPr>
                      <w:t>50</w:t>
                    </w:r>
                  </w:p>
                </w:txbxContent>
              </v:textbox>
              <w10:wrap type="none"/>
            </v:shape>
            <v:shape style="position:absolute;left:4806;top:3753;width:305;height:200" type="#_x0000_t202" filled="false" stroked="false">
              <v:textbox inset="0,0,0,0">
                <w:txbxContent>
                  <w:p>
                    <w:pPr>
                      <w:spacing w:line="200" w:lineRule="exact" w:before="0"/>
                      <w:ind w:left="0" w:right="-20" w:firstLine="0"/>
                      <w:jc w:val="left"/>
                      <w:rPr>
                        <w:rFonts w:ascii="Calibri"/>
                        <w:sz w:val="20"/>
                      </w:rPr>
                    </w:pPr>
                    <w:r>
                      <w:rPr>
                        <w:rFonts w:ascii="Calibri"/>
                        <w:sz w:val="20"/>
                      </w:rPr>
                      <w:t>100</w:t>
                    </w:r>
                  </w:p>
                </w:txbxContent>
              </v:textbox>
              <w10:wrap type="none"/>
            </v:shape>
            <v:shape style="position:absolute;left:6020;top:3753;width:305;height:200" type="#_x0000_t202" filled="false" stroked="false">
              <v:textbox inset="0,0,0,0">
                <w:txbxContent>
                  <w:p>
                    <w:pPr>
                      <w:spacing w:line="200" w:lineRule="exact" w:before="0"/>
                      <w:ind w:left="0" w:right="-20" w:firstLine="0"/>
                      <w:jc w:val="left"/>
                      <w:rPr>
                        <w:rFonts w:ascii="Calibri"/>
                        <w:sz w:val="20"/>
                      </w:rPr>
                    </w:pPr>
                    <w:r>
                      <w:rPr>
                        <w:rFonts w:ascii="Calibri"/>
                        <w:sz w:val="20"/>
                      </w:rPr>
                      <w:t>150</w:t>
                    </w:r>
                  </w:p>
                </w:txbxContent>
              </v:textbox>
              <w10:wrap type="none"/>
            </v:shape>
            <v:shape style="position:absolute;left:7234;top:3753;width:305;height:200" type="#_x0000_t202" filled="false" stroked="false">
              <v:textbox inset="0,0,0,0">
                <w:txbxContent>
                  <w:p>
                    <w:pPr>
                      <w:spacing w:line="200" w:lineRule="exact" w:before="0"/>
                      <w:ind w:left="0" w:right="-20" w:firstLine="0"/>
                      <w:jc w:val="left"/>
                      <w:rPr>
                        <w:rFonts w:ascii="Calibri"/>
                        <w:sz w:val="20"/>
                      </w:rPr>
                    </w:pPr>
                    <w:r>
                      <w:rPr>
                        <w:rFonts w:ascii="Calibri"/>
                        <w:sz w:val="20"/>
                      </w:rPr>
                      <w:t>200</w:t>
                    </w:r>
                  </w:p>
                </w:txbxContent>
              </v:textbox>
              <w10:wrap type="none"/>
            </v:shape>
            <v:shape style="position:absolute;left:8449;top:3753;width:305;height:200" type="#_x0000_t202" filled="false" stroked="false">
              <v:textbox inset="0,0,0,0">
                <w:txbxContent>
                  <w:p>
                    <w:pPr>
                      <w:spacing w:line="200" w:lineRule="exact" w:before="0"/>
                      <w:ind w:left="0" w:right="-20" w:firstLine="0"/>
                      <w:jc w:val="left"/>
                      <w:rPr>
                        <w:rFonts w:ascii="Calibri"/>
                        <w:sz w:val="20"/>
                      </w:rPr>
                    </w:pPr>
                    <w:r>
                      <w:rPr>
                        <w:rFonts w:ascii="Calibri"/>
                        <w:sz w:val="20"/>
                      </w:rPr>
                      <w:t>250</w:t>
                    </w:r>
                  </w:p>
                </w:txbxContent>
              </v:textbox>
              <w10:wrap type="none"/>
            </v:shape>
            <w10:wrap type="topAndBottom"/>
          </v:group>
        </w:pict>
      </w:r>
      <w:r>
        <w:rPr>
          <w:b/>
          <w:sz w:val="24"/>
        </w:rPr>
        <w:t>Fuente: </w:t>
      </w:r>
      <w:r>
        <w:rPr>
          <w:sz w:val="24"/>
        </w:rPr>
        <w:t>Escala de ASSIS </w:t>
      </w:r>
      <w:r>
        <w:rPr>
          <w:b/>
          <w:sz w:val="24"/>
        </w:rPr>
        <w:t>Anexo </w:t>
      </w:r>
      <w:r>
        <w:rPr>
          <w:sz w:val="24"/>
        </w:rPr>
        <w:t>5</w:t>
      </w:r>
    </w:p>
    <w:p>
      <w:pPr>
        <w:spacing w:before="54"/>
        <w:ind w:left="3863" w:right="142" w:firstLine="0"/>
        <w:jc w:val="left"/>
        <w:rPr>
          <w:sz w:val="24"/>
        </w:rPr>
      </w:pPr>
      <w:r>
        <w:rPr>
          <w:b/>
          <w:sz w:val="24"/>
        </w:rPr>
        <w:t>Fuente: </w:t>
      </w:r>
      <w:r>
        <w:rPr>
          <w:sz w:val="24"/>
        </w:rPr>
        <w:t>Escala de ASSIS. </w:t>
      </w:r>
      <w:r>
        <w:rPr>
          <w:b/>
          <w:sz w:val="24"/>
        </w:rPr>
        <w:t>Anexo </w:t>
      </w:r>
      <w:r>
        <w:rPr>
          <w:sz w:val="24"/>
        </w:rPr>
        <w:t>5</w:t>
      </w:r>
    </w:p>
    <w:p>
      <w:pPr>
        <w:spacing w:after="0"/>
        <w:jc w:val="left"/>
        <w:rPr>
          <w:sz w:val="24"/>
        </w:rPr>
        <w:sectPr>
          <w:pgSz w:w="12240" w:h="15840"/>
          <w:pgMar w:header="0" w:footer="915" w:top="1360" w:bottom="1220" w:left="1400" w:right="1560"/>
        </w:sectPr>
      </w:pPr>
    </w:p>
    <w:p>
      <w:pPr>
        <w:pStyle w:val="Heading1"/>
        <w:spacing w:line="242" w:lineRule="auto" w:before="50"/>
        <w:ind w:left="4119" w:right="629" w:hanging="3508"/>
      </w:pPr>
      <w:r>
        <w:rPr/>
        <w:t>TABLA#15 DISTRIBUCIÓN DE PACIENTES SEGÚN COMPLEJIDAD DEL VÍNCULO.</w:t>
      </w:r>
    </w:p>
    <w:tbl>
      <w:tblPr>
        <w:tblW w:w="0" w:type="auto"/>
        <w:jc w:val="left"/>
        <w:tblInd w:w="1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95"/>
        <w:gridCol w:w="2990"/>
        <w:gridCol w:w="2995"/>
      </w:tblGrid>
      <w:tr>
        <w:trPr>
          <w:trHeight w:val="288" w:hRule="exact"/>
        </w:trPr>
        <w:tc>
          <w:tcPr>
            <w:tcW w:w="2995" w:type="dxa"/>
          </w:tcPr>
          <w:p>
            <w:pPr>
              <w:pStyle w:val="TableParagraph"/>
              <w:spacing w:line="273" w:lineRule="exact"/>
              <w:ind w:right="102"/>
              <w:rPr>
                <w:b/>
                <w:sz w:val="24"/>
              </w:rPr>
            </w:pPr>
            <w:r>
              <w:rPr>
                <w:b/>
                <w:sz w:val="24"/>
              </w:rPr>
              <w:t>COMPLEJIDAD</w:t>
            </w:r>
          </w:p>
        </w:tc>
        <w:tc>
          <w:tcPr>
            <w:tcW w:w="2990" w:type="dxa"/>
          </w:tcPr>
          <w:p>
            <w:pPr>
              <w:pStyle w:val="TableParagraph"/>
              <w:spacing w:line="273" w:lineRule="exact"/>
              <w:ind w:left="673" w:right="666"/>
              <w:rPr>
                <w:b/>
                <w:sz w:val="24"/>
              </w:rPr>
            </w:pPr>
            <w:r>
              <w:rPr>
                <w:b/>
                <w:sz w:val="24"/>
              </w:rPr>
              <w:t>FRECUENCIA</w:t>
            </w:r>
          </w:p>
        </w:tc>
        <w:tc>
          <w:tcPr>
            <w:tcW w:w="2995" w:type="dxa"/>
          </w:tcPr>
          <w:p>
            <w:pPr>
              <w:pStyle w:val="TableParagraph"/>
              <w:spacing w:line="273" w:lineRule="exact"/>
              <w:ind w:right="101"/>
              <w:rPr>
                <w:b/>
                <w:sz w:val="24"/>
              </w:rPr>
            </w:pPr>
            <w:r>
              <w:rPr>
                <w:b/>
                <w:sz w:val="24"/>
              </w:rPr>
              <w:t>PORCENTAJE</w:t>
            </w:r>
          </w:p>
        </w:tc>
      </w:tr>
      <w:tr>
        <w:trPr>
          <w:trHeight w:val="283" w:hRule="exact"/>
        </w:trPr>
        <w:tc>
          <w:tcPr>
            <w:tcW w:w="2995" w:type="dxa"/>
          </w:tcPr>
          <w:p>
            <w:pPr>
              <w:pStyle w:val="TableParagraph"/>
              <w:spacing w:line="273" w:lineRule="exact"/>
              <w:ind w:right="102"/>
              <w:rPr>
                <w:b/>
                <w:sz w:val="24"/>
              </w:rPr>
            </w:pPr>
            <w:r>
              <w:rPr>
                <w:b/>
                <w:sz w:val="24"/>
              </w:rPr>
              <w:t>SIMPLE</w:t>
            </w:r>
          </w:p>
        </w:tc>
        <w:tc>
          <w:tcPr>
            <w:tcW w:w="2990" w:type="dxa"/>
          </w:tcPr>
          <w:p>
            <w:pPr>
              <w:pStyle w:val="TableParagraph"/>
              <w:spacing w:line="273" w:lineRule="exact"/>
              <w:ind w:left="673" w:right="666"/>
              <w:rPr>
                <w:sz w:val="24"/>
              </w:rPr>
            </w:pPr>
            <w:r>
              <w:rPr>
                <w:sz w:val="24"/>
              </w:rPr>
              <w:t>146</w:t>
            </w:r>
          </w:p>
        </w:tc>
        <w:tc>
          <w:tcPr>
            <w:tcW w:w="2995" w:type="dxa"/>
          </w:tcPr>
          <w:p>
            <w:pPr>
              <w:pStyle w:val="TableParagraph"/>
              <w:spacing w:line="273" w:lineRule="exact"/>
              <w:ind w:right="101"/>
              <w:rPr>
                <w:sz w:val="24"/>
              </w:rPr>
            </w:pPr>
            <w:r>
              <w:rPr>
                <w:sz w:val="24"/>
              </w:rPr>
              <w:t>58</w:t>
            </w:r>
          </w:p>
        </w:tc>
      </w:tr>
      <w:tr>
        <w:trPr>
          <w:trHeight w:val="288" w:hRule="exact"/>
        </w:trPr>
        <w:tc>
          <w:tcPr>
            <w:tcW w:w="2995" w:type="dxa"/>
          </w:tcPr>
          <w:p>
            <w:pPr>
              <w:pStyle w:val="TableParagraph"/>
              <w:spacing w:line="273" w:lineRule="exact"/>
              <w:ind w:right="102"/>
              <w:rPr>
                <w:b/>
                <w:sz w:val="24"/>
              </w:rPr>
            </w:pPr>
            <w:r>
              <w:rPr>
                <w:b/>
                <w:sz w:val="24"/>
              </w:rPr>
              <w:t>COMPLEJA</w:t>
            </w:r>
          </w:p>
        </w:tc>
        <w:tc>
          <w:tcPr>
            <w:tcW w:w="2990" w:type="dxa"/>
          </w:tcPr>
          <w:p>
            <w:pPr>
              <w:pStyle w:val="TableParagraph"/>
              <w:spacing w:line="273" w:lineRule="exact"/>
              <w:ind w:left="673" w:right="666"/>
              <w:rPr>
                <w:sz w:val="24"/>
              </w:rPr>
            </w:pPr>
            <w:r>
              <w:rPr>
                <w:sz w:val="24"/>
              </w:rPr>
              <w:t>78</w:t>
            </w:r>
          </w:p>
        </w:tc>
        <w:tc>
          <w:tcPr>
            <w:tcW w:w="2995" w:type="dxa"/>
          </w:tcPr>
          <w:p>
            <w:pPr>
              <w:pStyle w:val="TableParagraph"/>
              <w:spacing w:line="273" w:lineRule="exact"/>
              <w:ind w:right="101"/>
              <w:rPr>
                <w:sz w:val="24"/>
              </w:rPr>
            </w:pPr>
            <w:r>
              <w:rPr>
                <w:sz w:val="24"/>
              </w:rPr>
              <w:t>31</w:t>
            </w:r>
          </w:p>
        </w:tc>
      </w:tr>
      <w:tr>
        <w:trPr>
          <w:trHeight w:val="288" w:hRule="exact"/>
        </w:trPr>
        <w:tc>
          <w:tcPr>
            <w:tcW w:w="2995" w:type="dxa"/>
          </w:tcPr>
          <w:p>
            <w:pPr>
              <w:pStyle w:val="TableParagraph"/>
              <w:spacing w:line="273" w:lineRule="exact"/>
              <w:ind w:right="102"/>
              <w:rPr>
                <w:b/>
                <w:sz w:val="24"/>
              </w:rPr>
            </w:pPr>
            <w:r>
              <w:rPr>
                <w:b/>
                <w:sz w:val="24"/>
              </w:rPr>
              <w:t>MUY COMPLEJA</w:t>
            </w:r>
          </w:p>
        </w:tc>
        <w:tc>
          <w:tcPr>
            <w:tcW w:w="2990" w:type="dxa"/>
          </w:tcPr>
          <w:p>
            <w:pPr>
              <w:pStyle w:val="TableParagraph"/>
              <w:spacing w:line="273" w:lineRule="exact"/>
              <w:ind w:left="673" w:right="666"/>
              <w:rPr>
                <w:sz w:val="24"/>
              </w:rPr>
            </w:pPr>
            <w:r>
              <w:rPr>
                <w:sz w:val="24"/>
              </w:rPr>
              <w:t>27</w:t>
            </w:r>
          </w:p>
        </w:tc>
        <w:tc>
          <w:tcPr>
            <w:tcW w:w="2995" w:type="dxa"/>
          </w:tcPr>
          <w:p>
            <w:pPr>
              <w:pStyle w:val="TableParagraph"/>
              <w:spacing w:line="273" w:lineRule="exact"/>
              <w:ind w:right="101"/>
              <w:rPr>
                <w:sz w:val="24"/>
              </w:rPr>
            </w:pPr>
            <w:r>
              <w:rPr>
                <w:sz w:val="24"/>
              </w:rPr>
              <w:t>11</w:t>
            </w:r>
          </w:p>
        </w:tc>
      </w:tr>
      <w:tr>
        <w:trPr>
          <w:trHeight w:val="283" w:hRule="exact"/>
        </w:trPr>
        <w:tc>
          <w:tcPr>
            <w:tcW w:w="2995" w:type="dxa"/>
          </w:tcPr>
          <w:p>
            <w:pPr>
              <w:pStyle w:val="TableParagraph"/>
              <w:spacing w:line="273" w:lineRule="exact"/>
              <w:ind w:right="102"/>
              <w:rPr>
                <w:b/>
                <w:sz w:val="24"/>
              </w:rPr>
            </w:pPr>
            <w:r>
              <w:rPr>
                <w:b/>
                <w:sz w:val="24"/>
              </w:rPr>
              <w:t>TOTAL</w:t>
            </w:r>
          </w:p>
        </w:tc>
        <w:tc>
          <w:tcPr>
            <w:tcW w:w="2990" w:type="dxa"/>
          </w:tcPr>
          <w:p>
            <w:pPr>
              <w:pStyle w:val="TableParagraph"/>
              <w:spacing w:line="273" w:lineRule="exact"/>
              <w:ind w:left="673" w:right="666"/>
              <w:rPr>
                <w:sz w:val="24"/>
              </w:rPr>
            </w:pPr>
            <w:r>
              <w:rPr>
                <w:sz w:val="24"/>
              </w:rPr>
              <w:t>251</w:t>
            </w:r>
          </w:p>
        </w:tc>
        <w:tc>
          <w:tcPr>
            <w:tcW w:w="2995" w:type="dxa"/>
          </w:tcPr>
          <w:p>
            <w:pPr>
              <w:pStyle w:val="TableParagraph"/>
              <w:spacing w:line="273" w:lineRule="exact"/>
              <w:ind w:right="101"/>
              <w:rPr>
                <w:sz w:val="24"/>
              </w:rPr>
            </w:pPr>
            <w:r>
              <w:rPr>
                <w:sz w:val="24"/>
              </w:rPr>
              <w:t>100</w:t>
            </w:r>
          </w:p>
        </w:tc>
      </w:tr>
    </w:tbl>
    <w:p>
      <w:pPr>
        <w:spacing w:line="271" w:lineRule="exact" w:before="0"/>
        <w:ind w:left="3032" w:right="1109" w:firstLine="0"/>
        <w:jc w:val="left"/>
        <w:rPr>
          <w:sz w:val="24"/>
        </w:rPr>
      </w:pPr>
      <w:r>
        <w:rPr>
          <w:b/>
          <w:sz w:val="24"/>
        </w:rPr>
        <w:t>Fuente: </w:t>
      </w:r>
      <w:r>
        <w:rPr>
          <w:sz w:val="24"/>
        </w:rPr>
        <w:t>Escala de ASSIS </w:t>
      </w:r>
      <w:r>
        <w:rPr>
          <w:b/>
          <w:sz w:val="24"/>
        </w:rPr>
        <w:t>Anexo </w:t>
      </w:r>
      <w:r>
        <w:rPr>
          <w:sz w:val="24"/>
        </w:rPr>
        <w:t>5</w:t>
      </w:r>
    </w:p>
    <w:p>
      <w:pPr>
        <w:pStyle w:val="BodyText"/>
        <w:ind w:left="285"/>
        <w:rPr>
          <w:sz w:val="20"/>
        </w:rPr>
      </w:pPr>
      <w:r>
        <w:rPr>
          <w:sz w:val="20"/>
        </w:rPr>
        <w:pict>
          <v:group style="width:460pt;height:205.75pt;mso-position-horizontal-relative:char;mso-position-vertical-relative:line" coordorigin="0,0" coordsize="9200,4115">
            <v:shape style="position:absolute;left:1850;top:724;width:6797;height:2880" type="#_x0000_t75" stroked="false">
              <v:imagedata r:id="rId44" o:title=""/>
            </v:shape>
            <v:line style="position:absolute" from="1889,3564" to="1889,3627" stroked="true" strokeweight=".75pt" strokecolor="#989898"/>
            <v:line style="position:absolute" from="2955,3564" to="2955,3627" stroked="true" strokeweight=".75pt" strokecolor="#989898"/>
            <v:line style="position:absolute" from="4020,3564" to="4020,3627" stroked="true" strokeweight=".75pt" strokecolor="#989898"/>
            <v:line style="position:absolute" from="5086,3564" to="5086,3627" stroked="true" strokeweight=".75pt" strokecolor="#989898"/>
            <v:line style="position:absolute" from="6152,3564" to="6152,3627" stroked="true" strokeweight=".75pt" strokecolor="#989898"/>
            <v:line style="position:absolute" from="7222,3564" to="7222,3627" stroked="true" strokeweight=".75pt" strokecolor="#989898"/>
            <v:line style="position:absolute" from="8286,3564" to="8286,3627" stroked="true" strokeweight=".75pt" strokecolor="#989898"/>
            <v:line style="position:absolute" from="1888,3564" to="1827,3564" stroked="true" strokeweight=".75pt" strokecolor="#989898"/>
            <v:line style="position:absolute" from="1888,2710" to="1827,2710" stroked="true" strokeweight=".75pt" strokecolor="#989898"/>
            <v:line style="position:absolute" from="1888,1860" to="1827,1860" stroked="true" strokeweight=".75pt" strokecolor="#989898"/>
            <v:line style="position:absolute" from="1888,1006" to="1827,1006" stroked="true" strokeweight=".75pt" strokecolor="#989898"/>
            <v:rect style="position:absolute;left:7;top:8;width:9185;height:4100" filled="false" stroked="true" strokeweight=".75pt" strokecolor="#989898"/>
            <v:shape style="position:absolute;left:1259;top:241;width:6682;height:200" type="#_x0000_t202" filled="false" stroked="false">
              <v:textbox inset="0,0,0,0">
                <w:txbxContent>
                  <w:p>
                    <w:pPr>
                      <w:spacing w:line="200" w:lineRule="exact" w:before="0"/>
                      <w:ind w:left="0" w:right="-20" w:firstLine="0"/>
                      <w:jc w:val="left"/>
                      <w:rPr>
                        <w:rFonts w:ascii="Calibri" w:hAnsi="Calibri"/>
                        <w:b/>
                        <w:sz w:val="20"/>
                      </w:rPr>
                    </w:pPr>
                    <w:r>
                      <w:rPr>
                        <w:rFonts w:ascii="Calibri" w:hAnsi="Calibri"/>
                        <w:b/>
                        <w:sz w:val="20"/>
                      </w:rPr>
                      <w:t>GRAFICA #15  DISTRIBUCIÓN DE PACIENTES SEGÚN COMPLEJIDAD DEL VÍNCULO.</w:t>
                    </w:r>
                  </w:p>
                </w:txbxContent>
              </v:textbox>
              <w10:wrap type="none"/>
            </v:shape>
            <v:shape style="position:absolute;left:380;top:1356;width:1317;height:200" type="#_x0000_t202" filled="false" stroked="false">
              <v:textbox inset="0,0,0,0">
                <w:txbxContent>
                  <w:p>
                    <w:pPr>
                      <w:spacing w:line="200" w:lineRule="exact" w:before="0"/>
                      <w:ind w:left="0" w:right="-20" w:firstLine="0"/>
                      <w:jc w:val="left"/>
                      <w:rPr>
                        <w:rFonts w:ascii="Calibri"/>
                        <w:sz w:val="20"/>
                      </w:rPr>
                    </w:pPr>
                    <w:r>
                      <w:rPr>
                        <w:rFonts w:ascii="Calibri"/>
                        <w:sz w:val="20"/>
                      </w:rPr>
                      <w:t>MUY COMPLEJA</w:t>
                    </w:r>
                  </w:p>
                </w:txbxContent>
              </v:textbox>
              <w10:wrap type="none"/>
            </v:shape>
            <v:shape style="position:absolute;left:821;top:2209;width:875;height:200" type="#_x0000_t202" filled="false" stroked="false">
              <v:textbox inset="0,0,0,0">
                <w:txbxContent>
                  <w:p>
                    <w:pPr>
                      <w:spacing w:line="200" w:lineRule="exact" w:before="0"/>
                      <w:ind w:left="0" w:right="-20" w:firstLine="0"/>
                      <w:jc w:val="left"/>
                      <w:rPr>
                        <w:rFonts w:ascii="Calibri"/>
                        <w:sz w:val="20"/>
                      </w:rPr>
                    </w:pPr>
                    <w:r>
                      <w:rPr>
                        <w:rFonts w:ascii="Calibri"/>
                        <w:sz w:val="20"/>
                      </w:rPr>
                      <w:t>COMPLEJA</w:t>
                    </w:r>
                  </w:p>
                </w:txbxContent>
              </v:textbox>
              <w10:wrap type="none"/>
            </v:shape>
            <v:shape style="position:absolute;left:1103;top:3062;width:599;height:200" type="#_x0000_t202" filled="false" stroked="false">
              <v:textbox inset="0,0,0,0">
                <w:txbxContent>
                  <w:p>
                    <w:pPr>
                      <w:spacing w:line="200" w:lineRule="exact" w:before="0"/>
                      <w:ind w:left="0" w:right="-20" w:firstLine="0"/>
                      <w:jc w:val="left"/>
                      <w:rPr>
                        <w:rFonts w:ascii="Calibri"/>
                        <w:sz w:val="20"/>
                      </w:rPr>
                    </w:pPr>
                    <w:r>
                      <w:rPr>
                        <w:rFonts w:ascii="Calibri"/>
                        <w:sz w:val="20"/>
                      </w:rPr>
                      <w:t>SIMPLE</w:t>
                    </w:r>
                  </w:p>
                </w:txbxContent>
              </v:textbox>
              <w10:wrap type="none"/>
            </v:shape>
            <v:shape style="position:absolute;left:1837;top:3736;width:102;height:200" type="#_x0000_t202" filled="false" stroked="false">
              <v:textbox inset="0,0,0,0">
                <w:txbxContent>
                  <w:p>
                    <w:pPr>
                      <w:spacing w:line="200" w:lineRule="exact" w:before="0"/>
                      <w:ind w:left="0" w:right="0" w:firstLine="0"/>
                      <w:jc w:val="left"/>
                      <w:rPr>
                        <w:rFonts w:ascii="Calibri"/>
                        <w:sz w:val="20"/>
                      </w:rPr>
                    </w:pPr>
                    <w:r>
                      <w:rPr>
                        <w:rFonts w:ascii="Calibri"/>
                        <w:sz w:val="20"/>
                      </w:rPr>
                      <w:t>0</w:t>
                    </w:r>
                  </w:p>
                </w:txbxContent>
              </v:textbox>
              <w10:wrap type="none"/>
            </v:shape>
            <v:shape style="position:absolute;left:2853;top:3736;width:203;height:200" type="#_x0000_t202" filled="false" stroked="false">
              <v:textbox inset="0,0,0,0">
                <w:txbxContent>
                  <w:p>
                    <w:pPr>
                      <w:spacing w:line="200" w:lineRule="exact" w:before="0"/>
                      <w:ind w:left="0" w:right="-20" w:firstLine="0"/>
                      <w:jc w:val="left"/>
                      <w:rPr>
                        <w:rFonts w:ascii="Calibri"/>
                        <w:sz w:val="20"/>
                      </w:rPr>
                    </w:pPr>
                    <w:r>
                      <w:rPr>
                        <w:rFonts w:ascii="Calibri"/>
                        <w:sz w:val="20"/>
                      </w:rPr>
                      <w:t>10</w:t>
                    </w:r>
                  </w:p>
                </w:txbxContent>
              </v:textbox>
              <w10:wrap type="none"/>
            </v:shape>
            <v:shape style="position:absolute;left:3919;top:3736;width:203;height:200" type="#_x0000_t202" filled="false" stroked="false">
              <v:textbox inset="0,0,0,0">
                <w:txbxContent>
                  <w:p>
                    <w:pPr>
                      <w:spacing w:line="200" w:lineRule="exact" w:before="0"/>
                      <w:ind w:left="0" w:right="-20" w:firstLine="0"/>
                      <w:jc w:val="left"/>
                      <w:rPr>
                        <w:rFonts w:ascii="Calibri"/>
                        <w:sz w:val="20"/>
                      </w:rPr>
                    </w:pPr>
                    <w:r>
                      <w:rPr>
                        <w:rFonts w:ascii="Calibri"/>
                        <w:sz w:val="20"/>
                      </w:rPr>
                      <w:t>20</w:t>
                    </w:r>
                  </w:p>
                </w:txbxContent>
              </v:textbox>
              <w10:wrap type="none"/>
            </v:shape>
            <v:shape style="position:absolute;left:4986;top:3736;width:203;height:200" type="#_x0000_t202" filled="false" stroked="false">
              <v:textbox inset="0,0,0,0">
                <w:txbxContent>
                  <w:p>
                    <w:pPr>
                      <w:spacing w:line="200" w:lineRule="exact" w:before="0"/>
                      <w:ind w:left="0" w:right="-20" w:firstLine="0"/>
                      <w:jc w:val="left"/>
                      <w:rPr>
                        <w:rFonts w:ascii="Calibri"/>
                        <w:sz w:val="20"/>
                      </w:rPr>
                    </w:pPr>
                    <w:r>
                      <w:rPr>
                        <w:rFonts w:ascii="Calibri"/>
                        <w:sz w:val="20"/>
                      </w:rPr>
                      <w:t>30</w:t>
                    </w:r>
                  </w:p>
                </w:txbxContent>
              </v:textbox>
              <w10:wrap type="none"/>
            </v:shape>
            <v:shape style="position:absolute;left:6052;top:3736;width:203;height:200" type="#_x0000_t202" filled="false" stroked="false">
              <v:textbox inset="0,0,0,0">
                <w:txbxContent>
                  <w:p>
                    <w:pPr>
                      <w:spacing w:line="200" w:lineRule="exact" w:before="0"/>
                      <w:ind w:left="0" w:right="-20" w:firstLine="0"/>
                      <w:jc w:val="left"/>
                      <w:rPr>
                        <w:rFonts w:ascii="Calibri"/>
                        <w:sz w:val="20"/>
                      </w:rPr>
                    </w:pPr>
                    <w:r>
                      <w:rPr>
                        <w:rFonts w:ascii="Calibri"/>
                        <w:sz w:val="20"/>
                      </w:rPr>
                      <w:t>40</w:t>
                    </w:r>
                  </w:p>
                </w:txbxContent>
              </v:textbox>
              <w10:wrap type="none"/>
            </v:shape>
            <v:shape style="position:absolute;left:7118;top:3736;width:203;height:200" type="#_x0000_t202" filled="false" stroked="false">
              <v:textbox inset="0,0,0,0">
                <w:txbxContent>
                  <w:p>
                    <w:pPr>
                      <w:spacing w:line="200" w:lineRule="exact" w:before="0"/>
                      <w:ind w:left="0" w:right="-20" w:firstLine="0"/>
                      <w:jc w:val="left"/>
                      <w:rPr>
                        <w:rFonts w:ascii="Calibri"/>
                        <w:sz w:val="20"/>
                      </w:rPr>
                    </w:pPr>
                    <w:r>
                      <w:rPr>
                        <w:rFonts w:ascii="Calibri"/>
                        <w:sz w:val="20"/>
                      </w:rPr>
                      <w:t>50</w:t>
                    </w:r>
                  </w:p>
                </w:txbxContent>
              </v:textbox>
              <w10:wrap type="none"/>
            </v:shape>
            <v:shape style="position:absolute;left:8185;top:3736;width:203;height:200" type="#_x0000_t202" filled="false" stroked="false">
              <v:textbox inset="0,0,0,0">
                <w:txbxContent>
                  <w:p>
                    <w:pPr>
                      <w:spacing w:line="200" w:lineRule="exact" w:before="0"/>
                      <w:ind w:left="0" w:right="-20" w:firstLine="0"/>
                      <w:jc w:val="left"/>
                      <w:rPr>
                        <w:rFonts w:ascii="Calibri"/>
                        <w:sz w:val="20"/>
                      </w:rPr>
                    </w:pPr>
                    <w:r>
                      <w:rPr>
                        <w:rFonts w:ascii="Calibri"/>
                        <w:sz w:val="20"/>
                      </w:rPr>
                      <w:t>60</w:t>
                    </w:r>
                  </w:p>
                </w:txbxContent>
              </v:textbox>
              <w10:wrap type="none"/>
            </v:shape>
          </v:group>
        </w:pict>
      </w:r>
      <w:r>
        <w:rPr>
          <w:sz w:val="20"/>
        </w:rPr>
      </w:r>
    </w:p>
    <w:p>
      <w:pPr>
        <w:pStyle w:val="BodyText"/>
        <w:spacing w:before="6"/>
        <w:rPr>
          <w:sz w:val="13"/>
        </w:rPr>
      </w:pPr>
    </w:p>
    <w:p>
      <w:pPr>
        <w:spacing w:before="70"/>
        <w:ind w:left="3680" w:right="1109" w:firstLine="0"/>
        <w:jc w:val="left"/>
        <w:rPr>
          <w:sz w:val="24"/>
        </w:rPr>
      </w:pPr>
      <w:r>
        <w:rPr>
          <w:b/>
          <w:sz w:val="24"/>
        </w:rPr>
        <w:t>Fuente: </w:t>
      </w:r>
      <w:r>
        <w:rPr>
          <w:sz w:val="24"/>
        </w:rPr>
        <w:t>Escala de ASSIS. </w:t>
      </w:r>
      <w:r>
        <w:rPr>
          <w:b/>
          <w:sz w:val="24"/>
        </w:rPr>
        <w:t>Anexo </w:t>
      </w:r>
      <w:r>
        <w:rPr>
          <w:sz w:val="24"/>
        </w:rPr>
        <w:t>5</w:t>
      </w:r>
    </w:p>
    <w:p>
      <w:pPr>
        <w:pStyle w:val="Heading1"/>
        <w:spacing w:line="242" w:lineRule="auto" w:before="45"/>
        <w:ind w:left="296" w:right="1109"/>
      </w:pPr>
      <w:r>
        <w:rPr/>
        <w:t>TABLA#16 DISTRIBUCIÓN DE PACIENTES SEGÚN NATURALEZA DEL VÍNCULO</w:t>
      </w:r>
    </w:p>
    <w:tbl>
      <w:tblPr>
        <w:tblW w:w="0" w:type="auto"/>
        <w:jc w:val="left"/>
        <w:tblInd w:w="1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95"/>
        <w:gridCol w:w="2990"/>
        <w:gridCol w:w="2995"/>
      </w:tblGrid>
      <w:tr>
        <w:trPr>
          <w:trHeight w:val="562" w:hRule="exact"/>
        </w:trPr>
        <w:tc>
          <w:tcPr>
            <w:tcW w:w="2995" w:type="dxa"/>
          </w:tcPr>
          <w:p>
            <w:pPr>
              <w:pStyle w:val="TableParagraph"/>
              <w:spacing w:line="242" w:lineRule="auto"/>
              <w:ind w:left="926" w:right="356" w:hanging="551"/>
              <w:jc w:val="left"/>
              <w:rPr>
                <w:b/>
                <w:sz w:val="24"/>
              </w:rPr>
            </w:pPr>
            <w:r>
              <w:rPr>
                <w:b/>
                <w:sz w:val="24"/>
              </w:rPr>
              <w:t>NATURALEZA DEL VÍNCULO</w:t>
            </w:r>
          </w:p>
        </w:tc>
        <w:tc>
          <w:tcPr>
            <w:tcW w:w="2990" w:type="dxa"/>
          </w:tcPr>
          <w:p>
            <w:pPr>
              <w:pStyle w:val="TableParagraph"/>
              <w:spacing w:before="136"/>
              <w:ind w:left="673" w:right="666"/>
              <w:rPr>
                <w:b/>
                <w:sz w:val="24"/>
              </w:rPr>
            </w:pPr>
            <w:r>
              <w:rPr>
                <w:b/>
                <w:sz w:val="24"/>
              </w:rPr>
              <w:t>FRECUENCIA</w:t>
            </w:r>
          </w:p>
        </w:tc>
        <w:tc>
          <w:tcPr>
            <w:tcW w:w="2995" w:type="dxa"/>
          </w:tcPr>
          <w:p>
            <w:pPr>
              <w:pStyle w:val="TableParagraph"/>
              <w:spacing w:before="136"/>
              <w:ind w:right="101"/>
              <w:rPr>
                <w:b/>
                <w:sz w:val="24"/>
              </w:rPr>
            </w:pPr>
            <w:r>
              <w:rPr>
                <w:b/>
                <w:sz w:val="24"/>
              </w:rPr>
              <w:t>PORCENTAJE</w:t>
            </w:r>
          </w:p>
        </w:tc>
      </w:tr>
      <w:tr>
        <w:trPr>
          <w:trHeight w:val="288" w:hRule="exact"/>
        </w:trPr>
        <w:tc>
          <w:tcPr>
            <w:tcW w:w="2995" w:type="dxa"/>
          </w:tcPr>
          <w:p>
            <w:pPr>
              <w:pStyle w:val="TableParagraph"/>
              <w:spacing w:line="273" w:lineRule="exact"/>
              <w:ind w:right="102"/>
              <w:rPr>
                <w:b/>
                <w:sz w:val="24"/>
              </w:rPr>
            </w:pPr>
            <w:r>
              <w:rPr>
                <w:b/>
                <w:sz w:val="24"/>
              </w:rPr>
              <w:t>CONYUGE</w:t>
            </w:r>
          </w:p>
        </w:tc>
        <w:tc>
          <w:tcPr>
            <w:tcW w:w="2990" w:type="dxa"/>
          </w:tcPr>
          <w:p>
            <w:pPr>
              <w:pStyle w:val="TableParagraph"/>
              <w:spacing w:line="273" w:lineRule="exact"/>
              <w:ind w:left="7"/>
              <w:rPr>
                <w:sz w:val="24"/>
              </w:rPr>
            </w:pPr>
            <w:r>
              <w:rPr>
                <w:sz w:val="24"/>
              </w:rPr>
              <w:t>8</w:t>
            </w:r>
          </w:p>
        </w:tc>
        <w:tc>
          <w:tcPr>
            <w:tcW w:w="2995" w:type="dxa"/>
          </w:tcPr>
          <w:p>
            <w:pPr>
              <w:pStyle w:val="TableParagraph"/>
              <w:spacing w:line="273" w:lineRule="exact"/>
              <w:ind w:left="2"/>
              <w:rPr>
                <w:sz w:val="24"/>
              </w:rPr>
            </w:pPr>
            <w:r>
              <w:rPr>
                <w:sz w:val="24"/>
              </w:rPr>
              <w:t>3</w:t>
            </w:r>
          </w:p>
        </w:tc>
      </w:tr>
      <w:tr>
        <w:trPr>
          <w:trHeight w:val="283" w:hRule="exact"/>
        </w:trPr>
        <w:tc>
          <w:tcPr>
            <w:tcW w:w="2995" w:type="dxa"/>
          </w:tcPr>
          <w:p>
            <w:pPr>
              <w:pStyle w:val="TableParagraph"/>
              <w:spacing w:line="273" w:lineRule="exact"/>
              <w:ind w:right="102"/>
              <w:rPr>
                <w:b/>
                <w:sz w:val="24"/>
              </w:rPr>
            </w:pPr>
            <w:r>
              <w:rPr>
                <w:b/>
                <w:sz w:val="24"/>
              </w:rPr>
              <w:t>FAMILIAR INMEDIATO</w:t>
            </w:r>
          </w:p>
        </w:tc>
        <w:tc>
          <w:tcPr>
            <w:tcW w:w="2990" w:type="dxa"/>
          </w:tcPr>
          <w:p>
            <w:pPr>
              <w:pStyle w:val="TableParagraph"/>
              <w:spacing w:line="273" w:lineRule="exact"/>
              <w:ind w:left="673" w:right="666"/>
              <w:rPr>
                <w:sz w:val="24"/>
              </w:rPr>
            </w:pPr>
            <w:r>
              <w:rPr>
                <w:sz w:val="24"/>
              </w:rPr>
              <w:t>166</w:t>
            </w:r>
          </w:p>
        </w:tc>
        <w:tc>
          <w:tcPr>
            <w:tcW w:w="2995" w:type="dxa"/>
          </w:tcPr>
          <w:p>
            <w:pPr>
              <w:pStyle w:val="TableParagraph"/>
              <w:spacing w:line="273" w:lineRule="exact"/>
              <w:ind w:right="101"/>
              <w:rPr>
                <w:sz w:val="24"/>
              </w:rPr>
            </w:pPr>
            <w:r>
              <w:rPr>
                <w:sz w:val="24"/>
              </w:rPr>
              <w:t>66</w:t>
            </w:r>
          </w:p>
        </w:tc>
      </w:tr>
      <w:tr>
        <w:trPr>
          <w:trHeight w:val="288" w:hRule="exact"/>
        </w:trPr>
        <w:tc>
          <w:tcPr>
            <w:tcW w:w="2995" w:type="dxa"/>
          </w:tcPr>
          <w:p>
            <w:pPr>
              <w:pStyle w:val="TableParagraph"/>
              <w:spacing w:line="273" w:lineRule="exact"/>
              <w:ind w:right="102"/>
              <w:rPr>
                <w:b/>
                <w:sz w:val="24"/>
              </w:rPr>
            </w:pPr>
            <w:r>
              <w:rPr>
                <w:b/>
                <w:sz w:val="24"/>
              </w:rPr>
              <w:t>FAMILIAR LEJANO</w:t>
            </w:r>
          </w:p>
        </w:tc>
        <w:tc>
          <w:tcPr>
            <w:tcW w:w="2990" w:type="dxa"/>
          </w:tcPr>
          <w:p>
            <w:pPr>
              <w:pStyle w:val="TableParagraph"/>
              <w:spacing w:line="273" w:lineRule="exact"/>
              <w:ind w:left="673" w:right="666"/>
              <w:rPr>
                <w:sz w:val="24"/>
              </w:rPr>
            </w:pPr>
            <w:r>
              <w:rPr>
                <w:sz w:val="24"/>
              </w:rPr>
              <w:t>30</w:t>
            </w:r>
          </w:p>
        </w:tc>
        <w:tc>
          <w:tcPr>
            <w:tcW w:w="2995" w:type="dxa"/>
          </w:tcPr>
          <w:p>
            <w:pPr>
              <w:pStyle w:val="TableParagraph"/>
              <w:spacing w:line="273" w:lineRule="exact"/>
              <w:ind w:right="101"/>
              <w:rPr>
                <w:sz w:val="24"/>
              </w:rPr>
            </w:pPr>
            <w:r>
              <w:rPr>
                <w:sz w:val="24"/>
              </w:rPr>
              <w:t>12</w:t>
            </w:r>
          </w:p>
        </w:tc>
      </w:tr>
      <w:tr>
        <w:trPr>
          <w:trHeight w:val="283" w:hRule="exact"/>
        </w:trPr>
        <w:tc>
          <w:tcPr>
            <w:tcW w:w="2995" w:type="dxa"/>
          </w:tcPr>
          <w:p>
            <w:pPr>
              <w:pStyle w:val="TableParagraph"/>
              <w:spacing w:line="273" w:lineRule="exact"/>
              <w:ind w:right="102"/>
              <w:rPr>
                <w:b/>
                <w:sz w:val="24"/>
              </w:rPr>
            </w:pPr>
            <w:r>
              <w:rPr>
                <w:b/>
                <w:sz w:val="24"/>
              </w:rPr>
              <w:t>PAREJA SEXUAL</w:t>
            </w:r>
          </w:p>
        </w:tc>
        <w:tc>
          <w:tcPr>
            <w:tcW w:w="2990" w:type="dxa"/>
          </w:tcPr>
          <w:p>
            <w:pPr>
              <w:pStyle w:val="TableParagraph"/>
              <w:spacing w:line="273" w:lineRule="exact"/>
              <w:ind w:left="7"/>
              <w:rPr>
                <w:sz w:val="24"/>
              </w:rPr>
            </w:pPr>
            <w:r>
              <w:rPr>
                <w:sz w:val="24"/>
              </w:rPr>
              <w:t>3</w:t>
            </w:r>
          </w:p>
        </w:tc>
        <w:tc>
          <w:tcPr>
            <w:tcW w:w="2995" w:type="dxa"/>
          </w:tcPr>
          <w:p>
            <w:pPr>
              <w:pStyle w:val="TableParagraph"/>
              <w:spacing w:line="273" w:lineRule="exact"/>
              <w:ind w:left="2"/>
              <w:rPr>
                <w:sz w:val="24"/>
              </w:rPr>
            </w:pPr>
            <w:r>
              <w:rPr>
                <w:sz w:val="24"/>
              </w:rPr>
              <w:t>1</w:t>
            </w:r>
          </w:p>
        </w:tc>
      </w:tr>
      <w:tr>
        <w:trPr>
          <w:trHeight w:val="288" w:hRule="exact"/>
        </w:trPr>
        <w:tc>
          <w:tcPr>
            <w:tcW w:w="2995" w:type="dxa"/>
          </w:tcPr>
          <w:p>
            <w:pPr>
              <w:pStyle w:val="TableParagraph"/>
              <w:spacing w:before="1"/>
              <w:ind w:right="102"/>
              <w:rPr>
                <w:b/>
                <w:sz w:val="24"/>
              </w:rPr>
            </w:pPr>
            <w:r>
              <w:rPr>
                <w:b/>
                <w:sz w:val="24"/>
              </w:rPr>
              <w:t>AMIGO CERCANO</w:t>
            </w:r>
          </w:p>
        </w:tc>
        <w:tc>
          <w:tcPr>
            <w:tcW w:w="2990" w:type="dxa"/>
          </w:tcPr>
          <w:p>
            <w:pPr>
              <w:pStyle w:val="TableParagraph"/>
              <w:spacing w:before="1"/>
              <w:ind w:left="673" w:right="666"/>
              <w:rPr>
                <w:sz w:val="24"/>
              </w:rPr>
            </w:pPr>
            <w:r>
              <w:rPr>
                <w:sz w:val="24"/>
              </w:rPr>
              <w:t>36</w:t>
            </w:r>
          </w:p>
        </w:tc>
        <w:tc>
          <w:tcPr>
            <w:tcW w:w="2995" w:type="dxa"/>
          </w:tcPr>
          <w:p>
            <w:pPr>
              <w:pStyle w:val="TableParagraph"/>
              <w:spacing w:before="1"/>
              <w:ind w:right="101"/>
              <w:rPr>
                <w:sz w:val="24"/>
              </w:rPr>
            </w:pPr>
            <w:r>
              <w:rPr>
                <w:sz w:val="24"/>
              </w:rPr>
              <w:t>15</w:t>
            </w:r>
          </w:p>
        </w:tc>
      </w:tr>
      <w:tr>
        <w:trPr>
          <w:trHeight w:val="288" w:hRule="exact"/>
        </w:trPr>
        <w:tc>
          <w:tcPr>
            <w:tcW w:w="2995" w:type="dxa"/>
          </w:tcPr>
          <w:p>
            <w:pPr>
              <w:pStyle w:val="TableParagraph"/>
              <w:spacing w:line="273" w:lineRule="exact"/>
              <w:ind w:right="102"/>
              <w:rPr>
                <w:b/>
                <w:sz w:val="24"/>
              </w:rPr>
            </w:pPr>
            <w:r>
              <w:rPr>
                <w:b/>
                <w:sz w:val="24"/>
              </w:rPr>
              <w:t>CONOCIDO SOCIAL</w:t>
            </w:r>
          </w:p>
        </w:tc>
        <w:tc>
          <w:tcPr>
            <w:tcW w:w="2990" w:type="dxa"/>
          </w:tcPr>
          <w:p>
            <w:pPr>
              <w:pStyle w:val="TableParagraph"/>
              <w:spacing w:line="273" w:lineRule="exact"/>
              <w:ind w:left="7"/>
              <w:rPr>
                <w:sz w:val="24"/>
              </w:rPr>
            </w:pPr>
            <w:r>
              <w:rPr>
                <w:sz w:val="24"/>
              </w:rPr>
              <w:t>0</w:t>
            </w:r>
          </w:p>
        </w:tc>
        <w:tc>
          <w:tcPr>
            <w:tcW w:w="2995" w:type="dxa"/>
          </w:tcPr>
          <w:p>
            <w:pPr>
              <w:pStyle w:val="TableParagraph"/>
              <w:spacing w:line="273" w:lineRule="exact"/>
              <w:ind w:left="2"/>
              <w:rPr>
                <w:sz w:val="24"/>
              </w:rPr>
            </w:pPr>
            <w:r>
              <w:rPr>
                <w:sz w:val="24"/>
              </w:rPr>
              <w:t>0</w:t>
            </w:r>
          </w:p>
        </w:tc>
      </w:tr>
      <w:tr>
        <w:trPr>
          <w:trHeight w:val="283" w:hRule="exact"/>
        </w:trPr>
        <w:tc>
          <w:tcPr>
            <w:tcW w:w="2995" w:type="dxa"/>
          </w:tcPr>
          <w:p>
            <w:pPr>
              <w:pStyle w:val="TableParagraph"/>
              <w:spacing w:line="273" w:lineRule="exact"/>
              <w:ind w:right="102"/>
              <w:rPr>
                <w:b/>
                <w:sz w:val="24"/>
              </w:rPr>
            </w:pPr>
            <w:r>
              <w:rPr>
                <w:b/>
                <w:sz w:val="24"/>
              </w:rPr>
              <w:t>OTRO</w:t>
            </w:r>
          </w:p>
        </w:tc>
        <w:tc>
          <w:tcPr>
            <w:tcW w:w="2990" w:type="dxa"/>
          </w:tcPr>
          <w:p>
            <w:pPr>
              <w:pStyle w:val="TableParagraph"/>
              <w:spacing w:line="273" w:lineRule="exact"/>
              <w:ind w:left="7"/>
              <w:rPr>
                <w:sz w:val="24"/>
              </w:rPr>
            </w:pPr>
            <w:r>
              <w:rPr>
                <w:sz w:val="24"/>
              </w:rPr>
              <w:t>8</w:t>
            </w:r>
          </w:p>
        </w:tc>
        <w:tc>
          <w:tcPr>
            <w:tcW w:w="2995" w:type="dxa"/>
          </w:tcPr>
          <w:p>
            <w:pPr>
              <w:pStyle w:val="TableParagraph"/>
              <w:spacing w:line="273" w:lineRule="exact"/>
              <w:ind w:left="2"/>
              <w:rPr>
                <w:sz w:val="24"/>
              </w:rPr>
            </w:pPr>
            <w:r>
              <w:rPr>
                <w:sz w:val="24"/>
              </w:rPr>
              <w:t>3</w:t>
            </w:r>
          </w:p>
        </w:tc>
      </w:tr>
      <w:tr>
        <w:trPr>
          <w:trHeight w:val="288" w:hRule="exact"/>
        </w:trPr>
        <w:tc>
          <w:tcPr>
            <w:tcW w:w="2995" w:type="dxa"/>
          </w:tcPr>
          <w:p>
            <w:pPr>
              <w:pStyle w:val="TableParagraph"/>
              <w:spacing w:line="273" w:lineRule="exact"/>
              <w:ind w:right="102"/>
              <w:rPr>
                <w:b/>
                <w:sz w:val="24"/>
              </w:rPr>
            </w:pPr>
            <w:r>
              <w:rPr>
                <w:b/>
                <w:sz w:val="24"/>
              </w:rPr>
              <w:t>TOTAL</w:t>
            </w:r>
          </w:p>
        </w:tc>
        <w:tc>
          <w:tcPr>
            <w:tcW w:w="2990" w:type="dxa"/>
          </w:tcPr>
          <w:p>
            <w:pPr>
              <w:pStyle w:val="TableParagraph"/>
              <w:spacing w:line="273" w:lineRule="exact"/>
              <w:ind w:left="673" w:right="666"/>
              <w:rPr>
                <w:sz w:val="24"/>
              </w:rPr>
            </w:pPr>
            <w:r>
              <w:rPr>
                <w:sz w:val="24"/>
              </w:rPr>
              <w:t>251</w:t>
            </w:r>
          </w:p>
        </w:tc>
        <w:tc>
          <w:tcPr>
            <w:tcW w:w="2995" w:type="dxa"/>
          </w:tcPr>
          <w:p>
            <w:pPr>
              <w:pStyle w:val="TableParagraph"/>
              <w:spacing w:line="273" w:lineRule="exact"/>
              <w:ind w:right="101"/>
              <w:rPr>
                <w:sz w:val="24"/>
              </w:rPr>
            </w:pPr>
            <w:r>
              <w:rPr>
                <w:sz w:val="24"/>
              </w:rPr>
              <w:t>100</w:t>
            </w:r>
          </w:p>
        </w:tc>
      </w:tr>
    </w:tbl>
    <w:p>
      <w:pPr>
        <w:spacing w:line="271" w:lineRule="exact" w:before="0"/>
        <w:ind w:left="3032" w:right="1109" w:firstLine="0"/>
        <w:jc w:val="left"/>
        <w:rPr>
          <w:sz w:val="24"/>
        </w:rPr>
      </w:pPr>
      <w:r>
        <w:rPr>
          <w:b/>
          <w:sz w:val="24"/>
        </w:rPr>
        <w:t>Fuente: </w:t>
      </w:r>
      <w:r>
        <w:rPr>
          <w:sz w:val="24"/>
        </w:rPr>
        <w:t>Escala de ASSIS </w:t>
      </w:r>
      <w:r>
        <w:rPr>
          <w:b/>
          <w:sz w:val="24"/>
        </w:rPr>
        <w:t>Anexo </w:t>
      </w:r>
      <w:r>
        <w:rPr>
          <w:sz w:val="24"/>
        </w:rPr>
        <w:t>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8"/>
        </w:rPr>
      </w:pPr>
    </w:p>
    <w:p>
      <w:pPr>
        <w:pStyle w:val="BodyText"/>
        <w:spacing w:before="1"/>
        <w:ind w:right="463"/>
        <w:jc w:val="right"/>
      </w:pPr>
      <w:r>
        <w:rPr/>
        <w:pict>
          <v:group style="position:absolute;margin-left:75.555pt;margin-top:-109.431854pt;width:433.05pt;height:152.35pt;mso-position-horizontal-relative:page;mso-position-vertical-relative:paragraph;z-index:4312" coordorigin="1511,-2189" coordsize="8661,3047">
            <v:shape style="position:absolute;left:2172;top:-1306;width:5002;height:1718" type="#_x0000_t75" stroked="false">
              <v:imagedata r:id="rId45" o:title=""/>
            </v:shape>
            <v:shape style="position:absolute;left:7940;top:-1304;width:110;height:110" type="#_x0000_t75" stroked="false">
              <v:imagedata r:id="rId22" o:title=""/>
            </v:shape>
            <v:shape style="position:absolute;left:7940;top:-902;width:110;height:110" type="#_x0000_t75" stroked="false">
              <v:imagedata r:id="rId23" o:title=""/>
            </v:shape>
            <v:shape style="position:absolute;left:7940;top:-501;width:110;height:110" type="#_x0000_t75" stroked="false">
              <v:imagedata r:id="rId24" o:title=""/>
            </v:shape>
            <v:shape style="position:absolute;left:7940;top:-99;width:110;height:110" type="#_x0000_t75" stroked="false">
              <v:imagedata r:id="rId25" o:title=""/>
            </v:shape>
            <v:shape style="position:absolute;left:7940;top:303;width:110;height:110" type="#_x0000_t75" stroked="false">
              <v:imagedata r:id="rId46" o:title=""/>
            </v:shape>
            <v:rect style="position:absolute;left:1519;top:-2181;width:8646;height:3011" filled="false" stroked="true" strokeweight=".75pt" strokecolor="#989898"/>
            <v:shape style="position:absolute;left:2569;top:-1947;width:6547;height:900" type="#_x0000_t202" filled="false" stroked="false">
              <v:textbox inset="0,0,0,0">
                <w:txbxContent>
                  <w:p>
                    <w:pPr>
                      <w:spacing w:line="210" w:lineRule="exact" w:before="0"/>
                      <w:ind w:left="0" w:right="-20" w:firstLine="0"/>
                      <w:jc w:val="left"/>
                      <w:rPr>
                        <w:rFonts w:ascii="Calibri" w:hAnsi="Calibri"/>
                        <w:b/>
                        <w:sz w:val="20"/>
                      </w:rPr>
                    </w:pPr>
                    <w:r>
                      <w:rPr>
                        <w:rFonts w:ascii="Calibri" w:hAnsi="Calibri"/>
                        <w:b/>
                        <w:sz w:val="20"/>
                      </w:rPr>
                      <w:t>GRAFICA #16  DISTRIBUCIÓN DE PACIENTES SEGÚN NATURALEZA DEL VÍNCULO</w:t>
                    </w:r>
                  </w:p>
                  <w:p>
                    <w:pPr>
                      <w:spacing w:before="116"/>
                      <w:ind w:left="1578" w:right="-20" w:firstLine="0"/>
                      <w:jc w:val="left"/>
                      <w:rPr>
                        <w:rFonts w:ascii="Calibri"/>
                        <w:sz w:val="20"/>
                      </w:rPr>
                    </w:pPr>
                    <w:r>
                      <w:rPr>
                        <w:rFonts w:ascii="Calibri"/>
                        <w:position w:val="-6"/>
                        <w:sz w:val="20"/>
                      </w:rPr>
                      <w:t>0%</w:t>
                    </w:r>
                    <w:r>
                      <w:rPr>
                        <w:rFonts w:ascii="Calibri"/>
                        <w:sz w:val="20"/>
                      </w:rPr>
                      <w:t>3% 3%</w:t>
                    </w:r>
                  </w:p>
                  <w:p>
                    <w:pPr>
                      <w:spacing w:line="234" w:lineRule="exact" w:before="26"/>
                      <w:ind w:left="552" w:right="-20" w:firstLine="0"/>
                      <w:jc w:val="left"/>
                      <w:rPr>
                        <w:rFonts w:ascii="Calibri"/>
                        <w:sz w:val="20"/>
                      </w:rPr>
                    </w:pPr>
                    <w:r>
                      <w:rPr>
                        <w:rFonts w:ascii="Calibri"/>
                        <w:sz w:val="20"/>
                      </w:rPr>
                      <w:t>1%</w:t>
                    </w:r>
                  </w:p>
                </w:txbxContent>
              </v:textbox>
              <w10:wrap type="none"/>
            </v:shape>
            <v:shape style="position:absolute;left:8094;top:-1327;width:818;height:200" type="#_x0000_t202" filled="false" stroked="false">
              <v:textbox inset="0,0,0,0">
                <w:txbxContent>
                  <w:p>
                    <w:pPr>
                      <w:spacing w:line="200" w:lineRule="exact" w:before="0"/>
                      <w:ind w:left="0" w:right="-20" w:firstLine="0"/>
                      <w:jc w:val="left"/>
                      <w:rPr>
                        <w:rFonts w:ascii="Calibri"/>
                        <w:sz w:val="20"/>
                      </w:rPr>
                    </w:pPr>
                    <w:r>
                      <w:rPr>
                        <w:rFonts w:ascii="Calibri"/>
                        <w:sz w:val="20"/>
                      </w:rPr>
                      <w:t>CONYUGE</w:t>
                    </w:r>
                  </w:p>
                </w:txbxContent>
              </v:textbox>
              <w10:wrap type="none"/>
            </v:shape>
            <v:shape style="position:absolute;left:4099;top:-1107;width:346;height:200" type="#_x0000_t202" filled="false" stroked="false">
              <v:textbox inset="0,0,0,0">
                <w:txbxContent>
                  <w:p>
                    <w:pPr>
                      <w:spacing w:line="200" w:lineRule="exact" w:before="0"/>
                      <w:ind w:left="0" w:right="-20" w:firstLine="0"/>
                      <w:jc w:val="left"/>
                      <w:rPr>
                        <w:rFonts w:ascii="Calibri"/>
                        <w:sz w:val="20"/>
                      </w:rPr>
                    </w:pPr>
                    <w:r>
                      <w:rPr>
                        <w:rFonts w:ascii="Calibri"/>
                        <w:sz w:val="20"/>
                      </w:rPr>
                      <w:t>15%</w:t>
                    </w:r>
                  </w:p>
                </w:txbxContent>
              </v:textbox>
              <w10:wrap type="none"/>
            </v:shape>
            <v:shape style="position:absolute;left:3519;top:-847;width:346;height:200" type="#_x0000_t202" filled="false" stroked="false">
              <v:textbox inset="0,0,0,0">
                <w:txbxContent>
                  <w:p>
                    <w:pPr>
                      <w:spacing w:line="200" w:lineRule="exact" w:before="0"/>
                      <w:ind w:left="0" w:right="-20" w:firstLine="0"/>
                      <w:jc w:val="left"/>
                      <w:rPr>
                        <w:rFonts w:ascii="Calibri"/>
                        <w:sz w:val="20"/>
                      </w:rPr>
                    </w:pPr>
                    <w:r>
                      <w:rPr>
                        <w:rFonts w:ascii="Calibri"/>
                        <w:sz w:val="20"/>
                      </w:rPr>
                      <w:t>12%</w:t>
                    </w:r>
                  </w:p>
                </w:txbxContent>
              </v:textbox>
              <w10:wrap type="none"/>
            </v:shape>
            <v:shape style="position:absolute;left:8094;top:-925;width:1801;height:200" type="#_x0000_t202" filled="false" stroked="false">
              <v:textbox inset="0,0,0,0">
                <w:txbxContent>
                  <w:p>
                    <w:pPr>
                      <w:spacing w:line="200" w:lineRule="exact" w:before="0"/>
                      <w:ind w:left="0" w:right="-20" w:firstLine="0"/>
                      <w:jc w:val="left"/>
                      <w:rPr>
                        <w:rFonts w:ascii="Calibri"/>
                        <w:sz w:val="20"/>
                      </w:rPr>
                    </w:pPr>
                    <w:r>
                      <w:rPr>
                        <w:rFonts w:ascii="Calibri"/>
                        <w:sz w:val="20"/>
                      </w:rPr>
                      <w:t>FAMILIAR INMEDIATO</w:t>
                    </w:r>
                  </w:p>
                </w:txbxContent>
              </v:textbox>
              <w10:wrap type="none"/>
            </v:shape>
            <v:shape style="position:absolute;left:5259;top:-487;width:346;height:200" type="#_x0000_t202" filled="false" stroked="false">
              <v:textbox inset="0,0,0,0">
                <w:txbxContent>
                  <w:p>
                    <w:pPr>
                      <w:spacing w:line="200" w:lineRule="exact" w:before="0"/>
                      <w:ind w:left="0" w:right="-20" w:firstLine="0"/>
                      <w:jc w:val="left"/>
                      <w:rPr>
                        <w:rFonts w:ascii="Calibri"/>
                        <w:sz w:val="20"/>
                      </w:rPr>
                    </w:pPr>
                    <w:r>
                      <w:rPr>
                        <w:rFonts w:ascii="Calibri"/>
                        <w:sz w:val="20"/>
                      </w:rPr>
                      <w:t>66%</w:t>
                    </w:r>
                  </w:p>
                </w:txbxContent>
              </v:textbox>
              <w10:wrap type="none"/>
            </v:shape>
            <v:shape style="position:absolute;left:8094;top:-524;width:1456;height:1004" type="#_x0000_t202" filled="false" stroked="false">
              <v:textbox inset="0,0,0,0">
                <w:txbxContent>
                  <w:p>
                    <w:pPr>
                      <w:spacing w:line="210" w:lineRule="exact" w:before="0"/>
                      <w:ind w:left="0" w:right="-20" w:firstLine="0"/>
                      <w:jc w:val="left"/>
                      <w:rPr>
                        <w:rFonts w:ascii="Calibri"/>
                        <w:sz w:val="20"/>
                      </w:rPr>
                    </w:pPr>
                    <w:r>
                      <w:rPr>
                        <w:rFonts w:ascii="Calibri"/>
                        <w:sz w:val="20"/>
                      </w:rPr>
                      <w:t>FAMILIAR LEJANO</w:t>
                    </w:r>
                  </w:p>
                  <w:p>
                    <w:pPr>
                      <w:spacing w:line="400" w:lineRule="atLeast" w:before="1"/>
                      <w:ind w:left="0" w:right="-2" w:firstLine="0"/>
                      <w:jc w:val="left"/>
                      <w:rPr>
                        <w:rFonts w:ascii="Calibri"/>
                        <w:sz w:val="20"/>
                      </w:rPr>
                    </w:pPr>
                    <w:r>
                      <w:rPr>
                        <w:rFonts w:ascii="Calibri"/>
                        <w:sz w:val="20"/>
                      </w:rPr>
                      <w:t>PAREJA SEXUAL AMIGO CERCANO</w:t>
                    </w:r>
                  </w:p>
                </w:txbxContent>
              </v:textbox>
              <w10:wrap type="none"/>
            </v:shape>
            <v:shape style="position:absolute;left:4001;top:618;width:3426;height:240" type="#_x0000_t202" filled="false" stroked="false">
              <v:textbox inset="0,0,0,0">
                <w:txbxContent>
                  <w:p>
                    <w:pPr>
                      <w:spacing w:line="240" w:lineRule="exact" w:before="0"/>
                      <w:ind w:left="0" w:right="-20" w:firstLine="0"/>
                      <w:jc w:val="left"/>
                      <w:rPr>
                        <w:sz w:val="24"/>
                      </w:rPr>
                    </w:pPr>
                    <w:r>
                      <w:rPr>
                        <w:b/>
                        <w:sz w:val="24"/>
                      </w:rPr>
                      <w:t>Fuente: </w:t>
                    </w:r>
                    <w:r>
                      <w:rPr>
                        <w:sz w:val="24"/>
                      </w:rPr>
                      <w:t>Escala de ASSIS. </w:t>
                    </w:r>
                    <w:r>
                      <w:rPr>
                        <w:b/>
                        <w:sz w:val="24"/>
                      </w:rPr>
                      <w:t>Anexo</w:t>
                    </w:r>
                    <w:r>
                      <w:rPr>
                        <w:b/>
                        <w:spacing w:val="-1"/>
                        <w:sz w:val="24"/>
                      </w:rPr>
                      <w:t> </w:t>
                    </w:r>
                    <w:r>
                      <w:rPr>
                        <w:sz w:val="24"/>
                      </w:rPr>
                      <w:t>5</w:t>
                    </w:r>
                  </w:p>
                </w:txbxContent>
              </v:textbox>
              <w10:wrap type="none"/>
            </v:shape>
            <w10:wrap type="none"/>
          </v:group>
        </w:pict>
      </w:r>
      <w:r>
        <w:rPr/>
        <w:t>54</w:t>
      </w:r>
    </w:p>
    <w:p>
      <w:pPr>
        <w:spacing w:after="0"/>
        <w:jc w:val="right"/>
        <w:sectPr>
          <w:footerReference w:type="default" r:id="rId43"/>
          <w:pgSz w:w="12240" w:h="15840"/>
          <w:pgMar w:footer="0" w:header="0" w:top="1360" w:bottom="280" w:left="1400" w:right="1240"/>
        </w:sectPr>
      </w:pPr>
    </w:p>
    <w:p>
      <w:pPr>
        <w:pStyle w:val="Heading1"/>
        <w:spacing w:line="242" w:lineRule="auto" w:before="50"/>
        <w:ind w:left="4149" w:right="142" w:hanging="3521"/>
      </w:pPr>
      <w:r>
        <w:rPr/>
        <w:t>TABLA#17 DISTRIBUCIÓN DE PACIENTES SEGÚN LA INTIMIDAD DEL VÍNCULO</w:t>
      </w:r>
    </w:p>
    <w:tbl>
      <w:tblPr>
        <w:tblW w:w="0" w:type="auto"/>
        <w:jc w:val="left"/>
        <w:tblInd w:w="1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95"/>
        <w:gridCol w:w="2990"/>
        <w:gridCol w:w="2995"/>
      </w:tblGrid>
      <w:tr>
        <w:trPr>
          <w:trHeight w:val="288" w:hRule="exact"/>
        </w:trPr>
        <w:tc>
          <w:tcPr>
            <w:tcW w:w="2995" w:type="dxa"/>
          </w:tcPr>
          <w:p>
            <w:pPr>
              <w:pStyle w:val="TableParagraph"/>
              <w:spacing w:line="273" w:lineRule="exact"/>
              <w:ind w:left="0" w:right="809"/>
              <w:jc w:val="right"/>
              <w:rPr>
                <w:b/>
                <w:sz w:val="24"/>
              </w:rPr>
            </w:pPr>
            <w:r>
              <w:rPr>
                <w:b/>
                <w:sz w:val="24"/>
              </w:rPr>
              <w:t>INTIMIDAD</w:t>
            </w:r>
          </w:p>
        </w:tc>
        <w:tc>
          <w:tcPr>
            <w:tcW w:w="2990" w:type="dxa"/>
          </w:tcPr>
          <w:p>
            <w:pPr>
              <w:pStyle w:val="TableParagraph"/>
              <w:spacing w:line="273" w:lineRule="exact"/>
              <w:ind w:left="673" w:right="666"/>
              <w:rPr>
                <w:b/>
                <w:sz w:val="24"/>
              </w:rPr>
            </w:pPr>
            <w:r>
              <w:rPr>
                <w:b/>
                <w:sz w:val="24"/>
              </w:rPr>
              <w:t>FRECUENCIA</w:t>
            </w:r>
          </w:p>
        </w:tc>
        <w:tc>
          <w:tcPr>
            <w:tcW w:w="2995" w:type="dxa"/>
          </w:tcPr>
          <w:p>
            <w:pPr>
              <w:pStyle w:val="TableParagraph"/>
              <w:spacing w:line="273" w:lineRule="exact"/>
              <w:ind w:right="101"/>
              <w:rPr>
                <w:b/>
                <w:sz w:val="24"/>
              </w:rPr>
            </w:pPr>
            <w:r>
              <w:rPr>
                <w:b/>
                <w:sz w:val="24"/>
              </w:rPr>
              <w:t>PORCENTAJE</w:t>
            </w:r>
          </w:p>
        </w:tc>
      </w:tr>
      <w:tr>
        <w:trPr>
          <w:trHeight w:val="283" w:hRule="exact"/>
        </w:trPr>
        <w:tc>
          <w:tcPr>
            <w:tcW w:w="2995" w:type="dxa"/>
          </w:tcPr>
          <w:p>
            <w:pPr>
              <w:pStyle w:val="TableParagraph"/>
              <w:spacing w:line="273" w:lineRule="exact"/>
              <w:ind w:right="102"/>
              <w:rPr>
                <w:b/>
                <w:sz w:val="24"/>
              </w:rPr>
            </w:pPr>
            <w:r>
              <w:rPr>
                <w:b/>
                <w:sz w:val="24"/>
              </w:rPr>
              <w:t>LEJOS</w:t>
            </w:r>
          </w:p>
        </w:tc>
        <w:tc>
          <w:tcPr>
            <w:tcW w:w="2990" w:type="dxa"/>
          </w:tcPr>
          <w:p>
            <w:pPr>
              <w:pStyle w:val="TableParagraph"/>
              <w:spacing w:line="273" w:lineRule="exact"/>
              <w:ind w:left="673" w:right="666"/>
              <w:rPr>
                <w:sz w:val="24"/>
              </w:rPr>
            </w:pPr>
            <w:r>
              <w:rPr>
                <w:sz w:val="24"/>
              </w:rPr>
              <w:t>28</w:t>
            </w:r>
          </w:p>
        </w:tc>
        <w:tc>
          <w:tcPr>
            <w:tcW w:w="2995" w:type="dxa"/>
          </w:tcPr>
          <w:p>
            <w:pPr>
              <w:pStyle w:val="TableParagraph"/>
              <w:spacing w:line="273" w:lineRule="exact"/>
              <w:ind w:right="101"/>
              <w:rPr>
                <w:sz w:val="24"/>
              </w:rPr>
            </w:pPr>
            <w:r>
              <w:rPr>
                <w:sz w:val="24"/>
              </w:rPr>
              <w:t>11</w:t>
            </w:r>
          </w:p>
        </w:tc>
      </w:tr>
      <w:tr>
        <w:trPr>
          <w:trHeight w:val="288" w:hRule="exact"/>
        </w:trPr>
        <w:tc>
          <w:tcPr>
            <w:tcW w:w="2995" w:type="dxa"/>
          </w:tcPr>
          <w:p>
            <w:pPr>
              <w:pStyle w:val="TableParagraph"/>
              <w:spacing w:line="273" w:lineRule="exact"/>
              <w:ind w:right="102"/>
              <w:rPr>
                <w:b/>
                <w:sz w:val="24"/>
              </w:rPr>
            </w:pPr>
            <w:r>
              <w:rPr>
                <w:b/>
                <w:sz w:val="24"/>
              </w:rPr>
              <w:t>CERCA</w:t>
            </w:r>
          </w:p>
        </w:tc>
        <w:tc>
          <w:tcPr>
            <w:tcW w:w="2990" w:type="dxa"/>
          </w:tcPr>
          <w:p>
            <w:pPr>
              <w:pStyle w:val="TableParagraph"/>
              <w:spacing w:line="273" w:lineRule="exact"/>
              <w:ind w:left="673" w:right="666"/>
              <w:rPr>
                <w:sz w:val="24"/>
              </w:rPr>
            </w:pPr>
            <w:r>
              <w:rPr>
                <w:sz w:val="24"/>
              </w:rPr>
              <w:t>80</w:t>
            </w:r>
          </w:p>
        </w:tc>
        <w:tc>
          <w:tcPr>
            <w:tcW w:w="2995" w:type="dxa"/>
          </w:tcPr>
          <w:p>
            <w:pPr>
              <w:pStyle w:val="TableParagraph"/>
              <w:spacing w:line="273" w:lineRule="exact"/>
              <w:ind w:right="101"/>
              <w:rPr>
                <w:sz w:val="24"/>
              </w:rPr>
            </w:pPr>
            <w:r>
              <w:rPr>
                <w:sz w:val="24"/>
              </w:rPr>
              <w:t>32</w:t>
            </w:r>
          </w:p>
        </w:tc>
      </w:tr>
      <w:tr>
        <w:trPr>
          <w:trHeight w:val="288" w:hRule="exact"/>
        </w:trPr>
        <w:tc>
          <w:tcPr>
            <w:tcW w:w="2995" w:type="dxa"/>
          </w:tcPr>
          <w:p>
            <w:pPr>
              <w:pStyle w:val="TableParagraph"/>
              <w:spacing w:line="273" w:lineRule="exact"/>
              <w:ind w:left="0" w:right="746"/>
              <w:jc w:val="right"/>
              <w:rPr>
                <w:b/>
                <w:sz w:val="24"/>
              </w:rPr>
            </w:pPr>
            <w:r>
              <w:rPr>
                <w:b/>
                <w:sz w:val="24"/>
              </w:rPr>
              <w:t>MUY CERCA</w:t>
            </w:r>
          </w:p>
        </w:tc>
        <w:tc>
          <w:tcPr>
            <w:tcW w:w="2990" w:type="dxa"/>
          </w:tcPr>
          <w:p>
            <w:pPr>
              <w:pStyle w:val="TableParagraph"/>
              <w:spacing w:line="273" w:lineRule="exact"/>
              <w:ind w:left="673" w:right="666"/>
              <w:rPr>
                <w:sz w:val="24"/>
              </w:rPr>
            </w:pPr>
            <w:r>
              <w:rPr>
                <w:sz w:val="24"/>
              </w:rPr>
              <w:t>58</w:t>
            </w:r>
          </w:p>
        </w:tc>
        <w:tc>
          <w:tcPr>
            <w:tcW w:w="2995" w:type="dxa"/>
          </w:tcPr>
          <w:p>
            <w:pPr>
              <w:pStyle w:val="TableParagraph"/>
              <w:spacing w:line="273" w:lineRule="exact"/>
              <w:ind w:right="101"/>
              <w:rPr>
                <w:sz w:val="24"/>
              </w:rPr>
            </w:pPr>
            <w:r>
              <w:rPr>
                <w:sz w:val="24"/>
              </w:rPr>
              <w:t>23</w:t>
            </w:r>
          </w:p>
        </w:tc>
      </w:tr>
      <w:tr>
        <w:trPr>
          <w:trHeight w:val="562" w:hRule="exact"/>
        </w:trPr>
        <w:tc>
          <w:tcPr>
            <w:tcW w:w="2995" w:type="dxa"/>
          </w:tcPr>
          <w:p>
            <w:pPr>
              <w:pStyle w:val="TableParagraph"/>
              <w:spacing w:line="274" w:lineRule="exact" w:before="1"/>
              <w:ind w:left="1066" w:right="247" w:hanging="801"/>
              <w:jc w:val="left"/>
              <w:rPr>
                <w:b/>
                <w:sz w:val="24"/>
              </w:rPr>
            </w:pPr>
            <w:r>
              <w:rPr>
                <w:b/>
                <w:sz w:val="24"/>
              </w:rPr>
              <w:t>EXTREMADAMENTE CERCA</w:t>
            </w:r>
          </w:p>
        </w:tc>
        <w:tc>
          <w:tcPr>
            <w:tcW w:w="2990" w:type="dxa"/>
          </w:tcPr>
          <w:p>
            <w:pPr>
              <w:pStyle w:val="TableParagraph"/>
              <w:spacing w:before="5"/>
              <w:ind w:left="0"/>
              <w:jc w:val="left"/>
              <w:rPr>
                <w:b/>
                <w:sz w:val="23"/>
              </w:rPr>
            </w:pPr>
          </w:p>
          <w:p>
            <w:pPr>
              <w:pStyle w:val="TableParagraph"/>
              <w:spacing w:before="1"/>
              <w:ind w:left="673" w:right="666"/>
              <w:rPr>
                <w:sz w:val="24"/>
              </w:rPr>
            </w:pPr>
            <w:r>
              <w:rPr>
                <w:sz w:val="24"/>
              </w:rPr>
              <w:t>85</w:t>
            </w:r>
          </w:p>
        </w:tc>
        <w:tc>
          <w:tcPr>
            <w:tcW w:w="2995" w:type="dxa"/>
          </w:tcPr>
          <w:p>
            <w:pPr>
              <w:pStyle w:val="TableParagraph"/>
              <w:spacing w:before="131"/>
              <w:ind w:right="101"/>
              <w:rPr>
                <w:sz w:val="24"/>
              </w:rPr>
            </w:pPr>
            <w:r>
              <w:rPr>
                <w:sz w:val="24"/>
              </w:rPr>
              <w:t>34</w:t>
            </w:r>
          </w:p>
        </w:tc>
      </w:tr>
      <w:tr>
        <w:trPr>
          <w:trHeight w:val="283" w:hRule="exact"/>
        </w:trPr>
        <w:tc>
          <w:tcPr>
            <w:tcW w:w="2995" w:type="dxa"/>
          </w:tcPr>
          <w:p>
            <w:pPr>
              <w:pStyle w:val="TableParagraph"/>
              <w:spacing w:line="273" w:lineRule="exact"/>
              <w:ind w:right="102"/>
              <w:rPr>
                <w:b/>
                <w:sz w:val="24"/>
              </w:rPr>
            </w:pPr>
            <w:r>
              <w:rPr>
                <w:b/>
                <w:sz w:val="24"/>
              </w:rPr>
              <w:t>TOTAL</w:t>
            </w:r>
          </w:p>
        </w:tc>
        <w:tc>
          <w:tcPr>
            <w:tcW w:w="2990" w:type="dxa"/>
          </w:tcPr>
          <w:p>
            <w:pPr>
              <w:pStyle w:val="TableParagraph"/>
              <w:spacing w:line="273" w:lineRule="exact"/>
              <w:ind w:left="673" w:right="666"/>
              <w:rPr>
                <w:sz w:val="24"/>
              </w:rPr>
            </w:pPr>
            <w:r>
              <w:rPr>
                <w:sz w:val="24"/>
              </w:rPr>
              <w:t>251</w:t>
            </w:r>
          </w:p>
        </w:tc>
        <w:tc>
          <w:tcPr>
            <w:tcW w:w="2995" w:type="dxa"/>
          </w:tcPr>
          <w:p>
            <w:pPr>
              <w:pStyle w:val="TableParagraph"/>
              <w:spacing w:line="273" w:lineRule="exact"/>
              <w:ind w:right="101"/>
              <w:rPr>
                <w:sz w:val="24"/>
              </w:rPr>
            </w:pPr>
            <w:r>
              <w:rPr>
                <w:sz w:val="24"/>
              </w:rPr>
              <w:t>100</w:t>
            </w:r>
          </w:p>
        </w:tc>
      </w:tr>
    </w:tbl>
    <w:p>
      <w:pPr>
        <w:spacing w:line="271" w:lineRule="exact" w:before="0"/>
        <w:ind w:left="3032" w:right="142" w:firstLine="0"/>
        <w:jc w:val="left"/>
        <w:rPr>
          <w:sz w:val="24"/>
        </w:rPr>
      </w:pPr>
      <w:r>
        <w:rPr>
          <w:b/>
          <w:sz w:val="24"/>
        </w:rPr>
        <w:t>Fuente: </w:t>
      </w:r>
      <w:r>
        <w:rPr>
          <w:sz w:val="24"/>
        </w:rPr>
        <w:t>Escala de ASSIS </w:t>
      </w:r>
      <w:r>
        <w:rPr>
          <w:b/>
          <w:sz w:val="24"/>
        </w:rPr>
        <w:t>Anexo </w:t>
      </w:r>
      <w:r>
        <w:rPr>
          <w:sz w:val="24"/>
        </w:rPr>
        <w:t>5</w:t>
      </w:r>
    </w:p>
    <w:p>
      <w:pPr>
        <w:pStyle w:val="BodyText"/>
        <w:ind w:left="291"/>
        <w:rPr>
          <w:sz w:val="20"/>
        </w:rPr>
      </w:pPr>
      <w:r>
        <w:rPr>
          <w:sz w:val="20"/>
        </w:rPr>
        <w:pict>
          <v:group style="width:432.75pt;height:179.15pt;mso-position-horizontal-relative:char;mso-position-vertical-relative:line" coordorigin="0,0" coordsize="8655,3583">
            <v:line style="position:absolute" from="267,2829" to="8388,2829" stroked="true" strokeweight=".75pt" strokecolor="#989898"/>
            <v:shape style="position:absolute;left:1081;top:2082;width:408;height:408" type="#_x0000_t75" stroked="false">
              <v:imagedata r:id="rId48" o:title=""/>
            </v:shape>
            <v:shape style="position:absolute;left:3111;top:983;width:408;height:408" type="#_x0000_t75" stroked="false">
              <v:imagedata r:id="rId48" o:title=""/>
            </v:shape>
            <v:line style="position:absolute" from="1284,2249" to="3315,1150" stroked="true" strokeweight="5.25pt" strokecolor="#54b8d0"/>
            <v:shape style="position:absolute;left:5137;top:1454;width:408;height:408" type="#_x0000_t75" stroked="false">
              <v:imagedata r:id="rId48" o:title=""/>
            </v:shape>
            <v:line style="position:absolute" from="3315,1150" to="5340,1620" stroked="true" strokeweight="5.25pt" strokecolor="#54b8d0"/>
            <v:shape style="position:absolute;left:7167;top:878;width:408;height:408" type="#_x0000_t75" stroked="false">
              <v:imagedata r:id="rId48" o:title=""/>
            </v:shape>
            <v:line style="position:absolute" from="5340,1620" to="7371,1044" stroked="true" strokeweight="5.25pt" strokecolor="#54b8d0"/>
            <v:shape style="position:absolute;left:1129;top:2092;width:312;height:312" type="#_x0000_t75" stroked="false">
              <v:imagedata r:id="rId49" o:title=""/>
            </v:shape>
            <v:shape style="position:absolute;left:3159;top:993;width:312;height:312" type="#_x0000_t75" stroked="false">
              <v:imagedata r:id="rId49" o:title=""/>
            </v:shape>
            <v:shape style="position:absolute;left:5185;top:1463;width:312;height:312" type="#_x0000_t75" stroked="false">
              <v:imagedata r:id="rId49" o:title=""/>
            </v:shape>
            <v:shape style="position:absolute;left:7215;top:887;width:312;height:312" type="#_x0000_t75" stroked="false">
              <v:imagedata r:id="rId49" o:title=""/>
            </v:shape>
            <v:rect style="position:absolute;left:7;top:8;width:8640;height:3568" filled="false" stroked="true" strokeweight=".75pt" strokecolor="#989898"/>
            <v:shape style="position:absolute;left:1017;top:242;width:6621;height:200" type="#_x0000_t202" filled="false" stroked="false">
              <v:textbox inset="0,0,0,0">
                <w:txbxContent>
                  <w:p>
                    <w:pPr>
                      <w:spacing w:line="200" w:lineRule="exact" w:before="0"/>
                      <w:ind w:left="0" w:right="-20" w:firstLine="0"/>
                      <w:jc w:val="left"/>
                      <w:rPr>
                        <w:rFonts w:ascii="Calibri" w:hAnsi="Calibri"/>
                        <w:b/>
                        <w:sz w:val="20"/>
                      </w:rPr>
                    </w:pPr>
                    <w:r>
                      <w:rPr>
                        <w:rFonts w:ascii="Calibri" w:hAnsi="Calibri"/>
                        <w:b/>
                        <w:sz w:val="20"/>
                      </w:rPr>
                      <w:t>GRAFICA #17  DISTRIBUCIÓN DE PACIENTES SEGÚN LA INTIMIDAD DEL VÍNCULO</w:t>
                    </w:r>
                  </w:p>
                </w:txbxContent>
              </v:textbox>
              <w10:wrap type="none"/>
            </v:shape>
            <v:shape style="position:absolute;left:3583;top:1072;width:203;height:200" type="#_x0000_t202" filled="false" stroked="false">
              <v:textbox inset="0,0,0,0">
                <w:txbxContent>
                  <w:p>
                    <w:pPr>
                      <w:spacing w:line="200" w:lineRule="exact" w:before="0"/>
                      <w:ind w:left="0" w:right="-20" w:firstLine="0"/>
                      <w:jc w:val="left"/>
                      <w:rPr>
                        <w:rFonts w:ascii="Calibri"/>
                        <w:sz w:val="20"/>
                      </w:rPr>
                    </w:pPr>
                    <w:r>
                      <w:rPr>
                        <w:rFonts w:ascii="Calibri"/>
                        <w:sz w:val="20"/>
                      </w:rPr>
                      <w:t>32</w:t>
                    </w:r>
                  </w:p>
                </w:txbxContent>
              </v:textbox>
              <w10:wrap type="none"/>
            </v:shape>
            <v:shape style="position:absolute;left:7643;top:967;width:203;height:200" type="#_x0000_t202" filled="false" stroked="false">
              <v:textbox inset="0,0,0,0">
                <w:txbxContent>
                  <w:p>
                    <w:pPr>
                      <w:spacing w:line="200" w:lineRule="exact" w:before="0"/>
                      <w:ind w:left="0" w:right="-20" w:firstLine="0"/>
                      <w:jc w:val="left"/>
                      <w:rPr>
                        <w:rFonts w:ascii="Calibri"/>
                        <w:sz w:val="20"/>
                      </w:rPr>
                    </w:pPr>
                    <w:r>
                      <w:rPr>
                        <w:rFonts w:ascii="Calibri"/>
                        <w:sz w:val="20"/>
                      </w:rPr>
                      <w:t>34</w:t>
                    </w:r>
                  </w:p>
                </w:txbxContent>
              </v:textbox>
              <w10:wrap type="none"/>
            </v:shape>
            <v:shape style="position:absolute;left:5613;top:1544;width:203;height:200" type="#_x0000_t202" filled="false" stroked="false">
              <v:textbox inset="0,0,0,0">
                <w:txbxContent>
                  <w:p>
                    <w:pPr>
                      <w:spacing w:line="200" w:lineRule="exact" w:before="0"/>
                      <w:ind w:left="0" w:right="-20" w:firstLine="0"/>
                      <w:jc w:val="left"/>
                      <w:rPr>
                        <w:rFonts w:ascii="Calibri"/>
                        <w:sz w:val="20"/>
                      </w:rPr>
                    </w:pPr>
                    <w:r>
                      <w:rPr>
                        <w:rFonts w:ascii="Calibri"/>
                        <w:sz w:val="20"/>
                      </w:rPr>
                      <w:t>23</w:t>
                    </w:r>
                  </w:p>
                </w:txbxContent>
              </v:textbox>
              <w10:wrap type="none"/>
            </v:shape>
            <v:shape style="position:absolute;left:1560;top:2175;width:203;height:200" type="#_x0000_t202" filled="false" stroked="false">
              <v:textbox inset="0,0,0,0">
                <w:txbxContent>
                  <w:p>
                    <w:pPr>
                      <w:spacing w:line="200" w:lineRule="exact" w:before="0"/>
                      <w:ind w:left="0" w:right="-20" w:firstLine="0"/>
                      <w:jc w:val="left"/>
                      <w:rPr>
                        <w:rFonts w:ascii="Calibri"/>
                        <w:sz w:val="20"/>
                      </w:rPr>
                    </w:pPr>
                    <w:r>
                      <w:rPr>
                        <w:rFonts w:ascii="Calibri"/>
                        <w:sz w:val="20"/>
                      </w:rPr>
                      <w:t>11</w:t>
                    </w:r>
                  </w:p>
                </w:txbxContent>
              </v:textbox>
              <w10:wrap type="none"/>
            </v:shape>
            <v:shape style="position:absolute;left:1048;top:3000;width:470;height:200" type="#_x0000_t202" filled="false" stroked="false">
              <v:textbox inset="0,0,0,0">
                <w:txbxContent>
                  <w:p>
                    <w:pPr>
                      <w:spacing w:line="200" w:lineRule="exact" w:before="0"/>
                      <w:ind w:left="0" w:right="-20" w:firstLine="0"/>
                      <w:jc w:val="left"/>
                      <w:rPr>
                        <w:rFonts w:ascii="Calibri"/>
                        <w:sz w:val="20"/>
                      </w:rPr>
                    </w:pPr>
                    <w:r>
                      <w:rPr>
                        <w:rFonts w:ascii="Calibri"/>
                        <w:sz w:val="20"/>
                      </w:rPr>
                      <w:t>LEJOS</w:t>
                    </w:r>
                  </w:p>
                </w:txbxContent>
              </v:textbox>
              <w10:wrap type="none"/>
            </v:shape>
            <v:shape style="position:absolute;left:3039;top:3000;width:536;height:200" type="#_x0000_t202" filled="false" stroked="false">
              <v:textbox inset="0,0,0,0">
                <w:txbxContent>
                  <w:p>
                    <w:pPr>
                      <w:spacing w:line="200" w:lineRule="exact" w:before="0"/>
                      <w:ind w:left="0" w:right="-20" w:firstLine="0"/>
                      <w:jc w:val="left"/>
                      <w:rPr>
                        <w:rFonts w:ascii="Calibri"/>
                        <w:sz w:val="20"/>
                      </w:rPr>
                    </w:pPr>
                    <w:r>
                      <w:rPr>
                        <w:rFonts w:ascii="Calibri"/>
                        <w:sz w:val="20"/>
                      </w:rPr>
                      <w:t>CERCA</w:t>
                    </w:r>
                  </w:p>
                </w:txbxContent>
              </v:textbox>
              <w10:wrap type="none"/>
            </v:shape>
            <v:shape style="position:absolute;left:4848;top:3000;width:978;height:200" type="#_x0000_t202" filled="false" stroked="false">
              <v:textbox inset="0,0,0,0">
                <w:txbxContent>
                  <w:p>
                    <w:pPr>
                      <w:spacing w:line="200" w:lineRule="exact" w:before="0"/>
                      <w:ind w:left="0" w:right="-20" w:firstLine="0"/>
                      <w:jc w:val="left"/>
                      <w:rPr>
                        <w:rFonts w:ascii="Calibri"/>
                        <w:sz w:val="20"/>
                      </w:rPr>
                    </w:pPr>
                    <w:r>
                      <w:rPr>
                        <w:rFonts w:ascii="Calibri"/>
                        <w:sz w:val="20"/>
                      </w:rPr>
                      <w:t>MUY CERCA</w:t>
                    </w:r>
                  </w:p>
                </w:txbxContent>
              </v:textbox>
              <w10:wrap type="none"/>
            </v:shape>
            <v:shape style="position:absolute;left:6561;top:3000;width:1624;height:440" type="#_x0000_t202" filled="false" stroked="false">
              <v:textbox inset="0,0,0,0">
                <w:txbxContent>
                  <w:p>
                    <w:pPr>
                      <w:spacing w:line="208" w:lineRule="exact" w:before="0"/>
                      <w:ind w:left="0" w:right="0" w:firstLine="0"/>
                      <w:jc w:val="center"/>
                      <w:rPr>
                        <w:rFonts w:ascii="Calibri"/>
                        <w:sz w:val="20"/>
                      </w:rPr>
                    </w:pPr>
                    <w:r>
                      <w:rPr>
                        <w:rFonts w:ascii="Calibri"/>
                        <w:sz w:val="20"/>
                      </w:rPr>
                      <w:t>EXTREMADAMENTE</w:t>
                    </w:r>
                  </w:p>
                  <w:p>
                    <w:pPr>
                      <w:spacing w:line="232" w:lineRule="exact" w:before="0"/>
                      <w:ind w:left="0" w:right="0" w:firstLine="0"/>
                      <w:jc w:val="center"/>
                      <w:rPr>
                        <w:rFonts w:ascii="Calibri"/>
                        <w:sz w:val="20"/>
                      </w:rPr>
                    </w:pPr>
                    <w:r>
                      <w:rPr>
                        <w:rFonts w:ascii="Calibri"/>
                        <w:sz w:val="20"/>
                      </w:rPr>
                      <w:t>CERCA</w:t>
                    </w:r>
                  </w:p>
                </w:txbxContent>
              </v:textbox>
              <w10:wrap type="none"/>
            </v:shape>
          </v:group>
        </w:pict>
      </w:r>
      <w:r>
        <w:rPr>
          <w:sz w:val="20"/>
        </w:rPr>
      </w:r>
    </w:p>
    <w:p>
      <w:pPr>
        <w:spacing w:line="221" w:lineRule="exact" w:before="0"/>
        <w:ind w:left="3503" w:right="142" w:firstLine="0"/>
        <w:jc w:val="left"/>
        <w:rPr>
          <w:sz w:val="24"/>
        </w:rPr>
      </w:pPr>
      <w:r>
        <w:rPr>
          <w:b/>
          <w:sz w:val="24"/>
        </w:rPr>
        <w:t>Fuente: </w:t>
      </w:r>
      <w:r>
        <w:rPr>
          <w:sz w:val="24"/>
        </w:rPr>
        <w:t>Escala de ASSIS. </w:t>
      </w:r>
      <w:r>
        <w:rPr>
          <w:b/>
          <w:sz w:val="24"/>
        </w:rPr>
        <w:t>Anexo </w:t>
      </w:r>
      <w:r>
        <w:rPr>
          <w:sz w:val="24"/>
        </w:rPr>
        <w:t>5</w:t>
      </w:r>
    </w:p>
    <w:p>
      <w:pPr>
        <w:pStyle w:val="Heading1"/>
        <w:spacing w:line="242" w:lineRule="auto" w:before="50"/>
        <w:ind w:left="296" w:right="142"/>
      </w:pPr>
      <w:r>
        <w:rPr/>
        <w:t>TABLA#18 DISTRIBUCIÓN DE PACIENTES SEGÚN EL SECTOR DEL VÍNCULO</w:t>
      </w:r>
    </w:p>
    <w:tbl>
      <w:tblPr>
        <w:tblW w:w="0" w:type="auto"/>
        <w:jc w:val="left"/>
        <w:tblInd w:w="1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95"/>
        <w:gridCol w:w="2990"/>
        <w:gridCol w:w="2995"/>
      </w:tblGrid>
      <w:tr>
        <w:trPr>
          <w:trHeight w:val="288" w:hRule="exact"/>
        </w:trPr>
        <w:tc>
          <w:tcPr>
            <w:tcW w:w="2995" w:type="dxa"/>
          </w:tcPr>
          <w:p>
            <w:pPr>
              <w:pStyle w:val="TableParagraph"/>
              <w:spacing w:line="273" w:lineRule="exact"/>
              <w:ind w:right="102"/>
              <w:rPr>
                <w:b/>
                <w:sz w:val="24"/>
              </w:rPr>
            </w:pPr>
            <w:r>
              <w:rPr>
                <w:b/>
                <w:sz w:val="24"/>
              </w:rPr>
              <w:t>SECTOR</w:t>
            </w:r>
          </w:p>
        </w:tc>
        <w:tc>
          <w:tcPr>
            <w:tcW w:w="2990" w:type="dxa"/>
          </w:tcPr>
          <w:p>
            <w:pPr>
              <w:pStyle w:val="TableParagraph"/>
              <w:spacing w:line="273" w:lineRule="exact"/>
              <w:ind w:left="673" w:right="666"/>
              <w:rPr>
                <w:b/>
                <w:sz w:val="24"/>
              </w:rPr>
            </w:pPr>
            <w:r>
              <w:rPr>
                <w:b/>
                <w:sz w:val="24"/>
              </w:rPr>
              <w:t>FRECUNCIA</w:t>
            </w:r>
          </w:p>
        </w:tc>
        <w:tc>
          <w:tcPr>
            <w:tcW w:w="2995" w:type="dxa"/>
          </w:tcPr>
          <w:p>
            <w:pPr>
              <w:pStyle w:val="TableParagraph"/>
              <w:spacing w:line="273" w:lineRule="exact"/>
              <w:ind w:right="101"/>
              <w:rPr>
                <w:b/>
                <w:sz w:val="24"/>
              </w:rPr>
            </w:pPr>
            <w:r>
              <w:rPr>
                <w:b/>
                <w:sz w:val="24"/>
              </w:rPr>
              <w:t>PORCENTAJE</w:t>
            </w:r>
          </w:p>
        </w:tc>
      </w:tr>
      <w:tr>
        <w:trPr>
          <w:trHeight w:val="283" w:hRule="exact"/>
        </w:trPr>
        <w:tc>
          <w:tcPr>
            <w:tcW w:w="2995" w:type="dxa"/>
          </w:tcPr>
          <w:p>
            <w:pPr>
              <w:pStyle w:val="TableParagraph"/>
              <w:spacing w:line="273" w:lineRule="exact"/>
              <w:ind w:right="102"/>
              <w:rPr>
                <w:b/>
                <w:sz w:val="24"/>
              </w:rPr>
            </w:pPr>
            <w:r>
              <w:rPr>
                <w:b/>
                <w:sz w:val="24"/>
              </w:rPr>
              <w:t>VECINO</w:t>
            </w:r>
          </w:p>
        </w:tc>
        <w:tc>
          <w:tcPr>
            <w:tcW w:w="2990" w:type="dxa"/>
          </w:tcPr>
          <w:p>
            <w:pPr>
              <w:pStyle w:val="TableParagraph"/>
              <w:spacing w:line="273" w:lineRule="exact"/>
              <w:ind w:left="673" w:right="666"/>
              <w:rPr>
                <w:sz w:val="24"/>
              </w:rPr>
            </w:pPr>
            <w:r>
              <w:rPr>
                <w:sz w:val="24"/>
              </w:rPr>
              <w:t>102</w:t>
            </w:r>
          </w:p>
        </w:tc>
        <w:tc>
          <w:tcPr>
            <w:tcW w:w="2995" w:type="dxa"/>
          </w:tcPr>
          <w:p>
            <w:pPr>
              <w:pStyle w:val="TableParagraph"/>
              <w:spacing w:line="273" w:lineRule="exact"/>
              <w:ind w:right="101"/>
              <w:rPr>
                <w:sz w:val="24"/>
              </w:rPr>
            </w:pPr>
            <w:r>
              <w:rPr>
                <w:sz w:val="24"/>
              </w:rPr>
              <w:t>41</w:t>
            </w:r>
          </w:p>
        </w:tc>
      </w:tr>
      <w:tr>
        <w:trPr>
          <w:trHeight w:val="562" w:hRule="exact"/>
        </w:trPr>
        <w:tc>
          <w:tcPr>
            <w:tcW w:w="2995" w:type="dxa"/>
          </w:tcPr>
          <w:p>
            <w:pPr>
              <w:pStyle w:val="TableParagraph"/>
              <w:spacing w:line="242" w:lineRule="auto"/>
              <w:ind w:left="346" w:right="325" w:firstLine="347"/>
              <w:jc w:val="left"/>
              <w:rPr>
                <w:b/>
                <w:sz w:val="24"/>
              </w:rPr>
            </w:pPr>
            <w:r>
              <w:rPr>
                <w:b/>
                <w:sz w:val="24"/>
              </w:rPr>
              <w:t>COMPANERO TRABAJO/ESTUDIO</w:t>
            </w:r>
          </w:p>
        </w:tc>
        <w:tc>
          <w:tcPr>
            <w:tcW w:w="2990" w:type="dxa"/>
          </w:tcPr>
          <w:p>
            <w:pPr>
              <w:pStyle w:val="TableParagraph"/>
              <w:spacing w:before="10"/>
              <w:ind w:left="0"/>
              <w:jc w:val="left"/>
              <w:rPr>
                <w:b/>
                <w:sz w:val="23"/>
              </w:rPr>
            </w:pPr>
          </w:p>
          <w:p>
            <w:pPr>
              <w:pStyle w:val="TableParagraph"/>
              <w:ind w:left="673" w:right="666"/>
              <w:rPr>
                <w:sz w:val="24"/>
              </w:rPr>
            </w:pPr>
            <w:r>
              <w:rPr>
                <w:sz w:val="24"/>
              </w:rPr>
              <w:t>20</w:t>
            </w:r>
          </w:p>
        </w:tc>
        <w:tc>
          <w:tcPr>
            <w:tcW w:w="2995" w:type="dxa"/>
          </w:tcPr>
          <w:p>
            <w:pPr>
              <w:pStyle w:val="TableParagraph"/>
              <w:spacing w:before="136"/>
              <w:ind w:left="2"/>
              <w:rPr>
                <w:sz w:val="24"/>
              </w:rPr>
            </w:pPr>
            <w:r>
              <w:rPr>
                <w:sz w:val="24"/>
              </w:rPr>
              <w:t>8</w:t>
            </w:r>
          </w:p>
        </w:tc>
      </w:tr>
      <w:tr>
        <w:trPr>
          <w:trHeight w:val="1118" w:hRule="exact"/>
        </w:trPr>
        <w:tc>
          <w:tcPr>
            <w:tcW w:w="2995" w:type="dxa"/>
          </w:tcPr>
          <w:p>
            <w:pPr>
              <w:pStyle w:val="TableParagraph"/>
              <w:spacing w:before="1"/>
              <w:ind w:left="203" w:right="199"/>
              <w:rPr>
                <w:b/>
                <w:sz w:val="24"/>
              </w:rPr>
            </w:pPr>
            <w:r>
              <w:rPr>
                <w:b/>
                <w:sz w:val="24"/>
              </w:rPr>
              <w:t>MIEMBRO COMUNIDAD ECLESIATICAU OTRA ORGANIZACION</w:t>
            </w:r>
          </w:p>
        </w:tc>
        <w:tc>
          <w:tcPr>
            <w:tcW w:w="2990" w:type="dxa"/>
          </w:tcPr>
          <w:p>
            <w:pPr>
              <w:pStyle w:val="TableParagraph"/>
              <w:ind w:left="0"/>
              <w:jc w:val="left"/>
              <w:rPr>
                <w:b/>
                <w:sz w:val="24"/>
              </w:rPr>
            </w:pPr>
          </w:p>
          <w:p>
            <w:pPr>
              <w:pStyle w:val="TableParagraph"/>
              <w:ind w:left="0"/>
              <w:jc w:val="left"/>
              <w:rPr>
                <w:b/>
                <w:sz w:val="24"/>
              </w:rPr>
            </w:pPr>
          </w:p>
          <w:p>
            <w:pPr>
              <w:pStyle w:val="TableParagraph"/>
              <w:spacing w:before="10"/>
              <w:ind w:left="0"/>
              <w:jc w:val="left"/>
              <w:rPr>
                <w:b/>
                <w:sz w:val="23"/>
              </w:rPr>
            </w:pPr>
          </w:p>
          <w:p>
            <w:pPr>
              <w:pStyle w:val="TableParagraph"/>
              <w:ind w:left="673" w:right="666"/>
              <w:rPr>
                <w:sz w:val="24"/>
              </w:rPr>
            </w:pPr>
            <w:r>
              <w:rPr>
                <w:sz w:val="24"/>
              </w:rPr>
              <w:t>13</w:t>
            </w:r>
          </w:p>
        </w:tc>
        <w:tc>
          <w:tcPr>
            <w:tcW w:w="2995" w:type="dxa"/>
          </w:tcPr>
          <w:p>
            <w:pPr>
              <w:pStyle w:val="TableParagraph"/>
              <w:ind w:left="0"/>
              <w:jc w:val="left"/>
              <w:rPr>
                <w:b/>
                <w:sz w:val="24"/>
              </w:rPr>
            </w:pPr>
          </w:p>
          <w:p>
            <w:pPr>
              <w:pStyle w:val="TableParagraph"/>
              <w:spacing w:before="138"/>
              <w:ind w:left="2"/>
              <w:rPr>
                <w:sz w:val="24"/>
              </w:rPr>
            </w:pPr>
            <w:r>
              <w:rPr>
                <w:sz w:val="24"/>
              </w:rPr>
              <w:t>5</w:t>
            </w:r>
          </w:p>
        </w:tc>
      </w:tr>
      <w:tr>
        <w:trPr>
          <w:trHeight w:val="283" w:hRule="exact"/>
        </w:trPr>
        <w:tc>
          <w:tcPr>
            <w:tcW w:w="2995" w:type="dxa"/>
          </w:tcPr>
          <w:p>
            <w:pPr>
              <w:pStyle w:val="TableParagraph"/>
              <w:spacing w:line="273" w:lineRule="exact"/>
              <w:ind w:right="102"/>
              <w:rPr>
                <w:b/>
                <w:sz w:val="24"/>
              </w:rPr>
            </w:pPr>
            <w:r>
              <w:rPr>
                <w:b/>
                <w:sz w:val="24"/>
              </w:rPr>
              <w:t>MONJA O CURA</w:t>
            </w:r>
          </w:p>
        </w:tc>
        <w:tc>
          <w:tcPr>
            <w:tcW w:w="2990" w:type="dxa"/>
          </w:tcPr>
          <w:p>
            <w:pPr>
              <w:pStyle w:val="TableParagraph"/>
              <w:spacing w:line="273" w:lineRule="exact"/>
              <w:ind w:left="7"/>
              <w:rPr>
                <w:sz w:val="24"/>
              </w:rPr>
            </w:pPr>
            <w:r>
              <w:rPr>
                <w:sz w:val="24"/>
              </w:rPr>
              <w:t>3</w:t>
            </w:r>
          </w:p>
        </w:tc>
        <w:tc>
          <w:tcPr>
            <w:tcW w:w="2995" w:type="dxa"/>
          </w:tcPr>
          <w:p>
            <w:pPr>
              <w:pStyle w:val="TableParagraph"/>
              <w:spacing w:line="273" w:lineRule="exact"/>
              <w:ind w:left="2"/>
              <w:rPr>
                <w:sz w:val="24"/>
              </w:rPr>
            </w:pPr>
            <w:r>
              <w:rPr>
                <w:sz w:val="24"/>
              </w:rPr>
              <w:t>1</w:t>
            </w:r>
          </w:p>
        </w:tc>
      </w:tr>
      <w:tr>
        <w:trPr>
          <w:trHeight w:val="288" w:hRule="exact"/>
        </w:trPr>
        <w:tc>
          <w:tcPr>
            <w:tcW w:w="2995" w:type="dxa"/>
          </w:tcPr>
          <w:p>
            <w:pPr>
              <w:pStyle w:val="TableParagraph"/>
              <w:spacing w:line="273" w:lineRule="exact"/>
              <w:ind w:right="102"/>
              <w:rPr>
                <w:b/>
                <w:sz w:val="24"/>
              </w:rPr>
            </w:pPr>
            <w:r>
              <w:rPr>
                <w:b/>
                <w:sz w:val="24"/>
              </w:rPr>
              <w:t>OTROS</w:t>
            </w:r>
          </w:p>
        </w:tc>
        <w:tc>
          <w:tcPr>
            <w:tcW w:w="2990" w:type="dxa"/>
          </w:tcPr>
          <w:p>
            <w:pPr>
              <w:pStyle w:val="TableParagraph"/>
              <w:spacing w:line="273" w:lineRule="exact"/>
              <w:ind w:left="673" w:right="666"/>
              <w:rPr>
                <w:sz w:val="24"/>
              </w:rPr>
            </w:pPr>
            <w:r>
              <w:rPr>
                <w:sz w:val="24"/>
              </w:rPr>
              <w:t>113</w:t>
            </w:r>
          </w:p>
        </w:tc>
        <w:tc>
          <w:tcPr>
            <w:tcW w:w="2995" w:type="dxa"/>
          </w:tcPr>
          <w:p>
            <w:pPr>
              <w:pStyle w:val="TableParagraph"/>
              <w:spacing w:line="273" w:lineRule="exact"/>
              <w:ind w:right="101"/>
              <w:rPr>
                <w:sz w:val="24"/>
              </w:rPr>
            </w:pPr>
            <w:r>
              <w:rPr>
                <w:sz w:val="24"/>
              </w:rPr>
              <w:t>45</w:t>
            </w:r>
          </w:p>
        </w:tc>
      </w:tr>
      <w:tr>
        <w:trPr>
          <w:trHeight w:val="283" w:hRule="exact"/>
        </w:trPr>
        <w:tc>
          <w:tcPr>
            <w:tcW w:w="2995" w:type="dxa"/>
          </w:tcPr>
          <w:p>
            <w:pPr>
              <w:pStyle w:val="TableParagraph"/>
              <w:spacing w:line="273" w:lineRule="exact"/>
              <w:ind w:right="102"/>
              <w:rPr>
                <w:b/>
                <w:sz w:val="24"/>
              </w:rPr>
            </w:pPr>
            <w:r>
              <w:rPr>
                <w:b/>
                <w:sz w:val="24"/>
              </w:rPr>
              <w:t>TOTAL</w:t>
            </w:r>
          </w:p>
        </w:tc>
        <w:tc>
          <w:tcPr>
            <w:tcW w:w="2990" w:type="dxa"/>
          </w:tcPr>
          <w:p>
            <w:pPr>
              <w:pStyle w:val="TableParagraph"/>
              <w:spacing w:line="273" w:lineRule="exact"/>
              <w:ind w:left="673" w:right="666"/>
              <w:rPr>
                <w:sz w:val="24"/>
              </w:rPr>
            </w:pPr>
            <w:r>
              <w:rPr>
                <w:sz w:val="24"/>
              </w:rPr>
              <w:t>251</w:t>
            </w:r>
          </w:p>
        </w:tc>
        <w:tc>
          <w:tcPr>
            <w:tcW w:w="2995" w:type="dxa"/>
          </w:tcPr>
          <w:p>
            <w:pPr>
              <w:pStyle w:val="TableParagraph"/>
              <w:spacing w:line="273" w:lineRule="exact"/>
              <w:ind w:right="101"/>
              <w:rPr>
                <w:sz w:val="24"/>
              </w:rPr>
            </w:pPr>
            <w:r>
              <w:rPr>
                <w:sz w:val="24"/>
              </w:rPr>
              <w:t>100</w:t>
            </w:r>
          </w:p>
        </w:tc>
      </w:tr>
    </w:tbl>
    <w:p>
      <w:pPr>
        <w:spacing w:line="271" w:lineRule="exact" w:before="0"/>
        <w:ind w:left="3032" w:right="142" w:firstLine="0"/>
        <w:jc w:val="left"/>
        <w:rPr>
          <w:sz w:val="24"/>
        </w:rPr>
      </w:pPr>
      <w:r>
        <w:rPr/>
        <w:pict>
          <v:shape style="position:absolute;margin-left:75.930pt;margin-top:12.321393pt;width:423pt;height:162pt;mso-position-horizontal-relative:page;mso-position-vertical-relative:paragraph;z-index:-139936" type="#_x0000_t202" filled="false" stroked="false">
            <v:textbox inset="0,0,0,0">
              <w:txbxContent>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tabs>
                      <w:tab w:pos="4256" w:val="left" w:leader="none"/>
                    </w:tabs>
                    <w:spacing w:before="174"/>
                    <w:ind w:left="3536" w:right="0" w:firstLine="0"/>
                    <w:jc w:val="left"/>
                    <w:rPr>
                      <w:b/>
                      <w:sz w:val="21"/>
                    </w:rPr>
                  </w:pPr>
                  <w:r>
                    <w:rPr>
                      <w:b/>
                      <w:w w:val="105"/>
                      <w:sz w:val="21"/>
                    </w:rPr>
                    <w:t>V.</w:t>
                    <w:tab/>
                    <w:t>CONCLUSIONES</w:t>
                  </w:r>
                </w:p>
              </w:txbxContent>
            </v:textbox>
            <w10:wrap type="none"/>
          </v:shape>
        </w:pict>
      </w:r>
      <w:r>
        <w:rPr/>
        <w:pict>
          <v:group style="position:absolute;margin-left:75.555pt;margin-top:11.946398pt;width:423.75pt;height:162.75pt;mso-position-horizontal-relative:page;mso-position-vertical-relative:paragraph;z-index:-139720" coordorigin="1511,239" coordsize="8475,3255">
            <v:rect style="position:absolute;left:1519;top:246;width:8460;height:3240" filled="true" fillcolor="#ffffff" stroked="false">
              <v:fill type="solid"/>
            </v:rect>
            <v:shape style="position:absolute;left:2114;top:1136;width:4248;height:1920" type="#_x0000_t75" stroked="false">
              <v:imagedata r:id="rId50" o:title=""/>
            </v:shape>
            <v:shape style="position:absolute;left:6583;top:865;width:88;height:88" type="#_x0000_t75" stroked="false">
              <v:imagedata r:id="rId51" o:title=""/>
            </v:shape>
            <v:shape style="position:absolute;left:6583;top:1295;width:88;height:88" type="#_x0000_t75" stroked="false">
              <v:imagedata r:id="rId52" o:title=""/>
            </v:shape>
            <v:shape style="position:absolute;left:6583;top:1726;width:88;height:88" type="#_x0000_t75" stroked="false">
              <v:imagedata r:id="rId53" o:title=""/>
            </v:shape>
            <v:shape style="position:absolute;left:6583;top:2157;width:88;height:88" type="#_x0000_t75" stroked="false">
              <v:imagedata r:id="rId54" o:title=""/>
            </v:shape>
            <v:shape style="position:absolute;left:6583;top:2587;width:88;height:88" type="#_x0000_t75" stroked="false">
              <v:imagedata r:id="rId55" o:title=""/>
            </v:shape>
            <v:rect style="position:absolute;left:1519;top:246;width:8460;height:3240" filled="false" stroked="true" strokeweight=".75pt" strokecolor="#989898"/>
            <v:shape style="position:absolute;left:2597;top:480;width:6304;height:957" type="#_x0000_t202" filled="false" stroked="false">
              <v:textbox inset="0,0,0,0">
                <w:txbxContent>
                  <w:p>
                    <w:pPr>
                      <w:spacing w:line="210" w:lineRule="exact" w:before="0"/>
                      <w:ind w:left="0" w:right="-20" w:firstLine="0"/>
                      <w:jc w:val="left"/>
                      <w:rPr>
                        <w:rFonts w:ascii="Calibri" w:hAnsi="Calibri"/>
                        <w:b/>
                        <w:sz w:val="20"/>
                      </w:rPr>
                    </w:pPr>
                    <w:r>
                      <w:rPr>
                        <w:rFonts w:ascii="Calibri" w:hAnsi="Calibri"/>
                        <w:b/>
                        <w:sz w:val="20"/>
                      </w:rPr>
                      <w:t>GRAFICA #18  DISTRIBUCIÓN DE PACIENTES SEGÚN EL SECTOR DEL VÍNCULO</w:t>
                    </w:r>
                  </w:p>
                  <w:p>
                    <w:pPr>
                      <w:spacing w:before="128"/>
                      <w:ind w:left="4108" w:right="-20" w:firstLine="0"/>
                      <w:jc w:val="left"/>
                      <w:rPr>
                        <w:rFonts w:ascii="Calibri"/>
                        <w:sz w:val="16"/>
                      </w:rPr>
                    </w:pPr>
                    <w:r>
                      <w:rPr>
                        <w:rFonts w:ascii="Calibri"/>
                        <w:sz w:val="16"/>
                      </w:rPr>
                      <w:t>VECINO</w:t>
                    </w:r>
                  </w:p>
                  <w:p>
                    <w:pPr>
                      <w:spacing w:line="240" w:lineRule="auto" w:before="5"/>
                      <w:rPr>
                        <w:sz w:val="20"/>
                      </w:rPr>
                    </w:pPr>
                  </w:p>
                  <w:p>
                    <w:pPr>
                      <w:spacing w:line="188" w:lineRule="exact" w:before="0"/>
                      <w:ind w:left="4108" w:right="-20" w:firstLine="0"/>
                      <w:jc w:val="left"/>
                      <w:rPr>
                        <w:rFonts w:ascii="Calibri"/>
                        <w:sz w:val="16"/>
                      </w:rPr>
                    </w:pPr>
                    <w:r>
                      <w:rPr>
                        <w:rFonts w:ascii="Calibri"/>
                        <w:sz w:val="16"/>
                      </w:rPr>
                      <w:t>COMPANERO TRABAJO/ESTUDIO</w:t>
                    </w:r>
                  </w:p>
                </w:txbxContent>
              </v:textbox>
              <w10:wrap type="none"/>
            </v:shape>
            <v:shape style="position:absolute;left:3159;top:1500;width:346;height:200" type="#_x0000_t202" filled="false" stroked="false">
              <v:textbox inset="0,0,0,0">
                <w:txbxContent>
                  <w:p>
                    <w:pPr>
                      <w:spacing w:line="200" w:lineRule="exact" w:before="0"/>
                      <w:ind w:left="0" w:right="-20" w:firstLine="0"/>
                      <w:jc w:val="left"/>
                      <w:rPr>
                        <w:rFonts w:ascii="Calibri"/>
                        <w:sz w:val="20"/>
                      </w:rPr>
                    </w:pPr>
                    <w:r>
                      <w:rPr>
                        <w:rFonts w:ascii="Calibri"/>
                        <w:sz w:val="20"/>
                      </w:rPr>
                      <w:t>45%</w:t>
                    </w:r>
                  </w:p>
                </w:txbxContent>
              </v:textbox>
              <w10:wrap type="none"/>
            </v:shape>
            <v:shape style="position:absolute;left:4879;top:1460;width:346;height:200" type="#_x0000_t202" filled="false" stroked="false">
              <v:textbox inset="0,0,0,0">
                <w:txbxContent>
                  <w:p>
                    <w:pPr>
                      <w:spacing w:line="200" w:lineRule="exact" w:before="0"/>
                      <w:ind w:left="0" w:right="-20" w:firstLine="0"/>
                      <w:jc w:val="left"/>
                      <w:rPr>
                        <w:rFonts w:ascii="Calibri"/>
                        <w:sz w:val="20"/>
                      </w:rPr>
                    </w:pPr>
                    <w:r>
                      <w:rPr>
                        <w:rFonts w:ascii="Calibri"/>
                        <w:sz w:val="20"/>
                      </w:rPr>
                      <w:t>41%</w:t>
                    </w:r>
                  </w:p>
                </w:txbxContent>
              </v:textbox>
              <w10:wrap type="none"/>
            </v:shape>
            <v:shape style="position:absolute;left:6705;top:1707;width:2922;height:591" type="#_x0000_t202" filled="false" stroked="false">
              <v:textbox inset="0,0,0,0">
                <w:txbxContent>
                  <w:p>
                    <w:pPr>
                      <w:spacing w:line="160" w:lineRule="exact" w:before="0"/>
                      <w:ind w:left="0" w:right="-20" w:firstLine="0"/>
                      <w:jc w:val="left"/>
                      <w:rPr>
                        <w:rFonts w:ascii="Calibri"/>
                        <w:sz w:val="16"/>
                      </w:rPr>
                    </w:pPr>
                    <w:r>
                      <w:rPr>
                        <w:rFonts w:ascii="Calibri"/>
                        <w:sz w:val="16"/>
                      </w:rPr>
                      <w:t>MIEMBRO COMUNIDAD ECLESIATICAU OTRA</w:t>
                    </w:r>
                  </w:p>
                  <w:p>
                    <w:pPr>
                      <w:spacing w:line="188" w:lineRule="exact" w:before="0"/>
                      <w:ind w:left="0" w:right="-20" w:firstLine="0"/>
                      <w:jc w:val="left"/>
                      <w:rPr>
                        <w:rFonts w:ascii="Calibri"/>
                        <w:sz w:val="16"/>
                      </w:rPr>
                    </w:pPr>
                    <w:r>
                      <w:rPr>
                        <w:rFonts w:ascii="Calibri"/>
                        <w:sz w:val="16"/>
                      </w:rPr>
                      <w:t>ORGANIZACION</w:t>
                    </w:r>
                  </w:p>
                  <w:p>
                    <w:pPr>
                      <w:spacing w:line="188" w:lineRule="exact" w:before="55"/>
                      <w:ind w:left="0" w:right="-20" w:firstLine="0"/>
                      <w:jc w:val="left"/>
                      <w:rPr>
                        <w:rFonts w:ascii="Calibri"/>
                        <w:sz w:val="16"/>
                      </w:rPr>
                    </w:pPr>
                    <w:r>
                      <w:rPr>
                        <w:rFonts w:ascii="Calibri"/>
                        <w:sz w:val="16"/>
                      </w:rPr>
                      <w:t>MONJA O CURA</w:t>
                    </w:r>
                  </w:p>
                </w:txbxContent>
              </v:textbox>
              <w10:wrap type="none"/>
            </v:shape>
            <v:shape style="position:absolute;left:4001;top:2260;width:705;height:220" type="#_x0000_t202" filled="false" stroked="false">
              <v:textbox inset="0,0,0,0">
                <w:txbxContent>
                  <w:p>
                    <w:pPr>
                      <w:tabs>
                        <w:tab w:pos="459" w:val="left" w:leader="none"/>
                      </w:tabs>
                      <w:spacing w:line="220" w:lineRule="exact" w:before="0"/>
                      <w:ind w:left="0" w:right="0" w:firstLine="0"/>
                      <w:jc w:val="left"/>
                      <w:rPr>
                        <w:rFonts w:ascii="Calibri"/>
                        <w:sz w:val="20"/>
                      </w:rPr>
                    </w:pPr>
                    <w:r>
                      <w:rPr>
                        <w:rFonts w:ascii="Calibri"/>
                        <w:position w:val="-1"/>
                        <w:sz w:val="20"/>
                      </w:rPr>
                      <w:t>5%</w:t>
                      <w:tab/>
                    </w:r>
                    <w:r>
                      <w:rPr>
                        <w:rFonts w:ascii="Calibri"/>
                        <w:sz w:val="20"/>
                      </w:rPr>
                      <w:t>8%</w:t>
                    </w:r>
                  </w:p>
                </w:txbxContent>
              </v:textbox>
              <w10:wrap type="none"/>
            </v:shape>
            <v:shape style="position:absolute;left:6705;top:2569;width:451;height:160" type="#_x0000_t202" filled="false" stroked="false">
              <v:textbox inset="0,0,0,0">
                <w:txbxContent>
                  <w:p>
                    <w:pPr>
                      <w:spacing w:line="160" w:lineRule="exact" w:before="0"/>
                      <w:ind w:left="0" w:right="-20" w:firstLine="0"/>
                      <w:jc w:val="left"/>
                      <w:rPr>
                        <w:rFonts w:ascii="Calibri"/>
                        <w:sz w:val="16"/>
                      </w:rPr>
                    </w:pPr>
                    <w:r>
                      <w:rPr>
                        <w:rFonts w:ascii="Calibri"/>
                        <w:sz w:val="16"/>
                      </w:rPr>
                      <w:t>OTROS</w:t>
                    </w:r>
                  </w:p>
                </w:txbxContent>
              </v:textbox>
              <w10:wrap type="none"/>
            </v:shape>
            <v:shape style="position:absolute;left:3461;top:3060;width:245;height:200" type="#_x0000_t202" filled="false" stroked="false">
              <v:textbox inset="0,0,0,0">
                <w:txbxContent>
                  <w:p>
                    <w:pPr>
                      <w:spacing w:line="200" w:lineRule="exact" w:before="0"/>
                      <w:ind w:left="0" w:right="-20" w:firstLine="0"/>
                      <w:jc w:val="left"/>
                      <w:rPr>
                        <w:rFonts w:ascii="Calibri"/>
                        <w:sz w:val="20"/>
                      </w:rPr>
                    </w:pPr>
                    <w:r>
                      <w:rPr>
                        <w:rFonts w:ascii="Calibri"/>
                        <w:sz w:val="20"/>
                      </w:rPr>
                      <w:t>1%</w:t>
                    </w:r>
                  </w:p>
                </w:txbxContent>
              </v:textbox>
              <w10:wrap type="none"/>
            </v:shape>
            <v:shape style="position:absolute;left:4543;top:3165;width:3426;height:240" type="#_x0000_t202" filled="false" stroked="false">
              <v:textbox inset="0,0,0,0">
                <w:txbxContent>
                  <w:p>
                    <w:pPr>
                      <w:spacing w:line="240" w:lineRule="exact" w:before="0"/>
                      <w:ind w:left="0" w:right="-20" w:firstLine="0"/>
                      <w:jc w:val="left"/>
                      <w:rPr>
                        <w:sz w:val="24"/>
                      </w:rPr>
                    </w:pPr>
                    <w:r>
                      <w:rPr>
                        <w:b/>
                        <w:sz w:val="24"/>
                      </w:rPr>
                      <w:t>Fuente: </w:t>
                    </w:r>
                    <w:r>
                      <w:rPr>
                        <w:sz w:val="24"/>
                      </w:rPr>
                      <w:t>Escala de ASSIS. </w:t>
                    </w:r>
                    <w:r>
                      <w:rPr>
                        <w:b/>
                        <w:sz w:val="24"/>
                      </w:rPr>
                      <w:t>Anexo</w:t>
                    </w:r>
                    <w:r>
                      <w:rPr>
                        <w:b/>
                        <w:spacing w:val="-1"/>
                        <w:sz w:val="24"/>
                      </w:rPr>
                      <w:t> </w:t>
                    </w:r>
                    <w:r>
                      <w:rPr>
                        <w:sz w:val="24"/>
                      </w:rPr>
                      <w:t>5</w:t>
                    </w:r>
                  </w:p>
                </w:txbxContent>
              </v:textbox>
              <w10:wrap type="none"/>
            </v:shape>
            <w10:wrap type="none"/>
          </v:group>
        </w:pict>
      </w:r>
      <w:r>
        <w:rPr>
          <w:b/>
          <w:sz w:val="24"/>
        </w:rPr>
        <w:t>Fuente: </w:t>
      </w:r>
      <w:r>
        <w:rPr>
          <w:sz w:val="24"/>
        </w:rPr>
        <w:t>Escala de ASSIS </w:t>
      </w:r>
      <w:r>
        <w:rPr>
          <w:b/>
          <w:sz w:val="24"/>
        </w:rPr>
        <w:t>Anexo </w:t>
      </w:r>
      <w:r>
        <w:rPr>
          <w:sz w:val="24"/>
        </w:rPr>
        <w:t>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8"/>
        </w:rPr>
      </w:pPr>
    </w:p>
    <w:p>
      <w:pPr>
        <w:pStyle w:val="BodyText"/>
        <w:spacing w:before="1"/>
        <w:ind w:right="143"/>
        <w:jc w:val="right"/>
      </w:pPr>
      <w:r>
        <w:rPr/>
        <w:t>55</w:t>
      </w:r>
    </w:p>
    <w:p>
      <w:pPr>
        <w:spacing w:after="0"/>
        <w:jc w:val="right"/>
        <w:sectPr>
          <w:footerReference w:type="default" r:id="rId47"/>
          <w:pgSz w:w="12240" w:h="15840"/>
          <w:pgMar w:footer="0" w:header="0" w:top="1360" w:bottom="280" w:left="1400" w:right="1560"/>
        </w:sectPr>
      </w:pPr>
    </w:p>
    <w:p>
      <w:pPr>
        <w:pStyle w:val="BodyText"/>
        <w:spacing w:before="50"/>
        <w:ind w:left="116" w:right="103"/>
        <w:jc w:val="both"/>
      </w:pPr>
      <w:r>
        <w:rPr/>
        <w:t>La contribución del estudio respecto a las características de la dinámica familiar del paciente con una enfermedad crónica como la insuficiencia renal, permite identificar los patrones de funcionalidad de la familia y su influencia en el cuidado del enfermo, lo que depende fundamentalmente de la eficiencia familiar, de los patrones de liderazgo, expresión de conflictos y claridad en la comunicación, conceptos que pueden ser las directrices de futuras investigaciones.</w:t>
      </w:r>
    </w:p>
    <w:p>
      <w:pPr>
        <w:pStyle w:val="BodyText"/>
      </w:pPr>
    </w:p>
    <w:p>
      <w:pPr>
        <w:pStyle w:val="BodyText"/>
        <w:ind w:left="116" w:right="103"/>
        <w:jc w:val="both"/>
      </w:pPr>
      <w:r>
        <w:rPr/>
        <w:t>La familia es la red de Apoyo Social más importante para estos individuos. Ella, garantiza  la provisión de diferentes tipos de apoyo, motivo por el cual este grupo social excluye la necesidad de asistencia y ayuda de personas que no la integran, lo que caracteriza su bajo nivel de permeabilidad.</w:t>
      </w:r>
    </w:p>
    <w:p>
      <w:pPr>
        <w:pStyle w:val="BodyText"/>
      </w:pPr>
    </w:p>
    <w:p>
      <w:pPr>
        <w:pStyle w:val="BodyText"/>
        <w:ind w:left="116" w:right="103"/>
        <w:jc w:val="both"/>
      </w:pPr>
      <w:r>
        <w:rPr/>
        <w:t>Las familias estudiadas presentan situaciones protectoras y de riesgo en dependencia del nivel de funcionamiento, condiciones materiales de vida, composición familiar, período evolutivo por el que atraviesa y las crisis presentes en su seno, lo que puede influir en el nivel de salud individual y familiar, así como en el ajuste al medio y a la enfermedad.</w:t>
      </w:r>
    </w:p>
    <w:p>
      <w:pPr>
        <w:pStyle w:val="BodyText"/>
      </w:pPr>
    </w:p>
    <w:p>
      <w:pPr>
        <w:pStyle w:val="BodyText"/>
        <w:ind w:left="116" w:right="103"/>
        <w:jc w:val="both"/>
      </w:pPr>
      <w:r>
        <w:rPr/>
        <w:t>La información puede ser utilizada para estructurar intervenciones con estrategias individuales y familiares que permitan reforzar los valores familiares y sociales, pues se sabe que la familia es una fuente disponible y accesible de apoyo para los enfermos. Más que sustituir las fuentes de apoyo informal, como la familia, se deben buscar las estrategias tendentes a aumentar su capacidad de ayuda y funcionamiento por parte del equipo de salud, a partir de intervenciones en grupos de apoyo a pacientes y familiares.</w:t>
      </w:r>
    </w:p>
    <w:p>
      <w:pPr>
        <w:pStyle w:val="BodyText"/>
      </w:pPr>
    </w:p>
    <w:p>
      <w:pPr>
        <w:pStyle w:val="BodyText"/>
        <w:ind w:left="116"/>
        <w:jc w:val="both"/>
      </w:pPr>
      <w:r>
        <w:rPr/>
        <w:t>La población de IRC en DPCA aumenta aprox. 25%  anual.</w:t>
      </w:r>
    </w:p>
    <w:p>
      <w:pPr>
        <w:pStyle w:val="BodyText"/>
      </w:pPr>
    </w:p>
    <w:p>
      <w:pPr>
        <w:pStyle w:val="BodyText"/>
        <w:spacing w:line="242" w:lineRule="auto"/>
        <w:ind w:left="116" w:right="103"/>
        <w:jc w:val="both"/>
      </w:pPr>
      <w:r>
        <w:rPr/>
        <w:t>La Prevalencia del 72% de Peritonitis en pacientes tratados con DPCA es comparativamente similar a la encontrada en estudios anteriores.</w:t>
      </w:r>
    </w:p>
    <w:p>
      <w:pPr>
        <w:pStyle w:val="BodyText"/>
        <w:spacing w:before="8"/>
        <w:rPr>
          <w:sz w:val="23"/>
        </w:rPr>
      </w:pPr>
    </w:p>
    <w:p>
      <w:pPr>
        <w:pStyle w:val="BodyText"/>
        <w:spacing w:before="1"/>
        <w:ind w:left="116" w:right="103"/>
        <w:jc w:val="both"/>
      </w:pPr>
      <w:r>
        <w:rPr/>
        <w:t>En México hay pocos estudios que analizan las tasas y etiologías de peritonitis asociada a catéter. La peritonitis es la complicación infecciosa más común en pacientes dializados, ya sea aguda o por DPCA.</w:t>
      </w:r>
    </w:p>
    <w:p>
      <w:pPr>
        <w:pStyle w:val="BodyText"/>
      </w:pPr>
    </w:p>
    <w:p>
      <w:pPr>
        <w:pStyle w:val="BodyText"/>
        <w:ind w:left="116" w:right="103"/>
        <w:jc w:val="both"/>
      </w:pPr>
      <w:r>
        <w:rPr/>
        <w:t>El (41%) de eventos de peritonitis ocurrieron durante el periodo de entrenamiento para la realización de diálisis peritoneal ambulatoria y 26% dentro del primer ano posterior a la colocación del catéter.</w:t>
      </w:r>
    </w:p>
    <w:p>
      <w:pPr>
        <w:pStyle w:val="BodyText"/>
      </w:pPr>
    </w:p>
    <w:p>
      <w:pPr>
        <w:pStyle w:val="BodyText"/>
        <w:ind w:left="116" w:right="103" w:firstLine="60"/>
        <w:jc w:val="both"/>
      </w:pPr>
      <w:r>
        <w:rPr/>
        <w:t>Los atributos que caracterizan el funcionamiento familiar en la mayoría de los pacientes con IRCT evaluados son: armonía, cohesión, alto grado de afectividad, comunicación adecuada, roles funcionales y bien definidos, así como nivel de flexibilidad y adaptabilidad adecuados.</w:t>
      </w:r>
    </w:p>
    <w:p>
      <w:pPr>
        <w:pStyle w:val="BodyText"/>
      </w:pPr>
    </w:p>
    <w:p>
      <w:pPr>
        <w:pStyle w:val="BodyText"/>
        <w:ind w:left="116" w:right="103"/>
        <w:jc w:val="both"/>
      </w:pPr>
      <w:r>
        <w:rPr/>
        <w:t>La estructura de la red social encontrada facilita el contacto entre los miembros, la intimidad, el papel activo de los pacientes en el proceso de dar y recibir y la sobrecarga de los proveedores de Apoyo Social.</w:t>
      </w:r>
    </w:p>
    <w:p>
      <w:pPr>
        <w:spacing w:after="0"/>
        <w:jc w:val="both"/>
        <w:sectPr>
          <w:footerReference w:type="default" r:id="rId56"/>
          <w:pgSz w:w="12240" w:h="15840"/>
          <w:pgMar w:footer="1032" w:header="0" w:top="1360" w:bottom="1220" w:left="1580" w:right="1600"/>
          <w:pgNumType w:start="56"/>
        </w:sectPr>
      </w:pPr>
    </w:p>
    <w:p>
      <w:pPr>
        <w:pStyle w:val="BodyText"/>
        <w:spacing w:before="50"/>
        <w:ind w:left="116" w:right="103"/>
        <w:jc w:val="both"/>
      </w:pPr>
      <w:r>
        <w:rPr/>
        <w:t>También es conveniente resaltar que el estudio se basa en la percepción del paciente respecto a su familia, lo que implica que de acuerdo a las características del individuo, sus relaciones interpersonales y su contexto familiar o social pueden facilitar, modificar o incluso impedir que la red de apoyo familiar se otorgue si la conducta del enfermo muestra desadaptación, desorden o conflicto ante la condición crítica en que se encuentra.</w:t>
      </w:r>
    </w:p>
    <w:p>
      <w:pPr>
        <w:pStyle w:val="BodyText"/>
      </w:pPr>
    </w:p>
    <w:p>
      <w:pPr>
        <w:pStyle w:val="BodyText"/>
        <w:ind w:left="116" w:right="103"/>
        <w:jc w:val="both"/>
      </w:pPr>
      <w:r>
        <w:rPr/>
        <w:t>El Apoyo Social desde el punto de vista funcional se caracteriza por la poca necesidad percibida de apoyo y satisfacción con la ayuda brindada, lo que garantiza que las interacciones sociales de estos pacientes en el momento del estudio sean óptimas.</w:t>
      </w:r>
    </w:p>
    <w:p>
      <w:pPr>
        <w:pStyle w:val="BodyText"/>
      </w:pPr>
    </w:p>
    <w:p>
      <w:pPr>
        <w:pStyle w:val="BodyText"/>
        <w:ind w:left="116" w:right="103" w:firstLine="60"/>
        <w:jc w:val="both"/>
      </w:pPr>
      <w:r>
        <w:rPr/>
        <w:t>La mayoría de los participantes indicaron con más frecuencia la existencia del soporte social percibido que del soporte social efectivo. Asimismo, indicaron tener mayor  necesidad que satisfacción del soporte social recibido.</w:t>
      </w:r>
    </w:p>
    <w:p>
      <w:pPr>
        <w:pStyle w:val="BodyText"/>
      </w:pPr>
    </w:p>
    <w:p>
      <w:pPr>
        <w:pStyle w:val="BodyText"/>
        <w:spacing w:line="242" w:lineRule="auto"/>
        <w:ind w:left="116" w:right="103"/>
        <w:jc w:val="both"/>
      </w:pPr>
      <w:r>
        <w:rPr/>
        <w:t>Según el soporte social percibido, las funciones de interacción íntima, participación social y consejo e información fueron las más mencionadas por la mayoría de los participantes.</w:t>
      </w:r>
    </w:p>
    <w:p>
      <w:pPr>
        <w:pStyle w:val="BodyText"/>
        <w:spacing w:before="2"/>
      </w:pPr>
    </w:p>
    <w:p>
      <w:pPr>
        <w:pStyle w:val="BodyText"/>
        <w:spacing w:line="274" w:lineRule="exact"/>
        <w:ind w:left="116" w:right="103"/>
        <w:jc w:val="both"/>
      </w:pPr>
      <w:r>
        <w:rPr/>
        <w:t>De acuerdo al soporte social efectivo, las funciones de interacción íntima, participación social y asistencia fueron las más mencionadas por la mayoría de los participantes.</w:t>
      </w:r>
    </w:p>
    <w:p>
      <w:pPr>
        <w:pStyle w:val="BodyText"/>
        <w:spacing w:before="8"/>
        <w:rPr>
          <w:sz w:val="23"/>
        </w:rPr>
      </w:pPr>
    </w:p>
    <w:p>
      <w:pPr>
        <w:pStyle w:val="BodyText"/>
        <w:ind w:left="116" w:right="103"/>
        <w:jc w:val="both"/>
      </w:pPr>
      <w:r>
        <w:rPr/>
        <w:t>Los participantes expresaron sentirse satisfechos con las funciones de interacción íntima, consejo e información y ayuda material; mientras que indicaron tener necesidad de las funciones de interacción íntima, ayuda material y participación social.</w:t>
      </w:r>
    </w:p>
    <w:p>
      <w:pPr>
        <w:pStyle w:val="BodyText"/>
      </w:pPr>
    </w:p>
    <w:p>
      <w:pPr>
        <w:pStyle w:val="BodyText"/>
        <w:ind w:left="116" w:right="103"/>
        <w:jc w:val="both"/>
      </w:pPr>
      <w:r>
        <w:rPr/>
        <w:t>Igualmente, se destacaron el tamaño de la red percibida y efectiva, el nivel general de satisfacción del soporte social y las funciones de interacción íntima, participación social, información positiva, asistencia, interacción negativa, ayuda material y consejo e información.</w:t>
      </w:r>
    </w:p>
    <w:p>
      <w:pPr>
        <w:pStyle w:val="BodyText"/>
      </w:pPr>
    </w:p>
    <w:p>
      <w:pPr>
        <w:pStyle w:val="BodyText"/>
        <w:ind w:left="116" w:right="103"/>
        <w:jc w:val="both"/>
      </w:pPr>
      <w:r>
        <w:rPr/>
        <w:t>Por lo tanto, el tema resulta relevante en medicina familiar ya que puede ayudar a instaurar el diagnóstico de salud familiar como un eje de atención para identificar oportunamente los fenómenos de crisis familiar estableciendo la necesidad de ayuda técnica profesional. Dado que diversos fenómenos asociados a patologías orgánicas u otros padecimientos crónicos tienen como sustrato la disfunción familiar, el médico está obligado a intervenir en este aspecto, pues de no hacerlo las recaídas, cronicidad y fracaso terapéutico son frecuentes. Los pacientes con enfermedad renal crónica, que por lo general demandan mayor apoyo familiar, no escapan a esta condición.</w:t>
      </w:r>
    </w:p>
    <w:p>
      <w:pPr>
        <w:spacing w:after="0"/>
        <w:jc w:val="both"/>
        <w:sectPr>
          <w:pgSz w:w="12240" w:h="15840"/>
          <w:pgMar w:header="0" w:footer="1032" w:top="1360" w:bottom="1220" w:left="1580" w:right="1600"/>
        </w:sectPr>
      </w:pPr>
    </w:p>
    <w:p>
      <w:pPr>
        <w:pStyle w:val="Heading1"/>
        <w:numPr>
          <w:ilvl w:val="1"/>
          <w:numId w:val="4"/>
        </w:numPr>
        <w:tabs>
          <w:tab w:pos="3546" w:val="left" w:leader="none"/>
        </w:tabs>
        <w:spacing w:line="240" w:lineRule="auto" w:before="50" w:after="0"/>
        <w:ind w:left="3545" w:right="0" w:hanging="540"/>
        <w:jc w:val="left"/>
      </w:pPr>
      <w:bookmarkStart w:name="_TOC_250005" w:id="39"/>
      <w:bookmarkEnd w:id="39"/>
      <w:r>
        <w:rPr/>
        <w:t>RECOMENDACIONES</w:t>
      </w:r>
    </w:p>
    <w:p>
      <w:pPr>
        <w:pStyle w:val="BodyText"/>
        <w:rPr>
          <w:b/>
        </w:rPr>
      </w:pPr>
    </w:p>
    <w:p>
      <w:pPr>
        <w:pStyle w:val="BodyText"/>
        <w:spacing w:before="2"/>
        <w:rPr>
          <w:b/>
        </w:rPr>
      </w:pPr>
    </w:p>
    <w:p>
      <w:pPr>
        <w:pStyle w:val="BodyText"/>
        <w:ind w:left="116" w:right="103"/>
        <w:jc w:val="both"/>
      </w:pPr>
      <w:r>
        <w:rPr>
          <w:color w:val="231F20"/>
        </w:rPr>
        <w:t>El incremento de pacientes con IRC que necesitan de terapias sustitutivas de la función renal es un hecho en nuestro entorno. La educación sanitaria a estos pacientes es una de las actividades más importantes de la MEDICINA PREVENTIVA y es imprescindible para conseguir su buena adaptación al tratamiento, que facilite su apego y evite las posibles complicaciones en un futuro.</w:t>
      </w:r>
    </w:p>
    <w:p>
      <w:pPr>
        <w:pStyle w:val="BodyText"/>
      </w:pPr>
    </w:p>
    <w:p>
      <w:pPr>
        <w:pStyle w:val="BodyText"/>
        <w:ind w:left="116" w:right="103"/>
        <w:jc w:val="both"/>
      </w:pPr>
      <w:r>
        <w:rPr/>
        <w:t>Evaluar el Apoyo Cocial y el Funcionamiento familiar en estos pacientes mediante la metodología cualitativa, para profundizar en las razones que justifican el comportamiento encontrado.</w:t>
      </w:r>
    </w:p>
    <w:p>
      <w:pPr>
        <w:pStyle w:val="BodyText"/>
      </w:pPr>
    </w:p>
    <w:p>
      <w:pPr>
        <w:pStyle w:val="BodyText"/>
        <w:ind w:left="116" w:right="103"/>
        <w:jc w:val="both"/>
      </w:pPr>
      <w:r>
        <w:rPr/>
        <w:t>Diseñar y realizar un programa de intervención dirigido a las familias disfuncionales y moderadamente funcionales, para encontrar puntos clave para modificar los aspectos que puedan aportar mayor índice de apoyo familiar e impacten y exacerben la funcionalidad de sus familias, para disminuir los riesgos de complicaciones o mejorar la situación familiar para resolverlas en caso de que se presenten.</w:t>
      </w:r>
    </w:p>
    <w:p>
      <w:pPr>
        <w:pStyle w:val="BodyText"/>
        <w:spacing w:before="4"/>
      </w:pPr>
    </w:p>
    <w:p>
      <w:pPr>
        <w:pStyle w:val="BodyText"/>
        <w:spacing w:line="274" w:lineRule="exact" w:before="1"/>
        <w:ind w:left="116" w:right="103"/>
        <w:jc w:val="both"/>
      </w:pPr>
      <w:r>
        <w:rPr/>
        <w:t>Creación de un Grupo de Autoayuda para los Pacientes Portadores de Insuficiencia Renal  en DPCA</w:t>
      </w:r>
    </w:p>
    <w:p>
      <w:pPr>
        <w:spacing w:after="0" w:line="274" w:lineRule="exact"/>
        <w:jc w:val="both"/>
        <w:sectPr>
          <w:pgSz w:w="12240" w:h="15840"/>
          <w:pgMar w:header="0" w:footer="1032" w:top="1360" w:bottom="1220" w:left="1580" w:right="1600"/>
        </w:sectPr>
      </w:pPr>
    </w:p>
    <w:p>
      <w:pPr>
        <w:pStyle w:val="Heading1"/>
        <w:numPr>
          <w:ilvl w:val="1"/>
          <w:numId w:val="4"/>
        </w:numPr>
        <w:tabs>
          <w:tab w:pos="3883" w:val="left" w:leader="none"/>
        </w:tabs>
        <w:spacing w:line="240" w:lineRule="auto" w:before="50" w:after="0"/>
        <w:ind w:left="3882" w:right="0" w:hanging="574"/>
        <w:jc w:val="left"/>
      </w:pPr>
      <w:bookmarkStart w:name="_TOC_250004" w:id="40"/>
      <w:bookmarkEnd w:id="40"/>
      <w:r>
        <w:rPr/>
        <w:t>BIBLIOGRAFÍA:</w:t>
      </w:r>
    </w:p>
    <w:p>
      <w:pPr>
        <w:pStyle w:val="BodyText"/>
        <w:rPr>
          <w:b/>
        </w:rPr>
      </w:pPr>
    </w:p>
    <w:p>
      <w:pPr>
        <w:pStyle w:val="ListParagraph"/>
        <w:numPr>
          <w:ilvl w:val="0"/>
          <w:numId w:val="20"/>
        </w:numPr>
        <w:tabs>
          <w:tab w:pos="477" w:val="left" w:leader="none"/>
        </w:tabs>
        <w:spacing w:line="276" w:lineRule="auto" w:before="0" w:after="0"/>
        <w:ind w:left="476" w:right="103" w:hanging="360"/>
        <w:jc w:val="both"/>
        <w:rPr>
          <w:sz w:val="24"/>
        </w:rPr>
      </w:pPr>
      <w:r>
        <w:rPr>
          <w:sz w:val="24"/>
        </w:rPr>
        <w:t>Huerta JL.Programa de actualización para el Médico Familiar. Colegio Mexicano de Medicina Familiar.Ed.Intersistemas Sa de CV 2009 5-58.</w:t>
      </w:r>
    </w:p>
    <w:p>
      <w:pPr>
        <w:pStyle w:val="BodyText"/>
        <w:rPr>
          <w:sz w:val="28"/>
        </w:rPr>
      </w:pPr>
    </w:p>
    <w:p>
      <w:pPr>
        <w:pStyle w:val="ListParagraph"/>
        <w:numPr>
          <w:ilvl w:val="0"/>
          <w:numId w:val="20"/>
        </w:numPr>
        <w:tabs>
          <w:tab w:pos="477" w:val="left" w:leader="none"/>
        </w:tabs>
        <w:spacing w:line="276" w:lineRule="auto" w:before="0" w:after="0"/>
        <w:ind w:left="476" w:right="103" w:hanging="360"/>
        <w:jc w:val="both"/>
        <w:rPr>
          <w:sz w:val="24"/>
        </w:rPr>
      </w:pPr>
      <w:r>
        <w:rPr>
          <w:sz w:val="24"/>
        </w:rPr>
        <w:t>Ceitlin J, Gómez GT. Elementos escenciales, fundamentos y principios de la Medicina Familiar, en: Medicina de Familia: LaClave de un Nuevo Modelo. Ed.sem FYC 2009 3- 98.</w:t>
      </w:r>
    </w:p>
    <w:p>
      <w:pPr>
        <w:pStyle w:val="BodyText"/>
        <w:spacing w:before="7"/>
        <w:rPr>
          <w:sz w:val="27"/>
        </w:rPr>
      </w:pPr>
    </w:p>
    <w:p>
      <w:pPr>
        <w:pStyle w:val="ListParagraph"/>
        <w:numPr>
          <w:ilvl w:val="0"/>
          <w:numId w:val="20"/>
        </w:numPr>
        <w:tabs>
          <w:tab w:pos="477" w:val="left" w:leader="none"/>
        </w:tabs>
        <w:spacing w:line="276" w:lineRule="auto" w:before="0" w:after="0"/>
        <w:ind w:left="476" w:right="103" w:hanging="360"/>
        <w:jc w:val="both"/>
        <w:rPr>
          <w:sz w:val="24"/>
        </w:rPr>
      </w:pPr>
      <w:r>
        <w:rPr>
          <w:sz w:val="24"/>
        </w:rPr>
        <w:t>Louro I. La familia en la determinación de la salud. Rev. Cubana Salud Pública 2003; 29 (1): 48-51.</w:t>
      </w:r>
    </w:p>
    <w:p>
      <w:pPr>
        <w:pStyle w:val="BodyText"/>
        <w:spacing w:before="7"/>
        <w:rPr>
          <w:sz w:val="27"/>
        </w:rPr>
      </w:pPr>
    </w:p>
    <w:p>
      <w:pPr>
        <w:pStyle w:val="ListParagraph"/>
        <w:numPr>
          <w:ilvl w:val="0"/>
          <w:numId w:val="20"/>
        </w:numPr>
        <w:tabs>
          <w:tab w:pos="477" w:val="left" w:leader="none"/>
        </w:tabs>
        <w:spacing w:line="280" w:lineRule="auto" w:before="0" w:after="0"/>
        <w:ind w:left="476" w:right="103" w:hanging="360"/>
        <w:jc w:val="both"/>
        <w:rPr>
          <w:sz w:val="24"/>
        </w:rPr>
      </w:pPr>
      <w:r>
        <w:rPr>
          <w:sz w:val="24"/>
        </w:rPr>
        <w:t>Irigoyen-Coria A, Gómez-Clavelina FJ. Fundamentos de Medicina Familiar 6a ed. México: Medicina Familiar Mexicana, 2000; 103-140.</w:t>
      </w:r>
    </w:p>
    <w:p>
      <w:pPr>
        <w:pStyle w:val="BodyText"/>
        <w:spacing w:before="1"/>
        <w:rPr>
          <w:sz w:val="27"/>
        </w:rPr>
      </w:pPr>
    </w:p>
    <w:p>
      <w:pPr>
        <w:pStyle w:val="ListParagraph"/>
        <w:numPr>
          <w:ilvl w:val="0"/>
          <w:numId w:val="20"/>
        </w:numPr>
        <w:tabs>
          <w:tab w:pos="477" w:val="left" w:leader="none"/>
        </w:tabs>
        <w:spacing w:line="276" w:lineRule="auto" w:before="1" w:after="0"/>
        <w:ind w:left="476" w:right="103" w:hanging="360"/>
        <w:jc w:val="both"/>
        <w:rPr>
          <w:sz w:val="24"/>
        </w:rPr>
      </w:pPr>
      <w:r>
        <w:rPr>
          <w:sz w:val="24"/>
        </w:rPr>
        <w:t>Louro I. Capitulo 5 Atención Familiar. En Álvarez Sintes. Temas de Medicina General Integral. Vol I. Salud y Medicina. La Habana: Editorial Ciencias Médicas; 2000. p. 209- 238.</w:t>
      </w:r>
    </w:p>
    <w:p>
      <w:pPr>
        <w:pStyle w:val="BodyText"/>
        <w:spacing w:before="7"/>
        <w:rPr>
          <w:sz w:val="27"/>
        </w:rPr>
      </w:pPr>
    </w:p>
    <w:p>
      <w:pPr>
        <w:pStyle w:val="ListParagraph"/>
        <w:numPr>
          <w:ilvl w:val="0"/>
          <w:numId w:val="20"/>
        </w:numPr>
        <w:tabs>
          <w:tab w:pos="477" w:val="left" w:leader="none"/>
        </w:tabs>
        <w:spacing w:line="240" w:lineRule="auto" w:before="0" w:after="0"/>
        <w:ind w:left="476" w:right="0" w:hanging="360"/>
        <w:jc w:val="left"/>
        <w:rPr>
          <w:sz w:val="24"/>
        </w:rPr>
      </w:pPr>
      <w:r>
        <w:rPr>
          <w:sz w:val="24"/>
        </w:rPr>
        <w:t>Arés P. Mi familia es así. Ciudad Habana: Editorial Ciencias Sociales; 1990.</w:t>
      </w:r>
    </w:p>
    <w:p>
      <w:pPr>
        <w:pStyle w:val="BodyText"/>
        <w:spacing w:before="1"/>
        <w:rPr>
          <w:sz w:val="31"/>
        </w:rPr>
      </w:pPr>
    </w:p>
    <w:p>
      <w:pPr>
        <w:pStyle w:val="ListParagraph"/>
        <w:numPr>
          <w:ilvl w:val="0"/>
          <w:numId w:val="20"/>
        </w:numPr>
        <w:tabs>
          <w:tab w:pos="477" w:val="left" w:leader="none"/>
        </w:tabs>
        <w:spacing w:line="240" w:lineRule="auto" w:before="0" w:after="0"/>
        <w:ind w:left="476" w:right="0" w:hanging="360"/>
        <w:jc w:val="left"/>
        <w:rPr>
          <w:sz w:val="24"/>
        </w:rPr>
      </w:pPr>
      <w:r>
        <w:rPr>
          <w:sz w:val="24"/>
        </w:rPr>
        <w:t>Ortiz MT. La Salud Familiar. Rev. Cud de Med. GRal.In. 2009;5(4):439-445.</w:t>
      </w:r>
    </w:p>
    <w:p>
      <w:pPr>
        <w:pStyle w:val="BodyText"/>
        <w:spacing w:before="5"/>
        <w:rPr>
          <w:sz w:val="31"/>
        </w:rPr>
      </w:pPr>
    </w:p>
    <w:p>
      <w:pPr>
        <w:pStyle w:val="ListParagraph"/>
        <w:numPr>
          <w:ilvl w:val="0"/>
          <w:numId w:val="20"/>
        </w:numPr>
        <w:tabs>
          <w:tab w:pos="477" w:val="left" w:leader="none"/>
        </w:tabs>
        <w:spacing w:line="276" w:lineRule="auto" w:before="1" w:after="0"/>
        <w:ind w:left="476" w:right="103" w:hanging="360"/>
        <w:jc w:val="both"/>
        <w:rPr>
          <w:sz w:val="24"/>
        </w:rPr>
      </w:pPr>
      <w:r>
        <w:rPr>
          <w:sz w:val="24"/>
        </w:rPr>
        <w:t>Roca MA, Pérez M. Apoyo Social: su significación para la salud humana. Ciudad Habana: Editorial Félix Varela; 2009.</w:t>
      </w:r>
    </w:p>
    <w:p>
      <w:pPr>
        <w:pStyle w:val="BodyText"/>
        <w:spacing w:before="7"/>
        <w:rPr>
          <w:sz w:val="27"/>
        </w:rPr>
      </w:pPr>
    </w:p>
    <w:p>
      <w:pPr>
        <w:pStyle w:val="ListParagraph"/>
        <w:numPr>
          <w:ilvl w:val="0"/>
          <w:numId w:val="20"/>
        </w:numPr>
        <w:tabs>
          <w:tab w:pos="477" w:val="left" w:leader="none"/>
        </w:tabs>
        <w:spacing w:line="276" w:lineRule="auto" w:before="0" w:after="0"/>
        <w:ind w:left="476" w:right="103" w:hanging="360"/>
        <w:jc w:val="both"/>
        <w:rPr>
          <w:sz w:val="24"/>
        </w:rPr>
      </w:pPr>
      <w:r>
        <w:rPr>
          <w:sz w:val="24"/>
        </w:rPr>
        <w:t>Rodríguez Marín J. Apoyo social y salud. En: Guía de Estudio y Bibliografía Básica. Módulo Psicología, Salud y enfermedad. Maestría Psicología de la Salud. Ciudad Habana: Escuela Nacional de Salud Pública; 2012.p. 94-103.</w:t>
      </w:r>
    </w:p>
    <w:p>
      <w:pPr>
        <w:pStyle w:val="BodyText"/>
        <w:rPr>
          <w:sz w:val="28"/>
        </w:rPr>
      </w:pPr>
    </w:p>
    <w:p>
      <w:pPr>
        <w:pStyle w:val="ListParagraph"/>
        <w:numPr>
          <w:ilvl w:val="0"/>
          <w:numId w:val="20"/>
        </w:numPr>
        <w:tabs>
          <w:tab w:pos="477" w:val="left" w:leader="none"/>
        </w:tabs>
        <w:spacing w:line="276" w:lineRule="auto" w:before="0" w:after="0"/>
        <w:ind w:left="476" w:right="103" w:hanging="360"/>
        <w:jc w:val="both"/>
        <w:rPr>
          <w:sz w:val="24"/>
        </w:rPr>
      </w:pPr>
      <w:r>
        <w:rPr>
          <w:sz w:val="24"/>
        </w:rPr>
        <w:t>Menéndez C, Montes A, Gamarra T, Núñez C, Alonso A, Bujan S. Influencia del apoyo social en pacientes con hipertensión arterial esencial. Aten Primaria 2003; 31:506 - 513.</w:t>
      </w:r>
    </w:p>
    <w:p>
      <w:pPr>
        <w:pStyle w:val="BodyText"/>
        <w:spacing w:before="7"/>
        <w:rPr>
          <w:sz w:val="27"/>
        </w:rPr>
      </w:pPr>
    </w:p>
    <w:p>
      <w:pPr>
        <w:pStyle w:val="ListParagraph"/>
        <w:numPr>
          <w:ilvl w:val="0"/>
          <w:numId w:val="20"/>
        </w:numPr>
        <w:tabs>
          <w:tab w:pos="477" w:val="left" w:leader="none"/>
        </w:tabs>
        <w:spacing w:line="276" w:lineRule="auto" w:before="0" w:after="0"/>
        <w:ind w:left="476" w:right="103" w:hanging="360"/>
        <w:jc w:val="both"/>
        <w:rPr>
          <w:sz w:val="24"/>
        </w:rPr>
      </w:pPr>
      <w:r>
        <w:rPr>
          <w:sz w:val="24"/>
        </w:rPr>
        <w:t>De Leeuw JR, De Graeff A, Ros WG, Hordijk GJ, Blijham GH, Winnubst JM.  Negative and positive influences of social support on depression in patients with head and neck cancer: a prospective study. Psycho-Oncology 2000 9:20-2.</w:t>
      </w:r>
    </w:p>
    <w:p>
      <w:pPr>
        <w:pStyle w:val="BodyText"/>
        <w:spacing w:before="7"/>
        <w:rPr>
          <w:sz w:val="27"/>
        </w:rPr>
      </w:pPr>
    </w:p>
    <w:p>
      <w:pPr>
        <w:pStyle w:val="ListParagraph"/>
        <w:numPr>
          <w:ilvl w:val="0"/>
          <w:numId w:val="20"/>
        </w:numPr>
        <w:tabs>
          <w:tab w:pos="477" w:val="left" w:leader="none"/>
        </w:tabs>
        <w:spacing w:line="278" w:lineRule="auto" w:before="0" w:after="0"/>
        <w:ind w:left="476" w:right="103" w:hanging="360"/>
        <w:jc w:val="both"/>
        <w:rPr>
          <w:sz w:val="24"/>
        </w:rPr>
      </w:pPr>
      <w:r>
        <w:rPr>
          <w:sz w:val="24"/>
        </w:rPr>
        <w:t>Bayés R. Cuidando al cuidador: evaluación del cuidador y apoyo social. Análisis de los recursos psicológicos y soporte emocional del cuidador. [en línea]. [fecha de acceso 24 Febrero del 2011]; URL disponible en: </w:t>
      </w:r>
      <w:hyperlink r:id="rId57">
        <w:r>
          <w:rPr>
            <w:color w:val="0000FF"/>
            <w:sz w:val="24"/>
            <w:u w:val="single" w:color="0000FF"/>
          </w:rPr>
          <w:t>http://www.fehad.org/valhad /pn000.html</w:t>
        </w:r>
      </w:hyperlink>
    </w:p>
    <w:p>
      <w:pPr>
        <w:spacing w:after="0" w:line="278" w:lineRule="auto"/>
        <w:jc w:val="both"/>
        <w:rPr>
          <w:sz w:val="24"/>
        </w:rPr>
        <w:sectPr>
          <w:pgSz w:w="12240" w:h="15840"/>
          <w:pgMar w:header="0" w:footer="1032" w:top="1360" w:bottom="1220" w:left="1580" w:right="1600"/>
        </w:sectPr>
      </w:pPr>
    </w:p>
    <w:p>
      <w:pPr>
        <w:pStyle w:val="ListParagraph"/>
        <w:numPr>
          <w:ilvl w:val="0"/>
          <w:numId w:val="20"/>
        </w:numPr>
        <w:tabs>
          <w:tab w:pos="477" w:val="left" w:leader="none"/>
        </w:tabs>
        <w:spacing w:line="276" w:lineRule="auto" w:before="50" w:after="0"/>
        <w:ind w:left="476" w:right="103" w:hanging="360"/>
        <w:jc w:val="both"/>
        <w:rPr>
          <w:sz w:val="24"/>
        </w:rPr>
      </w:pPr>
      <w:r>
        <w:rPr>
          <w:sz w:val="24"/>
        </w:rPr>
        <w:t>Seidman S, Acrich de Gutmann L, Stefani D. Estructura de red social, apoyo social percibido y estilos de afrontamiento: un estudio preliminar en cuidadores de enfermos crónicos. [en línea] 2011 [fecha de acceso 20 Octubre del 2011]; URL disponible en: </w:t>
      </w:r>
      <w:hyperlink r:id="rId58">
        <w:r>
          <w:rPr>
            <w:color w:val="0000FF"/>
            <w:sz w:val="24"/>
            <w:u w:val="single" w:color="0000FF"/>
          </w:rPr>
          <w:t>http://www.psicolatino.com</w:t>
        </w:r>
      </w:hyperlink>
    </w:p>
    <w:p>
      <w:pPr>
        <w:pStyle w:val="BodyText"/>
        <w:spacing w:before="7"/>
        <w:rPr>
          <w:sz w:val="21"/>
        </w:rPr>
      </w:pPr>
    </w:p>
    <w:p>
      <w:pPr>
        <w:pStyle w:val="ListParagraph"/>
        <w:numPr>
          <w:ilvl w:val="0"/>
          <w:numId w:val="20"/>
        </w:numPr>
        <w:tabs>
          <w:tab w:pos="477" w:val="left" w:leader="none"/>
        </w:tabs>
        <w:spacing w:line="276" w:lineRule="auto" w:before="69" w:after="0"/>
        <w:ind w:left="476" w:right="103" w:hanging="360"/>
        <w:jc w:val="both"/>
        <w:rPr>
          <w:sz w:val="24"/>
        </w:rPr>
      </w:pPr>
      <w:r>
        <w:rPr>
          <w:sz w:val="24"/>
        </w:rPr>
        <w:t>Lamadrid T. El apoyo social y los estilos de enfrentamiento: su influencia en la úlcera duodenal. [Tesis Doctoral]. Ciudad Habana: Instituto Nacional de Gastroenterología; 2012.</w:t>
      </w:r>
    </w:p>
    <w:p>
      <w:pPr>
        <w:pStyle w:val="BodyText"/>
        <w:spacing w:before="7"/>
        <w:rPr>
          <w:sz w:val="27"/>
        </w:rPr>
      </w:pPr>
    </w:p>
    <w:p>
      <w:pPr>
        <w:pStyle w:val="ListParagraph"/>
        <w:numPr>
          <w:ilvl w:val="0"/>
          <w:numId w:val="20"/>
        </w:numPr>
        <w:tabs>
          <w:tab w:pos="477" w:val="left" w:leader="none"/>
        </w:tabs>
        <w:spacing w:line="276" w:lineRule="auto" w:before="0" w:after="0"/>
        <w:ind w:left="476" w:right="103" w:hanging="360"/>
        <w:jc w:val="both"/>
        <w:rPr>
          <w:sz w:val="24"/>
        </w:rPr>
      </w:pPr>
      <w:r>
        <w:rPr>
          <w:sz w:val="24"/>
        </w:rPr>
        <w:t>Fratiglioni L, Wang HX, Ericsson K, Maytan M, Winblad B. Influence of social network on occurrence of dementia: a community-based longitudinal study. [en línea] 2000 [fecha de acceso 20 de Octubre del 2012] URL disponible en: </w:t>
      </w:r>
      <w:hyperlink r:id="rId59">
        <w:r>
          <w:rPr>
            <w:color w:val="0000FF"/>
            <w:sz w:val="24"/>
            <w:u w:val="single" w:color="0000FF"/>
          </w:rPr>
          <w:t>http://www.thelancet.com/journal/vol335/iss9212/abs/llan.335.9212.original_research.1 </w:t>
        </w:r>
      </w:hyperlink>
      <w:r>
        <w:rPr>
          <w:color w:val="0000FF"/>
          <w:sz w:val="24"/>
          <w:u w:val="single" w:color="0000FF"/>
        </w:rPr>
        <w:t>6711</w:t>
      </w:r>
    </w:p>
    <w:p>
      <w:pPr>
        <w:pStyle w:val="BodyText"/>
        <w:spacing w:before="7"/>
        <w:rPr>
          <w:sz w:val="21"/>
        </w:rPr>
      </w:pPr>
    </w:p>
    <w:p>
      <w:pPr>
        <w:pStyle w:val="ListParagraph"/>
        <w:numPr>
          <w:ilvl w:val="0"/>
          <w:numId w:val="20"/>
        </w:numPr>
        <w:tabs>
          <w:tab w:pos="477" w:val="left" w:leader="none"/>
        </w:tabs>
        <w:spacing w:line="276" w:lineRule="auto" w:before="69" w:after="0"/>
        <w:ind w:left="476" w:right="103" w:hanging="360"/>
        <w:jc w:val="both"/>
        <w:rPr>
          <w:sz w:val="24"/>
        </w:rPr>
      </w:pPr>
      <w:r>
        <w:rPr>
          <w:sz w:val="24"/>
        </w:rPr>
        <w:t>Bellon JA, Delgado A, Luna JD, Lardelli P. Validity and reliability of the Duke-UNC-1 questionnaire of functional social support. Aten Primaria. 1996 Sep 15;18(4):153- 6,158-63.</w:t>
      </w:r>
    </w:p>
    <w:p>
      <w:pPr>
        <w:pStyle w:val="BodyText"/>
        <w:spacing w:before="7"/>
        <w:rPr>
          <w:sz w:val="27"/>
        </w:rPr>
      </w:pPr>
    </w:p>
    <w:p>
      <w:pPr>
        <w:pStyle w:val="ListParagraph"/>
        <w:numPr>
          <w:ilvl w:val="0"/>
          <w:numId w:val="20"/>
        </w:numPr>
        <w:tabs>
          <w:tab w:pos="477" w:val="left" w:leader="none"/>
        </w:tabs>
        <w:spacing w:line="278" w:lineRule="auto" w:before="0" w:after="0"/>
        <w:ind w:left="476" w:right="103" w:hanging="360"/>
        <w:jc w:val="both"/>
        <w:rPr>
          <w:sz w:val="24"/>
        </w:rPr>
      </w:pPr>
      <w:r>
        <w:rPr>
          <w:sz w:val="24"/>
        </w:rPr>
        <w:t>Bellon JA, Delgado A, Luna JD, Lardelli P. Validity and reliability of the Duke-UNC- 11 questionnaire of functional social support. Aten Primaria. 1996 Sep 15;18(4):153-6, 158-63.</w:t>
      </w:r>
    </w:p>
    <w:p>
      <w:pPr>
        <w:pStyle w:val="BodyText"/>
        <w:spacing w:before="4"/>
        <w:rPr>
          <w:sz w:val="27"/>
        </w:rPr>
      </w:pPr>
    </w:p>
    <w:p>
      <w:pPr>
        <w:pStyle w:val="ListParagraph"/>
        <w:numPr>
          <w:ilvl w:val="0"/>
          <w:numId w:val="20"/>
        </w:numPr>
        <w:tabs>
          <w:tab w:pos="477" w:val="left" w:leader="none"/>
          <w:tab w:pos="1594" w:val="left" w:leader="none"/>
          <w:tab w:pos="3006" w:val="left" w:leader="none"/>
          <w:tab w:pos="4191" w:val="left" w:leader="none"/>
          <w:tab w:pos="6769" w:val="left" w:leader="none"/>
          <w:tab w:pos="8661" w:val="left" w:leader="none"/>
        </w:tabs>
        <w:spacing w:line="276" w:lineRule="auto" w:before="0" w:after="0"/>
        <w:ind w:left="476" w:right="103" w:hanging="360"/>
        <w:jc w:val="both"/>
        <w:rPr>
          <w:sz w:val="24"/>
        </w:rPr>
      </w:pPr>
      <w:r>
        <w:rPr>
          <w:sz w:val="24"/>
        </w:rPr>
        <w:t>Griep RH, Chor D, Faerstein E, Lopes C. Social support: scale test-retest reliability in the Pro-Health Study. Cad Saude Publica [en línea] 2012 Mar-Apr [fecha de acceso 20 de</w:t>
        <w:tab/>
        <w:t>Junio</w:t>
        <w:tab/>
        <w:t>del</w:t>
        <w:tab/>
        <w:t>2012];19(2).URL</w:t>
        <w:tab/>
        <w:t>disponible</w:t>
        <w:tab/>
        <w:t>en: </w:t>
      </w:r>
      <w:hyperlink r:id="rId60">
        <w:r>
          <w:rPr>
            <w:color w:val="0000FF"/>
            <w:sz w:val="24"/>
            <w:u w:val="single" w:color="0000FF"/>
          </w:rPr>
          <w:t>http://www.ncbi.nlm.nih.gov/entrez/query.fcgi?cmd=Retrieve&amp;db=PubMed&amp;list_uids= </w:t>
        </w:r>
      </w:hyperlink>
      <w:r>
        <w:rPr>
          <w:color w:val="0000FF"/>
          <w:sz w:val="24"/>
          <w:u w:val="single" w:color="0000FF"/>
        </w:rPr>
        <w:t>12764478&amp;dopt=Abstract</w:t>
      </w:r>
    </w:p>
    <w:p>
      <w:pPr>
        <w:pStyle w:val="BodyText"/>
        <w:rPr>
          <w:sz w:val="22"/>
        </w:rPr>
      </w:pPr>
    </w:p>
    <w:p>
      <w:pPr>
        <w:pStyle w:val="ListParagraph"/>
        <w:numPr>
          <w:ilvl w:val="0"/>
          <w:numId w:val="20"/>
        </w:numPr>
        <w:tabs>
          <w:tab w:pos="477" w:val="left" w:leader="none"/>
        </w:tabs>
        <w:spacing w:line="276" w:lineRule="auto" w:before="69" w:after="0"/>
        <w:ind w:left="476" w:right="103" w:hanging="360"/>
        <w:jc w:val="both"/>
        <w:rPr>
          <w:sz w:val="24"/>
        </w:rPr>
      </w:pPr>
      <w:r>
        <w:rPr>
          <w:sz w:val="24"/>
        </w:rPr>
        <w:t>Samir SP, Viral SS, Peterson RA y Kimmel PL. Psychosocial Variables, Quality of Life, and Religious Belief in ESRD patients reaered with Hemodialysis. Am J Kidney Dis 2012 Nov; 40(5):1o13-1022.</w:t>
      </w:r>
    </w:p>
    <w:p>
      <w:pPr>
        <w:pStyle w:val="BodyText"/>
        <w:spacing w:before="7"/>
        <w:rPr>
          <w:sz w:val="27"/>
        </w:rPr>
      </w:pPr>
    </w:p>
    <w:p>
      <w:pPr>
        <w:pStyle w:val="ListParagraph"/>
        <w:numPr>
          <w:ilvl w:val="0"/>
          <w:numId w:val="20"/>
        </w:numPr>
        <w:tabs>
          <w:tab w:pos="477" w:val="left" w:leader="none"/>
        </w:tabs>
        <w:spacing w:line="276" w:lineRule="auto" w:before="0" w:after="0"/>
        <w:ind w:left="476" w:right="103" w:hanging="360"/>
        <w:jc w:val="both"/>
        <w:rPr>
          <w:sz w:val="24"/>
        </w:rPr>
      </w:pPr>
      <w:r>
        <w:rPr>
          <w:sz w:val="24"/>
        </w:rPr>
        <w:t>Shidler NR, Petersnon RA, Kimmel PL.Quality of Life and Psychosocial Relationships in patients with Chronic Renal Insufiency. Am J Kidney Dis 1998 Oct; 32(4):557-566.</w:t>
      </w:r>
    </w:p>
    <w:p>
      <w:pPr>
        <w:pStyle w:val="BodyText"/>
        <w:rPr>
          <w:sz w:val="28"/>
        </w:rPr>
      </w:pPr>
    </w:p>
    <w:p>
      <w:pPr>
        <w:pStyle w:val="ListParagraph"/>
        <w:numPr>
          <w:ilvl w:val="0"/>
          <w:numId w:val="20"/>
        </w:numPr>
        <w:tabs>
          <w:tab w:pos="477" w:val="left" w:leader="none"/>
        </w:tabs>
        <w:spacing w:line="276" w:lineRule="auto" w:before="0" w:after="0"/>
        <w:ind w:left="476" w:right="103" w:hanging="360"/>
        <w:jc w:val="both"/>
        <w:rPr>
          <w:sz w:val="24"/>
        </w:rPr>
      </w:pPr>
      <w:r>
        <w:rPr>
          <w:sz w:val="24"/>
        </w:rPr>
        <w:t>WM McClellan, DJ Stanwyck and CA Anson Social support and subsequent mortality among patients with end-stage renal disease J Am Soc Nephrol; 4: 1028-1034.</w:t>
      </w:r>
    </w:p>
    <w:p>
      <w:pPr>
        <w:pStyle w:val="BodyText"/>
        <w:spacing w:before="7"/>
        <w:rPr>
          <w:sz w:val="27"/>
        </w:rPr>
      </w:pPr>
    </w:p>
    <w:p>
      <w:pPr>
        <w:pStyle w:val="ListParagraph"/>
        <w:numPr>
          <w:ilvl w:val="0"/>
          <w:numId w:val="20"/>
        </w:numPr>
        <w:tabs>
          <w:tab w:pos="477" w:val="left" w:leader="none"/>
        </w:tabs>
        <w:spacing w:line="276" w:lineRule="auto" w:before="0" w:after="0"/>
        <w:ind w:left="476" w:right="103" w:hanging="360"/>
        <w:jc w:val="both"/>
        <w:rPr>
          <w:sz w:val="24"/>
        </w:rPr>
      </w:pPr>
      <w:r>
        <w:rPr>
          <w:sz w:val="24"/>
        </w:rPr>
        <w:t>Red familiar de apoyo del paciente con insuficiencia renal crónica. [cartas de investigación]. Aten Primaria 2012; 29(5): 317 – 318.</w:t>
      </w:r>
    </w:p>
    <w:p>
      <w:pPr>
        <w:spacing w:after="0" w:line="276" w:lineRule="auto"/>
        <w:jc w:val="both"/>
        <w:rPr>
          <w:sz w:val="24"/>
        </w:rPr>
        <w:sectPr>
          <w:pgSz w:w="12240" w:h="15840"/>
          <w:pgMar w:header="0" w:footer="1032" w:top="1360" w:bottom="1220" w:left="1580" w:right="1600"/>
        </w:sectPr>
      </w:pPr>
    </w:p>
    <w:p>
      <w:pPr>
        <w:pStyle w:val="ListParagraph"/>
        <w:numPr>
          <w:ilvl w:val="0"/>
          <w:numId w:val="20"/>
        </w:numPr>
        <w:tabs>
          <w:tab w:pos="477" w:val="left" w:leader="none"/>
        </w:tabs>
        <w:spacing w:line="276" w:lineRule="auto" w:before="50" w:after="0"/>
        <w:ind w:left="476" w:right="103" w:hanging="360"/>
        <w:jc w:val="left"/>
        <w:rPr>
          <w:sz w:val="24"/>
        </w:rPr>
      </w:pPr>
      <w:r>
        <w:rPr>
          <w:sz w:val="24"/>
        </w:rPr>
        <w:t>De la Osa JA. Insuficiencia Renal Crónica.[en línea] [fecha de acceso 11 de Marzo del 2011]. Disponible en: </w:t>
      </w:r>
      <w:hyperlink r:id="rId61">
        <w:r>
          <w:rPr>
            <w:color w:val="0000FF"/>
            <w:sz w:val="24"/>
            <w:u w:val="single" w:color="0000FF"/>
          </w:rPr>
          <w:t>http://consulta.cuba.cu/consultas.php</w:t>
        </w:r>
      </w:hyperlink>
    </w:p>
    <w:p>
      <w:pPr>
        <w:pStyle w:val="BodyText"/>
        <w:rPr>
          <w:sz w:val="22"/>
        </w:rPr>
      </w:pPr>
    </w:p>
    <w:p>
      <w:pPr>
        <w:pStyle w:val="ListParagraph"/>
        <w:numPr>
          <w:ilvl w:val="0"/>
          <w:numId w:val="20"/>
        </w:numPr>
        <w:tabs>
          <w:tab w:pos="477" w:val="left" w:leader="none"/>
        </w:tabs>
        <w:spacing w:line="276" w:lineRule="auto" w:before="69" w:after="0"/>
        <w:ind w:left="476" w:right="103" w:hanging="360"/>
        <w:jc w:val="both"/>
        <w:rPr>
          <w:sz w:val="24"/>
        </w:rPr>
      </w:pPr>
      <w:r>
        <w:rPr>
          <w:sz w:val="24"/>
        </w:rPr>
        <w:t>Coresh J, Astor BC, Greene T, Eknoyan G, Levey AS. Prevalence of chronic disease and decreased kidney function in the adult US population: Third National Health and Nutrition examination Survey. Am J Kidney Dis 2010; 41. p. 1-12.</w:t>
      </w:r>
    </w:p>
    <w:p>
      <w:pPr>
        <w:pStyle w:val="BodyText"/>
        <w:spacing w:before="7"/>
        <w:rPr>
          <w:sz w:val="27"/>
        </w:rPr>
      </w:pPr>
    </w:p>
    <w:p>
      <w:pPr>
        <w:pStyle w:val="ListParagraph"/>
        <w:numPr>
          <w:ilvl w:val="0"/>
          <w:numId w:val="20"/>
        </w:numPr>
        <w:tabs>
          <w:tab w:pos="477" w:val="left" w:leader="none"/>
        </w:tabs>
        <w:spacing w:line="240" w:lineRule="auto" w:before="0" w:after="0"/>
        <w:ind w:left="476" w:right="0" w:hanging="360"/>
        <w:jc w:val="left"/>
        <w:rPr>
          <w:sz w:val="24"/>
        </w:rPr>
      </w:pPr>
      <w:r>
        <w:rPr>
          <w:sz w:val="24"/>
        </w:rPr>
        <w:t>Ortuño Minete J. Insuficiencia renal crónica. Medicine 2009; 8 (110): 5888-997.</w:t>
      </w:r>
    </w:p>
    <w:p>
      <w:pPr>
        <w:pStyle w:val="BodyText"/>
        <w:spacing w:before="1"/>
        <w:rPr>
          <w:sz w:val="31"/>
        </w:rPr>
      </w:pPr>
    </w:p>
    <w:p>
      <w:pPr>
        <w:pStyle w:val="ListParagraph"/>
        <w:numPr>
          <w:ilvl w:val="0"/>
          <w:numId w:val="20"/>
        </w:numPr>
        <w:tabs>
          <w:tab w:pos="477" w:val="left" w:leader="none"/>
        </w:tabs>
        <w:spacing w:line="278" w:lineRule="auto" w:before="0" w:after="0"/>
        <w:ind w:left="476" w:right="103" w:hanging="360"/>
        <w:jc w:val="both"/>
        <w:rPr>
          <w:sz w:val="24"/>
        </w:rPr>
      </w:pPr>
      <w:r>
        <w:rPr>
          <w:sz w:val="24"/>
        </w:rPr>
        <w:t>Soriano Cabrera S. Definición y clasificación de los estadios de la enfermedad renal crónica. Prevalencia. Claves para el diagnóstico precoz. Factores de riesgo de enfermedad renal crónica. Nefrología 2009; 24 (Supl 6).</w:t>
      </w:r>
    </w:p>
    <w:p>
      <w:pPr>
        <w:pStyle w:val="BodyText"/>
        <w:spacing w:before="4"/>
        <w:rPr>
          <w:sz w:val="27"/>
        </w:rPr>
      </w:pPr>
    </w:p>
    <w:p>
      <w:pPr>
        <w:pStyle w:val="ListParagraph"/>
        <w:numPr>
          <w:ilvl w:val="0"/>
          <w:numId w:val="20"/>
        </w:numPr>
        <w:tabs>
          <w:tab w:pos="477" w:val="left" w:leader="none"/>
        </w:tabs>
        <w:spacing w:line="276" w:lineRule="auto" w:before="0" w:after="0"/>
        <w:ind w:left="476" w:right="103" w:hanging="360"/>
        <w:jc w:val="both"/>
        <w:rPr>
          <w:sz w:val="24"/>
        </w:rPr>
      </w:pPr>
      <w:r>
        <w:rPr>
          <w:sz w:val="24"/>
        </w:rPr>
        <w:t>Coresh J, Astor BC, Greene T, Eknoyan G, Levey AS. Prevalence of chronic disease and decreased kidney function in the adult US population: Third National Health and Nutrition examination Survey. Am J Kidney Dis 2010; 41. p. 1-12.</w:t>
      </w:r>
    </w:p>
    <w:p>
      <w:pPr>
        <w:pStyle w:val="BodyText"/>
        <w:spacing w:before="7"/>
        <w:rPr>
          <w:sz w:val="27"/>
        </w:rPr>
      </w:pPr>
    </w:p>
    <w:p>
      <w:pPr>
        <w:pStyle w:val="ListParagraph"/>
        <w:numPr>
          <w:ilvl w:val="0"/>
          <w:numId w:val="20"/>
        </w:numPr>
        <w:tabs>
          <w:tab w:pos="477" w:val="left" w:leader="none"/>
        </w:tabs>
        <w:spacing w:line="276" w:lineRule="auto" w:before="0" w:after="0"/>
        <w:ind w:left="476" w:right="103" w:hanging="360"/>
        <w:jc w:val="both"/>
        <w:rPr>
          <w:sz w:val="24"/>
        </w:rPr>
      </w:pPr>
      <w:r>
        <w:rPr>
          <w:sz w:val="24"/>
        </w:rPr>
        <w:t>Simal F, Martín JC, Bellido J, Ardua D, Mena FJ, González I, et al. Prevalencia de la enfermedad renal crónica leve y moderada en la población general. Estudio Hortega. Nefrología 2009; 24 (4): 329-37.</w:t>
      </w:r>
    </w:p>
    <w:p>
      <w:pPr>
        <w:pStyle w:val="BodyText"/>
        <w:rPr>
          <w:sz w:val="28"/>
        </w:rPr>
      </w:pPr>
    </w:p>
    <w:p>
      <w:pPr>
        <w:pStyle w:val="ListParagraph"/>
        <w:numPr>
          <w:ilvl w:val="0"/>
          <w:numId w:val="20"/>
        </w:numPr>
        <w:tabs>
          <w:tab w:pos="477" w:val="left" w:leader="none"/>
        </w:tabs>
        <w:spacing w:line="276" w:lineRule="auto" w:before="0" w:after="0"/>
        <w:ind w:left="476" w:right="103" w:hanging="360"/>
        <w:jc w:val="both"/>
        <w:rPr>
          <w:sz w:val="24"/>
        </w:rPr>
      </w:pPr>
      <w:r>
        <w:rPr>
          <w:sz w:val="24"/>
        </w:rPr>
        <w:t>Tejedor A, Ahijado F, Gallego E. Insuficiencia renal crónica. Normas de actuación clínica en Nefrología. 2011; p. 75-98.</w:t>
      </w:r>
    </w:p>
    <w:p>
      <w:pPr>
        <w:pStyle w:val="BodyText"/>
        <w:spacing w:before="7"/>
        <w:rPr>
          <w:sz w:val="27"/>
        </w:rPr>
      </w:pPr>
    </w:p>
    <w:p>
      <w:pPr>
        <w:pStyle w:val="ListParagraph"/>
        <w:numPr>
          <w:ilvl w:val="0"/>
          <w:numId w:val="20"/>
        </w:numPr>
        <w:tabs>
          <w:tab w:pos="477" w:val="left" w:leader="none"/>
        </w:tabs>
        <w:spacing w:line="276" w:lineRule="auto" w:before="0" w:after="0"/>
        <w:ind w:left="476" w:right="103" w:hanging="360"/>
        <w:jc w:val="both"/>
        <w:rPr>
          <w:sz w:val="24"/>
        </w:rPr>
      </w:pPr>
      <w:r>
        <w:rPr>
          <w:sz w:val="24"/>
        </w:rPr>
        <w:t>López Abuin JM, Duque Valencia A, Olivares Martín J, Luna Morales A. Guía clínica de la insuficiencia renal en Atención Primaria. Nefrología 2011; 21 (5).</w:t>
      </w:r>
    </w:p>
    <w:p>
      <w:pPr>
        <w:pStyle w:val="BodyText"/>
        <w:spacing w:before="7"/>
        <w:rPr>
          <w:sz w:val="27"/>
        </w:rPr>
      </w:pPr>
    </w:p>
    <w:p>
      <w:pPr>
        <w:pStyle w:val="ListParagraph"/>
        <w:numPr>
          <w:ilvl w:val="0"/>
          <w:numId w:val="20"/>
        </w:numPr>
        <w:tabs>
          <w:tab w:pos="477" w:val="left" w:leader="none"/>
        </w:tabs>
        <w:spacing w:line="278" w:lineRule="auto" w:before="0" w:after="0"/>
        <w:ind w:left="476" w:right="103" w:hanging="360"/>
        <w:jc w:val="both"/>
        <w:rPr>
          <w:sz w:val="24"/>
        </w:rPr>
      </w:pPr>
      <w:r>
        <w:rPr>
          <w:sz w:val="24"/>
        </w:rPr>
        <w:t>Bolton K, Culleton B, Harvey K, &amp; et al. 2012, "K/DOQI clinical practice guidelines  for chronic kidney disease: evaluation,classification, and stratification.Kidney Disease Outcome Quality Initiative", Am JKidney Dis, vol. 39, no. 2 Suppl 1, pp. S1-246.</w:t>
      </w:r>
    </w:p>
    <w:p>
      <w:pPr>
        <w:pStyle w:val="BodyText"/>
        <w:spacing w:before="4"/>
        <w:rPr>
          <w:sz w:val="27"/>
        </w:rPr>
      </w:pPr>
    </w:p>
    <w:p>
      <w:pPr>
        <w:pStyle w:val="ListParagraph"/>
        <w:numPr>
          <w:ilvl w:val="0"/>
          <w:numId w:val="20"/>
        </w:numPr>
        <w:tabs>
          <w:tab w:pos="477" w:val="left" w:leader="none"/>
        </w:tabs>
        <w:spacing w:line="276" w:lineRule="auto" w:before="0" w:after="0"/>
        <w:ind w:left="476" w:right="103" w:hanging="360"/>
        <w:jc w:val="both"/>
        <w:rPr>
          <w:sz w:val="24"/>
        </w:rPr>
      </w:pPr>
      <w:r>
        <w:rPr>
          <w:sz w:val="24"/>
        </w:rPr>
        <w:t>Treviño-Becerra Alejandro. Insuficiencia renal crónica: enfermedad emergente catastrófica y por ello prioritaria. Cir Ciruj 2009; 72: 3-4.</w:t>
      </w:r>
    </w:p>
    <w:p>
      <w:pPr>
        <w:pStyle w:val="BodyText"/>
        <w:spacing w:before="7"/>
        <w:rPr>
          <w:sz w:val="27"/>
        </w:rPr>
      </w:pPr>
    </w:p>
    <w:p>
      <w:pPr>
        <w:pStyle w:val="ListParagraph"/>
        <w:numPr>
          <w:ilvl w:val="0"/>
          <w:numId w:val="20"/>
        </w:numPr>
        <w:tabs>
          <w:tab w:pos="477" w:val="left" w:leader="none"/>
        </w:tabs>
        <w:spacing w:line="276" w:lineRule="auto" w:before="0" w:after="0"/>
        <w:ind w:left="476" w:right="103" w:hanging="360"/>
        <w:jc w:val="both"/>
        <w:rPr>
          <w:color w:val="17365D"/>
          <w:sz w:val="24"/>
        </w:rPr>
      </w:pPr>
      <w:r>
        <w:rPr>
          <w:sz w:val="24"/>
        </w:rPr>
        <w:t>Chow F, Briganti EM, Kerr PG, Chadban SJ, Zimmet PZ , Atkins RC. Health-related quality of life in Australian adults with renal insufficiency: A population-based study. Am J Kidney Dis [ en línea] 2011 March [fecha de acceso 13 Julio del 2003]; 41(3). URL   disponible  </w:t>
      </w:r>
      <w:r>
        <w:rPr>
          <w:spacing w:val="31"/>
          <w:sz w:val="24"/>
        </w:rPr>
        <w:t> </w:t>
      </w:r>
      <w:r>
        <w:rPr>
          <w:sz w:val="24"/>
        </w:rPr>
        <w:t>en:</w:t>
      </w:r>
      <w:hyperlink r:id="rId62">
        <w:r>
          <w:rPr>
            <w:rFonts w:ascii="Calibri" w:hAnsi="Calibri"/>
            <w:color w:val="17365D"/>
            <w:sz w:val="21"/>
            <w:u w:val="single" w:color="17365D"/>
          </w:rPr>
          <w:t>http://www2.ajkd.org/scripts/om.dll/serve?article=aajkd50121&amp;nav=abs</w:t>
        </w:r>
      </w:hyperlink>
    </w:p>
    <w:p>
      <w:pPr>
        <w:spacing w:after="0" w:line="276" w:lineRule="auto"/>
        <w:jc w:val="both"/>
        <w:rPr>
          <w:sz w:val="24"/>
        </w:rPr>
        <w:sectPr>
          <w:pgSz w:w="12240" w:h="15840"/>
          <w:pgMar w:header="0" w:footer="1032" w:top="1360" w:bottom="1220" w:left="1580" w:right="1600"/>
        </w:sectPr>
      </w:pPr>
    </w:p>
    <w:p>
      <w:pPr>
        <w:pStyle w:val="ListParagraph"/>
        <w:numPr>
          <w:ilvl w:val="0"/>
          <w:numId w:val="20"/>
        </w:numPr>
        <w:tabs>
          <w:tab w:pos="477" w:val="left" w:leader="none"/>
        </w:tabs>
        <w:spacing w:line="276" w:lineRule="auto" w:before="50" w:after="0"/>
        <w:ind w:left="476" w:right="103" w:hanging="360"/>
        <w:jc w:val="both"/>
        <w:rPr>
          <w:sz w:val="24"/>
        </w:rPr>
      </w:pPr>
      <w:r>
        <w:rPr>
          <w:sz w:val="24"/>
        </w:rPr>
        <w:t>Hernández E, García R, Guevara L, Garzón E, Almandoz P. ¿Puede el apoyo social contribuir a prolongar la vida?.Ciudad Habana: Hospital Clínico Quirúrgico Hermanos Ameijeira; 2009.</w:t>
      </w:r>
    </w:p>
    <w:p>
      <w:pPr>
        <w:pStyle w:val="BodyText"/>
        <w:rPr>
          <w:sz w:val="28"/>
        </w:rPr>
      </w:pPr>
    </w:p>
    <w:p>
      <w:pPr>
        <w:pStyle w:val="ListParagraph"/>
        <w:numPr>
          <w:ilvl w:val="0"/>
          <w:numId w:val="20"/>
        </w:numPr>
        <w:tabs>
          <w:tab w:pos="477" w:val="left" w:leader="none"/>
        </w:tabs>
        <w:spacing w:line="276" w:lineRule="auto" w:before="0" w:after="0"/>
        <w:ind w:left="476" w:right="103" w:hanging="360"/>
        <w:jc w:val="both"/>
        <w:rPr>
          <w:sz w:val="24"/>
        </w:rPr>
      </w:pPr>
      <w:r>
        <w:rPr>
          <w:sz w:val="24"/>
        </w:rPr>
        <w:t>Arzola L. Habilidades sociales y apoyo social como modulador de la vulnerabilidad al estrés [Tesis de Maestría]. Ciudad Habana: Escuela Nacional de Salud Pública; 2010.</w:t>
      </w:r>
    </w:p>
    <w:p>
      <w:pPr>
        <w:pStyle w:val="BodyText"/>
        <w:spacing w:before="7"/>
        <w:rPr>
          <w:sz w:val="27"/>
        </w:rPr>
      </w:pPr>
    </w:p>
    <w:p>
      <w:pPr>
        <w:pStyle w:val="ListParagraph"/>
        <w:numPr>
          <w:ilvl w:val="0"/>
          <w:numId w:val="20"/>
        </w:numPr>
        <w:tabs>
          <w:tab w:pos="477" w:val="left" w:leader="none"/>
        </w:tabs>
        <w:spacing w:line="276" w:lineRule="auto" w:before="0" w:after="0"/>
        <w:ind w:left="476" w:right="103" w:hanging="360"/>
        <w:jc w:val="both"/>
        <w:rPr>
          <w:sz w:val="24"/>
        </w:rPr>
      </w:pPr>
      <w:r>
        <w:rPr>
          <w:sz w:val="24"/>
        </w:rPr>
        <w:t>García D. y Calderón Cunill. Estrés y apoyo social en una población infantil. [Trabajo de Diploma]. Ciudad Habana: Facultad de Psicología; 2011.</w:t>
      </w:r>
    </w:p>
    <w:p>
      <w:pPr>
        <w:pStyle w:val="BodyText"/>
        <w:spacing w:before="7"/>
        <w:rPr>
          <w:sz w:val="27"/>
        </w:rPr>
      </w:pPr>
    </w:p>
    <w:p>
      <w:pPr>
        <w:pStyle w:val="ListParagraph"/>
        <w:numPr>
          <w:ilvl w:val="0"/>
          <w:numId w:val="20"/>
        </w:numPr>
        <w:tabs>
          <w:tab w:pos="477" w:val="left" w:leader="none"/>
        </w:tabs>
        <w:spacing w:line="278" w:lineRule="auto" w:before="0" w:after="0"/>
        <w:ind w:left="476" w:right="103" w:hanging="360"/>
        <w:jc w:val="both"/>
        <w:rPr>
          <w:sz w:val="24"/>
        </w:rPr>
      </w:pPr>
      <w:r>
        <w:rPr>
          <w:sz w:val="24"/>
        </w:rPr>
        <w:t>Quintana V. Caracterización del apoyo social percibido en una población de sujetos deprimidos. [Tesis de Maestría]. Ciudad Habana: Escuela Nacional de Salud Pública; 2010.</w:t>
      </w:r>
    </w:p>
    <w:p>
      <w:pPr>
        <w:pStyle w:val="BodyText"/>
        <w:spacing w:before="4"/>
        <w:rPr>
          <w:sz w:val="27"/>
        </w:rPr>
      </w:pPr>
    </w:p>
    <w:p>
      <w:pPr>
        <w:pStyle w:val="ListParagraph"/>
        <w:numPr>
          <w:ilvl w:val="0"/>
          <w:numId w:val="20"/>
        </w:numPr>
        <w:tabs>
          <w:tab w:pos="477" w:val="left" w:leader="none"/>
        </w:tabs>
        <w:spacing w:line="276" w:lineRule="auto" w:before="0" w:after="0"/>
        <w:ind w:left="476" w:right="103" w:hanging="360"/>
        <w:jc w:val="both"/>
        <w:rPr>
          <w:sz w:val="24"/>
        </w:rPr>
      </w:pPr>
      <w:r>
        <w:rPr>
          <w:sz w:val="24"/>
        </w:rPr>
        <w:t>Nillar E. Apoyo Social percibido en pacientes con Fibromialgia y en Atritis Reumatoide. Instituto Nacional de Reumatología. 2009.[Tesis de Maestría]. Ciudad Habana. Escuela Nacional de Salud Pública; 2009.</w:t>
      </w:r>
    </w:p>
    <w:p>
      <w:pPr>
        <w:pStyle w:val="BodyText"/>
        <w:spacing w:before="7"/>
        <w:rPr>
          <w:sz w:val="27"/>
        </w:rPr>
      </w:pPr>
    </w:p>
    <w:p>
      <w:pPr>
        <w:pStyle w:val="ListParagraph"/>
        <w:numPr>
          <w:ilvl w:val="0"/>
          <w:numId w:val="20"/>
        </w:numPr>
        <w:tabs>
          <w:tab w:pos="477" w:val="left" w:leader="none"/>
        </w:tabs>
        <w:spacing w:line="276" w:lineRule="auto" w:before="0" w:after="0"/>
        <w:ind w:left="476" w:right="103" w:hanging="360"/>
        <w:jc w:val="both"/>
        <w:rPr>
          <w:sz w:val="24"/>
        </w:rPr>
      </w:pPr>
      <w:r>
        <w:rPr>
          <w:sz w:val="24"/>
        </w:rPr>
        <w:t>Red familiar de apoyo del paciente con insuficiencia renal crónica. [cartas de investigación]. Aten Primaria 2012; 29(5): 317 – 318.</w:t>
      </w:r>
    </w:p>
    <w:p>
      <w:pPr>
        <w:pStyle w:val="BodyText"/>
        <w:rPr>
          <w:sz w:val="28"/>
        </w:rPr>
      </w:pPr>
    </w:p>
    <w:p>
      <w:pPr>
        <w:pStyle w:val="ListParagraph"/>
        <w:numPr>
          <w:ilvl w:val="0"/>
          <w:numId w:val="20"/>
        </w:numPr>
        <w:tabs>
          <w:tab w:pos="477" w:val="left" w:leader="none"/>
        </w:tabs>
        <w:spacing w:line="240" w:lineRule="auto" w:before="0" w:after="0"/>
        <w:ind w:left="476" w:right="0" w:hanging="360"/>
        <w:jc w:val="left"/>
        <w:rPr>
          <w:sz w:val="24"/>
        </w:rPr>
      </w:pPr>
      <w:r>
        <w:rPr>
          <w:sz w:val="24"/>
        </w:rPr>
        <w:t>Arés P. Psicología de la Familia. Ecuador: Facultad de Psicología: 2012.</w:t>
      </w:r>
    </w:p>
    <w:p>
      <w:pPr>
        <w:pStyle w:val="BodyText"/>
        <w:spacing w:before="1"/>
        <w:rPr>
          <w:sz w:val="31"/>
        </w:rPr>
      </w:pPr>
    </w:p>
    <w:p>
      <w:pPr>
        <w:pStyle w:val="ListParagraph"/>
        <w:numPr>
          <w:ilvl w:val="0"/>
          <w:numId w:val="20"/>
        </w:numPr>
        <w:tabs>
          <w:tab w:pos="477" w:val="left" w:leader="none"/>
        </w:tabs>
        <w:spacing w:line="276" w:lineRule="auto" w:before="0" w:after="0"/>
        <w:ind w:left="476" w:right="103" w:hanging="360"/>
        <w:jc w:val="both"/>
        <w:rPr>
          <w:sz w:val="24"/>
        </w:rPr>
      </w:pPr>
      <w:r>
        <w:rPr>
          <w:sz w:val="24"/>
        </w:rPr>
        <w:t>Díaz MC. Estrategia familiares de enfrentamiento a la crisis y el reajuste. [Tesis de Maestría] Ciudad Habana: Facultad de Psicología; 2012.</w:t>
      </w:r>
    </w:p>
    <w:p>
      <w:pPr>
        <w:pStyle w:val="BodyText"/>
        <w:spacing w:before="7"/>
        <w:rPr>
          <w:sz w:val="27"/>
        </w:rPr>
      </w:pPr>
    </w:p>
    <w:p>
      <w:pPr>
        <w:pStyle w:val="ListParagraph"/>
        <w:numPr>
          <w:ilvl w:val="0"/>
          <w:numId w:val="20"/>
        </w:numPr>
        <w:tabs>
          <w:tab w:pos="477" w:val="left" w:leader="none"/>
        </w:tabs>
        <w:spacing w:line="240" w:lineRule="auto" w:before="0" w:after="0"/>
        <w:ind w:left="476" w:right="145" w:hanging="360"/>
        <w:jc w:val="left"/>
        <w:rPr>
          <w:sz w:val="24"/>
        </w:rPr>
      </w:pPr>
      <w:r>
        <w:rPr>
          <w:sz w:val="24"/>
        </w:rPr>
        <w:t>Rocha Medrado M. Caracterización de la calidad de vida percibida por el paciente renal crónico en hemodiálisis. Tocantins – Brasil, 2002. [Tesis de Maestría] Ciudad Habana: Escuela Nacional de Salud Pública; 2012.</w:t>
      </w:r>
    </w:p>
    <w:p>
      <w:pPr>
        <w:spacing w:after="0" w:line="240" w:lineRule="auto"/>
        <w:jc w:val="left"/>
        <w:rPr>
          <w:sz w:val="24"/>
        </w:rPr>
        <w:sectPr>
          <w:pgSz w:w="12240" w:h="15840"/>
          <w:pgMar w:header="0" w:footer="1032" w:top="1360" w:bottom="1220" w:left="1580" w:right="1600"/>
        </w:sectPr>
      </w:pPr>
    </w:p>
    <w:p>
      <w:pPr>
        <w:pStyle w:val="Heading1"/>
        <w:numPr>
          <w:ilvl w:val="1"/>
          <w:numId w:val="4"/>
        </w:numPr>
        <w:tabs>
          <w:tab w:pos="5656" w:val="left" w:leader="none"/>
        </w:tabs>
        <w:spacing w:line="240" w:lineRule="auto" w:before="50" w:after="0"/>
        <w:ind w:left="5655" w:right="0" w:hanging="560"/>
        <w:jc w:val="left"/>
      </w:pPr>
      <w:r>
        <w:rPr/>
        <w:pict>
          <v:shape style="position:absolute;margin-left:129.960007pt;margin-top:454.200012pt;width:.1pt;height:45.6pt;mso-position-horizontal-relative:page;mso-position-vertical-relative:page;z-index:-139624" coordorigin="2599,9084" coordsize="0,912" path="m2599,9084l2599,9391m2599,9391l2599,9694m2599,9694l2599,9996e" filled="false" stroked="true" strokeweight=".48pt" strokecolor="#000000">
            <v:path arrowok="t"/>
            <w10:wrap type="none"/>
          </v:shape>
        </w:pict>
      </w:r>
      <w:r>
        <w:rPr/>
        <w:pict>
          <v:shape style="position:absolute;margin-left:46.005001pt;margin-top:454.554993pt;width:17.650pt;height:39pt;mso-position-horizontal-relative:page;mso-position-vertical-relative:page;z-index:4936" type="#_x0000_t202" filled="false" stroked="false">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330"/>
                  </w:tblGrid>
                  <w:tr>
                    <w:trPr>
                      <w:trHeight w:val="255" w:hRule="exact"/>
                    </w:trPr>
                    <w:tc>
                      <w:tcPr>
                        <w:tcW w:w="330" w:type="dxa"/>
                      </w:tcPr>
                      <w:p>
                        <w:pPr/>
                      </w:p>
                    </w:tc>
                  </w:tr>
                  <w:tr>
                    <w:trPr>
                      <w:trHeight w:val="255" w:hRule="exact"/>
                    </w:trPr>
                    <w:tc>
                      <w:tcPr>
                        <w:tcW w:w="330" w:type="dxa"/>
                      </w:tcPr>
                      <w:p>
                        <w:pPr/>
                      </w:p>
                    </w:tc>
                  </w:tr>
                  <w:tr>
                    <w:trPr>
                      <w:trHeight w:val="255" w:hRule="exact"/>
                    </w:trPr>
                    <w:tc>
                      <w:tcPr>
                        <w:tcW w:w="330" w:type="dxa"/>
                      </w:tcPr>
                      <w:p>
                        <w:pPr/>
                      </w:p>
                    </w:tc>
                  </w:tr>
                </w:tbl>
                <w:p>
                  <w:pPr>
                    <w:pStyle w:val="BodyText"/>
                  </w:pPr>
                </w:p>
              </w:txbxContent>
            </v:textbox>
            <w10:wrap type="none"/>
          </v:shape>
        </w:pict>
      </w:r>
      <w:bookmarkStart w:name="_TOC_250003" w:id="41"/>
      <w:bookmarkEnd w:id="41"/>
      <w:r>
        <w:rPr/>
        <w:t>ANEXOS:</w:t>
      </w:r>
    </w:p>
    <w:p>
      <w:pPr>
        <w:pStyle w:val="BodyText"/>
        <w:rPr>
          <w:b/>
        </w:rPr>
      </w:pPr>
    </w:p>
    <w:p>
      <w:pPr>
        <w:pStyle w:val="BodyText"/>
        <w:spacing w:before="2"/>
        <w:rPr>
          <w:b/>
        </w:rPr>
      </w:pPr>
    </w:p>
    <w:p>
      <w:pPr>
        <w:pStyle w:val="Heading1"/>
        <w:numPr>
          <w:ilvl w:val="1"/>
          <w:numId w:val="21"/>
        </w:numPr>
        <w:tabs>
          <w:tab w:pos="3720" w:val="left" w:leader="none"/>
        </w:tabs>
        <w:spacing w:line="240" w:lineRule="auto" w:before="0" w:after="0"/>
        <w:ind w:left="3692" w:right="0" w:hanging="654"/>
        <w:jc w:val="left"/>
      </w:pPr>
      <w:r>
        <w:rPr/>
        <w:drawing>
          <wp:anchor distT="0" distB="0" distL="0" distR="0" allowOverlap="1" layoutInCell="1" locked="0" behindDoc="0" simplePos="0" relativeHeight="4912">
            <wp:simplePos x="0" y="0"/>
            <wp:positionH relativeFrom="page">
              <wp:posOffset>423926</wp:posOffset>
            </wp:positionH>
            <wp:positionV relativeFrom="paragraph">
              <wp:posOffset>631102</wp:posOffset>
            </wp:positionV>
            <wp:extent cx="652169" cy="860107"/>
            <wp:effectExtent l="0" t="0" r="0" b="0"/>
            <wp:wrapNone/>
            <wp:docPr id="3" name="image39.png" descr=""/>
            <wp:cNvGraphicFramePr>
              <a:graphicFrameLocks noChangeAspect="1"/>
            </wp:cNvGraphicFramePr>
            <a:graphic>
              <a:graphicData uri="http://schemas.openxmlformats.org/drawingml/2006/picture">
                <pic:pic>
                  <pic:nvPicPr>
                    <pic:cNvPr id="4" name="image39.png"/>
                    <pic:cNvPicPr/>
                  </pic:nvPicPr>
                  <pic:blipFill>
                    <a:blip r:embed="rId64" cstate="print"/>
                    <a:stretch>
                      <a:fillRect/>
                    </a:stretch>
                  </pic:blipFill>
                  <pic:spPr>
                    <a:xfrm>
                      <a:off x="0" y="0"/>
                      <a:ext cx="652169" cy="860107"/>
                    </a:xfrm>
                    <a:prstGeom prst="rect">
                      <a:avLst/>
                    </a:prstGeom>
                  </pic:spPr>
                </pic:pic>
              </a:graphicData>
            </a:graphic>
          </wp:anchor>
        </w:drawing>
      </w:r>
      <w:bookmarkStart w:name="_TOC_250002" w:id="42"/>
      <w:bookmarkEnd w:id="42"/>
      <w:r>
        <w:rPr/>
        <w:t>ANEXO#1  CONSENTIMIENTO INFORMADO</w:t>
      </w:r>
    </w:p>
    <w:p>
      <w:pPr>
        <w:pStyle w:val="BodyText"/>
        <w:rPr>
          <w:b/>
          <w:sz w:val="20"/>
        </w:rPr>
      </w:pPr>
    </w:p>
    <w:p>
      <w:pPr>
        <w:pStyle w:val="BodyText"/>
        <w:spacing w:before="3" w:after="1"/>
        <w:rPr>
          <w:b/>
          <w:sz w:val="29"/>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90"/>
        <w:gridCol w:w="370"/>
        <w:gridCol w:w="1733"/>
        <w:gridCol w:w="5899"/>
      </w:tblGrid>
      <w:tr>
        <w:trPr>
          <w:trHeight w:val="2366" w:hRule="exact"/>
        </w:trPr>
        <w:tc>
          <w:tcPr>
            <w:tcW w:w="11592" w:type="dxa"/>
            <w:gridSpan w:val="4"/>
            <w:tcBorders>
              <w:bottom w:val="nil"/>
            </w:tcBorders>
          </w:tcPr>
          <w:p>
            <w:pPr>
              <w:pStyle w:val="TableParagraph"/>
              <w:spacing w:before="11"/>
              <w:ind w:left="0"/>
              <w:jc w:val="left"/>
              <w:rPr>
                <w:b/>
                <w:sz w:val="19"/>
              </w:rPr>
            </w:pPr>
          </w:p>
          <w:p>
            <w:pPr>
              <w:pStyle w:val="TableParagraph"/>
              <w:ind w:left="4231" w:right="3775"/>
              <w:rPr>
                <w:b/>
                <w:sz w:val="16"/>
              </w:rPr>
            </w:pPr>
            <w:r>
              <w:rPr>
                <w:b/>
                <w:sz w:val="16"/>
              </w:rPr>
              <w:t>INSTITUTO MEXICANO DEL SEGURO SOCIAL UNIDAD DE EDUCACIÓN, INVESTIGACIÓN</w:t>
            </w:r>
          </w:p>
          <w:p>
            <w:pPr>
              <w:pStyle w:val="TableParagraph"/>
              <w:spacing w:line="244" w:lineRule="auto"/>
              <w:ind w:left="4134" w:right="3658" w:firstLine="963"/>
              <w:jc w:val="left"/>
              <w:rPr>
                <w:b/>
                <w:sz w:val="16"/>
              </w:rPr>
            </w:pPr>
            <w:r>
              <w:rPr>
                <w:b/>
                <w:sz w:val="16"/>
              </w:rPr>
              <w:t>Y POLITICAS DE SALUD COORDINACIÓN DE INVESTIGACIÓN EN SALUD</w:t>
            </w:r>
          </w:p>
          <w:p>
            <w:pPr>
              <w:pStyle w:val="TableParagraph"/>
              <w:spacing w:before="4"/>
              <w:ind w:left="0"/>
              <w:jc w:val="left"/>
              <w:rPr>
                <w:b/>
                <w:sz w:val="15"/>
              </w:rPr>
            </w:pPr>
          </w:p>
          <w:p>
            <w:pPr>
              <w:pStyle w:val="TableParagraph"/>
              <w:spacing w:line="244" w:lineRule="auto"/>
              <w:ind w:left="4231" w:right="3765"/>
              <w:rPr>
                <w:b/>
                <w:sz w:val="16"/>
              </w:rPr>
            </w:pPr>
            <w:r>
              <w:rPr>
                <w:b/>
                <w:sz w:val="16"/>
              </w:rPr>
              <w:t>CARTA DE CONSENTIMIENTO INFORMADO (ADULTOS)</w:t>
            </w:r>
          </w:p>
          <w:p>
            <w:pPr>
              <w:pStyle w:val="TableParagraph"/>
              <w:ind w:left="0"/>
              <w:jc w:val="left"/>
              <w:rPr>
                <w:b/>
                <w:sz w:val="16"/>
              </w:rPr>
            </w:pPr>
          </w:p>
          <w:p>
            <w:pPr>
              <w:pStyle w:val="TableParagraph"/>
              <w:spacing w:before="99"/>
              <w:ind w:left="1861" w:right="165"/>
              <w:jc w:val="left"/>
              <w:rPr>
                <w:sz w:val="16"/>
              </w:rPr>
            </w:pPr>
            <w:r>
              <w:rPr>
                <w:sz w:val="16"/>
              </w:rPr>
              <w:t>CARTA DE CONSENTIMIENTO INFORMADO PARA PARTICIPACIÓN EN PROTOCOLOS DE INVESTIGACIÓN</w:t>
            </w:r>
          </w:p>
          <w:p>
            <w:pPr>
              <w:pStyle w:val="TableParagraph"/>
              <w:tabs>
                <w:tab w:pos="4060" w:val="left" w:leader="none"/>
              </w:tabs>
              <w:spacing w:before="61"/>
              <w:ind w:left="105" w:right="165"/>
              <w:jc w:val="left"/>
              <w:rPr>
                <w:sz w:val="16"/>
              </w:rPr>
            </w:pPr>
            <w:r>
              <w:rPr>
                <w:position w:val="-5"/>
                <w:sz w:val="16"/>
              </w:rPr>
              <w:t>Nombre</w:t>
            </w:r>
            <w:r>
              <w:rPr>
                <w:spacing w:val="-3"/>
                <w:position w:val="-5"/>
                <w:sz w:val="16"/>
              </w:rPr>
              <w:t> </w:t>
            </w:r>
            <w:r>
              <w:rPr>
                <w:position w:val="-5"/>
                <w:sz w:val="16"/>
              </w:rPr>
              <w:t>del</w:t>
            </w:r>
            <w:r>
              <w:rPr>
                <w:spacing w:val="-3"/>
                <w:position w:val="-5"/>
                <w:sz w:val="16"/>
              </w:rPr>
              <w:t> </w:t>
            </w:r>
            <w:r>
              <w:rPr>
                <w:position w:val="-5"/>
                <w:sz w:val="16"/>
              </w:rPr>
              <w:t>estudio:</w:t>
              <w:tab/>
            </w:r>
            <w:r>
              <w:rPr>
                <w:sz w:val="16"/>
              </w:rPr>
              <w:t>Funcionalidad</w:t>
            </w:r>
            <w:r>
              <w:rPr>
                <w:spacing w:val="-4"/>
                <w:sz w:val="16"/>
              </w:rPr>
              <w:t> </w:t>
            </w:r>
            <w:r>
              <w:rPr>
                <w:sz w:val="16"/>
              </w:rPr>
              <w:t>Familiar</w:t>
            </w:r>
            <w:r>
              <w:rPr>
                <w:spacing w:val="-5"/>
                <w:sz w:val="16"/>
              </w:rPr>
              <w:t> </w:t>
            </w:r>
            <w:r>
              <w:rPr>
                <w:sz w:val="16"/>
              </w:rPr>
              <w:t>y</w:t>
            </w:r>
            <w:r>
              <w:rPr>
                <w:spacing w:val="-5"/>
                <w:sz w:val="16"/>
              </w:rPr>
              <w:t> </w:t>
            </w:r>
            <w:r>
              <w:rPr>
                <w:sz w:val="16"/>
              </w:rPr>
              <w:t>Apoyo</w:t>
            </w:r>
            <w:r>
              <w:rPr>
                <w:spacing w:val="-5"/>
                <w:sz w:val="16"/>
              </w:rPr>
              <w:t> </w:t>
            </w:r>
            <w:r>
              <w:rPr>
                <w:sz w:val="16"/>
              </w:rPr>
              <w:t>Social</w:t>
            </w:r>
            <w:r>
              <w:rPr>
                <w:spacing w:val="-5"/>
                <w:sz w:val="16"/>
              </w:rPr>
              <w:t> </w:t>
            </w:r>
            <w:r>
              <w:rPr>
                <w:sz w:val="16"/>
              </w:rPr>
              <w:t>en</w:t>
            </w:r>
            <w:r>
              <w:rPr>
                <w:spacing w:val="-5"/>
                <w:sz w:val="16"/>
              </w:rPr>
              <w:t> </w:t>
            </w:r>
            <w:r>
              <w:rPr>
                <w:sz w:val="16"/>
              </w:rPr>
              <w:t>Pacientes</w:t>
            </w:r>
            <w:r>
              <w:rPr>
                <w:spacing w:val="-5"/>
                <w:sz w:val="16"/>
              </w:rPr>
              <w:t> </w:t>
            </w:r>
            <w:r>
              <w:rPr>
                <w:sz w:val="16"/>
              </w:rPr>
              <w:t>con</w:t>
            </w:r>
            <w:r>
              <w:rPr>
                <w:spacing w:val="-5"/>
                <w:sz w:val="16"/>
              </w:rPr>
              <w:t> </w:t>
            </w:r>
            <w:r>
              <w:rPr>
                <w:sz w:val="16"/>
              </w:rPr>
              <w:t>Peritonitis</w:t>
            </w:r>
            <w:r>
              <w:rPr>
                <w:spacing w:val="-5"/>
                <w:sz w:val="16"/>
              </w:rPr>
              <w:t> </w:t>
            </w:r>
            <w:r>
              <w:rPr>
                <w:sz w:val="16"/>
              </w:rPr>
              <w:t>en</w:t>
            </w:r>
            <w:r>
              <w:rPr>
                <w:spacing w:val="-5"/>
                <w:sz w:val="16"/>
              </w:rPr>
              <w:t> </w:t>
            </w:r>
            <w:r>
              <w:rPr>
                <w:sz w:val="16"/>
              </w:rPr>
              <w:t>DPCA</w:t>
            </w:r>
          </w:p>
        </w:tc>
      </w:tr>
      <w:tr>
        <w:trPr>
          <w:trHeight w:val="312" w:hRule="exact"/>
        </w:trPr>
        <w:tc>
          <w:tcPr>
            <w:tcW w:w="3960" w:type="dxa"/>
            <w:gridSpan w:val="2"/>
            <w:vMerge w:val="restart"/>
            <w:tcBorders>
              <w:top w:val="nil"/>
              <w:right w:val="nil"/>
            </w:tcBorders>
          </w:tcPr>
          <w:p>
            <w:pPr>
              <w:pStyle w:val="TableParagraph"/>
              <w:spacing w:line="408" w:lineRule="auto" w:before="62"/>
              <w:ind w:left="105" w:right="1773"/>
              <w:jc w:val="left"/>
              <w:rPr>
                <w:sz w:val="16"/>
              </w:rPr>
            </w:pPr>
            <w:r>
              <w:rPr>
                <w:sz w:val="16"/>
              </w:rPr>
              <w:t>Patrocinador externo (si aplica): Lugar y fecha:</w:t>
            </w:r>
          </w:p>
          <w:p>
            <w:pPr>
              <w:pStyle w:val="TableParagraph"/>
              <w:spacing w:before="4"/>
              <w:ind w:left="105" w:right="1773"/>
              <w:jc w:val="left"/>
              <w:rPr>
                <w:sz w:val="16"/>
              </w:rPr>
            </w:pPr>
            <w:r>
              <w:rPr>
                <w:sz w:val="16"/>
              </w:rPr>
              <w:t>Número de registro:</w:t>
            </w:r>
          </w:p>
          <w:p>
            <w:pPr>
              <w:pStyle w:val="TableParagraph"/>
              <w:spacing w:line="408" w:lineRule="auto" w:before="133"/>
              <w:ind w:left="105" w:right="1555"/>
              <w:jc w:val="left"/>
              <w:rPr>
                <w:sz w:val="16"/>
              </w:rPr>
            </w:pPr>
            <w:r>
              <w:rPr>
                <w:sz w:val="16"/>
              </w:rPr>
              <w:t>Justificación y objetivo del estudio: Procedimientos:</w:t>
            </w:r>
          </w:p>
          <w:p>
            <w:pPr>
              <w:pStyle w:val="TableParagraph"/>
              <w:spacing w:before="8"/>
              <w:ind w:left="105" w:right="1773"/>
              <w:jc w:val="left"/>
              <w:rPr>
                <w:sz w:val="16"/>
              </w:rPr>
            </w:pPr>
            <w:r>
              <w:rPr>
                <w:sz w:val="16"/>
              </w:rPr>
              <w:t>Posibles riesgos y molestias:</w:t>
            </w:r>
          </w:p>
          <w:p>
            <w:pPr>
              <w:pStyle w:val="TableParagraph"/>
              <w:spacing w:before="128"/>
              <w:ind w:left="105"/>
              <w:jc w:val="left"/>
              <w:rPr>
                <w:sz w:val="16"/>
              </w:rPr>
            </w:pPr>
            <w:r>
              <w:rPr>
                <w:sz w:val="16"/>
              </w:rPr>
              <w:t>Posibles beneficios que recibirá al participar en el estudio:</w:t>
            </w:r>
          </w:p>
          <w:p>
            <w:pPr>
              <w:pStyle w:val="TableParagraph"/>
              <w:spacing w:line="178" w:lineRule="exact" w:before="139"/>
              <w:ind w:left="105" w:right="875"/>
              <w:jc w:val="left"/>
              <w:rPr>
                <w:sz w:val="16"/>
              </w:rPr>
            </w:pPr>
            <w:r>
              <w:rPr>
                <w:sz w:val="16"/>
              </w:rPr>
              <w:t>Información sobre resultados y alternativas de tratamiento:</w:t>
            </w:r>
          </w:p>
          <w:p>
            <w:pPr>
              <w:pStyle w:val="TableParagraph"/>
              <w:spacing w:line="412" w:lineRule="auto" w:before="132"/>
              <w:ind w:left="105" w:right="1875"/>
              <w:jc w:val="left"/>
              <w:rPr>
                <w:sz w:val="16"/>
              </w:rPr>
            </w:pPr>
            <w:r>
              <w:rPr>
                <w:sz w:val="16"/>
              </w:rPr>
              <w:t>Participación o retiro: Privacidad y confidencialidad:</w:t>
            </w:r>
          </w:p>
        </w:tc>
        <w:tc>
          <w:tcPr>
            <w:tcW w:w="7632" w:type="dxa"/>
            <w:gridSpan w:val="2"/>
            <w:tcBorders>
              <w:left w:val="nil"/>
            </w:tcBorders>
          </w:tcPr>
          <w:p>
            <w:pPr/>
          </w:p>
        </w:tc>
      </w:tr>
      <w:tr>
        <w:trPr>
          <w:trHeight w:val="312" w:hRule="exact"/>
        </w:trPr>
        <w:tc>
          <w:tcPr>
            <w:tcW w:w="3960" w:type="dxa"/>
            <w:gridSpan w:val="2"/>
            <w:vMerge/>
            <w:tcBorders>
              <w:right w:val="nil"/>
            </w:tcBorders>
          </w:tcPr>
          <w:p>
            <w:pPr/>
          </w:p>
        </w:tc>
        <w:tc>
          <w:tcPr>
            <w:tcW w:w="7632" w:type="dxa"/>
            <w:gridSpan w:val="2"/>
            <w:tcBorders>
              <w:left w:val="nil"/>
            </w:tcBorders>
          </w:tcPr>
          <w:p>
            <w:pPr>
              <w:pStyle w:val="TableParagraph"/>
              <w:spacing w:line="183" w:lineRule="exact"/>
              <w:ind w:left="105"/>
              <w:jc w:val="left"/>
              <w:rPr>
                <w:sz w:val="16"/>
              </w:rPr>
            </w:pPr>
            <w:r>
              <w:rPr>
                <w:sz w:val="16"/>
              </w:rPr>
              <w:t>Toluca, Estado de México, Enero a Diciembre 2011.</w:t>
            </w:r>
          </w:p>
        </w:tc>
      </w:tr>
      <w:tr>
        <w:trPr>
          <w:trHeight w:val="317" w:hRule="exact"/>
        </w:trPr>
        <w:tc>
          <w:tcPr>
            <w:tcW w:w="3960" w:type="dxa"/>
            <w:gridSpan w:val="2"/>
            <w:vMerge/>
            <w:tcBorders>
              <w:right w:val="nil"/>
            </w:tcBorders>
          </w:tcPr>
          <w:p>
            <w:pPr/>
          </w:p>
        </w:tc>
        <w:tc>
          <w:tcPr>
            <w:tcW w:w="7632" w:type="dxa"/>
            <w:gridSpan w:val="2"/>
            <w:tcBorders>
              <w:left w:val="nil"/>
            </w:tcBorders>
          </w:tcPr>
          <w:p>
            <w:pPr>
              <w:pStyle w:val="TableParagraph"/>
              <w:spacing w:before="57"/>
              <w:ind w:left="177"/>
              <w:jc w:val="left"/>
              <w:rPr>
                <w:sz w:val="16"/>
              </w:rPr>
            </w:pPr>
            <w:r>
              <w:rPr>
                <w:sz w:val="16"/>
              </w:rPr>
              <w:t>2012/15021009</w:t>
            </w:r>
          </w:p>
        </w:tc>
      </w:tr>
      <w:tr>
        <w:trPr>
          <w:trHeight w:val="312" w:hRule="exact"/>
        </w:trPr>
        <w:tc>
          <w:tcPr>
            <w:tcW w:w="3960" w:type="dxa"/>
            <w:gridSpan w:val="2"/>
            <w:vMerge/>
            <w:tcBorders>
              <w:right w:val="nil"/>
            </w:tcBorders>
          </w:tcPr>
          <w:p>
            <w:pPr/>
          </w:p>
        </w:tc>
        <w:tc>
          <w:tcPr>
            <w:tcW w:w="7632" w:type="dxa"/>
            <w:gridSpan w:val="2"/>
            <w:tcBorders>
              <w:left w:val="nil"/>
            </w:tcBorders>
          </w:tcPr>
          <w:p>
            <w:pPr>
              <w:pStyle w:val="TableParagraph"/>
              <w:spacing w:before="57"/>
              <w:ind w:left="105"/>
              <w:jc w:val="left"/>
              <w:rPr>
                <w:sz w:val="16"/>
              </w:rPr>
            </w:pPr>
            <w:r>
              <w:rPr>
                <w:sz w:val="16"/>
              </w:rPr>
              <w:t>Identificar Prevalencia de Peritonitis, Evaluar Grado de Funcionalidad Familiar y Apoyo Social</w:t>
            </w:r>
          </w:p>
        </w:tc>
      </w:tr>
      <w:tr>
        <w:trPr>
          <w:trHeight w:val="317" w:hRule="exact"/>
        </w:trPr>
        <w:tc>
          <w:tcPr>
            <w:tcW w:w="3960" w:type="dxa"/>
            <w:gridSpan w:val="2"/>
            <w:vMerge/>
            <w:tcBorders>
              <w:right w:val="nil"/>
            </w:tcBorders>
          </w:tcPr>
          <w:p>
            <w:pPr/>
          </w:p>
        </w:tc>
        <w:tc>
          <w:tcPr>
            <w:tcW w:w="7632" w:type="dxa"/>
            <w:gridSpan w:val="2"/>
            <w:tcBorders>
              <w:left w:val="nil"/>
            </w:tcBorders>
          </w:tcPr>
          <w:p>
            <w:pPr>
              <w:pStyle w:val="TableParagraph"/>
              <w:spacing w:before="57"/>
              <w:ind w:left="105"/>
              <w:jc w:val="left"/>
              <w:rPr>
                <w:sz w:val="16"/>
              </w:rPr>
            </w:pPr>
            <w:r>
              <w:rPr>
                <w:sz w:val="16"/>
              </w:rPr>
              <w:t>Recolección de datos Cedula de Registro de Peritonitis, Aplicación de Escala de ASSIS y Escala de Holmes.</w:t>
            </w:r>
          </w:p>
        </w:tc>
      </w:tr>
      <w:tr>
        <w:trPr>
          <w:trHeight w:val="312" w:hRule="exact"/>
        </w:trPr>
        <w:tc>
          <w:tcPr>
            <w:tcW w:w="3960" w:type="dxa"/>
            <w:gridSpan w:val="2"/>
            <w:vMerge/>
            <w:tcBorders>
              <w:right w:val="nil"/>
            </w:tcBorders>
          </w:tcPr>
          <w:p>
            <w:pPr/>
          </w:p>
        </w:tc>
        <w:tc>
          <w:tcPr>
            <w:tcW w:w="7632" w:type="dxa"/>
            <w:gridSpan w:val="2"/>
            <w:tcBorders>
              <w:left w:val="nil"/>
            </w:tcBorders>
          </w:tcPr>
          <w:p>
            <w:pPr/>
          </w:p>
        </w:tc>
      </w:tr>
      <w:tr>
        <w:trPr>
          <w:trHeight w:val="312" w:hRule="exact"/>
        </w:trPr>
        <w:tc>
          <w:tcPr>
            <w:tcW w:w="3960" w:type="dxa"/>
            <w:gridSpan w:val="2"/>
            <w:vMerge/>
            <w:tcBorders>
              <w:right w:val="nil"/>
            </w:tcBorders>
          </w:tcPr>
          <w:p>
            <w:pPr/>
          </w:p>
        </w:tc>
        <w:tc>
          <w:tcPr>
            <w:tcW w:w="7632" w:type="dxa"/>
            <w:gridSpan w:val="2"/>
            <w:tcBorders>
              <w:left w:val="nil"/>
            </w:tcBorders>
          </w:tcPr>
          <w:p>
            <w:pPr>
              <w:pStyle w:val="TableParagraph"/>
              <w:spacing w:before="57"/>
              <w:ind w:left="105"/>
              <w:jc w:val="left"/>
              <w:rPr>
                <w:sz w:val="16"/>
              </w:rPr>
            </w:pPr>
            <w:r>
              <w:rPr>
                <w:sz w:val="16"/>
              </w:rPr>
              <w:t>Conocer el Grado de Funcionalidad Familiar y Apoyo Social</w:t>
            </w:r>
          </w:p>
        </w:tc>
      </w:tr>
      <w:tr>
        <w:trPr>
          <w:trHeight w:val="499" w:hRule="exact"/>
        </w:trPr>
        <w:tc>
          <w:tcPr>
            <w:tcW w:w="3960" w:type="dxa"/>
            <w:gridSpan w:val="2"/>
            <w:vMerge/>
            <w:tcBorders>
              <w:right w:val="nil"/>
            </w:tcBorders>
          </w:tcPr>
          <w:p>
            <w:pPr/>
          </w:p>
        </w:tc>
        <w:tc>
          <w:tcPr>
            <w:tcW w:w="7632" w:type="dxa"/>
            <w:gridSpan w:val="2"/>
            <w:tcBorders>
              <w:left w:val="nil"/>
            </w:tcBorders>
          </w:tcPr>
          <w:p>
            <w:pPr/>
          </w:p>
        </w:tc>
      </w:tr>
      <w:tr>
        <w:trPr>
          <w:trHeight w:val="317" w:hRule="exact"/>
        </w:trPr>
        <w:tc>
          <w:tcPr>
            <w:tcW w:w="3960" w:type="dxa"/>
            <w:gridSpan w:val="2"/>
            <w:vMerge/>
            <w:tcBorders>
              <w:right w:val="nil"/>
            </w:tcBorders>
          </w:tcPr>
          <w:p>
            <w:pPr/>
          </w:p>
        </w:tc>
        <w:tc>
          <w:tcPr>
            <w:tcW w:w="7632" w:type="dxa"/>
            <w:gridSpan w:val="2"/>
            <w:tcBorders>
              <w:left w:val="nil"/>
            </w:tcBorders>
          </w:tcPr>
          <w:p>
            <w:pPr>
              <w:pStyle w:val="TableParagraph"/>
              <w:spacing w:before="57"/>
              <w:ind w:left="105"/>
              <w:jc w:val="left"/>
              <w:rPr>
                <w:sz w:val="16"/>
              </w:rPr>
            </w:pPr>
            <w:r>
              <w:rPr>
                <w:sz w:val="16"/>
              </w:rPr>
              <w:t>Voluntario</w:t>
            </w:r>
          </w:p>
        </w:tc>
      </w:tr>
      <w:tr>
        <w:trPr>
          <w:trHeight w:val="312" w:hRule="exact"/>
        </w:trPr>
        <w:tc>
          <w:tcPr>
            <w:tcW w:w="3960" w:type="dxa"/>
            <w:gridSpan w:val="2"/>
            <w:vMerge/>
            <w:tcBorders>
              <w:bottom w:val="nil"/>
              <w:right w:val="nil"/>
            </w:tcBorders>
          </w:tcPr>
          <w:p>
            <w:pPr/>
          </w:p>
        </w:tc>
        <w:tc>
          <w:tcPr>
            <w:tcW w:w="7632" w:type="dxa"/>
            <w:gridSpan w:val="2"/>
            <w:tcBorders>
              <w:left w:val="nil"/>
            </w:tcBorders>
          </w:tcPr>
          <w:p>
            <w:pPr>
              <w:pStyle w:val="TableParagraph"/>
              <w:spacing w:before="57"/>
              <w:ind w:left="105"/>
              <w:jc w:val="left"/>
              <w:rPr>
                <w:sz w:val="16"/>
              </w:rPr>
            </w:pPr>
            <w:r>
              <w:rPr>
                <w:sz w:val="16"/>
              </w:rPr>
              <w:t>Se utilizaran códigos, omitiendo el nombre del paciente y la información se manejará con estricta confidencialidad.</w:t>
            </w:r>
          </w:p>
        </w:tc>
      </w:tr>
      <w:tr>
        <w:trPr>
          <w:trHeight w:val="1411" w:hRule="exact"/>
        </w:trPr>
        <w:tc>
          <w:tcPr>
            <w:tcW w:w="11592" w:type="dxa"/>
            <w:gridSpan w:val="4"/>
            <w:tcBorders>
              <w:top w:val="nil"/>
              <w:bottom w:val="nil"/>
            </w:tcBorders>
          </w:tcPr>
          <w:p>
            <w:pPr>
              <w:pStyle w:val="TableParagraph"/>
              <w:spacing w:before="62"/>
              <w:ind w:left="105" w:right="3658"/>
              <w:jc w:val="left"/>
              <w:rPr>
                <w:sz w:val="16"/>
              </w:rPr>
            </w:pPr>
            <w:r>
              <w:rPr>
                <w:sz w:val="16"/>
              </w:rPr>
              <w:t>En caso de colección de material biológico (si aplica):</w:t>
            </w:r>
          </w:p>
          <w:p>
            <w:pPr>
              <w:pStyle w:val="TableParagraph"/>
              <w:spacing w:before="118"/>
              <w:ind w:left="2380" w:right="3658"/>
              <w:jc w:val="left"/>
              <w:rPr>
                <w:sz w:val="16"/>
              </w:rPr>
            </w:pPr>
            <w:r>
              <w:rPr>
                <w:sz w:val="16"/>
              </w:rPr>
              <w:t>No autoriza que se tome la muestra.</w:t>
            </w:r>
          </w:p>
          <w:p>
            <w:pPr>
              <w:pStyle w:val="TableParagraph"/>
              <w:spacing w:before="123"/>
              <w:ind w:left="2380" w:right="3658"/>
              <w:jc w:val="left"/>
              <w:rPr>
                <w:sz w:val="16"/>
              </w:rPr>
            </w:pPr>
            <w:r>
              <w:rPr>
                <w:sz w:val="16"/>
              </w:rPr>
              <w:t>Si autorizo que se tome la muestra solo para este estudio.</w:t>
            </w:r>
          </w:p>
          <w:p>
            <w:pPr>
              <w:pStyle w:val="TableParagraph"/>
              <w:spacing w:before="118"/>
              <w:ind w:left="2380" w:right="3658"/>
              <w:jc w:val="left"/>
              <w:rPr>
                <w:sz w:val="16"/>
              </w:rPr>
            </w:pPr>
            <w:r>
              <w:rPr>
                <w:sz w:val="16"/>
              </w:rPr>
              <w:t>Si autorizo que se tome la muestra para este estudio y estudios futuros.</w:t>
            </w:r>
          </w:p>
          <w:p>
            <w:pPr>
              <w:pStyle w:val="TableParagraph"/>
              <w:spacing w:before="61"/>
              <w:ind w:left="105" w:right="3658"/>
              <w:jc w:val="left"/>
              <w:rPr>
                <w:sz w:val="16"/>
              </w:rPr>
            </w:pPr>
            <w:r>
              <w:rPr>
                <w:sz w:val="16"/>
              </w:rPr>
              <w:t>Disponibilidad de tratamiento médico en derechohabientes (si aplica):</w:t>
            </w:r>
          </w:p>
        </w:tc>
      </w:tr>
      <w:tr>
        <w:trPr>
          <w:trHeight w:val="192" w:hRule="exact"/>
        </w:trPr>
        <w:tc>
          <w:tcPr>
            <w:tcW w:w="5693" w:type="dxa"/>
            <w:gridSpan w:val="3"/>
            <w:vMerge w:val="restart"/>
            <w:tcBorders>
              <w:top w:val="nil"/>
              <w:right w:val="nil"/>
            </w:tcBorders>
          </w:tcPr>
          <w:p>
            <w:pPr>
              <w:pStyle w:val="TableParagraph"/>
              <w:spacing w:before="4"/>
              <w:ind w:left="105" w:right="604"/>
              <w:jc w:val="left"/>
              <w:rPr>
                <w:sz w:val="16"/>
              </w:rPr>
            </w:pPr>
            <w:r>
              <w:rPr>
                <w:sz w:val="16"/>
              </w:rPr>
              <w:t>Beneficios al término del estudio:</w:t>
            </w:r>
          </w:p>
          <w:p>
            <w:pPr>
              <w:pStyle w:val="TableParagraph"/>
              <w:spacing w:before="11"/>
              <w:ind w:left="0"/>
              <w:jc w:val="left"/>
              <w:rPr>
                <w:b/>
                <w:sz w:val="16"/>
              </w:rPr>
            </w:pPr>
          </w:p>
          <w:p>
            <w:pPr>
              <w:pStyle w:val="TableParagraph"/>
              <w:ind w:left="105" w:right="604"/>
              <w:jc w:val="left"/>
              <w:rPr>
                <w:sz w:val="16"/>
              </w:rPr>
            </w:pPr>
            <w:r>
              <w:rPr>
                <w:sz w:val="16"/>
              </w:rPr>
              <w:t>En caso de dudas o aclaraciones relacionadas con el estudio podrá dirigirse a: Investigador Responsable:</w:t>
            </w:r>
          </w:p>
        </w:tc>
        <w:tc>
          <w:tcPr>
            <w:tcW w:w="5899" w:type="dxa"/>
            <w:tcBorders>
              <w:left w:val="nil"/>
            </w:tcBorders>
          </w:tcPr>
          <w:p>
            <w:pPr/>
          </w:p>
        </w:tc>
      </w:tr>
      <w:tr>
        <w:trPr>
          <w:trHeight w:val="562" w:hRule="exact"/>
        </w:trPr>
        <w:tc>
          <w:tcPr>
            <w:tcW w:w="5693" w:type="dxa"/>
            <w:gridSpan w:val="3"/>
            <w:vMerge/>
            <w:tcBorders>
              <w:bottom w:val="nil"/>
              <w:right w:val="nil"/>
            </w:tcBorders>
          </w:tcPr>
          <w:p>
            <w:pPr/>
          </w:p>
        </w:tc>
        <w:tc>
          <w:tcPr>
            <w:tcW w:w="5899" w:type="dxa"/>
            <w:tcBorders>
              <w:left w:val="nil"/>
            </w:tcBorders>
          </w:tcPr>
          <w:p>
            <w:pPr>
              <w:pStyle w:val="TableParagraph"/>
              <w:ind w:left="0"/>
              <w:jc w:val="left"/>
              <w:rPr>
                <w:b/>
                <w:sz w:val="16"/>
              </w:rPr>
            </w:pPr>
          </w:p>
          <w:p>
            <w:pPr>
              <w:pStyle w:val="TableParagraph"/>
              <w:spacing w:before="1"/>
              <w:ind w:left="0"/>
              <w:jc w:val="left"/>
              <w:rPr>
                <w:b/>
                <w:sz w:val="16"/>
              </w:rPr>
            </w:pPr>
          </w:p>
          <w:p>
            <w:pPr>
              <w:pStyle w:val="TableParagraph"/>
              <w:ind w:left="816"/>
              <w:jc w:val="left"/>
              <w:rPr>
                <w:sz w:val="16"/>
              </w:rPr>
            </w:pPr>
            <w:r>
              <w:rPr>
                <w:sz w:val="16"/>
              </w:rPr>
              <w:t>OLINCA SANCHEZ BLANCAS</w:t>
            </w:r>
          </w:p>
        </w:tc>
      </w:tr>
      <w:tr>
        <w:trPr>
          <w:trHeight w:val="197" w:hRule="exact"/>
        </w:trPr>
        <w:tc>
          <w:tcPr>
            <w:tcW w:w="3590" w:type="dxa"/>
            <w:tcBorders>
              <w:top w:val="nil"/>
              <w:bottom w:val="nil"/>
              <w:right w:val="nil"/>
            </w:tcBorders>
          </w:tcPr>
          <w:p>
            <w:pPr>
              <w:pStyle w:val="TableParagraph"/>
              <w:spacing w:before="4"/>
              <w:ind w:left="105"/>
              <w:jc w:val="left"/>
              <w:rPr>
                <w:sz w:val="16"/>
              </w:rPr>
            </w:pPr>
            <w:r>
              <w:rPr>
                <w:sz w:val="16"/>
              </w:rPr>
              <w:t>Colaboradores:</w:t>
            </w:r>
          </w:p>
        </w:tc>
        <w:tc>
          <w:tcPr>
            <w:tcW w:w="8002" w:type="dxa"/>
            <w:gridSpan w:val="3"/>
            <w:tcBorders>
              <w:left w:val="nil"/>
            </w:tcBorders>
          </w:tcPr>
          <w:p>
            <w:pPr/>
          </w:p>
        </w:tc>
      </w:tr>
      <w:tr>
        <w:trPr>
          <w:trHeight w:val="744" w:hRule="exact"/>
        </w:trPr>
        <w:tc>
          <w:tcPr>
            <w:tcW w:w="11592" w:type="dxa"/>
            <w:gridSpan w:val="4"/>
            <w:tcBorders>
              <w:top w:val="nil"/>
            </w:tcBorders>
          </w:tcPr>
          <w:p>
            <w:pPr>
              <w:pStyle w:val="TableParagraph"/>
              <w:spacing w:before="2"/>
              <w:ind w:left="0"/>
              <w:jc w:val="left"/>
              <w:rPr>
                <w:b/>
                <w:sz w:val="16"/>
              </w:rPr>
            </w:pPr>
          </w:p>
          <w:p>
            <w:pPr>
              <w:pStyle w:val="TableParagraph"/>
              <w:ind w:left="105" w:right="165"/>
              <w:jc w:val="left"/>
              <w:rPr>
                <w:sz w:val="16"/>
              </w:rPr>
            </w:pPr>
            <w:r>
              <w:rPr>
                <w:sz w:val="16"/>
              </w:rPr>
              <w:t>En caso de dudas o aclaraciones sobre sus derechos como participante podrá dirigirse a: Comisión de Ética de Investigación de la CNIC del IMSS: Avenida Cuauhtémoc 330 4° piso Bloque “B” de la Unidad de Congresos, Colonia Doctores. México, D.F., CP 06720. Teléfono (55) 56 27 69 00 extensión 21230, Correo electrónico: </w:t>
            </w:r>
            <w:hyperlink r:id="rId65">
              <w:r>
                <w:rPr>
                  <w:color w:val="0000FF"/>
                  <w:sz w:val="16"/>
                  <w:u w:val="single" w:color="0000FF"/>
                </w:rPr>
                <w:t>comision.etica@imss.gob.mx</w:t>
              </w:r>
            </w:hyperlink>
          </w:p>
        </w:tc>
      </w:tr>
      <w:tr>
        <w:trPr>
          <w:trHeight w:val="2933" w:hRule="exact"/>
        </w:trPr>
        <w:tc>
          <w:tcPr>
            <w:tcW w:w="11592" w:type="dxa"/>
            <w:gridSpan w:val="4"/>
          </w:tcPr>
          <w:p>
            <w:pPr>
              <w:pStyle w:val="TableParagraph"/>
              <w:ind w:left="0"/>
              <w:jc w:val="left"/>
              <w:rPr>
                <w:b/>
                <w:sz w:val="20"/>
              </w:rPr>
            </w:pPr>
          </w:p>
          <w:p>
            <w:pPr>
              <w:pStyle w:val="TableParagraph"/>
              <w:spacing w:before="5"/>
              <w:ind w:left="0"/>
              <w:jc w:val="left"/>
              <w:rPr>
                <w:b/>
                <w:sz w:val="25"/>
              </w:rPr>
            </w:pPr>
          </w:p>
          <w:p>
            <w:pPr>
              <w:pStyle w:val="TableParagraph"/>
              <w:spacing w:line="20" w:lineRule="exact"/>
              <w:ind w:left="1204"/>
              <w:jc w:val="left"/>
              <w:rPr>
                <w:sz w:val="2"/>
              </w:rPr>
            </w:pPr>
            <w:r>
              <w:rPr>
                <w:sz w:val="2"/>
              </w:rPr>
              <w:pict>
                <v:group style="width:148.9pt;height:.75pt;mso-position-horizontal-relative:char;mso-position-vertical-relative:line" coordorigin="0,0" coordsize="2978,15">
                  <v:line style="position:absolute" from="8,8" to="2971,8" stroked="true" strokeweight=".75pt" strokecolor="#000000"/>
                </v:group>
              </w:pict>
            </w:r>
            <w:r>
              <w:rPr>
                <w:sz w:val="2"/>
              </w:rPr>
            </w:r>
          </w:p>
          <w:p>
            <w:pPr>
              <w:pStyle w:val="TableParagraph"/>
              <w:tabs>
                <w:tab w:pos="6245" w:val="left" w:leader="none"/>
                <w:tab w:pos="10288" w:val="left" w:leader="none"/>
              </w:tabs>
              <w:spacing w:line="244" w:lineRule="auto" w:before="3"/>
              <w:ind w:left="7171" w:right="1108" w:hanging="4991"/>
              <w:jc w:val="left"/>
              <w:rPr>
                <w:sz w:val="16"/>
              </w:rPr>
            </w:pPr>
            <w:r>
              <w:rPr>
                <w:sz w:val="16"/>
              </w:rPr>
              <w:t>Nombre y firma</w:t>
            </w:r>
            <w:r>
              <w:rPr>
                <w:spacing w:val="-10"/>
                <w:sz w:val="16"/>
              </w:rPr>
              <w:t> </w:t>
            </w:r>
            <w:r>
              <w:rPr>
                <w:sz w:val="16"/>
              </w:rPr>
              <w:t>del</w:t>
            </w:r>
            <w:r>
              <w:rPr>
                <w:spacing w:val="-4"/>
                <w:sz w:val="16"/>
              </w:rPr>
              <w:t> </w:t>
            </w:r>
            <w:r>
              <w:rPr>
                <w:sz w:val="16"/>
              </w:rPr>
              <w:t>sujeto</w:t>
              <w:tab/>
            </w:r>
            <w:r>
              <w:rPr>
                <w:w w:val="99"/>
                <w:sz w:val="16"/>
                <w:u w:val="single"/>
              </w:rPr>
              <w:t> </w:t>
            </w:r>
            <w:r>
              <w:rPr>
                <w:sz w:val="16"/>
                <w:u w:val="single"/>
              </w:rPr>
              <w:tab/>
              <w:tab/>
            </w:r>
            <w:r>
              <w:rPr>
                <w:sz w:val="16"/>
              </w:rPr>
              <w:t> Nombre y firma de quien obtiene el</w:t>
            </w:r>
            <w:r>
              <w:rPr>
                <w:spacing w:val="-27"/>
                <w:sz w:val="16"/>
              </w:rPr>
              <w:t> </w:t>
            </w:r>
            <w:r>
              <w:rPr>
                <w:sz w:val="16"/>
              </w:rPr>
              <w:t>consentimiento</w:t>
            </w:r>
          </w:p>
          <w:p>
            <w:pPr>
              <w:pStyle w:val="TableParagraph"/>
              <w:ind w:left="0"/>
              <w:jc w:val="left"/>
              <w:rPr>
                <w:b/>
                <w:sz w:val="16"/>
              </w:rPr>
            </w:pPr>
          </w:p>
          <w:p>
            <w:pPr>
              <w:pStyle w:val="TableParagraph"/>
              <w:tabs>
                <w:tab w:pos="6061" w:val="left" w:leader="none"/>
              </w:tabs>
              <w:spacing w:before="118"/>
              <w:ind w:left="264"/>
              <w:rPr>
                <w:sz w:val="16"/>
              </w:rPr>
            </w:pPr>
            <w:r>
              <w:rPr>
                <w:sz w:val="16"/>
              </w:rPr>
              <w:t>Testigo</w:t>
            </w:r>
            <w:r>
              <w:rPr>
                <w:spacing w:val="-2"/>
                <w:sz w:val="16"/>
              </w:rPr>
              <w:t> </w:t>
            </w:r>
            <w:r>
              <w:rPr>
                <w:sz w:val="16"/>
              </w:rPr>
              <w:t>1</w:t>
              <w:tab/>
              <w:t>Testigo</w:t>
            </w:r>
            <w:r>
              <w:rPr>
                <w:spacing w:val="-6"/>
                <w:sz w:val="16"/>
              </w:rPr>
              <w:t> </w:t>
            </w:r>
            <w:r>
              <w:rPr>
                <w:sz w:val="16"/>
              </w:rPr>
              <w:t>2</w:t>
            </w:r>
          </w:p>
          <w:p>
            <w:pPr>
              <w:pStyle w:val="TableParagraph"/>
              <w:spacing w:before="2"/>
              <w:ind w:left="0"/>
              <w:jc w:val="left"/>
              <w:rPr>
                <w:b/>
                <w:sz w:val="28"/>
              </w:rPr>
            </w:pPr>
          </w:p>
          <w:p>
            <w:pPr>
              <w:pStyle w:val="TableParagraph"/>
              <w:tabs>
                <w:tab w:pos="6800" w:val="left" w:leader="none"/>
              </w:tabs>
              <w:spacing w:line="30" w:lineRule="exact"/>
              <w:ind w:left="1248"/>
              <w:jc w:val="left"/>
              <w:rPr>
                <w:sz w:val="2"/>
              </w:rPr>
            </w:pPr>
            <w:r>
              <w:rPr>
                <w:position w:val="0"/>
                <w:sz w:val="2"/>
              </w:rPr>
              <w:pict>
                <v:group style="width:148.9pt;height:.75pt;mso-position-horizontal-relative:char;mso-position-vertical-relative:line" coordorigin="0,0" coordsize="2978,15">
                  <v:line style="position:absolute" from="8,7" to="2970,8" stroked="true" strokeweight=".75pt" strokecolor="#000000"/>
                </v:group>
              </w:pict>
            </w:r>
            <w:r>
              <w:rPr>
                <w:position w:val="0"/>
                <w:sz w:val="2"/>
              </w:rPr>
            </w:r>
            <w:r>
              <w:rPr>
                <w:position w:val="0"/>
                <w:sz w:val="2"/>
              </w:rPr>
              <w:tab/>
            </w:r>
            <w:r>
              <w:rPr>
                <w:position w:val="1"/>
                <w:sz w:val="2"/>
              </w:rPr>
              <w:pict>
                <v:group style="width:148.9pt;height:.75pt;mso-position-horizontal-relative:char;mso-position-vertical-relative:line" coordorigin="0,0" coordsize="2978,15">
                  <v:line style="position:absolute" from="8,7" to="2971,8" stroked="true" strokeweight=".75pt" strokecolor="#000000"/>
                </v:group>
              </w:pict>
            </w:r>
            <w:r>
              <w:rPr>
                <w:position w:val="1"/>
                <w:sz w:val="2"/>
              </w:rPr>
            </w:r>
          </w:p>
          <w:p>
            <w:pPr>
              <w:pStyle w:val="TableParagraph"/>
              <w:tabs>
                <w:tab w:pos="6062" w:val="left" w:leader="none"/>
              </w:tabs>
              <w:spacing w:before="13"/>
              <w:ind w:left="266"/>
              <w:rPr>
                <w:sz w:val="16"/>
              </w:rPr>
            </w:pPr>
            <w:r>
              <w:rPr>
                <w:sz w:val="16"/>
              </w:rPr>
              <w:t>Nombre, dirección, relación</w:t>
            </w:r>
            <w:r>
              <w:rPr>
                <w:spacing w:val="-9"/>
                <w:sz w:val="16"/>
              </w:rPr>
              <w:t> </w:t>
            </w:r>
            <w:r>
              <w:rPr>
                <w:sz w:val="16"/>
              </w:rPr>
              <w:t>y</w:t>
            </w:r>
            <w:r>
              <w:rPr>
                <w:spacing w:val="-3"/>
                <w:sz w:val="16"/>
              </w:rPr>
              <w:t> </w:t>
            </w:r>
            <w:r>
              <w:rPr>
                <w:sz w:val="16"/>
              </w:rPr>
              <w:t>firma</w:t>
              <w:tab/>
              <w:t>Nombre, dirección, relación y</w:t>
            </w:r>
            <w:r>
              <w:rPr>
                <w:spacing w:val="-18"/>
                <w:sz w:val="16"/>
              </w:rPr>
              <w:t> </w:t>
            </w:r>
            <w:r>
              <w:rPr>
                <w:sz w:val="16"/>
              </w:rPr>
              <w:t>firma</w:t>
            </w:r>
          </w:p>
          <w:p>
            <w:pPr>
              <w:pStyle w:val="TableParagraph"/>
              <w:ind w:left="0"/>
              <w:jc w:val="left"/>
              <w:rPr>
                <w:b/>
                <w:sz w:val="16"/>
              </w:rPr>
            </w:pPr>
          </w:p>
          <w:p>
            <w:pPr>
              <w:pStyle w:val="TableParagraph"/>
              <w:spacing w:line="312" w:lineRule="auto" w:before="97"/>
              <w:ind w:left="105" w:right="165"/>
              <w:jc w:val="left"/>
              <w:rPr>
                <w:sz w:val="16"/>
              </w:rPr>
            </w:pPr>
            <w:r>
              <w:rPr>
                <w:sz w:val="16"/>
              </w:rPr>
              <w:t>Este formato constituye una guía que deberá completarse de acuerdo con las características propias de cada protocolo de investigación, sin omitir información relevante del estudio</w:t>
            </w:r>
          </w:p>
          <w:p>
            <w:pPr>
              <w:pStyle w:val="TableParagraph"/>
              <w:spacing w:line="244" w:lineRule="exact"/>
              <w:ind w:left="0" w:right="100"/>
              <w:jc w:val="right"/>
              <w:rPr>
                <w:b/>
                <w:sz w:val="16"/>
              </w:rPr>
            </w:pPr>
            <w:r>
              <w:rPr>
                <w:spacing w:val="-3"/>
                <w:position w:val="-3"/>
                <w:sz w:val="24"/>
              </w:rPr>
              <w:t>6</w:t>
            </w:r>
            <w:r>
              <w:rPr>
                <w:b/>
                <w:spacing w:val="-113"/>
                <w:w w:val="98"/>
                <w:sz w:val="16"/>
              </w:rPr>
              <w:t>C</w:t>
            </w:r>
            <w:r>
              <w:rPr>
                <w:spacing w:val="-7"/>
                <w:position w:val="-3"/>
                <w:sz w:val="24"/>
              </w:rPr>
              <w:t>3</w:t>
            </w:r>
            <w:r>
              <w:rPr>
                <w:b/>
                <w:w w:val="98"/>
                <w:sz w:val="16"/>
              </w:rPr>
              <w:t>lave:</w:t>
            </w:r>
            <w:r>
              <w:rPr>
                <w:b/>
                <w:sz w:val="16"/>
              </w:rPr>
              <w:t> </w:t>
            </w:r>
            <w:r>
              <w:rPr>
                <w:b/>
                <w:w w:val="98"/>
                <w:sz w:val="16"/>
              </w:rPr>
              <w:t>2810-009-013</w:t>
            </w:r>
          </w:p>
        </w:tc>
      </w:tr>
    </w:tbl>
    <w:p>
      <w:pPr>
        <w:spacing w:after="0" w:line="244" w:lineRule="exact"/>
        <w:jc w:val="right"/>
        <w:rPr>
          <w:sz w:val="16"/>
        </w:rPr>
        <w:sectPr>
          <w:footerReference w:type="default" r:id="rId63"/>
          <w:pgSz w:w="12240" w:h="15840"/>
          <w:pgMar w:footer="0" w:header="0" w:top="1360" w:bottom="280" w:left="200" w:right="200"/>
        </w:sectPr>
      </w:pPr>
    </w:p>
    <w:p>
      <w:pPr>
        <w:pStyle w:val="BodyText"/>
        <w:spacing w:before="4"/>
        <w:rPr>
          <w:b/>
          <w:sz w:val="10"/>
        </w:rPr>
      </w:pPr>
    </w:p>
    <w:p>
      <w:pPr>
        <w:pStyle w:val="Heading1"/>
        <w:numPr>
          <w:ilvl w:val="1"/>
          <w:numId w:val="21"/>
        </w:numPr>
        <w:tabs>
          <w:tab w:pos="2866" w:val="left" w:leader="none"/>
        </w:tabs>
        <w:spacing w:line="240" w:lineRule="auto" w:before="69" w:after="0"/>
        <w:ind w:left="2865" w:right="0" w:hanging="680"/>
        <w:jc w:val="left"/>
      </w:pPr>
      <w:bookmarkStart w:name="_TOC_250001" w:id="43"/>
      <w:bookmarkEnd w:id="43"/>
      <w:r>
        <w:rPr/>
        <w:t>ANEXO#2.  ENCUESTA PERSONAL.</w:t>
      </w:r>
    </w:p>
    <w:p>
      <w:pPr>
        <w:pStyle w:val="BodyText"/>
        <w:spacing w:before="8"/>
        <w:rPr>
          <w:b/>
        </w:rPr>
      </w:pPr>
    </w:p>
    <w:p>
      <w:pPr>
        <w:pStyle w:val="ListParagraph"/>
        <w:numPr>
          <w:ilvl w:val="0"/>
          <w:numId w:val="22"/>
        </w:numPr>
        <w:tabs>
          <w:tab w:pos="300" w:val="left" w:leader="none"/>
        </w:tabs>
        <w:spacing w:line="240" w:lineRule="auto" w:before="1" w:after="0"/>
        <w:ind w:left="299" w:right="0" w:hanging="183"/>
        <w:jc w:val="left"/>
        <w:rPr>
          <w:sz w:val="21"/>
        </w:rPr>
      </w:pPr>
      <w:r>
        <w:rPr>
          <w:w w:val="105"/>
          <w:sz w:val="21"/>
        </w:rPr>
        <w:t>DATOS</w:t>
      </w:r>
      <w:r>
        <w:rPr>
          <w:spacing w:val="-17"/>
          <w:w w:val="105"/>
          <w:sz w:val="21"/>
        </w:rPr>
        <w:t> </w:t>
      </w:r>
      <w:r>
        <w:rPr>
          <w:w w:val="105"/>
          <w:sz w:val="21"/>
        </w:rPr>
        <w:t>PERSONALES</w:t>
      </w:r>
    </w:p>
    <w:p>
      <w:pPr>
        <w:pStyle w:val="BodyText"/>
        <w:spacing w:before="9"/>
        <w:rPr>
          <w:sz w:val="22"/>
        </w:rPr>
      </w:pPr>
    </w:p>
    <w:p>
      <w:pPr>
        <w:spacing w:before="0"/>
        <w:ind w:left="116" w:right="1164" w:firstLine="0"/>
        <w:jc w:val="left"/>
        <w:rPr>
          <w:sz w:val="21"/>
        </w:rPr>
      </w:pPr>
      <w:r>
        <w:rPr>
          <w:w w:val="105"/>
          <w:sz w:val="21"/>
        </w:rPr>
        <w:t>1. Nombre: __________________________________________________</w:t>
      </w:r>
    </w:p>
    <w:p>
      <w:pPr>
        <w:spacing w:before="13"/>
        <w:ind w:left="116" w:right="1164" w:firstLine="0"/>
        <w:jc w:val="left"/>
        <w:rPr>
          <w:sz w:val="21"/>
        </w:rPr>
      </w:pPr>
      <w:r>
        <w:rPr>
          <w:w w:val="105"/>
          <w:sz w:val="21"/>
        </w:rPr>
        <w:t>2. Edad: ___________________________________________________</w:t>
      </w:r>
    </w:p>
    <w:p>
      <w:pPr>
        <w:spacing w:before="13"/>
        <w:ind w:left="116" w:right="1164" w:firstLine="0"/>
        <w:jc w:val="left"/>
        <w:rPr>
          <w:sz w:val="21"/>
        </w:rPr>
      </w:pPr>
      <w:r>
        <w:rPr>
          <w:w w:val="105"/>
          <w:sz w:val="21"/>
        </w:rPr>
        <w:t>3. Número de Seguro Social: ____________________________________</w:t>
      </w:r>
    </w:p>
    <w:p>
      <w:pPr>
        <w:pStyle w:val="BodyText"/>
        <w:rPr>
          <w:sz w:val="22"/>
        </w:rPr>
      </w:pPr>
    </w:p>
    <w:p>
      <w:pPr>
        <w:pStyle w:val="BodyText"/>
        <w:spacing w:before="10"/>
        <w:rPr>
          <w:sz w:val="22"/>
        </w:rPr>
      </w:pPr>
    </w:p>
    <w:p>
      <w:pPr>
        <w:pStyle w:val="ListParagraph"/>
        <w:numPr>
          <w:ilvl w:val="0"/>
          <w:numId w:val="22"/>
        </w:numPr>
        <w:tabs>
          <w:tab w:pos="374" w:val="left" w:leader="none"/>
        </w:tabs>
        <w:spacing w:line="240" w:lineRule="auto" w:before="1" w:after="0"/>
        <w:ind w:left="373" w:right="0" w:hanging="257"/>
        <w:jc w:val="left"/>
        <w:rPr>
          <w:sz w:val="21"/>
        </w:rPr>
      </w:pPr>
      <w:r>
        <w:rPr>
          <w:w w:val="105"/>
          <w:sz w:val="21"/>
        </w:rPr>
        <w:t>DATOS</w:t>
      </w:r>
      <w:r>
        <w:rPr>
          <w:spacing w:val="-19"/>
          <w:w w:val="105"/>
          <w:sz w:val="21"/>
        </w:rPr>
        <w:t> </w:t>
      </w:r>
      <w:r>
        <w:rPr>
          <w:w w:val="105"/>
          <w:sz w:val="21"/>
        </w:rPr>
        <w:t>DEMOGRÁFICOS:</w:t>
      </w:r>
    </w:p>
    <w:p>
      <w:pPr>
        <w:pStyle w:val="BodyText"/>
        <w:spacing w:before="9"/>
        <w:rPr>
          <w:sz w:val="22"/>
        </w:rPr>
      </w:pPr>
    </w:p>
    <w:p>
      <w:pPr>
        <w:pStyle w:val="ListParagraph"/>
        <w:numPr>
          <w:ilvl w:val="1"/>
          <w:numId w:val="22"/>
        </w:numPr>
        <w:tabs>
          <w:tab w:pos="337" w:val="left" w:leader="none"/>
        </w:tabs>
        <w:spacing w:line="240" w:lineRule="auto" w:before="0" w:after="0"/>
        <w:ind w:left="336" w:right="0" w:hanging="220"/>
        <w:jc w:val="left"/>
        <w:rPr>
          <w:sz w:val="21"/>
        </w:rPr>
      </w:pPr>
      <w:r>
        <w:rPr>
          <w:w w:val="105"/>
          <w:sz w:val="21"/>
        </w:rPr>
        <w:t>Sexo</w:t>
      </w:r>
    </w:p>
    <w:p>
      <w:pPr>
        <w:tabs>
          <w:tab w:pos="3362" w:val="left" w:leader="none"/>
        </w:tabs>
        <w:spacing w:before="13"/>
        <w:ind w:left="116" w:right="1164" w:firstLine="0"/>
        <w:jc w:val="left"/>
        <w:rPr>
          <w:sz w:val="21"/>
        </w:rPr>
      </w:pPr>
      <w:r>
        <w:rPr>
          <w:w w:val="105"/>
          <w:sz w:val="21"/>
        </w:rPr>
        <w:t>a)</w:t>
      </w:r>
      <w:r>
        <w:rPr>
          <w:spacing w:val="-3"/>
          <w:w w:val="105"/>
          <w:sz w:val="21"/>
        </w:rPr>
        <w:t> </w:t>
      </w:r>
      <w:r>
        <w:rPr>
          <w:w w:val="105"/>
          <w:sz w:val="21"/>
        </w:rPr>
        <w:t>Femenino</w:t>
        <w:tab/>
        <w:t>b)</w:t>
      </w:r>
      <w:r>
        <w:rPr>
          <w:spacing w:val="-12"/>
          <w:w w:val="105"/>
          <w:sz w:val="21"/>
        </w:rPr>
        <w:t> </w:t>
      </w:r>
      <w:r>
        <w:rPr>
          <w:w w:val="105"/>
          <w:sz w:val="21"/>
        </w:rPr>
        <w:t>Masculino</w:t>
      </w:r>
    </w:p>
    <w:p>
      <w:pPr>
        <w:pStyle w:val="BodyText"/>
        <w:spacing w:before="9"/>
        <w:rPr>
          <w:sz w:val="22"/>
        </w:rPr>
      </w:pPr>
    </w:p>
    <w:p>
      <w:pPr>
        <w:pStyle w:val="ListParagraph"/>
        <w:numPr>
          <w:ilvl w:val="1"/>
          <w:numId w:val="22"/>
        </w:numPr>
        <w:tabs>
          <w:tab w:pos="337" w:val="left" w:leader="none"/>
        </w:tabs>
        <w:spacing w:line="240" w:lineRule="auto" w:before="0" w:after="0"/>
        <w:ind w:left="336" w:right="0" w:hanging="220"/>
        <w:jc w:val="left"/>
        <w:rPr>
          <w:sz w:val="21"/>
        </w:rPr>
      </w:pPr>
      <w:r>
        <w:rPr>
          <w:w w:val="105"/>
          <w:sz w:val="21"/>
        </w:rPr>
        <w:t>Estado</w:t>
      </w:r>
      <w:r>
        <w:rPr>
          <w:spacing w:val="-7"/>
          <w:w w:val="105"/>
          <w:sz w:val="21"/>
        </w:rPr>
        <w:t> </w:t>
      </w:r>
      <w:r>
        <w:rPr>
          <w:w w:val="105"/>
          <w:sz w:val="21"/>
        </w:rPr>
        <w:t>civil</w:t>
      </w:r>
    </w:p>
    <w:p>
      <w:pPr>
        <w:pStyle w:val="ListParagraph"/>
        <w:numPr>
          <w:ilvl w:val="0"/>
          <w:numId w:val="23"/>
        </w:numPr>
        <w:tabs>
          <w:tab w:pos="343" w:val="left" w:leader="none"/>
        </w:tabs>
        <w:spacing w:line="240" w:lineRule="auto" w:before="17" w:after="0"/>
        <w:ind w:left="342" w:right="0" w:hanging="226"/>
        <w:jc w:val="left"/>
        <w:rPr>
          <w:sz w:val="21"/>
        </w:rPr>
      </w:pPr>
      <w:r>
        <w:rPr>
          <w:w w:val="105"/>
          <w:sz w:val="21"/>
        </w:rPr>
        <w:t>Soltero</w:t>
      </w:r>
    </w:p>
    <w:p>
      <w:pPr>
        <w:pStyle w:val="ListParagraph"/>
        <w:numPr>
          <w:ilvl w:val="0"/>
          <w:numId w:val="23"/>
        </w:numPr>
        <w:tabs>
          <w:tab w:pos="356" w:val="left" w:leader="none"/>
        </w:tabs>
        <w:spacing w:line="240" w:lineRule="auto" w:before="13" w:after="0"/>
        <w:ind w:left="355" w:right="0" w:hanging="239"/>
        <w:jc w:val="left"/>
        <w:rPr>
          <w:sz w:val="21"/>
        </w:rPr>
      </w:pPr>
      <w:r>
        <w:rPr>
          <w:w w:val="105"/>
          <w:sz w:val="21"/>
        </w:rPr>
        <w:t>Casado</w:t>
      </w:r>
    </w:p>
    <w:p>
      <w:pPr>
        <w:pStyle w:val="ListParagraph"/>
        <w:numPr>
          <w:ilvl w:val="0"/>
          <w:numId w:val="23"/>
        </w:numPr>
        <w:tabs>
          <w:tab w:pos="343" w:val="left" w:leader="none"/>
        </w:tabs>
        <w:spacing w:line="240" w:lineRule="auto" w:before="8" w:after="0"/>
        <w:ind w:left="342" w:right="0" w:hanging="226"/>
        <w:jc w:val="left"/>
        <w:rPr>
          <w:sz w:val="21"/>
        </w:rPr>
      </w:pPr>
      <w:r>
        <w:rPr>
          <w:w w:val="105"/>
          <w:sz w:val="21"/>
        </w:rPr>
        <w:t>Divorciado</w:t>
      </w:r>
    </w:p>
    <w:p>
      <w:pPr>
        <w:pStyle w:val="ListParagraph"/>
        <w:numPr>
          <w:ilvl w:val="0"/>
          <w:numId w:val="23"/>
        </w:numPr>
        <w:tabs>
          <w:tab w:pos="356" w:val="left" w:leader="none"/>
        </w:tabs>
        <w:spacing w:line="240" w:lineRule="auto" w:before="13" w:after="0"/>
        <w:ind w:left="355" w:right="0" w:hanging="239"/>
        <w:jc w:val="left"/>
        <w:rPr>
          <w:sz w:val="21"/>
        </w:rPr>
      </w:pPr>
      <w:r>
        <w:rPr>
          <w:w w:val="105"/>
          <w:sz w:val="21"/>
        </w:rPr>
        <w:t>Viudo</w:t>
      </w:r>
    </w:p>
    <w:p>
      <w:pPr>
        <w:pStyle w:val="ListParagraph"/>
        <w:numPr>
          <w:ilvl w:val="0"/>
          <w:numId w:val="23"/>
        </w:numPr>
        <w:tabs>
          <w:tab w:pos="343" w:val="left" w:leader="none"/>
        </w:tabs>
        <w:spacing w:line="240" w:lineRule="auto" w:before="13" w:after="0"/>
        <w:ind w:left="342" w:right="0" w:hanging="226"/>
        <w:jc w:val="left"/>
        <w:rPr>
          <w:sz w:val="21"/>
        </w:rPr>
      </w:pPr>
      <w:r>
        <w:rPr>
          <w:w w:val="105"/>
          <w:sz w:val="21"/>
        </w:rPr>
        <w:t>Unión</w:t>
      </w:r>
      <w:r>
        <w:rPr>
          <w:spacing w:val="-10"/>
          <w:w w:val="105"/>
          <w:sz w:val="21"/>
        </w:rPr>
        <w:t> </w:t>
      </w:r>
      <w:r>
        <w:rPr>
          <w:w w:val="105"/>
          <w:sz w:val="21"/>
        </w:rPr>
        <w:t>Libre</w:t>
      </w:r>
    </w:p>
    <w:p>
      <w:pPr>
        <w:pStyle w:val="BodyText"/>
        <w:spacing w:before="9"/>
        <w:rPr>
          <w:sz w:val="22"/>
        </w:rPr>
      </w:pPr>
    </w:p>
    <w:p>
      <w:pPr>
        <w:pStyle w:val="ListParagraph"/>
        <w:numPr>
          <w:ilvl w:val="1"/>
          <w:numId w:val="22"/>
        </w:numPr>
        <w:tabs>
          <w:tab w:pos="337" w:val="left" w:leader="none"/>
        </w:tabs>
        <w:spacing w:line="240" w:lineRule="auto" w:before="0" w:after="0"/>
        <w:ind w:left="336" w:right="0" w:hanging="220"/>
        <w:jc w:val="left"/>
        <w:rPr>
          <w:sz w:val="21"/>
        </w:rPr>
      </w:pPr>
      <w:r>
        <w:rPr>
          <w:w w:val="105"/>
          <w:sz w:val="21"/>
        </w:rPr>
        <w:t>Nivel</w:t>
      </w:r>
      <w:r>
        <w:rPr>
          <w:spacing w:val="-9"/>
          <w:w w:val="105"/>
          <w:sz w:val="21"/>
        </w:rPr>
        <w:t> </w:t>
      </w:r>
      <w:r>
        <w:rPr>
          <w:w w:val="105"/>
          <w:sz w:val="21"/>
        </w:rPr>
        <w:t>educativo</w:t>
      </w:r>
    </w:p>
    <w:p>
      <w:pPr>
        <w:pStyle w:val="ListParagraph"/>
        <w:numPr>
          <w:ilvl w:val="0"/>
          <w:numId w:val="24"/>
        </w:numPr>
        <w:tabs>
          <w:tab w:pos="343" w:val="left" w:leader="none"/>
          <w:tab w:pos="3397" w:val="left" w:leader="none"/>
        </w:tabs>
        <w:spacing w:line="240" w:lineRule="auto" w:before="13" w:after="0"/>
        <w:ind w:left="342" w:right="0" w:hanging="226"/>
        <w:jc w:val="left"/>
        <w:rPr>
          <w:sz w:val="21"/>
        </w:rPr>
      </w:pPr>
      <w:r>
        <w:rPr>
          <w:w w:val="105"/>
          <w:sz w:val="21"/>
        </w:rPr>
        <w:t>Primaria</w:t>
      </w:r>
      <w:r>
        <w:rPr>
          <w:spacing w:val="-4"/>
          <w:w w:val="105"/>
          <w:sz w:val="21"/>
        </w:rPr>
        <w:t> </w:t>
      </w:r>
      <w:r>
        <w:rPr>
          <w:w w:val="105"/>
          <w:sz w:val="21"/>
        </w:rPr>
        <w:t>incompleta</w:t>
        <w:tab/>
        <w:t>e) Técnico</w:t>
      </w:r>
      <w:r>
        <w:rPr>
          <w:spacing w:val="-18"/>
          <w:w w:val="105"/>
          <w:sz w:val="21"/>
        </w:rPr>
        <w:t> </w:t>
      </w:r>
      <w:r>
        <w:rPr>
          <w:w w:val="105"/>
          <w:sz w:val="21"/>
        </w:rPr>
        <w:t>incompleta</w:t>
      </w:r>
    </w:p>
    <w:p>
      <w:pPr>
        <w:pStyle w:val="ListParagraph"/>
        <w:numPr>
          <w:ilvl w:val="0"/>
          <w:numId w:val="24"/>
        </w:numPr>
        <w:tabs>
          <w:tab w:pos="356" w:val="left" w:leader="none"/>
          <w:tab w:pos="3402" w:val="left" w:leader="none"/>
        </w:tabs>
        <w:spacing w:line="240" w:lineRule="auto" w:before="13" w:after="0"/>
        <w:ind w:left="355" w:right="0" w:hanging="239"/>
        <w:jc w:val="left"/>
        <w:rPr>
          <w:sz w:val="21"/>
        </w:rPr>
      </w:pPr>
      <w:r>
        <w:rPr>
          <w:w w:val="105"/>
          <w:sz w:val="21"/>
        </w:rPr>
        <w:t>Primaria</w:t>
      </w:r>
      <w:r>
        <w:rPr>
          <w:spacing w:val="-3"/>
          <w:w w:val="105"/>
          <w:sz w:val="21"/>
        </w:rPr>
        <w:t> </w:t>
      </w:r>
      <w:r>
        <w:rPr>
          <w:w w:val="105"/>
          <w:sz w:val="21"/>
        </w:rPr>
        <w:t>completa</w:t>
        <w:tab/>
        <w:t>f) Técnico</w:t>
      </w:r>
      <w:r>
        <w:rPr>
          <w:spacing w:val="-13"/>
          <w:w w:val="105"/>
          <w:sz w:val="21"/>
        </w:rPr>
        <w:t> </w:t>
      </w:r>
      <w:r>
        <w:rPr>
          <w:w w:val="105"/>
          <w:sz w:val="21"/>
        </w:rPr>
        <w:t>completa</w:t>
      </w:r>
    </w:p>
    <w:p>
      <w:pPr>
        <w:pStyle w:val="ListParagraph"/>
        <w:numPr>
          <w:ilvl w:val="0"/>
          <w:numId w:val="24"/>
        </w:numPr>
        <w:tabs>
          <w:tab w:pos="343" w:val="left" w:leader="none"/>
          <w:tab w:pos="3339" w:val="left" w:leader="none"/>
        </w:tabs>
        <w:spacing w:line="240" w:lineRule="auto" w:before="8" w:after="0"/>
        <w:ind w:left="342" w:right="0" w:hanging="226"/>
        <w:jc w:val="left"/>
        <w:rPr>
          <w:sz w:val="21"/>
        </w:rPr>
      </w:pPr>
      <w:r>
        <w:rPr>
          <w:w w:val="105"/>
          <w:sz w:val="21"/>
        </w:rPr>
        <w:t>Secundaria</w:t>
      </w:r>
      <w:r>
        <w:rPr>
          <w:spacing w:val="-5"/>
          <w:w w:val="105"/>
          <w:sz w:val="21"/>
        </w:rPr>
        <w:t> </w:t>
      </w:r>
      <w:r>
        <w:rPr>
          <w:w w:val="105"/>
          <w:sz w:val="21"/>
        </w:rPr>
        <w:t>incompleta</w:t>
        <w:tab/>
        <w:t>g) Universitario</w:t>
      </w:r>
      <w:r>
        <w:rPr>
          <w:spacing w:val="-21"/>
          <w:w w:val="105"/>
          <w:sz w:val="21"/>
        </w:rPr>
        <w:t> </w:t>
      </w:r>
      <w:r>
        <w:rPr>
          <w:w w:val="105"/>
          <w:sz w:val="21"/>
        </w:rPr>
        <w:t>incompleta</w:t>
      </w:r>
    </w:p>
    <w:p>
      <w:pPr>
        <w:pStyle w:val="ListParagraph"/>
        <w:numPr>
          <w:ilvl w:val="0"/>
          <w:numId w:val="24"/>
        </w:numPr>
        <w:tabs>
          <w:tab w:pos="356" w:val="left" w:leader="none"/>
          <w:tab w:pos="3347" w:val="left" w:leader="none"/>
        </w:tabs>
        <w:spacing w:line="240" w:lineRule="auto" w:before="13" w:after="0"/>
        <w:ind w:left="355" w:right="0" w:hanging="239"/>
        <w:jc w:val="left"/>
        <w:rPr>
          <w:sz w:val="21"/>
        </w:rPr>
      </w:pPr>
      <w:r>
        <w:rPr>
          <w:w w:val="105"/>
          <w:sz w:val="21"/>
        </w:rPr>
        <w:t>Secundaria</w:t>
      </w:r>
      <w:r>
        <w:rPr>
          <w:spacing w:val="-3"/>
          <w:w w:val="105"/>
          <w:sz w:val="21"/>
        </w:rPr>
        <w:t> </w:t>
      </w:r>
      <w:r>
        <w:rPr>
          <w:w w:val="105"/>
          <w:sz w:val="21"/>
        </w:rPr>
        <w:t>completa</w:t>
        <w:tab/>
        <w:t>h) Universitario</w:t>
      </w:r>
      <w:r>
        <w:rPr>
          <w:spacing w:val="-15"/>
          <w:w w:val="105"/>
          <w:sz w:val="21"/>
        </w:rPr>
        <w:t> </w:t>
      </w:r>
      <w:r>
        <w:rPr>
          <w:w w:val="105"/>
          <w:sz w:val="21"/>
        </w:rPr>
        <w:t>completa</w:t>
      </w:r>
    </w:p>
    <w:p>
      <w:pPr>
        <w:pStyle w:val="BodyText"/>
        <w:rPr>
          <w:sz w:val="22"/>
        </w:rPr>
      </w:pPr>
    </w:p>
    <w:p>
      <w:pPr>
        <w:pStyle w:val="BodyText"/>
        <w:spacing w:before="10"/>
        <w:rPr>
          <w:sz w:val="22"/>
        </w:rPr>
      </w:pPr>
    </w:p>
    <w:p>
      <w:pPr>
        <w:pStyle w:val="ListParagraph"/>
        <w:numPr>
          <w:ilvl w:val="0"/>
          <w:numId w:val="22"/>
        </w:numPr>
        <w:tabs>
          <w:tab w:pos="447" w:val="left" w:leader="none"/>
        </w:tabs>
        <w:spacing w:line="240" w:lineRule="auto" w:before="1" w:after="0"/>
        <w:ind w:left="446" w:right="0" w:hanging="330"/>
        <w:jc w:val="left"/>
        <w:rPr>
          <w:sz w:val="21"/>
        </w:rPr>
      </w:pPr>
      <w:r>
        <w:rPr>
          <w:w w:val="105"/>
          <w:sz w:val="21"/>
        </w:rPr>
        <w:t>DATOS</w:t>
      </w:r>
      <w:r>
        <w:rPr>
          <w:spacing w:val="-12"/>
          <w:w w:val="105"/>
          <w:sz w:val="21"/>
        </w:rPr>
        <w:t> </w:t>
      </w:r>
      <w:r>
        <w:rPr>
          <w:w w:val="105"/>
          <w:sz w:val="21"/>
        </w:rPr>
        <w:t>MÉDICOS</w:t>
      </w:r>
    </w:p>
    <w:p>
      <w:pPr>
        <w:pStyle w:val="BodyText"/>
        <w:spacing w:before="9"/>
        <w:rPr>
          <w:sz w:val="22"/>
        </w:rPr>
      </w:pPr>
    </w:p>
    <w:p>
      <w:pPr>
        <w:pStyle w:val="ListParagraph"/>
        <w:numPr>
          <w:ilvl w:val="0"/>
          <w:numId w:val="25"/>
        </w:numPr>
        <w:tabs>
          <w:tab w:pos="337" w:val="left" w:leader="none"/>
        </w:tabs>
        <w:spacing w:line="240" w:lineRule="auto" w:before="0" w:after="0"/>
        <w:ind w:left="336" w:right="0" w:hanging="220"/>
        <w:jc w:val="left"/>
        <w:rPr>
          <w:sz w:val="21"/>
        </w:rPr>
      </w:pPr>
      <w:r>
        <w:rPr>
          <w:w w:val="105"/>
          <w:sz w:val="21"/>
        </w:rPr>
        <w:t>¿Cuánto tiempo hace que fue</w:t>
      </w:r>
      <w:r>
        <w:rPr>
          <w:spacing w:val="-24"/>
          <w:w w:val="105"/>
          <w:sz w:val="21"/>
        </w:rPr>
        <w:t> </w:t>
      </w:r>
      <w:r>
        <w:rPr>
          <w:w w:val="105"/>
          <w:sz w:val="21"/>
        </w:rPr>
        <w:t>diagnosticado(s)?</w:t>
      </w:r>
    </w:p>
    <w:p>
      <w:pPr>
        <w:pStyle w:val="ListParagraph"/>
        <w:numPr>
          <w:ilvl w:val="0"/>
          <w:numId w:val="26"/>
        </w:numPr>
        <w:tabs>
          <w:tab w:pos="343" w:val="left" w:leader="none"/>
          <w:tab w:pos="3375" w:val="left" w:leader="none"/>
        </w:tabs>
        <w:spacing w:line="240" w:lineRule="auto" w:before="13" w:after="0"/>
        <w:ind w:left="342" w:right="0" w:hanging="226"/>
        <w:jc w:val="left"/>
        <w:rPr>
          <w:sz w:val="21"/>
        </w:rPr>
      </w:pPr>
      <w:r>
        <w:rPr>
          <w:w w:val="105"/>
          <w:sz w:val="21"/>
        </w:rPr>
        <w:t>De 1 a</w:t>
      </w:r>
      <w:r>
        <w:rPr>
          <w:spacing w:val="-4"/>
          <w:w w:val="105"/>
          <w:sz w:val="21"/>
        </w:rPr>
        <w:t> </w:t>
      </w:r>
      <w:r>
        <w:rPr>
          <w:w w:val="105"/>
          <w:sz w:val="21"/>
        </w:rPr>
        <w:t>6</w:t>
      </w:r>
      <w:r>
        <w:rPr>
          <w:spacing w:val="-2"/>
          <w:w w:val="105"/>
          <w:sz w:val="21"/>
        </w:rPr>
        <w:t> </w:t>
      </w:r>
      <w:r>
        <w:rPr>
          <w:w w:val="105"/>
          <w:sz w:val="21"/>
        </w:rPr>
        <w:t>meses</w:t>
        <w:tab/>
        <w:t>e) De 5 a</w:t>
      </w:r>
      <w:r>
        <w:rPr>
          <w:spacing w:val="-13"/>
          <w:w w:val="105"/>
          <w:sz w:val="21"/>
        </w:rPr>
        <w:t> </w:t>
      </w:r>
      <w:r>
        <w:rPr>
          <w:w w:val="105"/>
          <w:sz w:val="21"/>
        </w:rPr>
        <w:t>7años</w:t>
      </w:r>
    </w:p>
    <w:p>
      <w:pPr>
        <w:pStyle w:val="ListParagraph"/>
        <w:numPr>
          <w:ilvl w:val="0"/>
          <w:numId w:val="26"/>
        </w:numPr>
        <w:tabs>
          <w:tab w:pos="356" w:val="left" w:leader="none"/>
          <w:tab w:pos="3377" w:val="left" w:leader="none"/>
        </w:tabs>
        <w:spacing w:line="240" w:lineRule="auto" w:before="13" w:after="0"/>
        <w:ind w:left="355" w:right="0" w:hanging="239"/>
        <w:jc w:val="left"/>
        <w:rPr>
          <w:sz w:val="21"/>
        </w:rPr>
      </w:pPr>
      <w:r>
        <w:rPr>
          <w:w w:val="105"/>
          <w:sz w:val="21"/>
        </w:rPr>
        <w:t>De 6 meses a</w:t>
      </w:r>
      <w:r>
        <w:rPr>
          <w:spacing w:val="-6"/>
          <w:w w:val="105"/>
          <w:sz w:val="21"/>
        </w:rPr>
        <w:t> </w:t>
      </w:r>
      <w:r>
        <w:rPr>
          <w:w w:val="105"/>
          <w:sz w:val="21"/>
        </w:rPr>
        <w:t>1</w:t>
      </w:r>
      <w:r>
        <w:rPr>
          <w:spacing w:val="-2"/>
          <w:w w:val="105"/>
          <w:sz w:val="21"/>
        </w:rPr>
        <w:t> </w:t>
      </w:r>
      <w:r>
        <w:rPr>
          <w:w w:val="105"/>
          <w:sz w:val="21"/>
        </w:rPr>
        <w:t>año</w:t>
        <w:tab/>
        <w:t>f) De 7 a 9</w:t>
      </w:r>
      <w:r>
        <w:rPr>
          <w:spacing w:val="-8"/>
          <w:w w:val="105"/>
          <w:sz w:val="21"/>
        </w:rPr>
        <w:t> </w:t>
      </w:r>
      <w:r>
        <w:rPr>
          <w:w w:val="105"/>
          <w:sz w:val="21"/>
        </w:rPr>
        <w:t>años</w:t>
      </w:r>
    </w:p>
    <w:p>
      <w:pPr>
        <w:pStyle w:val="ListParagraph"/>
        <w:numPr>
          <w:ilvl w:val="0"/>
          <w:numId w:val="26"/>
        </w:numPr>
        <w:tabs>
          <w:tab w:pos="343" w:val="left" w:leader="none"/>
          <w:tab w:pos="3405" w:val="left" w:leader="none"/>
        </w:tabs>
        <w:spacing w:line="240" w:lineRule="auto" w:before="13" w:after="0"/>
        <w:ind w:left="342" w:right="0" w:hanging="226"/>
        <w:jc w:val="left"/>
        <w:rPr>
          <w:sz w:val="21"/>
        </w:rPr>
      </w:pPr>
      <w:r>
        <w:rPr>
          <w:w w:val="105"/>
          <w:sz w:val="21"/>
        </w:rPr>
        <w:t>De 1 a</w:t>
      </w:r>
      <w:r>
        <w:rPr>
          <w:spacing w:val="-4"/>
          <w:w w:val="105"/>
          <w:sz w:val="21"/>
        </w:rPr>
        <w:t> </w:t>
      </w:r>
      <w:r>
        <w:rPr>
          <w:w w:val="105"/>
          <w:sz w:val="21"/>
        </w:rPr>
        <w:t>3</w:t>
      </w:r>
      <w:r>
        <w:rPr>
          <w:spacing w:val="-2"/>
          <w:w w:val="105"/>
          <w:sz w:val="21"/>
        </w:rPr>
        <w:t> </w:t>
      </w:r>
      <w:r>
        <w:rPr>
          <w:w w:val="105"/>
          <w:sz w:val="21"/>
        </w:rPr>
        <w:t>años</w:t>
        <w:tab/>
        <w:t>g) De 9 a 10</w:t>
      </w:r>
      <w:r>
        <w:rPr>
          <w:spacing w:val="-16"/>
          <w:w w:val="105"/>
          <w:sz w:val="21"/>
        </w:rPr>
        <w:t> </w:t>
      </w:r>
      <w:r>
        <w:rPr>
          <w:spacing w:val="2"/>
          <w:w w:val="105"/>
          <w:sz w:val="21"/>
        </w:rPr>
        <w:t>años</w:t>
      </w:r>
    </w:p>
    <w:p>
      <w:pPr>
        <w:pStyle w:val="ListParagraph"/>
        <w:numPr>
          <w:ilvl w:val="0"/>
          <w:numId w:val="26"/>
        </w:numPr>
        <w:tabs>
          <w:tab w:pos="356" w:val="left" w:leader="none"/>
          <w:tab w:pos="3419" w:val="left" w:leader="none"/>
        </w:tabs>
        <w:spacing w:line="240" w:lineRule="auto" w:before="8" w:after="0"/>
        <w:ind w:left="355" w:right="0" w:hanging="239"/>
        <w:jc w:val="left"/>
        <w:rPr>
          <w:sz w:val="21"/>
        </w:rPr>
      </w:pPr>
      <w:r>
        <w:rPr>
          <w:w w:val="105"/>
          <w:sz w:val="21"/>
        </w:rPr>
        <w:t>De 3 a</w:t>
      </w:r>
      <w:r>
        <w:rPr>
          <w:spacing w:val="-3"/>
          <w:w w:val="105"/>
          <w:sz w:val="21"/>
        </w:rPr>
        <w:t> </w:t>
      </w:r>
      <w:r>
        <w:rPr>
          <w:w w:val="105"/>
          <w:sz w:val="21"/>
        </w:rPr>
        <w:t>5</w:t>
      </w:r>
      <w:r>
        <w:rPr>
          <w:spacing w:val="-1"/>
          <w:w w:val="105"/>
          <w:sz w:val="21"/>
        </w:rPr>
        <w:t> </w:t>
      </w:r>
      <w:r>
        <w:rPr>
          <w:w w:val="105"/>
          <w:sz w:val="21"/>
        </w:rPr>
        <w:t>años</w:t>
        <w:tab/>
        <w:t>h) De 10 años a</w:t>
      </w:r>
      <w:r>
        <w:rPr>
          <w:spacing w:val="-12"/>
          <w:w w:val="105"/>
          <w:sz w:val="21"/>
        </w:rPr>
        <w:t> </w:t>
      </w:r>
      <w:r>
        <w:rPr>
          <w:w w:val="105"/>
          <w:sz w:val="21"/>
        </w:rPr>
        <w:t>más</w:t>
      </w:r>
    </w:p>
    <w:p>
      <w:pPr>
        <w:pStyle w:val="BodyText"/>
        <w:rPr>
          <w:sz w:val="22"/>
        </w:rPr>
      </w:pPr>
    </w:p>
    <w:p>
      <w:pPr>
        <w:pStyle w:val="BodyText"/>
        <w:spacing w:before="10"/>
        <w:rPr>
          <w:sz w:val="22"/>
        </w:rPr>
      </w:pPr>
    </w:p>
    <w:p>
      <w:pPr>
        <w:pStyle w:val="ListParagraph"/>
        <w:numPr>
          <w:ilvl w:val="0"/>
          <w:numId w:val="22"/>
        </w:numPr>
        <w:tabs>
          <w:tab w:pos="459" w:val="left" w:leader="none"/>
        </w:tabs>
        <w:spacing w:line="240" w:lineRule="auto" w:before="1" w:after="8"/>
        <w:ind w:left="458" w:right="0" w:hanging="342"/>
        <w:jc w:val="left"/>
        <w:rPr>
          <w:sz w:val="21"/>
        </w:rPr>
      </w:pPr>
      <w:r>
        <w:rPr>
          <w:w w:val="105"/>
          <w:sz w:val="21"/>
        </w:rPr>
        <w:t>COMPOSICIÓN</w:t>
      </w:r>
      <w:r>
        <w:rPr>
          <w:spacing w:val="-19"/>
          <w:w w:val="105"/>
          <w:sz w:val="21"/>
        </w:rPr>
        <w:t> </w:t>
      </w:r>
      <w:r>
        <w:rPr>
          <w:w w:val="105"/>
          <w:sz w:val="21"/>
        </w:rPr>
        <w:t>FAMILIAR</w:t>
      </w:r>
    </w:p>
    <w:p>
      <w:pPr>
        <w:pStyle w:val="BodyText"/>
        <w:ind w:left="148"/>
        <w:rPr>
          <w:sz w:val="20"/>
        </w:rPr>
      </w:pPr>
      <w:r>
        <w:rPr>
          <w:sz w:val="20"/>
        </w:rPr>
        <w:drawing>
          <wp:inline distT="0" distB="0" distL="0" distR="0">
            <wp:extent cx="4687732" cy="1665446"/>
            <wp:effectExtent l="0" t="0" r="0" b="0"/>
            <wp:docPr id="5" name="image40.jpeg" descr=""/>
            <wp:cNvGraphicFramePr>
              <a:graphicFrameLocks noChangeAspect="1"/>
            </wp:cNvGraphicFramePr>
            <a:graphic>
              <a:graphicData uri="http://schemas.openxmlformats.org/drawingml/2006/picture">
                <pic:pic>
                  <pic:nvPicPr>
                    <pic:cNvPr id="6" name="image40.jpeg"/>
                    <pic:cNvPicPr/>
                  </pic:nvPicPr>
                  <pic:blipFill>
                    <a:blip r:embed="rId67" cstate="print"/>
                    <a:stretch>
                      <a:fillRect/>
                    </a:stretch>
                  </pic:blipFill>
                  <pic:spPr>
                    <a:xfrm>
                      <a:off x="0" y="0"/>
                      <a:ext cx="4687732" cy="1665446"/>
                    </a:xfrm>
                    <a:prstGeom prst="rect">
                      <a:avLst/>
                    </a:prstGeom>
                  </pic:spPr>
                </pic:pic>
              </a:graphicData>
            </a:graphic>
          </wp:inline>
        </w:drawing>
      </w:r>
      <w:r>
        <w:rPr>
          <w:sz w:val="20"/>
        </w:rPr>
      </w:r>
    </w:p>
    <w:p>
      <w:pPr>
        <w:pStyle w:val="ListParagraph"/>
        <w:numPr>
          <w:ilvl w:val="0"/>
          <w:numId w:val="25"/>
        </w:numPr>
        <w:tabs>
          <w:tab w:pos="392" w:val="left" w:leader="none"/>
        </w:tabs>
        <w:spacing w:line="240" w:lineRule="auto" w:before="31" w:after="0"/>
        <w:ind w:left="391" w:right="0" w:hanging="275"/>
        <w:jc w:val="left"/>
        <w:rPr>
          <w:sz w:val="21"/>
        </w:rPr>
      </w:pPr>
      <w:r>
        <w:rPr>
          <w:w w:val="105"/>
          <w:sz w:val="21"/>
        </w:rPr>
        <w:t>Mencione el número de integrantes que habitan en su domicilio.</w:t>
      </w:r>
      <w:r>
        <w:rPr>
          <w:spacing w:val="-34"/>
          <w:w w:val="105"/>
          <w:sz w:val="21"/>
        </w:rPr>
        <w:t> </w:t>
      </w:r>
      <w:r>
        <w:rPr>
          <w:w w:val="105"/>
          <w:sz w:val="21"/>
        </w:rPr>
        <w:t>_________</w:t>
      </w:r>
    </w:p>
    <w:p>
      <w:pPr>
        <w:spacing w:after="0" w:line="240" w:lineRule="auto"/>
        <w:jc w:val="left"/>
        <w:rPr>
          <w:sz w:val="21"/>
        </w:rPr>
        <w:sectPr>
          <w:footerReference w:type="default" r:id="rId66"/>
          <w:pgSz w:w="12240" w:h="15840"/>
          <w:pgMar w:footer="972" w:header="0" w:top="1500" w:bottom="1160" w:left="1580" w:right="1600"/>
          <w:pgNumType w:start="64"/>
        </w:sectPr>
      </w:pPr>
    </w:p>
    <w:p>
      <w:pPr>
        <w:pStyle w:val="ListParagraph"/>
        <w:numPr>
          <w:ilvl w:val="0"/>
          <w:numId w:val="22"/>
        </w:numPr>
        <w:tabs>
          <w:tab w:pos="386" w:val="left" w:leader="none"/>
        </w:tabs>
        <w:spacing w:line="240" w:lineRule="auto" w:before="173" w:after="0"/>
        <w:ind w:left="385" w:right="0" w:hanging="269"/>
        <w:jc w:val="left"/>
        <w:rPr>
          <w:sz w:val="21"/>
        </w:rPr>
      </w:pPr>
      <w:r>
        <w:rPr>
          <w:w w:val="105"/>
          <w:sz w:val="21"/>
        </w:rPr>
        <w:t>ACTIVIDAD LABORAL Y</w:t>
      </w:r>
      <w:r>
        <w:rPr>
          <w:spacing w:val="-29"/>
          <w:w w:val="105"/>
          <w:sz w:val="21"/>
        </w:rPr>
        <w:t> </w:t>
      </w:r>
      <w:r>
        <w:rPr>
          <w:w w:val="105"/>
          <w:sz w:val="21"/>
        </w:rPr>
        <w:t>MANUTENCIÓN</w:t>
      </w:r>
    </w:p>
    <w:p>
      <w:pPr>
        <w:pStyle w:val="BodyText"/>
        <w:spacing w:before="9"/>
        <w:rPr>
          <w:sz w:val="22"/>
        </w:rPr>
      </w:pPr>
    </w:p>
    <w:p>
      <w:pPr>
        <w:pStyle w:val="ListParagraph"/>
        <w:numPr>
          <w:ilvl w:val="1"/>
          <w:numId w:val="22"/>
        </w:numPr>
        <w:tabs>
          <w:tab w:pos="337" w:val="left" w:leader="none"/>
        </w:tabs>
        <w:spacing w:line="240" w:lineRule="auto" w:before="0" w:after="0"/>
        <w:ind w:left="336" w:right="0" w:hanging="220"/>
        <w:jc w:val="left"/>
        <w:rPr>
          <w:sz w:val="21"/>
        </w:rPr>
      </w:pPr>
      <w:r>
        <w:rPr>
          <w:w w:val="105"/>
          <w:sz w:val="21"/>
        </w:rPr>
        <w:t>Dependiente</w:t>
      </w:r>
      <w:r>
        <w:rPr>
          <w:spacing w:val="-13"/>
          <w:w w:val="105"/>
          <w:sz w:val="21"/>
        </w:rPr>
        <w:t> </w:t>
      </w:r>
      <w:r>
        <w:rPr>
          <w:w w:val="105"/>
          <w:sz w:val="21"/>
        </w:rPr>
        <w:t>asalariado</w:t>
      </w:r>
    </w:p>
    <w:p>
      <w:pPr>
        <w:pStyle w:val="ListParagraph"/>
        <w:numPr>
          <w:ilvl w:val="1"/>
          <w:numId w:val="22"/>
        </w:numPr>
        <w:tabs>
          <w:tab w:pos="337" w:val="left" w:leader="none"/>
        </w:tabs>
        <w:spacing w:line="240" w:lineRule="auto" w:before="13" w:after="0"/>
        <w:ind w:left="336" w:right="0" w:hanging="220"/>
        <w:jc w:val="left"/>
        <w:rPr>
          <w:sz w:val="21"/>
        </w:rPr>
      </w:pPr>
      <w:r>
        <w:rPr>
          <w:w w:val="105"/>
          <w:sz w:val="21"/>
        </w:rPr>
        <w:t>Independiente</w:t>
      </w:r>
    </w:p>
    <w:p>
      <w:pPr>
        <w:pStyle w:val="ListParagraph"/>
        <w:numPr>
          <w:ilvl w:val="1"/>
          <w:numId w:val="22"/>
        </w:numPr>
        <w:tabs>
          <w:tab w:pos="337" w:val="left" w:leader="none"/>
        </w:tabs>
        <w:spacing w:line="240" w:lineRule="auto" w:before="13" w:after="0"/>
        <w:ind w:left="336" w:right="0" w:hanging="220"/>
        <w:jc w:val="left"/>
        <w:rPr>
          <w:sz w:val="21"/>
        </w:rPr>
      </w:pPr>
      <w:r>
        <w:rPr>
          <w:w w:val="105"/>
          <w:sz w:val="21"/>
        </w:rPr>
        <w:t>Ama de</w:t>
      </w:r>
      <w:r>
        <w:rPr>
          <w:spacing w:val="-9"/>
          <w:w w:val="105"/>
          <w:sz w:val="21"/>
        </w:rPr>
        <w:t> </w:t>
      </w:r>
      <w:r>
        <w:rPr>
          <w:w w:val="105"/>
          <w:sz w:val="21"/>
        </w:rPr>
        <w:t>casa</w:t>
      </w:r>
    </w:p>
    <w:p>
      <w:pPr>
        <w:pStyle w:val="ListParagraph"/>
        <w:numPr>
          <w:ilvl w:val="1"/>
          <w:numId w:val="22"/>
        </w:numPr>
        <w:tabs>
          <w:tab w:pos="337" w:val="left" w:leader="none"/>
        </w:tabs>
        <w:spacing w:line="240" w:lineRule="auto" w:before="8" w:after="0"/>
        <w:ind w:left="336" w:right="0" w:hanging="220"/>
        <w:jc w:val="left"/>
        <w:rPr>
          <w:sz w:val="21"/>
        </w:rPr>
      </w:pPr>
      <w:r>
        <w:rPr>
          <w:w w:val="105"/>
          <w:sz w:val="21"/>
        </w:rPr>
        <w:t>Desempleado(a)</w:t>
      </w:r>
    </w:p>
    <w:p>
      <w:pPr>
        <w:pStyle w:val="ListParagraph"/>
        <w:numPr>
          <w:ilvl w:val="1"/>
          <w:numId w:val="22"/>
        </w:numPr>
        <w:tabs>
          <w:tab w:pos="337" w:val="left" w:leader="none"/>
        </w:tabs>
        <w:spacing w:line="240" w:lineRule="auto" w:before="13" w:after="0"/>
        <w:ind w:left="336" w:right="0" w:hanging="220"/>
        <w:jc w:val="left"/>
        <w:rPr>
          <w:sz w:val="21"/>
        </w:rPr>
      </w:pPr>
      <w:r>
        <w:rPr>
          <w:w w:val="105"/>
          <w:sz w:val="21"/>
        </w:rPr>
        <w:t>¿Usted</w:t>
      </w:r>
      <w:r>
        <w:rPr>
          <w:spacing w:val="-4"/>
          <w:w w:val="105"/>
          <w:sz w:val="21"/>
        </w:rPr>
        <w:t> </w:t>
      </w:r>
      <w:r>
        <w:rPr>
          <w:w w:val="105"/>
          <w:sz w:val="21"/>
        </w:rPr>
        <w:t>mantiene</w:t>
      </w:r>
      <w:r>
        <w:rPr>
          <w:spacing w:val="-4"/>
          <w:w w:val="105"/>
          <w:sz w:val="21"/>
        </w:rPr>
        <w:t> </w:t>
      </w:r>
      <w:r>
        <w:rPr>
          <w:w w:val="105"/>
          <w:sz w:val="21"/>
        </w:rPr>
        <w:t>económicamente</w:t>
      </w:r>
      <w:r>
        <w:rPr>
          <w:spacing w:val="-4"/>
          <w:w w:val="105"/>
          <w:sz w:val="21"/>
        </w:rPr>
        <w:t> </w:t>
      </w:r>
      <w:r>
        <w:rPr>
          <w:w w:val="105"/>
          <w:sz w:val="21"/>
        </w:rPr>
        <w:t>a</w:t>
      </w:r>
      <w:r>
        <w:rPr>
          <w:spacing w:val="-4"/>
          <w:w w:val="105"/>
          <w:sz w:val="21"/>
        </w:rPr>
        <w:t> </w:t>
      </w:r>
      <w:r>
        <w:rPr>
          <w:w w:val="105"/>
          <w:sz w:val="21"/>
        </w:rPr>
        <w:t>otra(s)</w:t>
      </w:r>
      <w:r>
        <w:rPr>
          <w:spacing w:val="-5"/>
          <w:w w:val="105"/>
          <w:sz w:val="21"/>
        </w:rPr>
        <w:t> </w:t>
      </w:r>
      <w:r>
        <w:rPr>
          <w:w w:val="105"/>
          <w:sz w:val="21"/>
        </w:rPr>
        <w:t>persona(s)</w:t>
      </w:r>
      <w:r>
        <w:rPr>
          <w:spacing w:val="-5"/>
          <w:w w:val="105"/>
          <w:sz w:val="21"/>
        </w:rPr>
        <w:t> </w:t>
      </w:r>
      <w:r>
        <w:rPr>
          <w:w w:val="105"/>
          <w:sz w:val="21"/>
        </w:rPr>
        <w:t>además</w:t>
      </w:r>
      <w:r>
        <w:rPr>
          <w:spacing w:val="-5"/>
          <w:w w:val="105"/>
          <w:sz w:val="21"/>
        </w:rPr>
        <w:t> </w:t>
      </w:r>
      <w:r>
        <w:rPr>
          <w:w w:val="105"/>
          <w:sz w:val="21"/>
        </w:rPr>
        <w:t>de</w:t>
      </w:r>
      <w:r>
        <w:rPr>
          <w:spacing w:val="-4"/>
          <w:w w:val="105"/>
          <w:sz w:val="21"/>
        </w:rPr>
        <w:t> </w:t>
      </w:r>
      <w:r>
        <w:rPr>
          <w:w w:val="105"/>
          <w:sz w:val="21"/>
        </w:rPr>
        <w:t>a</w:t>
      </w:r>
      <w:r>
        <w:rPr>
          <w:spacing w:val="-4"/>
          <w:w w:val="105"/>
          <w:sz w:val="21"/>
        </w:rPr>
        <w:t> </w:t>
      </w:r>
      <w:r>
        <w:rPr>
          <w:w w:val="105"/>
          <w:sz w:val="21"/>
        </w:rPr>
        <w:t>sí</w:t>
      </w:r>
      <w:r>
        <w:rPr>
          <w:spacing w:val="-5"/>
          <w:w w:val="105"/>
          <w:sz w:val="21"/>
        </w:rPr>
        <w:t> </w:t>
      </w:r>
      <w:r>
        <w:rPr>
          <w:w w:val="105"/>
          <w:sz w:val="21"/>
        </w:rPr>
        <w:t>mismo(a)?</w:t>
      </w:r>
      <w:r>
        <w:rPr>
          <w:spacing w:val="-4"/>
          <w:w w:val="105"/>
          <w:sz w:val="21"/>
        </w:rPr>
        <w:t> </w:t>
      </w:r>
      <w:r>
        <w:rPr>
          <w:w w:val="105"/>
          <w:sz w:val="21"/>
        </w:rPr>
        <w:t>¿a</w:t>
      </w:r>
      <w:r>
        <w:rPr>
          <w:spacing w:val="-4"/>
          <w:w w:val="105"/>
          <w:sz w:val="21"/>
        </w:rPr>
        <w:t> </w:t>
      </w:r>
      <w:r>
        <w:rPr>
          <w:w w:val="105"/>
          <w:sz w:val="21"/>
        </w:rPr>
        <w:t>quiénes?</w:t>
      </w:r>
    </w:p>
    <w:p>
      <w:pPr>
        <w:spacing w:before="13"/>
        <w:ind w:left="116" w:right="1164" w:firstLine="0"/>
        <w:jc w:val="left"/>
        <w:rPr>
          <w:sz w:val="21"/>
        </w:rPr>
      </w:pPr>
      <w:r>
        <w:rPr>
          <w:w w:val="105"/>
          <w:sz w:val="21"/>
        </w:rPr>
        <w:t>____________________________________________________________</w:t>
      </w:r>
    </w:p>
    <w:p>
      <w:pPr>
        <w:spacing w:before="13"/>
        <w:ind w:left="116" w:right="1164" w:firstLine="0"/>
        <w:jc w:val="left"/>
        <w:rPr>
          <w:sz w:val="21"/>
        </w:rPr>
      </w:pPr>
      <w:r>
        <w:rPr>
          <w:w w:val="105"/>
          <w:sz w:val="21"/>
        </w:rPr>
        <w:t>____________________________________________________________</w:t>
      </w:r>
    </w:p>
    <w:p>
      <w:pPr>
        <w:pStyle w:val="BodyText"/>
        <w:spacing w:before="9"/>
        <w:rPr>
          <w:sz w:val="22"/>
        </w:rPr>
      </w:pPr>
    </w:p>
    <w:p>
      <w:pPr>
        <w:pStyle w:val="ListParagraph"/>
        <w:numPr>
          <w:ilvl w:val="1"/>
          <w:numId w:val="22"/>
        </w:numPr>
        <w:tabs>
          <w:tab w:pos="337" w:val="left" w:leader="none"/>
        </w:tabs>
        <w:spacing w:line="240" w:lineRule="auto" w:before="0" w:after="0"/>
        <w:ind w:left="336" w:right="0" w:hanging="220"/>
        <w:jc w:val="left"/>
        <w:rPr>
          <w:sz w:val="21"/>
        </w:rPr>
      </w:pPr>
      <w:r>
        <w:rPr>
          <w:w w:val="105"/>
          <w:sz w:val="21"/>
        </w:rPr>
        <w:t>¿Depende usted económicamente de alguien? ¿de</w:t>
      </w:r>
      <w:r>
        <w:rPr>
          <w:spacing w:val="-26"/>
          <w:w w:val="105"/>
          <w:sz w:val="21"/>
        </w:rPr>
        <w:t> </w:t>
      </w:r>
      <w:r>
        <w:rPr>
          <w:w w:val="105"/>
          <w:sz w:val="21"/>
        </w:rPr>
        <w:t>quién?</w:t>
      </w:r>
    </w:p>
    <w:p>
      <w:pPr>
        <w:spacing w:before="13"/>
        <w:ind w:left="116" w:right="1164" w:firstLine="0"/>
        <w:jc w:val="left"/>
        <w:rPr>
          <w:sz w:val="21"/>
        </w:rPr>
      </w:pPr>
      <w:r>
        <w:rPr>
          <w:w w:val="105"/>
          <w:sz w:val="21"/>
        </w:rPr>
        <w:t>____________________________________________________________</w:t>
      </w:r>
    </w:p>
    <w:p>
      <w:pPr>
        <w:spacing w:before="8"/>
        <w:ind w:left="116" w:right="1164" w:firstLine="0"/>
        <w:jc w:val="left"/>
        <w:rPr>
          <w:sz w:val="21"/>
        </w:rPr>
      </w:pPr>
      <w:r>
        <w:rPr>
          <w:w w:val="105"/>
          <w:sz w:val="21"/>
        </w:rPr>
        <w:t>____________________________________________________________</w:t>
      </w:r>
    </w:p>
    <w:p>
      <w:pPr>
        <w:spacing w:after="0"/>
        <w:jc w:val="left"/>
        <w:rPr>
          <w:sz w:val="21"/>
        </w:rPr>
        <w:sectPr>
          <w:pgSz w:w="12240" w:h="15840"/>
          <w:pgMar w:header="0" w:footer="972" w:top="1500" w:bottom="1220" w:left="1580" w:right="1600"/>
        </w:sectPr>
      </w:pPr>
    </w:p>
    <w:p>
      <w:pPr>
        <w:pStyle w:val="ListParagraph"/>
        <w:numPr>
          <w:ilvl w:val="1"/>
          <w:numId w:val="21"/>
        </w:numPr>
        <w:tabs>
          <w:tab w:pos="2557" w:val="left" w:leader="none"/>
        </w:tabs>
        <w:spacing w:line="240" w:lineRule="auto" w:before="45" w:after="0"/>
        <w:ind w:left="2557" w:right="0" w:hanging="681"/>
        <w:jc w:val="left"/>
        <w:rPr>
          <w:b/>
          <w:sz w:val="21"/>
        </w:rPr>
      </w:pPr>
      <w:r>
        <w:rPr>
          <w:b/>
          <w:sz w:val="24"/>
        </w:rPr>
        <w:t>ANEXO# 3. </w:t>
      </w:r>
      <w:r>
        <w:rPr>
          <w:b/>
          <w:sz w:val="21"/>
        </w:rPr>
        <w:t>REGISTRO  DE </w:t>
      </w:r>
      <w:r>
        <w:rPr>
          <w:b/>
          <w:spacing w:val="17"/>
          <w:sz w:val="21"/>
        </w:rPr>
        <w:t> </w:t>
      </w:r>
      <w:r>
        <w:rPr>
          <w:b/>
          <w:sz w:val="21"/>
        </w:rPr>
        <w:t>PERITONITIS</w:t>
      </w:r>
    </w:p>
    <w:p>
      <w:pPr>
        <w:pStyle w:val="BodyText"/>
        <w:spacing w:before="4"/>
        <w:rPr>
          <w:b/>
          <w:sz w:val="18"/>
        </w:rPr>
      </w:pPr>
      <w:r>
        <w:rPr/>
        <w:drawing>
          <wp:anchor distT="0" distB="0" distL="0" distR="0" allowOverlap="1" layoutInCell="1" locked="0" behindDoc="0" simplePos="0" relativeHeight="4960">
            <wp:simplePos x="0" y="0"/>
            <wp:positionH relativeFrom="page">
              <wp:posOffset>1097661</wp:posOffset>
            </wp:positionH>
            <wp:positionV relativeFrom="paragraph">
              <wp:posOffset>159058</wp:posOffset>
            </wp:positionV>
            <wp:extent cx="5348842" cy="7418070"/>
            <wp:effectExtent l="0" t="0" r="0" b="0"/>
            <wp:wrapTopAndBottom/>
            <wp:docPr id="7" name="image41.jpeg" descr=""/>
            <wp:cNvGraphicFramePr>
              <a:graphicFrameLocks noChangeAspect="1"/>
            </wp:cNvGraphicFramePr>
            <a:graphic>
              <a:graphicData uri="http://schemas.openxmlformats.org/drawingml/2006/picture">
                <pic:pic>
                  <pic:nvPicPr>
                    <pic:cNvPr id="8" name="image41.jpeg"/>
                    <pic:cNvPicPr/>
                  </pic:nvPicPr>
                  <pic:blipFill>
                    <a:blip r:embed="rId68" cstate="print"/>
                    <a:stretch>
                      <a:fillRect/>
                    </a:stretch>
                  </pic:blipFill>
                  <pic:spPr>
                    <a:xfrm>
                      <a:off x="0" y="0"/>
                      <a:ext cx="5348842" cy="7418070"/>
                    </a:xfrm>
                    <a:prstGeom prst="rect">
                      <a:avLst/>
                    </a:prstGeom>
                  </pic:spPr>
                </pic:pic>
              </a:graphicData>
            </a:graphic>
          </wp:anchor>
        </w:drawing>
      </w:r>
    </w:p>
    <w:p>
      <w:pPr>
        <w:spacing w:after="0"/>
        <w:rPr>
          <w:sz w:val="18"/>
        </w:rPr>
        <w:sectPr>
          <w:pgSz w:w="12240" w:h="15840"/>
          <w:pgMar w:header="0" w:footer="972" w:top="1360" w:bottom="1220" w:left="1620" w:right="1600"/>
        </w:sectPr>
      </w:pPr>
    </w:p>
    <w:p>
      <w:pPr>
        <w:pStyle w:val="BodyText"/>
        <w:ind w:left="108"/>
        <w:rPr>
          <w:sz w:val="20"/>
        </w:rPr>
      </w:pPr>
      <w:r>
        <w:rPr>
          <w:sz w:val="20"/>
        </w:rPr>
        <w:drawing>
          <wp:inline distT="0" distB="0" distL="0" distR="0">
            <wp:extent cx="5325906" cy="7386637"/>
            <wp:effectExtent l="0" t="0" r="0" b="0"/>
            <wp:docPr id="9" name="image42.jpeg" descr=""/>
            <wp:cNvGraphicFramePr>
              <a:graphicFrameLocks noChangeAspect="1"/>
            </wp:cNvGraphicFramePr>
            <a:graphic>
              <a:graphicData uri="http://schemas.openxmlformats.org/drawingml/2006/picture">
                <pic:pic>
                  <pic:nvPicPr>
                    <pic:cNvPr id="10" name="image42.jpeg"/>
                    <pic:cNvPicPr/>
                  </pic:nvPicPr>
                  <pic:blipFill>
                    <a:blip r:embed="rId69" cstate="print"/>
                    <a:stretch>
                      <a:fillRect/>
                    </a:stretch>
                  </pic:blipFill>
                  <pic:spPr>
                    <a:xfrm>
                      <a:off x="0" y="0"/>
                      <a:ext cx="5325906" cy="7386637"/>
                    </a:xfrm>
                    <a:prstGeom prst="rect">
                      <a:avLst/>
                    </a:prstGeom>
                  </pic:spPr>
                </pic:pic>
              </a:graphicData>
            </a:graphic>
          </wp:inline>
        </w:drawing>
      </w:r>
      <w:r>
        <w:rPr>
          <w:sz w:val="20"/>
        </w:rPr>
      </w:r>
    </w:p>
    <w:p>
      <w:pPr>
        <w:spacing w:after="0"/>
        <w:rPr>
          <w:sz w:val="20"/>
        </w:rPr>
        <w:sectPr>
          <w:pgSz w:w="12240" w:h="15840"/>
          <w:pgMar w:header="0" w:footer="972" w:top="1420" w:bottom="1160" w:left="1620" w:right="1600"/>
        </w:sectPr>
      </w:pPr>
    </w:p>
    <w:p>
      <w:pPr>
        <w:pStyle w:val="Heading1"/>
        <w:numPr>
          <w:ilvl w:val="1"/>
          <w:numId w:val="21"/>
        </w:numPr>
        <w:tabs>
          <w:tab w:pos="3123" w:val="left" w:leader="none"/>
        </w:tabs>
        <w:spacing w:line="240" w:lineRule="auto" w:before="50" w:after="0"/>
        <w:ind w:left="3122" w:right="0" w:hanging="680"/>
        <w:jc w:val="left"/>
      </w:pPr>
      <w:bookmarkStart w:name="_TOC_250000" w:id="44"/>
      <w:r>
        <w:rPr/>
        <w:t>ANEXO#4. ESCALA DE</w:t>
      </w:r>
      <w:r>
        <w:rPr>
          <w:spacing w:val="-1"/>
        </w:rPr>
        <w:t> </w:t>
      </w:r>
      <w:bookmarkEnd w:id="44"/>
      <w:r>
        <w:rPr/>
        <w:t>HOLMES</w:t>
      </w:r>
    </w:p>
    <w:p>
      <w:pPr>
        <w:pStyle w:val="BodyText"/>
        <w:spacing w:before="4"/>
        <w:rPr>
          <w:b/>
        </w:rPr>
      </w:pPr>
    </w:p>
    <w:p>
      <w:pPr>
        <w:pStyle w:val="BodyText"/>
        <w:spacing w:before="1"/>
        <w:ind w:left="216"/>
      </w:pPr>
      <w:r>
        <w:rPr>
          <w:color w:val="333333"/>
        </w:rPr>
        <w:t>Seleccione los factores estresantes que ha vivido en el último año.</w:t>
      </w:r>
    </w:p>
    <w:p>
      <w:pPr>
        <w:pStyle w:val="BodyText"/>
        <w:spacing w:before="8"/>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043"/>
        <w:gridCol w:w="283"/>
      </w:tblGrid>
      <w:tr>
        <w:trPr>
          <w:trHeight w:val="240" w:hRule="exact"/>
        </w:trPr>
        <w:tc>
          <w:tcPr>
            <w:tcW w:w="9043" w:type="dxa"/>
          </w:tcPr>
          <w:p>
            <w:pPr>
              <w:pStyle w:val="TableParagraph"/>
              <w:spacing w:before="5"/>
              <w:ind w:left="105"/>
              <w:jc w:val="left"/>
              <w:rPr>
                <w:b/>
                <w:sz w:val="19"/>
              </w:rPr>
            </w:pPr>
            <w:r>
              <w:rPr>
                <w:b/>
                <w:color w:val="333333"/>
                <w:w w:val="105"/>
                <w:sz w:val="19"/>
              </w:rPr>
              <w:t>1. Muerte del cónyuge</w:t>
            </w:r>
          </w:p>
        </w:tc>
        <w:tc>
          <w:tcPr>
            <w:tcW w:w="283" w:type="dxa"/>
          </w:tcPr>
          <w:p>
            <w:pPr/>
          </w:p>
        </w:tc>
      </w:tr>
      <w:tr>
        <w:trPr>
          <w:trHeight w:val="240" w:hRule="exact"/>
        </w:trPr>
        <w:tc>
          <w:tcPr>
            <w:tcW w:w="9043" w:type="dxa"/>
          </w:tcPr>
          <w:p>
            <w:pPr>
              <w:pStyle w:val="TableParagraph"/>
              <w:spacing w:before="5"/>
              <w:ind w:left="105"/>
              <w:jc w:val="left"/>
              <w:rPr>
                <w:b/>
                <w:sz w:val="19"/>
              </w:rPr>
            </w:pPr>
            <w:r>
              <w:rPr>
                <w:b/>
                <w:color w:val="333333"/>
                <w:w w:val="105"/>
                <w:sz w:val="19"/>
              </w:rPr>
              <w:t>2. Separación matrimonial</w:t>
            </w:r>
          </w:p>
        </w:tc>
        <w:tc>
          <w:tcPr>
            <w:tcW w:w="283" w:type="dxa"/>
          </w:tcPr>
          <w:p>
            <w:pPr/>
          </w:p>
        </w:tc>
      </w:tr>
      <w:tr>
        <w:trPr>
          <w:trHeight w:val="240" w:hRule="exact"/>
        </w:trPr>
        <w:tc>
          <w:tcPr>
            <w:tcW w:w="9043" w:type="dxa"/>
          </w:tcPr>
          <w:p>
            <w:pPr>
              <w:pStyle w:val="TableParagraph"/>
              <w:spacing w:before="5"/>
              <w:ind w:left="105"/>
              <w:jc w:val="left"/>
              <w:rPr>
                <w:b/>
                <w:sz w:val="19"/>
              </w:rPr>
            </w:pPr>
            <w:r>
              <w:rPr>
                <w:b/>
                <w:color w:val="333333"/>
                <w:w w:val="105"/>
                <w:sz w:val="19"/>
              </w:rPr>
              <w:t>3. Muerte de un ser querido familiar</w:t>
            </w:r>
          </w:p>
        </w:tc>
        <w:tc>
          <w:tcPr>
            <w:tcW w:w="283" w:type="dxa"/>
          </w:tcPr>
          <w:p>
            <w:pPr/>
          </w:p>
        </w:tc>
      </w:tr>
      <w:tr>
        <w:trPr>
          <w:trHeight w:val="240" w:hRule="exact"/>
        </w:trPr>
        <w:tc>
          <w:tcPr>
            <w:tcW w:w="9043" w:type="dxa"/>
          </w:tcPr>
          <w:p>
            <w:pPr>
              <w:pStyle w:val="TableParagraph"/>
              <w:spacing w:before="5"/>
              <w:ind w:left="105"/>
              <w:jc w:val="left"/>
              <w:rPr>
                <w:b/>
                <w:sz w:val="19"/>
              </w:rPr>
            </w:pPr>
            <w:r>
              <w:rPr>
                <w:b/>
                <w:color w:val="333333"/>
                <w:w w:val="105"/>
                <w:sz w:val="19"/>
              </w:rPr>
              <w:t>4. Pérdida del trabajo</w:t>
            </w:r>
          </w:p>
        </w:tc>
        <w:tc>
          <w:tcPr>
            <w:tcW w:w="283" w:type="dxa"/>
          </w:tcPr>
          <w:p>
            <w:pPr/>
          </w:p>
        </w:tc>
      </w:tr>
      <w:tr>
        <w:trPr>
          <w:trHeight w:val="240" w:hRule="exact"/>
        </w:trPr>
        <w:tc>
          <w:tcPr>
            <w:tcW w:w="9043" w:type="dxa"/>
          </w:tcPr>
          <w:p>
            <w:pPr>
              <w:pStyle w:val="TableParagraph"/>
              <w:spacing w:before="5"/>
              <w:ind w:left="105"/>
              <w:jc w:val="left"/>
              <w:rPr>
                <w:b/>
                <w:sz w:val="19"/>
              </w:rPr>
            </w:pPr>
            <w:r>
              <w:rPr>
                <w:b/>
                <w:color w:val="333333"/>
                <w:w w:val="105"/>
                <w:sz w:val="19"/>
              </w:rPr>
              <w:t>5. Padecer una enfermedad seria</w:t>
            </w:r>
          </w:p>
        </w:tc>
        <w:tc>
          <w:tcPr>
            <w:tcW w:w="283" w:type="dxa"/>
          </w:tcPr>
          <w:p>
            <w:pPr/>
          </w:p>
        </w:tc>
      </w:tr>
      <w:tr>
        <w:trPr>
          <w:trHeight w:val="240" w:hRule="exact"/>
        </w:trPr>
        <w:tc>
          <w:tcPr>
            <w:tcW w:w="9043" w:type="dxa"/>
          </w:tcPr>
          <w:p>
            <w:pPr>
              <w:pStyle w:val="TableParagraph"/>
              <w:spacing w:before="5"/>
              <w:ind w:left="105"/>
              <w:jc w:val="left"/>
              <w:rPr>
                <w:b/>
                <w:sz w:val="19"/>
              </w:rPr>
            </w:pPr>
            <w:r>
              <w:rPr>
                <w:b/>
                <w:color w:val="333333"/>
                <w:w w:val="105"/>
                <w:sz w:val="19"/>
              </w:rPr>
              <w:t>6. Quiebra en el estado financiero</w:t>
            </w:r>
          </w:p>
        </w:tc>
        <w:tc>
          <w:tcPr>
            <w:tcW w:w="283" w:type="dxa"/>
          </w:tcPr>
          <w:p>
            <w:pPr/>
          </w:p>
        </w:tc>
      </w:tr>
      <w:tr>
        <w:trPr>
          <w:trHeight w:val="240" w:hRule="exact"/>
        </w:trPr>
        <w:tc>
          <w:tcPr>
            <w:tcW w:w="9043" w:type="dxa"/>
          </w:tcPr>
          <w:p>
            <w:pPr>
              <w:pStyle w:val="TableParagraph"/>
              <w:spacing w:before="5"/>
              <w:ind w:left="105"/>
              <w:jc w:val="left"/>
              <w:rPr>
                <w:b/>
                <w:sz w:val="19"/>
              </w:rPr>
            </w:pPr>
            <w:r>
              <w:rPr>
                <w:b/>
                <w:color w:val="333333"/>
                <w:w w:val="105"/>
                <w:sz w:val="19"/>
              </w:rPr>
              <w:t>7. Haber padecido un asalto</w:t>
            </w:r>
          </w:p>
        </w:tc>
        <w:tc>
          <w:tcPr>
            <w:tcW w:w="283" w:type="dxa"/>
          </w:tcPr>
          <w:p>
            <w:pPr/>
          </w:p>
        </w:tc>
      </w:tr>
      <w:tr>
        <w:trPr>
          <w:trHeight w:val="240" w:hRule="exact"/>
        </w:trPr>
        <w:tc>
          <w:tcPr>
            <w:tcW w:w="9043" w:type="dxa"/>
          </w:tcPr>
          <w:p>
            <w:pPr>
              <w:pStyle w:val="TableParagraph"/>
              <w:spacing w:before="5"/>
              <w:ind w:left="105"/>
              <w:jc w:val="left"/>
              <w:rPr>
                <w:b/>
                <w:sz w:val="19"/>
              </w:rPr>
            </w:pPr>
            <w:r>
              <w:rPr>
                <w:b/>
                <w:color w:val="333333"/>
                <w:w w:val="105"/>
                <w:sz w:val="19"/>
              </w:rPr>
              <w:t>8. Descenso en el rol o status laboral</w:t>
            </w:r>
          </w:p>
        </w:tc>
        <w:tc>
          <w:tcPr>
            <w:tcW w:w="283" w:type="dxa"/>
          </w:tcPr>
          <w:p>
            <w:pPr/>
          </w:p>
        </w:tc>
      </w:tr>
      <w:tr>
        <w:trPr>
          <w:trHeight w:val="470" w:hRule="exact"/>
        </w:trPr>
        <w:tc>
          <w:tcPr>
            <w:tcW w:w="9043" w:type="dxa"/>
          </w:tcPr>
          <w:p>
            <w:pPr>
              <w:pStyle w:val="TableParagraph"/>
              <w:spacing w:line="252" w:lineRule="auto" w:before="5"/>
              <w:ind w:left="105"/>
              <w:jc w:val="left"/>
              <w:rPr>
                <w:b/>
                <w:sz w:val="19"/>
              </w:rPr>
            </w:pPr>
            <w:r>
              <w:rPr>
                <w:b/>
                <w:color w:val="333333"/>
                <w:w w:val="105"/>
                <w:sz w:val="19"/>
              </w:rPr>
              <w:t>9. Problemas sexuales (impotencia, trastornos eyaculatorios, anorgasmia, fobias, crisis de identidad sexual)</w:t>
            </w:r>
          </w:p>
        </w:tc>
        <w:tc>
          <w:tcPr>
            <w:tcW w:w="283" w:type="dxa"/>
          </w:tcPr>
          <w:p>
            <w:pPr/>
          </w:p>
        </w:tc>
      </w:tr>
      <w:tr>
        <w:trPr>
          <w:trHeight w:val="240" w:hRule="exact"/>
        </w:trPr>
        <w:tc>
          <w:tcPr>
            <w:tcW w:w="9043" w:type="dxa"/>
          </w:tcPr>
          <w:p>
            <w:pPr>
              <w:pStyle w:val="TableParagraph"/>
              <w:spacing w:before="5"/>
              <w:ind w:left="105"/>
              <w:jc w:val="left"/>
              <w:rPr>
                <w:b/>
                <w:sz w:val="19"/>
              </w:rPr>
            </w:pPr>
            <w:r>
              <w:rPr>
                <w:b/>
                <w:color w:val="333333"/>
                <w:w w:val="105"/>
                <w:sz w:val="19"/>
              </w:rPr>
              <w:t>10. Ser abandonado por la pareja</w:t>
            </w:r>
          </w:p>
        </w:tc>
        <w:tc>
          <w:tcPr>
            <w:tcW w:w="283" w:type="dxa"/>
          </w:tcPr>
          <w:p>
            <w:pPr/>
          </w:p>
        </w:tc>
      </w:tr>
      <w:tr>
        <w:trPr>
          <w:trHeight w:val="240" w:hRule="exact"/>
        </w:trPr>
        <w:tc>
          <w:tcPr>
            <w:tcW w:w="9043" w:type="dxa"/>
          </w:tcPr>
          <w:p>
            <w:pPr>
              <w:pStyle w:val="TableParagraph"/>
              <w:spacing w:before="5"/>
              <w:ind w:left="105"/>
              <w:jc w:val="left"/>
              <w:rPr>
                <w:b/>
                <w:sz w:val="19"/>
              </w:rPr>
            </w:pPr>
            <w:r>
              <w:rPr>
                <w:b/>
                <w:color w:val="333333"/>
                <w:w w:val="105"/>
                <w:sz w:val="19"/>
              </w:rPr>
              <w:t>11. Jubilación</w:t>
            </w:r>
          </w:p>
        </w:tc>
        <w:tc>
          <w:tcPr>
            <w:tcW w:w="283" w:type="dxa"/>
          </w:tcPr>
          <w:p>
            <w:pPr/>
          </w:p>
        </w:tc>
      </w:tr>
      <w:tr>
        <w:trPr>
          <w:trHeight w:val="240" w:hRule="exact"/>
        </w:trPr>
        <w:tc>
          <w:tcPr>
            <w:tcW w:w="9043" w:type="dxa"/>
          </w:tcPr>
          <w:p>
            <w:pPr>
              <w:pStyle w:val="TableParagraph"/>
              <w:spacing w:before="5"/>
              <w:ind w:left="105"/>
              <w:jc w:val="left"/>
              <w:rPr>
                <w:b/>
                <w:sz w:val="19"/>
              </w:rPr>
            </w:pPr>
            <w:r>
              <w:rPr>
                <w:b/>
                <w:color w:val="333333"/>
                <w:w w:val="105"/>
                <w:sz w:val="19"/>
              </w:rPr>
              <w:t>12. Problemas judiciales</w:t>
            </w:r>
          </w:p>
        </w:tc>
        <w:tc>
          <w:tcPr>
            <w:tcW w:w="283" w:type="dxa"/>
          </w:tcPr>
          <w:p>
            <w:pPr/>
          </w:p>
        </w:tc>
      </w:tr>
      <w:tr>
        <w:trPr>
          <w:trHeight w:val="240" w:hRule="exact"/>
        </w:trPr>
        <w:tc>
          <w:tcPr>
            <w:tcW w:w="9043" w:type="dxa"/>
          </w:tcPr>
          <w:p>
            <w:pPr>
              <w:pStyle w:val="TableParagraph"/>
              <w:spacing w:before="5"/>
              <w:ind w:left="105"/>
              <w:jc w:val="left"/>
              <w:rPr>
                <w:b/>
                <w:sz w:val="19"/>
              </w:rPr>
            </w:pPr>
            <w:r>
              <w:rPr>
                <w:b/>
                <w:color w:val="333333"/>
                <w:w w:val="105"/>
                <w:sz w:val="19"/>
              </w:rPr>
              <w:t>13. Menopausia</w:t>
            </w:r>
          </w:p>
        </w:tc>
        <w:tc>
          <w:tcPr>
            <w:tcW w:w="283" w:type="dxa"/>
          </w:tcPr>
          <w:p>
            <w:pPr/>
          </w:p>
        </w:tc>
      </w:tr>
      <w:tr>
        <w:trPr>
          <w:trHeight w:val="240" w:hRule="exact"/>
        </w:trPr>
        <w:tc>
          <w:tcPr>
            <w:tcW w:w="9043" w:type="dxa"/>
          </w:tcPr>
          <w:p>
            <w:pPr>
              <w:pStyle w:val="TableParagraph"/>
              <w:spacing w:before="5"/>
              <w:ind w:left="105"/>
              <w:jc w:val="left"/>
              <w:rPr>
                <w:b/>
                <w:sz w:val="19"/>
              </w:rPr>
            </w:pPr>
            <w:r>
              <w:rPr>
                <w:b/>
                <w:color w:val="333333"/>
                <w:w w:val="105"/>
                <w:sz w:val="19"/>
              </w:rPr>
              <w:t>14. Deudas</w:t>
            </w:r>
          </w:p>
        </w:tc>
        <w:tc>
          <w:tcPr>
            <w:tcW w:w="283" w:type="dxa"/>
          </w:tcPr>
          <w:p>
            <w:pPr/>
          </w:p>
        </w:tc>
      </w:tr>
      <w:tr>
        <w:trPr>
          <w:trHeight w:val="240" w:hRule="exact"/>
        </w:trPr>
        <w:tc>
          <w:tcPr>
            <w:tcW w:w="9043" w:type="dxa"/>
          </w:tcPr>
          <w:p>
            <w:pPr>
              <w:pStyle w:val="TableParagraph"/>
              <w:spacing w:before="5"/>
              <w:ind w:left="105"/>
              <w:jc w:val="left"/>
              <w:rPr>
                <w:b/>
                <w:sz w:val="19"/>
              </w:rPr>
            </w:pPr>
            <w:r>
              <w:rPr>
                <w:b/>
                <w:color w:val="333333"/>
                <w:w w:val="105"/>
                <w:sz w:val="19"/>
              </w:rPr>
              <w:t>15. Enfermedades en un familiar</w:t>
            </w:r>
          </w:p>
        </w:tc>
        <w:tc>
          <w:tcPr>
            <w:tcW w:w="283" w:type="dxa"/>
          </w:tcPr>
          <w:p>
            <w:pPr/>
          </w:p>
        </w:tc>
      </w:tr>
      <w:tr>
        <w:trPr>
          <w:trHeight w:val="240" w:hRule="exact"/>
        </w:trPr>
        <w:tc>
          <w:tcPr>
            <w:tcW w:w="9043" w:type="dxa"/>
          </w:tcPr>
          <w:p>
            <w:pPr>
              <w:pStyle w:val="TableParagraph"/>
              <w:spacing w:before="5"/>
              <w:ind w:left="105"/>
              <w:jc w:val="left"/>
              <w:rPr>
                <w:b/>
                <w:sz w:val="19"/>
              </w:rPr>
            </w:pPr>
            <w:r>
              <w:rPr>
                <w:b/>
                <w:color w:val="333333"/>
                <w:w w:val="105"/>
                <w:sz w:val="19"/>
              </w:rPr>
              <w:t>16. Trabajar en horarios nocturnos o rotatorios</w:t>
            </w:r>
          </w:p>
        </w:tc>
        <w:tc>
          <w:tcPr>
            <w:tcW w:w="283" w:type="dxa"/>
          </w:tcPr>
          <w:p>
            <w:pPr/>
          </w:p>
        </w:tc>
      </w:tr>
      <w:tr>
        <w:trPr>
          <w:trHeight w:val="240" w:hRule="exact"/>
        </w:trPr>
        <w:tc>
          <w:tcPr>
            <w:tcW w:w="9043" w:type="dxa"/>
          </w:tcPr>
          <w:p>
            <w:pPr>
              <w:pStyle w:val="TableParagraph"/>
              <w:spacing w:before="5"/>
              <w:ind w:left="105"/>
              <w:jc w:val="left"/>
              <w:rPr>
                <w:b/>
                <w:sz w:val="19"/>
              </w:rPr>
            </w:pPr>
            <w:r>
              <w:rPr>
                <w:b/>
                <w:color w:val="333333"/>
                <w:w w:val="105"/>
                <w:sz w:val="19"/>
              </w:rPr>
              <w:t>17. Reconciliación marital</w:t>
            </w:r>
          </w:p>
        </w:tc>
        <w:tc>
          <w:tcPr>
            <w:tcW w:w="283" w:type="dxa"/>
          </w:tcPr>
          <w:p>
            <w:pPr/>
          </w:p>
        </w:tc>
      </w:tr>
      <w:tr>
        <w:trPr>
          <w:trHeight w:val="240" w:hRule="exact"/>
        </w:trPr>
        <w:tc>
          <w:tcPr>
            <w:tcW w:w="9043" w:type="dxa"/>
          </w:tcPr>
          <w:p>
            <w:pPr>
              <w:pStyle w:val="TableParagraph"/>
              <w:spacing w:before="5"/>
              <w:ind w:left="105"/>
              <w:jc w:val="left"/>
              <w:rPr>
                <w:b/>
                <w:sz w:val="19"/>
              </w:rPr>
            </w:pPr>
            <w:r>
              <w:rPr>
                <w:b/>
                <w:color w:val="333333"/>
                <w:w w:val="105"/>
                <w:sz w:val="19"/>
              </w:rPr>
              <w:t>18. Embarazo (para ambos)</w:t>
            </w:r>
          </w:p>
        </w:tc>
        <w:tc>
          <w:tcPr>
            <w:tcW w:w="283" w:type="dxa"/>
          </w:tcPr>
          <w:p>
            <w:pPr/>
          </w:p>
        </w:tc>
      </w:tr>
      <w:tr>
        <w:trPr>
          <w:trHeight w:val="240" w:hRule="exact"/>
        </w:trPr>
        <w:tc>
          <w:tcPr>
            <w:tcW w:w="9043" w:type="dxa"/>
          </w:tcPr>
          <w:p>
            <w:pPr>
              <w:pStyle w:val="TableParagraph"/>
              <w:spacing w:before="5"/>
              <w:ind w:left="105"/>
              <w:jc w:val="left"/>
              <w:rPr>
                <w:b/>
                <w:sz w:val="19"/>
              </w:rPr>
            </w:pPr>
            <w:r>
              <w:rPr>
                <w:b/>
                <w:color w:val="333333"/>
                <w:w w:val="105"/>
                <w:sz w:val="19"/>
              </w:rPr>
              <w:t>19. Nacimiento</w:t>
            </w:r>
          </w:p>
        </w:tc>
        <w:tc>
          <w:tcPr>
            <w:tcW w:w="283" w:type="dxa"/>
          </w:tcPr>
          <w:p>
            <w:pPr/>
          </w:p>
        </w:tc>
      </w:tr>
      <w:tr>
        <w:trPr>
          <w:trHeight w:val="240" w:hRule="exact"/>
        </w:trPr>
        <w:tc>
          <w:tcPr>
            <w:tcW w:w="9043" w:type="dxa"/>
          </w:tcPr>
          <w:p>
            <w:pPr>
              <w:pStyle w:val="TableParagraph"/>
              <w:spacing w:before="5"/>
              <w:ind w:left="105"/>
              <w:jc w:val="left"/>
              <w:rPr>
                <w:b/>
                <w:sz w:val="19"/>
              </w:rPr>
            </w:pPr>
            <w:r>
              <w:rPr>
                <w:b/>
                <w:color w:val="333333"/>
                <w:w w:val="105"/>
                <w:sz w:val="19"/>
              </w:rPr>
              <w:t>20. Inseguridad en el barrio donde vive o trabaja</w:t>
            </w:r>
          </w:p>
        </w:tc>
        <w:tc>
          <w:tcPr>
            <w:tcW w:w="283" w:type="dxa"/>
          </w:tcPr>
          <w:p>
            <w:pPr/>
          </w:p>
        </w:tc>
      </w:tr>
      <w:tr>
        <w:trPr>
          <w:trHeight w:val="240" w:hRule="exact"/>
        </w:trPr>
        <w:tc>
          <w:tcPr>
            <w:tcW w:w="9043" w:type="dxa"/>
          </w:tcPr>
          <w:p>
            <w:pPr>
              <w:pStyle w:val="TableParagraph"/>
              <w:spacing w:before="5"/>
              <w:ind w:left="105"/>
              <w:jc w:val="left"/>
              <w:rPr>
                <w:b/>
                <w:sz w:val="19"/>
              </w:rPr>
            </w:pPr>
            <w:r>
              <w:rPr>
                <w:b/>
                <w:color w:val="333333"/>
                <w:w w:val="105"/>
                <w:sz w:val="19"/>
              </w:rPr>
              <w:t>21. Cambio en estado financiero</w:t>
            </w:r>
          </w:p>
        </w:tc>
        <w:tc>
          <w:tcPr>
            <w:tcW w:w="283" w:type="dxa"/>
          </w:tcPr>
          <w:p>
            <w:pPr/>
          </w:p>
        </w:tc>
      </w:tr>
      <w:tr>
        <w:trPr>
          <w:trHeight w:val="240" w:hRule="exact"/>
        </w:trPr>
        <w:tc>
          <w:tcPr>
            <w:tcW w:w="9043" w:type="dxa"/>
          </w:tcPr>
          <w:p>
            <w:pPr>
              <w:pStyle w:val="TableParagraph"/>
              <w:spacing w:before="5"/>
              <w:ind w:left="105"/>
              <w:jc w:val="left"/>
              <w:rPr>
                <w:b/>
                <w:sz w:val="19"/>
              </w:rPr>
            </w:pPr>
            <w:r>
              <w:rPr>
                <w:b/>
                <w:color w:val="333333"/>
                <w:w w:val="105"/>
                <w:sz w:val="19"/>
              </w:rPr>
              <w:t>22. Fuertes discusiones familiares (con hijos o familiares políticos)</w:t>
            </w:r>
          </w:p>
        </w:tc>
        <w:tc>
          <w:tcPr>
            <w:tcW w:w="283" w:type="dxa"/>
          </w:tcPr>
          <w:p>
            <w:pPr/>
          </w:p>
        </w:tc>
      </w:tr>
      <w:tr>
        <w:trPr>
          <w:trHeight w:val="240" w:hRule="exact"/>
        </w:trPr>
        <w:tc>
          <w:tcPr>
            <w:tcW w:w="9043" w:type="dxa"/>
          </w:tcPr>
          <w:p>
            <w:pPr>
              <w:pStyle w:val="TableParagraph"/>
              <w:spacing w:before="5"/>
              <w:ind w:left="105"/>
              <w:jc w:val="left"/>
              <w:rPr>
                <w:b/>
                <w:sz w:val="19"/>
              </w:rPr>
            </w:pPr>
            <w:r>
              <w:rPr>
                <w:b/>
                <w:color w:val="333333"/>
                <w:w w:val="105"/>
                <w:sz w:val="19"/>
              </w:rPr>
              <w:t>23. Conflictos conyugales crónicos</w:t>
            </w:r>
          </w:p>
        </w:tc>
        <w:tc>
          <w:tcPr>
            <w:tcW w:w="283" w:type="dxa"/>
          </w:tcPr>
          <w:p>
            <w:pPr/>
          </w:p>
        </w:tc>
      </w:tr>
      <w:tr>
        <w:trPr>
          <w:trHeight w:val="240" w:hRule="exact"/>
        </w:trPr>
        <w:tc>
          <w:tcPr>
            <w:tcW w:w="9043" w:type="dxa"/>
          </w:tcPr>
          <w:p>
            <w:pPr>
              <w:pStyle w:val="TableParagraph"/>
              <w:spacing w:before="5"/>
              <w:ind w:left="105"/>
              <w:jc w:val="left"/>
              <w:rPr>
                <w:b/>
                <w:sz w:val="19"/>
              </w:rPr>
            </w:pPr>
            <w:r>
              <w:rPr>
                <w:b/>
                <w:color w:val="333333"/>
                <w:w w:val="105"/>
                <w:sz w:val="19"/>
              </w:rPr>
              <w:t>24. Trastornos del sueño</w:t>
            </w:r>
          </w:p>
        </w:tc>
        <w:tc>
          <w:tcPr>
            <w:tcW w:w="283" w:type="dxa"/>
          </w:tcPr>
          <w:p>
            <w:pPr/>
          </w:p>
        </w:tc>
      </w:tr>
      <w:tr>
        <w:trPr>
          <w:trHeight w:val="240" w:hRule="exact"/>
        </w:trPr>
        <w:tc>
          <w:tcPr>
            <w:tcW w:w="9043" w:type="dxa"/>
          </w:tcPr>
          <w:p>
            <w:pPr>
              <w:pStyle w:val="TableParagraph"/>
              <w:spacing w:before="5"/>
              <w:ind w:left="105"/>
              <w:jc w:val="left"/>
              <w:rPr>
                <w:b/>
                <w:sz w:val="19"/>
              </w:rPr>
            </w:pPr>
            <w:r>
              <w:rPr>
                <w:b/>
                <w:color w:val="333333"/>
                <w:w w:val="105"/>
                <w:sz w:val="19"/>
              </w:rPr>
              <w:t>25. Cambios en las tareas laborales habituales</w:t>
            </w:r>
          </w:p>
        </w:tc>
        <w:tc>
          <w:tcPr>
            <w:tcW w:w="283" w:type="dxa"/>
          </w:tcPr>
          <w:p>
            <w:pPr/>
          </w:p>
        </w:tc>
      </w:tr>
      <w:tr>
        <w:trPr>
          <w:trHeight w:val="240" w:hRule="exact"/>
        </w:trPr>
        <w:tc>
          <w:tcPr>
            <w:tcW w:w="9043" w:type="dxa"/>
          </w:tcPr>
          <w:p>
            <w:pPr>
              <w:pStyle w:val="TableParagraph"/>
              <w:spacing w:before="5"/>
              <w:ind w:left="105"/>
              <w:jc w:val="left"/>
              <w:rPr>
                <w:b/>
                <w:sz w:val="19"/>
              </w:rPr>
            </w:pPr>
            <w:r>
              <w:rPr>
                <w:b/>
                <w:color w:val="333333"/>
                <w:w w:val="105"/>
                <w:sz w:val="19"/>
              </w:rPr>
              <w:t>26. Muerte de un amigo o amante</w:t>
            </w:r>
          </w:p>
        </w:tc>
        <w:tc>
          <w:tcPr>
            <w:tcW w:w="283" w:type="dxa"/>
          </w:tcPr>
          <w:p>
            <w:pPr/>
          </w:p>
        </w:tc>
      </w:tr>
      <w:tr>
        <w:trPr>
          <w:trHeight w:val="240" w:hRule="exact"/>
        </w:trPr>
        <w:tc>
          <w:tcPr>
            <w:tcW w:w="9043" w:type="dxa"/>
          </w:tcPr>
          <w:p>
            <w:pPr>
              <w:pStyle w:val="TableParagraph"/>
              <w:spacing w:before="5"/>
              <w:ind w:left="105"/>
              <w:jc w:val="left"/>
              <w:rPr>
                <w:b/>
                <w:sz w:val="19"/>
              </w:rPr>
            </w:pPr>
            <w:r>
              <w:rPr>
                <w:b/>
                <w:color w:val="333333"/>
                <w:w w:val="105"/>
                <w:sz w:val="19"/>
              </w:rPr>
              <w:t>27. Abandono del hogar por un hijo</w:t>
            </w:r>
          </w:p>
        </w:tc>
        <w:tc>
          <w:tcPr>
            <w:tcW w:w="283" w:type="dxa"/>
          </w:tcPr>
          <w:p>
            <w:pPr/>
          </w:p>
        </w:tc>
      </w:tr>
      <w:tr>
        <w:trPr>
          <w:trHeight w:val="240" w:hRule="exact"/>
        </w:trPr>
        <w:tc>
          <w:tcPr>
            <w:tcW w:w="9043" w:type="dxa"/>
          </w:tcPr>
          <w:p>
            <w:pPr>
              <w:pStyle w:val="TableParagraph"/>
              <w:spacing w:before="5"/>
              <w:ind w:left="105"/>
              <w:jc w:val="left"/>
              <w:rPr>
                <w:b/>
                <w:sz w:val="19"/>
              </w:rPr>
            </w:pPr>
            <w:r>
              <w:rPr>
                <w:b/>
                <w:color w:val="333333"/>
                <w:w w:val="105"/>
                <w:sz w:val="19"/>
              </w:rPr>
              <w:t>28. Gran logro personal</w:t>
            </w:r>
          </w:p>
        </w:tc>
        <w:tc>
          <w:tcPr>
            <w:tcW w:w="283" w:type="dxa"/>
          </w:tcPr>
          <w:p>
            <w:pPr/>
          </w:p>
        </w:tc>
      </w:tr>
      <w:tr>
        <w:trPr>
          <w:trHeight w:val="240" w:hRule="exact"/>
        </w:trPr>
        <w:tc>
          <w:tcPr>
            <w:tcW w:w="9043" w:type="dxa"/>
          </w:tcPr>
          <w:p>
            <w:pPr>
              <w:pStyle w:val="TableParagraph"/>
              <w:spacing w:before="5"/>
              <w:ind w:left="105"/>
              <w:jc w:val="left"/>
              <w:rPr>
                <w:b/>
                <w:sz w:val="19"/>
              </w:rPr>
            </w:pPr>
            <w:r>
              <w:rPr>
                <w:b/>
                <w:color w:val="333333"/>
                <w:w w:val="105"/>
                <w:sz w:val="19"/>
              </w:rPr>
              <w:t>29. Vivir en medio urbano</w:t>
            </w:r>
          </w:p>
        </w:tc>
        <w:tc>
          <w:tcPr>
            <w:tcW w:w="283" w:type="dxa"/>
          </w:tcPr>
          <w:p>
            <w:pPr/>
          </w:p>
        </w:tc>
      </w:tr>
      <w:tr>
        <w:trPr>
          <w:trHeight w:val="240" w:hRule="exact"/>
        </w:trPr>
        <w:tc>
          <w:tcPr>
            <w:tcW w:w="9043" w:type="dxa"/>
          </w:tcPr>
          <w:p>
            <w:pPr>
              <w:pStyle w:val="TableParagraph"/>
              <w:spacing w:before="5"/>
              <w:ind w:left="105"/>
              <w:jc w:val="left"/>
              <w:rPr>
                <w:b/>
                <w:sz w:val="19"/>
              </w:rPr>
            </w:pPr>
            <w:r>
              <w:rPr>
                <w:b/>
                <w:color w:val="333333"/>
                <w:w w:val="105"/>
                <w:sz w:val="19"/>
              </w:rPr>
              <w:t>30. Trabajar más de 12 horas diarias</w:t>
            </w:r>
          </w:p>
        </w:tc>
        <w:tc>
          <w:tcPr>
            <w:tcW w:w="283" w:type="dxa"/>
          </w:tcPr>
          <w:p>
            <w:pPr/>
          </w:p>
        </w:tc>
      </w:tr>
      <w:tr>
        <w:trPr>
          <w:trHeight w:val="240" w:hRule="exact"/>
        </w:trPr>
        <w:tc>
          <w:tcPr>
            <w:tcW w:w="9043" w:type="dxa"/>
          </w:tcPr>
          <w:p>
            <w:pPr>
              <w:pStyle w:val="TableParagraph"/>
              <w:spacing w:before="5"/>
              <w:ind w:left="105"/>
              <w:jc w:val="left"/>
              <w:rPr>
                <w:b/>
                <w:sz w:val="19"/>
              </w:rPr>
            </w:pPr>
            <w:r>
              <w:rPr>
                <w:b/>
                <w:color w:val="333333"/>
                <w:w w:val="105"/>
                <w:sz w:val="19"/>
              </w:rPr>
              <w:t>31. Cónyuge termina o comienza un trabajo</w:t>
            </w:r>
          </w:p>
        </w:tc>
        <w:tc>
          <w:tcPr>
            <w:tcW w:w="283" w:type="dxa"/>
          </w:tcPr>
          <w:p>
            <w:pPr/>
          </w:p>
        </w:tc>
      </w:tr>
      <w:tr>
        <w:trPr>
          <w:trHeight w:val="240" w:hRule="exact"/>
        </w:trPr>
        <w:tc>
          <w:tcPr>
            <w:tcW w:w="9043" w:type="dxa"/>
          </w:tcPr>
          <w:p>
            <w:pPr>
              <w:pStyle w:val="TableParagraph"/>
              <w:spacing w:before="5"/>
              <w:ind w:left="105"/>
              <w:jc w:val="left"/>
              <w:rPr>
                <w:b/>
                <w:sz w:val="19"/>
              </w:rPr>
            </w:pPr>
            <w:r>
              <w:rPr>
                <w:b/>
                <w:color w:val="333333"/>
                <w:w w:val="105"/>
                <w:sz w:val="19"/>
              </w:rPr>
              <w:t>32. Problemas con el jefe</w:t>
            </w:r>
          </w:p>
        </w:tc>
        <w:tc>
          <w:tcPr>
            <w:tcW w:w="283" w:type="dxa"/>
          </w:tcPr>
          <w:p>
            <w:pPr/>
          </w:p>
        </w:tc>
      </w:tr>
      <w:tr>
        <w:trPr>
          <w:trHeight w:val="240" w:hRule="exact"/>
        </w:trPr>
        <w:tc>
          <w:tcPr>
            <w:tcW w:w="9043" w:type="dxa"/>
          </w:tcPr>
          <w:p>
            <w:pPr>
              <w:pStyle w:val="TableParagraph"/>
              <w:spacing w:before="5"/>
              <w:ind w:left="105"/>
              <w:jc w:val="left"/>
              <w:rPr>
                <w:b/>
                <w:sz w:val="19"/>
              </w:rPr>
            </w:pPr>
            <w:r>
              <w:rPr>
                <w:b/>
                <w:color w:val="333333"/>
                <w:w w:val="105"/>
                <w:sz w:val="19"/>
              </w:rPr>
              <w:t>33. Haber abandonado prácticas deportivas</w:t>
            </w:r>
          </w:p>
        </w:tc>
        <w:tc>
          <w:tcPr>
            <w:tcW w:w="283" w:type="dxa"/>
          </w:tcPr>
          <w:p>
            <w:pPr/>
          </w:p>
        </w:tc>
      </w:tr>
      <w:tr>
        <w:trPr>
          <w:trHeight w:val="240" w:hRule="exact"/>
        </w:trPr>
        <w:tc>
          <w:tcPr>
            <w:tcW w:w="9043" w:type="dxa"/>
          </w:tcPr>
          <w:p>
            <w:pPr>
              <w:pStyle w:val="TableParagraph"/>
              <w:spacing w:before="5"/>
              <w:ind w:left="105"/>
              <w:jc w:val="left"/>
              <w:rPr>
                <w:b/>
                <w:sz w:val="19"/>
              </w:rPr>
            </w:pPr>
            <w:r>
              <w:rPr>
                <w:b/>
                <w:color w:val="333333"/>
                <w:w w:val="105"/>
                <w:sz w:val="19"/>
              </w:rPr>
              <w:t>34. Viajes prolongados (más aún si son lugares muy alejados)</w:t>
            </w:r>
          </w:p>
        </w:tc>
        <w:tc>
          <w:tcPr>
            <w:tcW w:w="283" w:type="dxa"/>
          </w:tcPr>
          <w:p>
            <w:pPr/>
          </w:p>
        </w:tc>
      </w:tr>
      <w:tr>
        <w:trPr>
          <w:trHeight w:val="240" w:hRule="exact"/>
        </w:trPr>
        <w:tc>
          <w:tcPr>
            <w:tcW w:w="9043" w:type="dxa"/>
          </w:tcPr>
          <w:p>
            <w:pPr>
              <w:pStyle w:val="TableParagraph"/>
              <w:spacing w:before="5"/>
              <w:ind w:left="105"/>
              <w:jc w:val="left"/>
              <w:rPr>
                <w:b/>
                <w:sz w:val="19"/>
              </w:rPr>
            </w:pPr>
            <w:r>
              <w:rPr>
                <w:b/>
                <w:color w:val="333333"/>
                <w:w w:val="105"/>
                <w:sz w:val="19"/>
              </w:rPr>
              <w:t>35. Mudanzas</w:t>
            </w:r>
          </w:p>
        </w:tc>
        <w:tc>
          <w:tcPr>
            <w:tcW w:w="283" w:type="dxa"/>
          </w:tcPr>
          <w:p>
            <w:pPr/>
          </w:p>
        </w:tc>
      </w:tr>
      <w:tr>
        <w:trPr>
          <w:trHeight w:val="240" w:hRule="exact"/>
        </w:trPr>
        <w:tc>
          <w:tcPr>
            <w:tcW w:w="9043" w:type="dxa"/>
          </w:tcPr>
          <w:p>
            <w:pPr>
              <w:pStyle w:val="TableParagraph"/>
              <w:spacing w:before="5"/>
              <w:ind w:left="105"/>
              <w:jc w:val="left"/>
              <w:rPr>
                <w:b/>
                <w:sz w:val="19"/>
              </w:rPr>
            </w:pPr>
            <w:r>
              <w:rPr>
                <w:b/>
                <w:color w:val="333333"/>
                <w:w w:val="105"/>
                <w:sz w:val="19"/>
              </w:rPr>
              <w:t>36. Conducir un auto en ciudad por más de 3 horas</w:t>
            </w:r>
          </w:p>
        </w:tc>
        <w:tc>
          <w:tcPr>
            <w:tcW w:w="283" w:type="dxa"/>
          </w:tcPr>
          <w:p>
            <w:pPr/>
          </w:p>
        </w:tc>
      </w:tr>
      <w:tr>
        <w:trPr>
          <w:trHeight w:val="240" w:hRule="exact"/>
        </w:trPr>
        <w:tc>
          <w:tcPr>
            <w:tcW w:w="9043" w:type="dxa"/>
          </w:tcPr>
          <w:p>
            <w:pPr>
              <w:pStyle w:val="TableParagraph"/>
              <w:spacing w:before="5"/>
              <w:ind w:left="105"/>
              <w:jc w:val="left"/>
              <w:rPr>
                <w:b/>
                <w:sz w:val="19"/>
              </w:rPr>
            </w:pPr>
            <w:r>
              <w:rPr>
                <w:b/>
                <w:color w:val="333333"/>
                <w:w w:val="105"/>
                <w:sz w:val="19"/>
              </w:rPr>
              <w:t>37. Cambios en los hábitos (dieta, dejar de fumar)</w:t>
            </w:r>
          </w:p>
        </w:tc>
        <w:tc>
          <w:tcPr>
            <w:tcW w:w="283" w:type="dxa"/>
          </w:tcPr>
          <w:p>
            <w:pPr/>
          </w:p>
        </w:tc>
      </w:tr>
      <w:tr>
        <w:trPr>
          <w:trHeight w:val="240" w:hRule="exact"/>
        </w:trPr>
        <w:tc>
          <w:tcPr>
            <w:tcW w:w="9043" w:type="dxa"/>
          </w:tcPr>
          <w:p>
            <w:pPr>
              <w:pStyle w:val="TableParagraph"/>
              <w:spacing w:before="5"/>
              <w:ind w:left="105"/>
              <w:jc w:val="left"/>
              <w:rPr>
                <w:b/>
                <w:sz w:val="19"/>
              </w:rPr>
            </w:pPr>
            <w:r>
              <w:rPr>
                <w:b/>
                <w:color w:val="333333"/>
                <w:w w:val="105"/>
                <w:sz w:val="19"/>
              </w:rPr>
              <w:t>38. Cambio de carrera o de colegio</w:t>
            </w:r>
          </w:p>
        </w:tc>
        <w:tc>
          <w:tcPr>
            <w:tcW w:w="283" w:type="dxa"/>
          </w:tcPr>
          <w:p>
            <w:pPr/>
          </w:p>
        </w:tc>
      </w:tr>
      <w:tr>
        <w:trPr>
          <w:trHeight w:val="240" w:hRule="exact"/>
        </w:trPr>
        <w:tc>
          <w:tcPr>
            <w:tcW w:w="9043" w:type="dxa"/>
          </w:tcPr>
          <w:p>
            <w:pPr>
              <w:pStyle w:val="TableParagraph"/>
              <w:spacing w:before="5"/>
              <w:ind w:left="105"/>
              <w:jc w:val="left"/>
              <w:rPr>
                <w:b/>
                <w:sz w:val="19"/>
              </w:rPr>
            </w:pPr>
            <w:r>
              <w:rPr>
                <w:b/>
                <w:color w:val="333333"/>
                <w:w w:val="105"/>
                <w:sz w:val="19"/>
              </w:rPr>
              <w:t>39. Vacaciones</w:t>
            </w:r>
          </w:p>
        </w:tc>
        <w:tc>
          <w:tcPr>
            <w:tcW w:w="283" w:type="dxa"/>
          </w:tcPr>
          <w:p>
            <w:pPr/>
          </w:p>
        </w:tc>
      </w:tr>
      <w:tr>
        <w:trPr>
          <w:trHeight w:val="240" w:hRule="exact"/>
        </w:trPr>
        <w:tc>
          <w:tcPr>
            <w:tcW w:w="9043" w:type="dxa"/>
          </w:tcPr>
          <w:p>
            <w:pPr>
              <w:pStyle w:val="TableParagraph"/>
              <w:spacing w:before="5"/>
              <w:ind w:left="105"/>
              <w:jc w:val="left"/>
              <w:rPr>
                <w:b/>
                <w:sz w:val="19"/>
              </w:rPr>
            </w:pPr>
            <w:r>
              <w:rPr>
                <w:b/>
                <w:color w:val="333333"/>
                <w:w w:val="105"/>
                <w:sz w:val="19"/>
              </w:rPr>
              <w:t>40. Fiestas de fin de año</w:t>
            </w:r>
          </w:p>
        </w:tc>
        <w:tc>
          <w:tcPr>
            <w:tcW w:w="283" w:type="dxa"/>
          </w:tcPr>
          <w:p>
            <w:pPr/>
          </w:p>
        </w:tc>
      </w:tr>
    </w:tbl>
    <w:p>
      <w:pPr>
        <w:spacing w:after="0"/>
        <w:sectPr>
          <w:pgSz w:w="12240" w:h="15840"/>
          <w:pgMar w:header="0" w:footer="972" w:top="1360" w:bottom="1160" w:left="1480" w:right="1200"/>
        </w:sectPr>
      </w:pPr>
    </w:p>
    <w:p>
      <w:pPr>
        <w:pStyle w:val="Heading1"/>
        <w:numPr>
          <w:ilvl w:val="1"/>
          <w:numId w:val="21"/>
        </w:numPr>
        <w:tabs>
          <w:tab w:pos="4696" w:val="left" w:leader="none"/>
        </w:tabs>
        <w:spacing w:line="242" w:lineRule="auto" w:before="50" w:after="0"/>
        <w:ind w:left="3692" w:right="3438" w:firstLine="203"/>
        <w:jc w:val="left"/>
      </w:pPr>
      <w:r>
        <w:rPr/>
        <w:t>ANEXO #5 ESCALA DE ASSIS (Arizona Social Support Interview Schedule)</w:t>
      </w:r>
    </w:p>
    <w:p>
      <w:pPr>
        <w:pStyle w:val="BodyText"/>
        <w:rPr>
          <w:b/>
        </w:rPr>
      </w:pPr>
    </w:p>
    <w:p>
      <w:pPr>
        <w:pStyle w:val="BodyText"/>
        <w:spacing w:before="6"/>
        <w:rPr>
          <w:b/>
          <w:sz w:val="23"/>
        </w:rPr>
      </w:pPr>
    </w:p>
    <w:p>
      <w:pPr>
        <w:spacing w:before="0"/>
        <w:ind w:left="2004" w:right="1260" w:firstLine="0"/>
        <w:jc w:val="left"/>
        <w:rPr>
          <w:b/>
          <w:sz w:val="24"/>
        </w:rPr>
      </w:pPr>
      <w:r>
        <w:rPr>
          <w:b/>
          <w:sz w:val="24"/>
        </w:rPr>
        <w:t>INVENTARIO DE ENTREVISTA DEL SOPORTE SOCIAL DE ARIZONA</w:t>
      </w:r>
    </w:p>
    <w:p>
      <w:pPr>
        <w:pStyle w:val="BodyText"/>
        <w:rPr>
          <w:b/>
        </w:rPr>
      </w:pPr>
    </w:p>
    <w:p>
      <w:pPr>
        <w:spacing w:before="0"/>
        <w:ind w:left="1536" w:right="0" w:firstLine="0"/>
        <w:jc w:val="both"/>
        <w:rPr>
          <w:b/>
          <w:sz w:val="24"/>
        </w:rPr>
      </w:pPr>
      <w:r>
        <w:rPr>
          <w:b/>
          <w:sz w:val="24"/>
        </w:rPr>
        <w:t>Instrucciones</w:t>
      </w:r>
    </w:p>
    <w:p>
      <w:pPr>
        <w:pStyle w:val="BodyText"/>
        <w:spacing w:line="274" w:lineRule="exact" w:before="7"/>
        <w:ind w:left="1536" w:right="1260"/>
      </w:pPr>
      <w:r>
        <w:rPr/>
        <w:t>Nota: usar la tarjeta del Inventario de Entrevista del Soporte Social de Arizona para anotar las respuestas a las siguientes preguntas que se van a formular.</w:t>
      </w:r>
    </w:p>
    <w:p>
      <w:pPr>
        <w:pStyle w:val="BodyText"/>
        <w:spacing w:before="8"/>
        <w:rPr>
          <w:sz w:val="23"/>
        </w:rPr>
      </w:pPr>
    </w:p>
    <w:p>
      <w:pPr>
        <w:pStyle w:val="BodyText"/>
        <w:ind w:left="1536"/>
        <w:jc w:val="both"/>
      </w:pPr>
      <w:r>
        <w:rPr/>
        <w:t>Leer a los participantes:</w:t>
      </w:r>
    </w:p>
    <w:p>
      <w:pPr>
        <w:pStyle w:val="BodyText"/>
        <w:spacing w:before="2"/>
        <w:ind w:left="1536" w:right="1343"/>
        <w:jc w:val="both"/>
      </w:pPr>
      <w:r>
        <w:rPr/>
        <w:t>En los próximos minutos, me gustaría tener una idea de las personas que usted considera importante en diferentes formas. Le leeré descripciones o formas en que las personas son importantes para nosotros. Después que lea cada descripción, le pediré me de los nombres, iniciales o sobrenombres de las personas que se ajustan a dicha descripción. Esas personas pueden ser amigos, miembros de la familia, maestros, sacerdotes, doctores o cualquier persona que tal vez conozca.</w:t>
      </w:r>
    </w:p>
    <w:p>
      <w:pPr>
        <w:pStyle w:val="BodyText"/>
      </w:pPr>
    </w:p>
    <w:p>
      <w:pPr>
        <w:pStyle w:val="BodyText"/>
        <w:spacing w:line="242" w:lineRule="auto"/>
        <w:ind w:left="1536" w:right="1260" w:firstLine="60"/>
      </w:pPr>
      <w:r>
        <w:rPr/>
        <w:t>Si tiene alguna pregunta acerca de las descripciones después que yo se las lea, por favor, pregúnteme lo que quiera saber hasta que quede claro.</w:t>
      </w:r>
    </w:p>
    <w:p>
      <w:pPr>
        <w:pStyle w:val="BodyText"/>
      </w:pPr>
    </w:p>
    <w:p>
      <w:pPr>
        <w:pStyle w:val="BodyText"/>
        <w:spacing w:before="6"/>
        <w:rPr>
          <w:sz w:val="23"/>
        </w:rPr>
      </w:pPr>
    </w:p>
    <w:p>
      <w:pPr>
        <w:pStyle w:val="Heading1"/>
        <w:ind w:left="1536"/>
        <w:jc w:val="both"/>
      </w:pPr>
      <w:r>
        <w:rPr/>
        <w:t>Tarjeta de Respuestas del Inventario de Entrevista del Soporte Social de Arizona</w:t>
      </w:r>
    </w:p>
    <w:p>
      <w:pPr>
        <w:pStyle w:val="BodyText"/>
        <w:tabs>
          <w:tab w:pos="5569" w:val="left" w:leader="none"/>
        </w:tabs>
        <w:spacing w:line="275" w:lineRule="exact" w:before="2"/>
        <w:ind w:left="1536"/>
        <w:jc w:val="both"/>
      </w:pPr>
      <w:r>
        <w:rPr/>
        <w:t>Nombre: </w:t>
      </w:r>
      <w:r>
        <w:rPr>
          <w:u w:val="single"/>
        </w:rPr>
        <w:t> </w:t>
        <w:tab/>
      </w:r>
    </w:p>
    <w:p>
      <w:pPr>
        <w:pStyle w:val="BodyText"/>
        <w:tabs>
          <w:tab w:pos="7256" w:val="left" w:leader="none"/>
        </w:tabs>
        <w:spacing w:line="275" w:lineRule="exact"/>
        <w:ind w:left="1536"/>
        <w:jc w:val="both"/>
      </w:pPr>
      <w:r>
        <w:rPr/>
        <w:t>Número de Seguro Social: </w:t>
      </w:r>
      <w:r>
        <w:rPr>
          <w:u w:val="single"/>
        </w:rPr>
        <w:t> </w:t>
        <w:tab/>
      </w:r>
    </w:p>
    <w:p>
      <w:pPr>
        <w:pStyle w:val="BodyText"/>
        <w:spacing w:before="3"/>
      </w:pPr>
    </w:p>
    <w:tbl>
      <w:tblPr>
        <w:tblW w:w="0" w:type="auto"/>
        <w:jc w:val="left"/>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2"/>
        <w:gridCol w:w="355"/>
        <w:gridCol w:w="360"/>
        <w:gridCol w:w="355"/>
        <w:gridCol w:w="360"/>
        <w:gridCol w:w="360"/>
        <w:gridCol w:w="355"/>
        <w:gridCol w:w="360"/>
        <w:gridCol w:w="355"/>
        <w:gridCol w:w="360"/>
        <w:gridCol w:w="355"/>
        <w:gridCol w:w="360"/>
        <w:gridCol w:w="360"/>
        <w:gridCol w:w="355"/>
        <w:gridCol w:w="360"/>
        <w:gridCol w:w="1138"/>
        <w:gridCol w:w="758"/>
        <w:gridCol w:w="744"/>
        <w:gridCol w:w="1195"/>
        <w:gridCol w:w="1354"/>
      </w:tblGrid>
      <w:tr>
        <w:trPr>
          <w:trHeight w:val="840" w:hRule="exact"/>
        </w:trPr>
        <w:tc>
          <w:tcPr>
            <w:tcW w:w="1272" w:type="dxa"/>
          </w:tcPr>
          <w:p>
            <w:pPr>
              <w:pStyle w:val="TableParagraph"/>
              <w:tabs>
                <w:tab w:pos="891" w:val="left" w:leader="none"/>
              </w:tabs>
              <w:spacing w:line="242" w:lineRule="auto"/>
              <w:ind w:left="105" w:right="101"/>
              <w:jc w:val="left"/>
              <w:rPr>
                <w:sz w:val="24"/>
              </w:rPr>
            </w:pPr>
            <w:r>
              <w:rPr>
                <w:sz w:val="24"/>
              </w:rPr>
              <w:t>Miembros de</w:t>
              <w:tab/>
              <w:t>las</w:t>
            </w:r>
          </w:p>
          <w:p>
            <w:pPr>
              <w:pStyle w:val="TableParagraph"/>
              <w:spacing w:line="271" w:lineRule="exact"/>
              <w:ind w:left="105" w:right="101"/>
              <w:jc w:val="left"/>
              <w:rPr>
                <w:sz w:val="24"/>
              </w:rPr>
            </w:pPr>
            <w:r>
              <w:rPr>
                <w:sz w:val="24"/>
              </w:rPr>
              <w:t>Redes</w:t>
            </w:r>
          </w:p>
        </w:tc>
        <w:tc>
          <w:tcPr>
            <w:tcW w:w="715" w:type="dxa"/>
            <w:gridSpan w:val="2"/>
          </w:tcPr>
          <w:p>
            <w:pPr>
              <w:pStyle w:val="TableParagraph"/>
              <w:spacing w:before="10"/>
              <w:ind w:left="0"/>
              <w:jc w:val="left"/>
              <w:rPr>
                <w:sz w:val="23"/>
              </w:rPr>
            </w:pPr>
          </w:p>
          <w:p>
            <w:pPr>
              <w:pStyle w:val="TableParagraph"/>
              <w:ind w:left="100"/>
              <w:jc w:val="left"/>
              <w:rPr>
                <w:sz w:val="24"/>
              </w:rPr>
            </w:pPr>
            <w:r>
              <w:rPr>
                <w:sz w:val="24"/>
              </w:rPr>
              <w:t>A</w:t>
            </w:r>
          </w:p>
        </w:tc>
        <w:tc>
          <w:tcPr>
            <w:tcW w:w="715" w:type="dxa"/>
            <w:gridSpan w:val="2"/>
          </w:tcPr>
          <w:p>
            <w:pPr>
              <w:pStyle w:val="TableParagraph"/>
              <w:spacing w:before="10"/>
              <w:ind w:left="0"/>
              <w:jc w:val="left"/>
              <w:rPr>
                <w:sz w:val="23"/>
              </w:rPr>
            </w:pPr>
          </w:p>
          <w:p>
            <w:pPr>
              <w:pStyle w:val="TableParagraph"/>
              <w:ind w:left="105"/>
              <w:jc w:val="left"/>
              <w:rPr>
                <w:sz w:val="24"/>
              </w:rPr>
            </w:pPr>
            <w:r>
              <w:rPr>
                <w:sz w:val="24"/>
              </w:rPr>
              <w:t>B</w:t>
            </w:r>
          </w:p>
        </w:tc>
        <w:tc>
          <w:tcPr>
            <w:tcW w:w="715" w:type="dxa"/>
            <w:gridSpan w:val="2"/>
          </w:tcPr>
          <w:p>
            <w:pPr>
              <w:pStyle w:val="TableParagraph"/>
              <w:spacing w:before="10"/>
              <w:ind w:left="0"/>
              <w:jc w:val="left"/>
              <w:rPr>
                <w:sz w:val="23"/>
              </w:rPr>
            </w:pPr>
          </w:p>
          <w:p>
            <w:pPr>
              <w:pStyle w:val="TableParagraph"/>
              <w:ind w:left="105"/>
              <w:jc w:val="left"/>
              <w:rPr>
                <w:sz w:val="24"/>
              </w:rPr>
            </w:pPr>
            <w:r>
              <w:rPr>
                <w:sz w:val="24"/>
              </w:rPr>
              <w:t>C</w:t>
            </w:r>
          </w:p>
        </w:tc>
        <w:tc>
          <w:tcPr>
            <w:tcW w:w="715" w:type="dxa"/>
            <w:gridSpan w:val="2"/>
          </w:tcPr>
          <w:p>
            <w:pPr>
              <w:pStyle w:val="TableParagraph"/>
              <w:spacing w:before="10"/>
              <w:ind w:left="0"/>
              <w:jc w:val="left"/>
              <w:rPr>
                <w:sz w:val="23"/>
              </w:rPr>
            </w:pPr>
          </w:p>
          <w:p>
            <w:pPr>
              <w:pStyle w:val="TableParagraph"/>
              <w:ind w:left="105"/>
              <w:jc w:val="left"/>
              <w:rPr>
                <w:sz w:val="24"/>
              </w:rPr>
            </w:pPr>
            <w:r>
              <w:rPr>
                <w:sz w:val="24"/>
              </w:rPr>
              <w:t>D</w:t>
            </w:r>
          </w:p>
        </w:tc>
        <w:tc>
          <w:tcPr>
            <w:tcW w:w="715" w:type="dxa"/>
            <w:gridSpan w:val="2"/>
          </w:tcPr>
          <w:p>
            <w:pPr>
              <w:pStyle w:val="TableParagraph"/>
              <w:spacing w:before="10"/>
              <w:ind w:left="0"/>
              <w:jc w:val="left"/>
              <w:rPr>
                <w:sz w:val="23"/>
              </w:rPr>
            </w:pPr>
          </w:p>
          <w:p>
            <w:pPr>
              <w:pStyle w:val="TableParagraph"/>
              <w:ind w:left="105"/>
              <w:jc w:val="left"/>
              <w:rPr>
                <w:sz w:val="24"/>
              </w:rPr>
            </w:pPr>
            <w:r>
              <w:rPr>
                <w:sz w:val="24"/>
              </w:rPr>
              <w:t>E</w:t>
            </w:r>
          </w:p>
        </w:tc>
        <w:tc>
          <w:tcPr>
            <w:tcW w:w="720" w:type="dxa"/>
            <w:gridSpan w:val="2"/>
          </w:tcPr>
          <w:p>
            <w:pPr>
              <w:pStyle w:val="TableParagraph"/>
              <w:spacing w:before="10"/>
              <w:ind w:left="0"/>
              <w:jc w:val="left"/>
              <w:rPr>
                <w:sz w:val="23"/>
              </w:rPr>
            </w:pPr>
          </w:p>
          <w:p>
            <w:pPr>
              <w:pStyle w:val="TableParagraph"/>
              <w:ind w:left="105"/>
              <w:jc w:val="left"/>
              <w:rPr>
                <w:sz w:val="24"/>
              </w:rPr>
            </w:pPr>
            <w:r>
              <w:rPr>
                <w:sz w:val="24"/>
              </w:rPr>
              <w:t>F</w:t>
            </w:r>
          </w:p>
        </w:tc>
        <w:tc>
          <w:tcPr>
            <w:tcW w:w="715" w:type="dxa"/>
            <w:gridSpan w:val="2"/>
          </w:tcPr>
          <w:p>
            <w:pPr>
              <w:pStyle w:val="TableParagraph"/>
              <w:spacing w:before="10"/>
              <w:ind w:left="0"/>
              <w:jc w:val="left"/>
              <w:rPr>
                <w:sz w:val="23"/>
              </w:rPr>
            </w:pPr>
          </w:p>
          <w:p>
            <w:pPr>
              <w:pStyle w:val="TableParagraph"/>
              <w:ind w:left="100"/>
              <w:jc w:val="left"/>
              <w:rPr>
                <w:sz w:val="24"/>
              </w:rPr>
            </w:pPr>
            <w:r>
              <w:rPr>
                <w:sz w:val="24"/>
              </w:rPr>
              <w:t>G</w:t>
            </w:r>
          </w:p>
        </w:tc>
        <w:tc>
          <w:tcPr>
            <w:tcW w:w="1138" w:type="dxa"/>
          </w:tcPr>
          <w:p>
            <w:pPr>
              <w:pStyle w:val="TableParagraph"/>
              <w:spacing w:before="10"/>
              <w:ind w:left="0"/>
              <w:jc w:val="left"/>
              <w:rPr>
                <w:sz w:val="23"/>
              </w:rPr>
            </w:pPr>
          </w:p>
          <w:p>
            <w:pPr>
              <w:pStyle w:val="TableParagraph"/>
              <w:ind w:left="105"/>
              <w:jc w:val="left"/>
              <w:rPr>
                <w:sz w:val="24"/>
              </w:rPr>
            </w:pPr>
            <w:r>
              <w:rPr>
                <w:sz w:val="24"/>
              </w:rPr>
              <w:t>Relación</w:t>
            </w:r>
          </w:p>
        </w:tc>
        <w:tc>
          <w:tcPr>
            <w:tcW w:w="758" w:type="dxa"/>
          </w:tcPr>
          <w:p>
            <w:pPr>
              <w:pStyle w:val="TableParagraph"/>
              <w:spacing w:before="10"/>
              <w:ind w:left="0"/>
              <w:jc w:val="left"/>
              <w:rPr>
                <w:sz w:val="23"/>
              </w:rPr>
            </w:pPr>
          </w:p>
          <w:p>
            <w:pPr>
              <w:pStyle w:val="TableParagraph"/>
              <w:ind w:left="105"/>
              <w:jc w:val="left"/>
              <w:rPr>
                <w:sz w:val="24"/>
              </w:rPr>
            </w:pPr>
            <w:r>
              <w:rPr>
                <w:sz w:val="24"/>
              </w:rPr>
              <w:t>Edad</w:t>
            </w:r>
          </w:p>
        </w:tc>
        <w:tc>
          <w:tcPr>
            <w:tcW w:w="744" w:type="dxa"/>
          </w:tcPr>
          <w:p>
            <w:pPr>
              <w:pStyle w:val="TableParagraph"/>
              <w:spacing w:before="10"/>
              <w:ind w:left="0"/>
              <w:jc w:val="left"/>
              <w:rPr>
                <w:sz w:val="23"/>
              </w:rPr>
            </w:pPr>
          </w:p>
          <w:p>
            <w:pPr>
              <w:pStyle w:val="TableParagraph"/>
              <w:ind w:left="105"/>
              <w:jc w:val="left"/>
              <w:rPr>
                <w:sz w:val="24"/>
              </w:rPr>
            </w:pPr>
            <w:r>
              <w:rPr>
                <w:sz w:val="24"/>
              </w:rPr>
              <w:t>Sexo</w:t>
            </w:r>
          </w:p>
        </w:tc>
        <w:tc>
          <w:tcPr>
            <w:tcW w:w="1195" w:type="dxa"/>
          </w:tcPr>
          <w:p>
            <w:pPr>
              <w:pStyle w:val="TableParagraph"/>
              <w:spacing w:before="10"/>
              <w:ind w:left="0"/>
              <w:jc w:val="left"/>
              <w:rPr>
                <w:sz w:val="23"/>
              </w:rPr>
            </w:pPr>
          </w:p>
          <w:p>
            <w:pPr>
              <w:pStyle w:val="TableParagraph"/>
              <w:ind w:left="100"/>
              <w:jc w:val="left"/>
              <w:rPr>
                <w:sz w:val="24"/>
              </w:rPr>
            </w:pPr>
            <w:r>
              <w:rPr>
                <w:sz w:val="24"/>
              </w:rPr>
              <w:t>Distancia</w:t>
            </w:r>
          </w:p>
        </w:tc>
        <w:tc>
          <w:tcPr>
            <w:tcW w:w="1354" w:type="dxa"/>
          </w:tcPr>
          <w:p>
            <w:pPr>
              <w:pStyle w:val="TableParagraph"/>
              <w:spacing w:before="10"/>
              <w:ind w:left="0"/>
              <w:jc w:val="left"/>
              <w:rPr>
                <w:sz w:val="23"/>
              </w:rPr>
            </w:pPr>
          </w:p>
          <w:p>
            <w:pPr>
              <w:pStyle w:val="TableParagraph"/>
              <w:ind w:left="105"/>
              <w:jc w:val="left"/>
              <w:rPr>
                <w:sz w:val="24"/>
              </w:rPr>
            </w:pPr>
            <w:r>
              <w:rPr>
                <w:sz w:val="24"/>
              </w:rPr>
              <w:t>Frecuencia</w:t>
            </w:r>
          </w:p>
        </w:tc>
      </w:tr>
      <w:tr>
        <w:trPr>
          <w:trHeight w:val="283" w:hRule="exact"/>
        </w:trPr>
        <w:tc>
          <w:tcPr>
            <w:tcW w:w="1272" w:type="dxa"/>
          </w:tcPr>
          <w:p>
            <w:pPr/>
          </w:p>
        </w:tc>
        <w:tc>
          <w:tcPr>
            <w:tcW w:w="355" w:type="dxa"/>
          </w:tcPr>
          <w:p>
            <w:pPr>
              <w:pStyle w:val="TableParagraph"/>
              <w:spacing w:line="273" w:lineRule="exact"/>
              <w:ind w:left="100"/>
              <w:jc w:val="left"/>
              <w:rPr>
                <w:sz w:val="24"/>
              </w:rPr>
            </w:pPr>
            <w:r>
              <w:rPr>
                <w:sz w:val="24"/>
              </w:rPr>
              <w:t>1</w:t>
            </w:r>
          </w:p>
        </w:tc>
        <w:tc>
          <w:tcPr>
            <w:tcW w:w="360" w:type="dxa"/>
          </w:tcPr>
          <w:p>
            <w:pPr>
              <w:pStyle w:val="TableParagraph"/>
              <w:spacing w:line="273" w:lineRule="exact"/>
              <w:ind w:left="105"/>
              <w:jc w:val="left"/>
              <w:rPr>
                <w:sz w:val="24"/>
              </w:rPr>
            </w:pPr>
            <w:r>
              <w:rPr>
                <w:sz w:val="24"/>
              </w:rPr>
              <w:t>2</w:t>
            </w:r>
          </w:p>
        </w:tc>
        <w:tc>
          <w:tcPr>
            <w:tcW w:w="355" w:type="dxa"/>
          </w:tcPr>
          <w:p>
            <w:pPr>
              <w:pStyle w:val="TableParagraph"/>
              <w:spacing w:line="273" w:lineRule="exact"/>
              <w:ind w:left="105"/>
              <w:jc w:val="left"/>
              <w:rPr>
                <w:sz w:val="24"/>
              </w:rPr>
            </w:pPr>
            <w:r>
              <w:rPr>
                <w:sz w:val="24"/>
              </w:rPr>
              <w:t>1</w:t>
            </w:r>
          </w:p>
        </w:tc>
        <w:tc>
          <w:tcPr>
            <w:tcW w:w="360" w:type="dxa"/>
          </w:tcPr>
          <w:p>
            <w:pPr>
              <w:pStyle w:val="TableParagraph"/>
              <w:spacing w:line="273" w:lineRule="exact"/>
              <w:ind w:left="105"/>
              <w:jc w:val="left"/>
              <w:rPr>
                <w:sz w:val="24"/>
              </w:rPr>
            </w:pPr>
            <w:r>
              <w:rPr>
                <w:sz w:val="24"/>
              </w:rPr>
              <w:t>2</w:t>
            </w:r>
          </w:p>
        </w:tc>
        <w:tc>
          <w:tcPr>
            <w:tcW w:w="360" w:type="dxa"/>
          </w:tcPr>
          <w:p>
            <w:pPr>
              <w:pStyle w:val="TableParagraph"/>
              <w:spacing w:line="273" w:lineRule="exact"/>
              <w:ind w:left="105"/>
              <w:jc w:val="left"/>
              <w:rPr>
                <w:sz w:val="24"/>
              </w:rPr>
            </w:pPr>
            <w:r>
              <w:rPr>
                <w:sz w:val="24"/>
              </w:rPr>
              <w:t>1</w:t>
            </w:r>
          </w:p>
        </w:tc>
        <w:tc>
          <w:tcPr>
            <w:tcW w:w="355" w:type="dxa"/>
          </w:tcPr>
          <w:p>
            <w:pPr>
              <w:pStyle w:val="TableParagraph"/>
              <w:spacing w:line="273" w:lineRule="exact"/>
              <w:ind w:left="100"/>
              <w:jc w:val="left"/>
              <w:rPr>
                <w:sz w:val="24"/>
              </w:rPr>
            </w:pPr>
            <w:r>
              <w:rPr>
                <w:sz w:val="24"/>
              </w:rPr>
              <w:t>2</w:t>
            </w:r>
          </w:p>
        </w:tc>
        <w:tc>
          <w:tcPr>
            <w:tcW w:w="360" w:type="dxa"/>
          </w:tcPr>
          <w:p>
            <w:pPr>
              <w:pStyle w:val="TableParagraph"/>
              <w:spacing w:line="273" w:lineRule="exact"/>
              <w:ind w:left="105"/>
              <w:jc w:val="left"/>
              <w:rPr>
                <w:sz w:val="24"/>
              </w:rPr>
            </w:pPr>
            <w:r>
              <w:rPr>
                <w:sz w:val="24"/>
              </w:rPr>
              <w:t>1</w:t>
            </w:r>
          </w:p>
        </w:tc>
        <w:tc>
          <w:tcPr>
            <w:tcW w:w="355" w:type="dxa"/>
          </w:tcPr>
          <w:p>
            <w:pPr>
              <w:pStyle w:val="TableParagraph"/>
              <w:spacing w:line="273" w:lineRule="exact"/>
              <w:ind w:left="105"/>
              <w:jc w:val="left"/>
              <w:rPr>
                <w:sz w:val="24"/>
              </w:rPr>
            </w:pPr>
            <w:r>
              <w:rPr>
                <w:sz w:val="24"/>
              </w:rPr>
              <w:t>2</w:t>
            </w:r>
          </w:p>
        </w:tc>
        <w:tc>
          <w:tcPr>
            <w:tcW w:w="360" w:type="dxa"/>
          </w:tcPr>
          <w:p>
            <w:pPr>
              <w:pStyle w:val="TableParagraph"/>
              <w:spacing w:line="273" w:lineRule="exact"/>
              <w:ind w:left="105"/>
              <w:jc w:val="left"/>
              <w:rPr>
                <w:sz w:val="24"/>
              </w:rPr>
            </w:pPr>
            <w:r>
              <w:rPr>
                <w:sz w:val="24"/>
              </w:rPr>
              <w:t>1</w:t>
            </w:r>
          </w:p>
        </w:tc>
        <w:tc>
          <w:tcPr>
            <w:tcW w:w="355" w:type="dxa"/>
          </w:tcPr>
          <w:p>
            <w:pPr>
              <w:pStyle w:val="TableParagraph"/>
              <w:spacing w:line="273" w:lineRule="exact"/>
              <w:ind w:left="105"/>
              <w:jc w:val="left"/>
              <w:rPr>
                <w:sz w:val="24"/>
              </w:rPr>
            </w:pPr>
            <w:r>
              <w:rPr>
                <w:sz w:val="24"/>
              </w:rPr>
              <w:t>2</w:t>
            </w:r>
          </w:p>
        </w:tc>
        <w:tc>
          <w:tcPr>
            <w:tcW w:w="360" w:type="dxa"/>
          </w:tcPr>
          <w:p>
            <w:pPr>
              <w:pStyle w:val="TableParagraph"/>
              <w:spacing w:line="273" w:lineRule="exact"/>
              <w:ind w:left="105"/>
              <w:jc w:val="left"/>
              <w:rPr>
                <w:sz w:val="24"/>
              </w:rPr>
            </w:pPr>
            <w:r>
              <w:rPr>
                <w:sz w:val="24"/>
              </w:rPr>
              <w:t>1</w:t>
            </w:r>
          </w:p>
        </w:tc>
        <w:tc>
          <w:tcPr>
            <w:tcW w:w="360" w:type="dxa"/>
          </w:tcPr>
          <w:p>
            <w:pPr>
              <w:pStyle w:val="TableParagraph"/>
              <w:spacing w:line="273" w:lineRule="exact"/>
              <w:ind w:left="105"/>
              <w:jc w:val="left"/>
              <w:rPr>
                <w:sz w:val="24"/>
              </w:rPr>
            </w:pPr>
            <w:r>
              <w:rPr>
                <w:sz w:val="24"/>
              </w:rPr>
              <w:t>2</w:t>
            </w:r>
          </w:p>
        </w:tc>
        <w:tc>
          <w:tcPr>
            <w:tcW w:w="355" w:type="dxa"/>
          </w:tcPr>
          <w:p>
            <w:pPr>
              <w:pStyle w:val="TableParagraph"/>
              <w:spacing w:line="273" w:lineRule="exact"/>
              <w:ind w:left="100"/>
              <w:jc w:val="left"/>
              <w:rPr>
                <w:sz w:val="24"/>
              </w:rPr>
            </w:pPr>
            <w:r>
              <w:rPr>
                <w:sz w:val="24"/>
              </w:rPr>
              <w:t>1</w:t>
            </w:r>
          </w:p>
        </w:tc>
        <w:tc>
          <w:tcPr>
            <w:tcW w:w="360" w:type="dxa"/>
          </w:tcPr>
          <w:p>
            <w:pPr>
              <w:pStyle w:val="TableParagraph"/>
              <w:spacing w:line="273" w:lineRule="exact"/>
              <w:ind w:left="105"/>
              <w:jc w:val="left"/>
              <w:rPr>
                <w:sz w:val="24"/>
              </w:rPr>
            </w:pPr>
            <w:r>
              <w:rPr>
                <w:sz w:val="24"/>
              </w:rPr>
              <w:t>2</w:t>
            </w:r>
          </w:p>
        </w:tc>
        <w:tc>
          <w:tcPr>
            <w:tcW w:w="1138" w:type="dxa"/>
          </w:tcPr>
          <w:p>
            <w:pPr/>
          </w:p>
        </w:tc>
        <w:tc>
          <w:tcPr>
            <w:tcW w:w="758" w:type="dxa"/>
          </w:tcPr>
          <w:p>
            <w:pPr/>
          </w:p>
        </w:tc>
        <w:tc>
          <w:tcPr>
            <w:tcW w:w="744" w:type="dxa"/>
          </w:tcPr>
          <w:p>
            <w:pPr/>
          </w:p>
        </w:tc>
        <w:tc>
          <w:tcPr>
            <w:tcW w:w="1195" w:type="dxa"/>
          </w:tcPr>
          <w:p>
            <w:pPr/>
          </w:p>
        </w:tc>
        <w:tc>
          <w:tcPr>
            <w:tcW w:w="1354" w:type="dxa"/>
          </w:tcPr>
          <w:p>
            <w:pPr/>
          </w:p>
        </w:tc>
      </w:tr>
      <w:tr>
        <w:trPr>
          <w:trHeight w:val="288" w:hRule="exact"/>
        </w:trPr>
        <w:tc>
          <w:tcPr>
            <w:tcW w:w="1272" w:type="dxa"/>
          </w:tcPr>
          <w:p>
            <w:pPr>
              <w:pStyle w:val="TableParagraph"/>
              <w:spacing w:line="273" w:lineRule="exact"/>
              <w:ind w:left="105" w:right="101"/>
              <w:jc w:val="left"/>
              <w:rPr>
                <w:sz w:val="24"/>
              </w:rPr>
            </w:pPr>
            <w:r>
              <w:rPr>
                <w:sz w:val="24"/>
              </w:rPr>
              <w:t>1.</w:t>
            </w:r>
          </w:p>
        </w:tc>
        <w:tc>
          <w:tcPr>
            <w:tcW w:w="355" w:type="dxa"/>
          </w:tcPr>
          <w:p>
            <w:pPr/>
          </w:p>
        </w:tc>
        <w:tc>
          <w:tcPr>
            <w:tcW w:w="360" w:type="dxa"/>
          </w:tcPr>
          <w:p>
            <w:pPr/>
          </w:p>
        </w:tc>
        <w:tc>
          <w:tcPr>
            <w:tcW w:w="355" w:type="dxa"/>
          </w:tcPr>
          <w:p>
            <w:pPr/>
          </w:p>
        </w:tc>
        <w:tc>
          <w:tcPr>
            <w:tcW w:w="360" w:type="dxa"/>
          </w:tcPr>
          <w:p>
            <w:pPr/>
          </w:p>
        </w:tc>
        <w:tc>
          <w:tcPr>
            <w:tcW w:w="360" w:type="dxa"/>
          </w:tcPr>
          <w:p>
            <w:pPr/>
          </w:p>
        </w:tc>
        <w:tc>
          <w:tcPr>
            <w:tcW w:w="355" w:type="dxa"/>
          </w:tcPr>
          <w:p>
            <w:pPr/>
          </w:p>
        </w:tc>
        <w:tc>
          <w:tcPr>
            <w:tcW w:w="360" w:type="dxa"/>
          </w:tcPr>
          <w:p>
            <w:pPr/>
          </w:p>
        </w:tc>
        <w:tc>
          <w:tcPr>
            <w:tcW w:w="355" w:type="dxa"/>
          </w:tcPr>
          <w:p>
            <w:pPr/>
          </w:p>
        </w:tc>
        <w:tc>
          <w:tcPr>
            <w:tcW w:w="360" w:type="dxa"/>
          </w:tcPr>
          <w:p>
            <w:pPr/>
          </w:p>
        </w:tc>
        <w:tc>
          <w:tcPr>
            <w:tcW w:w="355" w:type="dxa"/>
          </w:tcPr>
          <w:p>
            <w:pPr/>
          </w:p>
        </w:tc>
        <w:tc>
          <w:tcPr>
            <w:tcW w:w="360" w:type="dxa"/>
          </w:tcPr>
          <w:p>
            <w:pPr/>
          </w:p>
        </w:tc>
        <w:tc>
          <w:tcPr>
            <w:tcW w:w="360" w:type="dxa"/>
          </w:tcPr>
          <w:p>
            <w:pPr/>
          </w:p>
        </w:tc>
        <w:tc>
          <w:tcPr>
            <w:tcW w:w="355" w:type="dxa"/>
          </w:tcPr>
          <w:p>
            <w:pPr/>
          </w:p>
        </w:tc>
        <w:tc>
          <w:tcPr>
            <w:tcW w:w="360" w:type="dxa"/>
          </w:tcPr>
          <w:p>
            <w:pPr/>
          </w:p>
        </w:tc>
        <w:tc>
          <w:tcPr>
            <w:tcW w:w="1138" w:type="dxa"/>
          </w:tcPr>
          <w:p>
            <w:pPr/>
          </w:p>
        </w:tc>
        <w:tc>
          <w:tcPr>
            <w:tcW w:w="758" w:type="dxa"/>
          </w:tcPr>
          <w:p>
            <w:pPr/>
          </w:p>
        </w:tc>
        <w:tc>
          <w:tcPr>
            <w:tcW w:w="744" w:type="dxa"/>
          </w:tcPr>
          <w:p>
            <w:pPr/>
          </w:p>
        </w:tc>
        <w:tc>
          <w:tcPr>
            <w:tcW w:w="1195" w:type="dxa"/>
          </w:tcPr>
          <w:p>
            <w:pPr/>
          </w:p>
        </w:tc>
        <w:tc>
          <w:tcPr>
            <w:tcW w:w="1354" w:type="dxa"/>
          </w:tcPr>
          <w:p>
            <w:pPr/>
          </w:p>
        </w:tc>
      </w:tr>
      <w:tr>
        <w:trPr>
          <w:trHeight w:val="283" w:hRule="exact"/>
        </w:trPr>
        <w:tc>
          <w:tcPr>
            <w:tcW w:w="1272" w:type="dxa"/>
          </w:tcPr>
          <w:p>
            <w:pPr>
              <w:pStyle w:val="TableParagraph"/>
              <w:spacing w:line="273" w:lineRule="exact"/>
              <w:ind w:left="105" w:right="101"/>
              <w:jc w:val="left"/>
              <w:rPr>
                <w:sz w:val="24"/>
              </w:rPr>
            </w:pPr>
            <w:r>
              <w:rPr>
                <w:sz w:val="24"/>
              </w:rPr>
              <w:t>2.</w:t>
            </w:r>
          </w:p>
        </w:tc>
        <w:tc>
          <w:tcPr>
            <w:tcW w:w="355" w:type="dxa"/>
          </w:tcPr>
          <w:p>
            <w:pPr/>
          </w:p>
        </w:tc>
        <w:tc>
          <w:tcPr>
            <w:tcW w:w="360" w:type="dxa"/>
          </w:tcPr>
          <w:p>
            <w:pPr/>
          </w:p>
        </w:tc>
        <w:tc>
          <w:tcPr>
            <w:tcW w:w="355" w:type="dxa"/>
          </w:tcPr>
          <w:p>
            <w:pPr/>
          </w:p>
        </w:tc>
        <w:tc>
          <w:tcPr>
            <w:tcW w:w="360" w:type="dxa"/>
          </w:tcPr>
          <w:p>
            <w:pPr/>
          </w:p>
        </w:tc>
        <w:tc>
          <w:tcPr>
            <w:tcW w:w="360" w:type="dxa"/>
          </w:tcPr>
          <w:p>
            <w:pPr/>
          </w:p>
        </w:tc>
        <w:tc>
          <w:tcPr>
            <w:tcW w:w="355" w:type="dxa"/>
          </w:tcPr>
          <w:p>
            <w:pPr/>
          </w:p>
        </w:tc>
        <w:tc>
          <w:tcPr>
            <w:tcW w:w="360" w:type="dxa"/>
          </w:tcPr>
          <w:p>
            <w:pPr/>
          </w:p>
        </w:tc>
        <w:tc>
          <w:tcPr>
            <w:tcW w:w="355" w:type="dxa"/>
          </w:tcPr>
          <w:p>
            <w:pPr/>
          </w:p>
        </w:tc>
        <w:tc>
          <w:tcPr>
            <w:tcW w:w="360" w:type="dxa"/>
          </w:tcPr>
          <w:p>
            <w:pPr/>
          </w:p>
        </w:tc>
        <w:tc>
          <w:tcPr>
            <w:tcW w:w="355" w:type="dxa"/>
          </w:tcPr>
          <w:p>
            <w:pPr/>
          </w:p>
        </w:tc>
        <w:tc>
          <w:tcPr>
            <w:tcW w:w="360" w:type="dxa"/>
          </w:tcPr>
          <w:p>
            <w:pPr/>
          </w:p>
        </w:tc>
        <w:tc>
          <w:tcPr>
            <w:tcW w:w="360" w:type="dxa"/>
          </w:tcPr>
          <w:p>
            <w:pPr/>
          </w:p>
        </w:tc>
        <w:tc>
          <w:tcPr>
            <w:tcW w:w="355" w:type="dxa"/>
          </w:tcPr>
          <w:p>
            <w:pPr/>
          </w:p>
        </w:tc>
        <w:tc>
          <w:tcPr>
            <w:tcW w:w="360" w:type="dxa"/>
          </w:tcPr>
          <w:p>
            <w:pPr/>
          </w:p>
        </w:tc>
        <w:tc>
          <w:tcPr>
            <w:tcW w:w="1138" w:type="dxa"/>
          </w:tcPr>
          <w:p>
            <w:pPr/>
          </w:p>
        </w:tc>
        <w:tc>
          <w:tcPr>
            <w:tcW w:w="758" w:type="dxa"/>
          </w:tcPr>
          <w:p>
            <w:pPr/>
          </w:p>
        </w:tc>
        <w:tc>
          <w:tcPr>
            <w:tcW w:w="744" w:type="dxa"/>
          </w:tcPr>
          <w:p>
            <w:pPr/>
          </w:p>
        </w:tc>
        <w:tc>
          <w:tcPr>
            <w:tcW w:w="1195" w:type="dxa"/>
          </w:tcPr>
          <w:p>
            <w:pPr/>
          </w:p>
        </w:tc>
        <w:tc>
          <w:tcPr>
            <w:tcW w:w="1354" w:type="dxa"/>
          </w:tcPr>
          <w:p>
            <w:pPr/>
          </w:p>
        </w:tc>
      </w:tr>
      <w:tr>
        <w:trPr>
          <w:trHeight w:val="288" w:hRule="exact"/>
        </w:trPr>
        <w:tc>
          <w:tcPr>
            <w:tcW w:w="1272" w:type="dxa"/>
          </w:tcPr>
          <w:p>
            <w:pPr>
              <w:pStyle w:val="TableParagraph"/>
              <w:spacing w:line="273" w:lineRule="exact"/>
              <w:ind w:left="105" w:right="101"/>
              <w:jc w:val="left"/>
              <w:rPr>
                <w:sz w:val="24"/>
              </w:rPr>
            </w:pPr>
            <w:r>
              <w:rPr>
                <w:sz w:val="24"/>
              </w:rPr>
              <w:t>3.</w:t>
            </w:r>
          </w:p>
        </w:tc>
        <w:tc>
          <w:tcPr>
            <w:tcW w:w="355" w:type="dxa"/>
          </w:tcPr>
          <w:p>
            <w:pPr/>
          </w:p>
        </w:tc>
        <w:tc>
          <w:tcPr>
            <w:tcW w:w="360" w:type="dxa"/>
          </w:tcPr>
          <w:p>
            <w:pPr/>
          </w:p>
        </w:tc>
        <w:tc>
          <w:tcPr>
            <w:tcW w:w="355" w:type="dxa"/>
          </w:tcPr>
          <w:p>
            <w:pPr/>
          </w:p>
        </w:tc>
        <w:tc>
          <w:tcPr>
            <w:tcW w:w="360" w:type="dxa"/>
          </w:tcPr>
          <w:p>
            <w:pPr/>
          </w:p>
        </w:tc>
        <w:tc>
          <w:tcPr>
            <w:tcW w:w="360" w:type="dxa"/>
          </w:tcPr>
          <w:p>
            <w:pPr/>
          </w:p>
        </w:tc>
        <w:tc>
          <w:tcPr>
            <w:tcW w:w="355" w:type="dxa"/>
          </w:tcPr>
          <w:p>
            <w:pPr/>
          </w:p>
        </w:tc>
        <w:tc>
          <w:tcPr>
            <w:tcW w:w="360" w:type="dxa"/>
          </w:tcPr>
          <w:p>
            <w:pPr/>
          </w:p>
        </w:tc>
        <w:tc>
          <w:tcPr>
            <w:tcW w:w="355" w:type="dxa"/>
          </w:tcPr>
          <w:p>
            <w:pPr/>
          </w:p>
        </w:tc>
        <w:tc>
          <w:tcPr>
            <w:tcW w:w="360" w:type="dxa"/>
          </w:tcPr>
          <w:p>
            <w:pPr/>
          </w:p>
        </w:tc>
        <w:tc>
          <w:tcPr>
            <w:tcW w:w="355" w:type="dxa"/>
          </w:tcPr>
          <w:p>
            <w:pPr/>
          </w:p>
        </w:tc>
        <w:tc>
          <w:tcPr>
            <w:tcW w:w="360" w:type="dxa"/>
          </w:tcPr>
          <w:p>
            <w:pPr/>
          </w:p>
        </w:tc>
        <w:tc>
          <w:tcPr>
            <w:tcW w:w="360" w:type="dxa"/>
          </w:tcPr>
          <w:p>
            <w:pPr/>
          </w:p>
        </w:tc>
        <w:tc>
          <w:tcPr>
            <w:tcW w:w="355" w:type="dxa"/>
          </w:tcPr>
          <w:p>
            <w:pPr/>
          </w:p>
        </w:tc>
        <w:tc>
          <w:tcPr>
            <w:tcW w:w="360" w:type="dxa"/>
          </w:tcPr>
          <w:p>
            <w:pPr/>
          </w:p>
        </w:tc>
        <w:tc>
          <w:tcPr>
            <w:tcW w:w="1138" w:type="dxa"/>
          </w:tcPr>
          <w:p>
            <w:pPr/>
          </w:p>
        </w:tc>
        <w:tc>
          <w:tcPr>
            <w:tcW w:w="758" w:type="dxa"/>
          </w:tcPr>
          <w:p>
            <w:pPr/>
          </w:p>
        </w:tc>
        <w:tc>
          <w:tcPr>
            <w:tcW w:w="744" w:type="dxa"/>
          </w:tcPr>
          <w:p>
            <w:pPr/>
          </w:p>
        </w:tc>
        <w:tc>
          <w:tcPr>
            <w:tcW w:w="1195" w:type="dxa"/>
          </w:tcPr>
          <w:p>
            <w:pPr/>
          </w:p>
        </w:tc>
        <w:tc>
          <w:tcPr>
            <w:tcW w:w="1354" w:type="dxa"/>
          </w:tcPr>
          <w:p>
            <w:pPr/>
          </w:p>
        </w:tc>
      </w:tr>
      <w:tr>
        <w:trPr>
          <w:trHeight w:val="288" w:hRule="exact"/>
        </w:trPr>
        <w:tc>
          <w:tcPr>
            <w:tcW w:w="1272" w:type="dxa"/>
          </w:tcPr>
          <w:p>
            <w:pPr>
              <w:pStyle w:val="TableParagraph"/>
              <w:spacing w:line="273" w:lineRule="exact"/>
              <w:ind w:left="105" w:right="101"/>
              <w:jc w:val="left"/>
              <w:rPr>
                <w:sz w:val="24"/>
              </w:rPr>
            </w:pPr>
            <w:r>
              <w:rPr>
                <w:sz w:val="24"/>
              </w:rPr>
              <w:t>4.</w:t>
            </w:r>
          </w:p>
        </w:tc>
        <w:tc>
          <w:tcPr>
            <w:tcW w:w="355" w:type="dxa"/>
          </w:tcPr>
          <w:p>
            <w:pPr/>
          </w:p>
        </w:tc>
        <w:tc>
          <w:tcPr>
            <w:tcW w:w="360" w:type="dxa"/>
          </w:tcPr>
          <w:p>
            <w:pPr/>
          </w:p>
        </w:tc>
        <w:tc>
          <w:tcPr>
            <w:tcW w:w="355" w:type="dxa"/>
          </w:tcPr>
          <w:p>
            <w:pPr/>
          </w:p>
        </w:tc>
        <w:tc>
          <w:tcPr>
            <w:tcW w:w="360" w:type="dxa"/>
          </w:tcPr>
          <w:p>
            <w:pPr/>
          </w:p>
        </w:tc>
        <w:tc>
          <w:tcPr>
            <w:tcW w:w="360" w:type="dxa"/>
          </w:tcPr>
          <w:p>
            <w:pPr/>
          </w:p>
        </w:tc>
        <w:tc>
          <w:tcPr>
            <w:tcW w:w="355" w:type="dxa"/>
          </w:tcPr>
          <w:p>
            <w:pPr/>
          </w:p>
        </w:tc>
        <w:tc>
          <w:tcPr>
            <w:tcW w:w="360" w:type="dxa"/>
          </w:tcPr>
          <w:p>
            <w:pPr/>
          </w:p>
        </w:tc>
        <w:tc>
          <w:tcPr>
            <w:tcW w:w="355" w:type="dxa"/>
          </w:tcPr>
          <w:p>
            <w:pPr/>
          </w:p>
        </w:tc>
        <w:tc>
          <w:tcPr>
            <w:tcW w:w="360" w:type="dxa"/>
          </w:tcPr>
          <w:p>
            <w:pPr/>
          </w:p>
        </w:tc>
        <w:tc>
          <w:tcPr>
            <w:tcW w:w="355" w:type="dxa"/>
          </w:tcPr>
          <w:p>
            <w:pPr/>
          </w:p>
        </w:tc>
        <w:tc>
          <w:tcPr>
            <w:tcW w:w="360" w:type="dxa"/>
          </w:tcPr>
          <w:p>
            <w:pPr/>
          </w:p>
        </w:tc>
        <w:tc>
          <w:tcPr>
            <w:tcW w:w="360" w:type="dxa"/>
          </w:tcPr>
          <w:p>
            <w:pPr/>
          </w:p>
        </w:tc>
        <w:tc>
          <w:tcPr>
            <w:tcW w:w="355" w:type="dxa"/>
          </w:tcPr>
          <w:p>
            <w:pPr/>
          </w:p>
        </w:tc>
        <w:tc>
          <w:tcPr>
            <w:tcW w:w="360" w:type="dxa"/>
          </w:tcPr>
          <w:p>
            <w:pPr/>
          </w:p>
        </w:tc>
        <w:tc>
          <w:tcPr>
            <w:tcW w:w="1138" w:type="dxa"/>
          </w:tcPr>
          <w:p>
            <w:pPr/>
          </w:p>
        </w:tc>
        <w:tc>
          <w:tcPr>
            <w:tcW w:w="758" w:type="dxa"/>
          </w:tcPr>
          <w:p>
            <w:pPr/>
          </w:p>
        </w:tc>
        <w:tc>
          <w:tcPr>
            <w:tcW w:w="744" w:type="dxa"/>
          </w:tcPr>
          <w:p>
            <w:pPr/>
          </w:p>
        </w:tc>
        <w:tc>
          <w:tcPr>
            <w:tcW w:w="1195" w:type="dxa"/>
          </w:tcPr>
          <w:p>
            <w:pPr/>
          </w:p>
        </w:tc>
        <w:tc>
          <w:tcPr>
            <w:tcW w:w="1354" w:type="dxa"/>
          </w:tcPr>
          <w:p>
            <w:pPr/>
          </w:p>
        </w:tc>
      </w:tr>
      <w:tr>
        <w:trPr>
          <w:trHeight w:val="283" w:hRule="exact"/>
        </w:trPr>
        <w:tc>
          <w:tcPr>
            <w:tcW w:w="1272" w:type="dxa"/>
          </w:tcPr>
          <w:p>
            <w:pPr>
              <w:pStyle w:val="TableParagraph"/>
              <w:spacing w:line="273" w:lineRule="exact"/>
              <w:ind w:left="105" w:right="101"/>
              <w:jc w:val="left"/>
              <w:rPr>
                <w:sz w:val="24"/>
              </w:rPr>
            </w:pPr>
            <w:r>
              <w:rPr>
                <w:sz w:val="24"/>
              </w:rPr>
              <w:t>5.</w:t>
            </w:r>
          </w:p>
        </w:tc>
        <w:tc>
          <w:tcPr>
            <w:tcW w:w="355" w:type="dxa"/>
          </w:tcPr>
          <w:p>
            <w:pPr/>
          </w:p>
        </w:tc>
        <w:tc>
          <w:tcPr>
            <w:tcW w:w="360" w:type="dxa"/>
          </w:tcPr>
          <w:p>
            <w:pPr/>
          </w:p>
        </w:tc>
        <w:tc>
          <w:tcPr>
            <w:tcW w:w="355" w:type="dxa"/>
          </w:tcPr>
          <w:p>
            <w:pPr/>
          </w:p>
        </w:tc>
        <w:tc>
          <w:tcPr>
            <w:tcW w:w="360" w:type="dxa"/>
          </w:tcPr>
          <w:p>
            <w:pPr/>
          </w:p>
        </w:tc>
        <w:tc>
          <w:tcPr>
            <w:tcW w:w="360" w:type="dxa"/>
          </w:tcPr>
          <w:p>
            <w:pPr/>
          </w:p>
        </w:tc>
        <w:tc>
          <w:tcPr>
            <w:tcW w:w="355" w:type="dxa"/>
          </w:tcPr>
          <w:p>
            <w:pPr/>
          </w:p>
        </w:tc>
        <w:tc>
          <w:tcPr>
            <w:tcW w:w="360" w:type="dxa"/>
          </w:tcPr>
          <w:p>
            <w:pPr/>
          </w:p>
        </w:tc>
        <w:tc>
          <w:tcPr>
            <w:tcW w:w="355" w:type="dxa"/>
          </w:tcPr>
          <w:p>
            <w:pPr/>
          </w:p>
        </w:tc>
        <w:tc>
          <w:tcPr>
            <w:tcW w:w="360" w:type="dxa"/>
          </w:tcPr>
          <w:p>
            <w:pPr/>
          </w:p>
        </w:tc>
        <w:tc>
          <w:tcPr>
            <w:tcW w:w="355" w:type="dxa"/>
          </w:tcPr>
          <w:p>
            <w:pPr/>
          </w:p>
        </w:tc>
        <w:tc>
          <w:tcPr>
            <w:tcW w:w="360" w:type="dxa"/>
          </w:tcPr>
          <w:p>
            <w:pPr/>
          </w:p>
        </w:tc>
        <w:tc>
          <w:tcPr>
            <w:tcW w:w="360" w:type="dxa"/>
          </w:tcPr>
          <w:p>
            <w:pPr/>
          </w:p>
        </w:tc>
        <w:tc>
          <w:tcPr>
            <w:tcW w:w="355" w:type="dxa"/>
          </w:tcPr>
          <w:p>
            <w:pPr/>
          </w:p>
        </w:tc>
        <w:tc>
          <w:tcPr>
            <w:tcW w:w="360" w:type="dxa"/>
          </w:tcPr>
          <w:p>
            <w:pPr/>
          </w:p>
        </w:tc>
        <w:tc>
          <w:tcPr>
            <w:tcW w:w="1138" w:type="dxa"/>
          </w:tcPr>
          <w:p>
            <w:pPr/>
          </w:p>
        </w:tc>
        <w:tc>
          <w:tcPr>
            <w:tcW w:w="758" w:type="dxa"/>
          </w:tcPr>
          <w:p>
            <w:pPr/>
          </w:p>
        </w:tc>
        <w:tc>
          <w:tcPr>
            <w:tcW w:w="744" w:type="dxa"/>
          </w:tcPr>
          <w:p>
            <w:pPr/>
          </w:p>
        </w:tc>
        <w:tc>
          <w:tcPr>
            <w:tcW w:w="1195" w:type="dxa"/>
          </w:tcPr>
          <w:p>
            <w:pPr/>
          </w:p>
        </w:tc>
        <w:tc>
          <w:tcPr>
            <w:tcW w:w="1354" w:type="dxa"/>
          </w:tcPr>
          <w:p>
            <w:pPr/>
          </w:p>
        </w:tc>
      </w:tr>
      <w:tr>
        <w:trPr>
          <w:trHeight w:val="288" w:hRule="exact"/>
        </w:trPr>
        <w:tc>
          <w:tcPr>
            <w:tcW w:w="1272" w:type="dxa"/>
          </w:tcPr>
          <w:p>
            <w:pPr>
              <w:pStyle w:val="TableParagraph"/>
              <w:spacing w:line="273" w:lineRule="exact"/>
              <w:ind w:left="105" w:right="101"/>
              <w:jc w:val="left"/>
              <w:rPr>
                <w:sz w:val="24"/>
              </w:rPr>
            </w:pPr>
            <w:r>
              <w:rPr>
                <w:sz w:val="24"/>
              </w:rPr>
              <w:t>6.</w:t>
            </w:r>
          </w:p>
        </w:tc>
        <w:tc>
          <w:tcPr>
            <w:tcW w:w="355" w:type="dxa"/>
          </w:tcPr>
          <w:p>
            <w:pPr/>
          </w:p>
        </w:tc>
        <w:tc>
          <w:tcPr>
            <w:tcW w:w="360" w:type="dxa"/>
          </w:tcPr>
          <w:p>
            <w:pPr/>
          </w:p>
        </w:tc>
        <w:tc>
          <w:tcPr>
            <w:tcW w:w="355" w:type="dxa"/>
          </w:tcPr>
          <w:p>
            <w:pPr/>
          </w:p>
        </w:tc>
        <w:tc>
          <w:tcPr>
            <w:tcW w:w="360" w:type="dxa"/>
          </w:tcPr>
          <w:p>
            <w:pPr/>
          </w:p>
        </w:tc>
        <w:tc>
          <w:tcPr>
            <w:tcW w:w="360" w:type="dxa"/>
          </w:tcPr>
          <w:p>
            <w:pPr/>
          </w:p>
        </w:tc>
        <w:tc>
          <w:tcPr>
            <w:tcW w:w="355" w:type="dxa"/>
          </w:tcPr>
          <w:p>
            <w:pPr/>
          </w:p>
        </w:tc>
        <w:tc>
          <w:tcPr>
            <w:tcW w:w="360" w:type="dxa"/>
          </w:tcPr>
          <w:p>
            <w:pPr/>
          </w:p>
        </w:tc>
        <w:tc>
          <w:tcPr>
            <w:tcW w:w="355" w:type="dxa"/>
          </w:tcPr>
          <w:p>
            <w:pPr/>
          </w:p>
        </w:tc>
        <w:tc>
          <w:tcPr>
            <w:tcW w:w="360" w:type="dxa"/>
          </w:tcPr>
          <w:p>
            <w:pPr/>
          </w:p>
        </w:tc>
        <w:tc>
          <w:tcPr>
            <w:tcW w:w="355" w:type="dxa"/>
          </w:tcPr>
          <w:p>
            <w:pPr/>
          </w:p>
        </w:tc>
        <w:tc>
          <w:tcPr>
            <w:tcW w:w="360" w:type="dxa"/>
          </w:tcPr>
          <w:p>
            <w:pPr/>
          </w:p>
        </w:tc>
        <w:tc>
          <w:tcPr>
            <w:tcW w:w="360" w:type="dxa"/>
          </w:tcPr>
          <w:p>
            <w:pPr/>
          </w:p>
        </w:tc>
        <w:tc>
          <w:tcPr>
            <w:tcW w:w="355" w:type="dxa"/>
          </w:tcPr>
          <w:p>
            <w:pPr/>
          </w:p>
        </w:tc>
        <w:tc>
          <w:tcPr>
            <w:tcW w:w="360" w:type="dxa"/>
          </w:tcPr>
          <w:p>
            <w:pPr/>
          </w:p>
        </w:tc>
        <w:tc>
          <w:tcPr>
            <w:tcW w:w="1138" w:type="dxa"/>
          </w:tcPr>
          <w:p>
            <w:pPr/>
          </w:p>
        </w:tc>
        <w:tc>
          <w:tcPr>
            <w:tcW w:w="758" w:type="dxa"/>
          </w:tcPr>
          <w:p>
            <w:pPr/>
          </w:p>
        </w:tc>
        <w:tc>
          <w:tcPr>
            <w:tcW w:w="744" w:type="dxa"/>
          </w:tcPr>
          <w:p>
            <w:pPr/>
          </w:p>
        </w:tc>
        <w:tc>
          <w:tcPr>
            <w:tcW w:w="1195" w:type="dxa"/>
          </w:tcPr>
          <w:p>
            <w:pPr/>
          </w:p>
        </w:tc>
        <w:tc>
          <w:tcPr>
            <w:tcW w:w="1354" w:type="dxa"/>
          </w:tcPr>
          <w:p>
            <w:pPr/>
          </w:p>
        </w:tc>
      </w:tr>
      <w:tr>
        <w:trPr>
          <w:trHeight w:val="283" w:hRule="exact"/>
        </w:trPr>
        <w:tc>
          <w:tcPr>
            <w:tcW w:w="1272" w:type="dxa"/>
          </w:tcPr>
          <w:p>
            <w:pPr>
              <w:pStyle w:val="TableParagraph"/>
              <w:spacing w:line="273" w:lineRule="exact"/>
              <w:ind w:left="105" w:right="101"/>
              <w:jc w:val="left"/>
              <w:rPr>
                <w:sz w:val="24"/>
              </w:rPr>
            </w:pPr>
            <w:r>
              <w:rPr>
                <w:sz w:val="24"/>
              </w:rPr>
              <w:t>7.</w:t>
            </w:r>
          </w:p>
        </w:tc>
        <w:tc>
          <w:tcPr>
            <w:tcW w:w="355" w:type="dxa"/>
          </w:tcPr>
          <w:p>
            <w:pPr/>
          </w:p>
        </w:tc>
        <w:tc>
          <w:tcPr>
            <w:tcW w:w="360" w:type="dxa"/>
          </w:tcPr>
          <w:p>
            <w:pPr/>
          </w:p>
        </w:tc>
        <w:tc>
          <w:tcPr>
            <w:tcW w:w="355" w:type="dxa"/>
          </w:tcPr>
          <w:p>
            <w:pPr/>
          </w:p>
        </w:tc>
        <w:tc>
          <w:tcPr>
            <w:tcW w:w="360" w:type="dxa"/>
          </w:tcPr>
          <w:p>
            <w:pPr/>
          </w:p>
        </w:tc>
        <w:tc>
          <w:tcPr>
            <w:tcW w:w="360" w:type="dxa"/>
          </w:tcPr>
          <w:p>
            <w:pPr/>
          </w:p>
        </w:tc>
        <w:tc>
          <w:tcPr>
            <w:tcW w:w="355" w:type="dxa"/>
          </w:tcPr>
          <w:p>
            <w:pPr/>
          </w:p>
        </w:tc>
        <w:tc>
          <w:tcPr>
            <w:tcW w:w="360" w:type="dxa"/>
          </w:tcPr>
          <w:p>
            <w:pPr/>
          </w:p>
        </w:tc>
        <w:tc>
          <w:tcPr>
            <w:tcW w:w="355" w:type="dxa"/>
          </w:tcPr>
          <w:p>
            <w:pPr/>
          </w:p>
        </w:tc>
        <w:tc>
          <w:tcPr>
            <w:tcW w:w="360" w:type="dxa"/>
          </w:tcPr>
          <w:p>
            <w:pPr/>
          </w:p>
        </w:tc>
        <w:tc>
          <w:tcPr>
            <w:tcW w:w="355" w:type="dxa"/>
          </w:tcPr>
          <w:p>
            <w:pPr/>
          </w:p>
        </w:tc>
        <w:tc>
          <w:tcPr>
            <w:tcW w:w="360" w:type="dxa"/>
          </w:tcPr>
          <w:p>
            <w:pPr/>
          </w:p>
        </w:tc>
        <w:tc>
          <w:tcPr>
            <w:tcW w:w="360" w:type="dxa"/>
          </w:tcPr>
          <w:p>
            <w:pPr/>
          </w:p>
        </w:tc>
        <w:tc>
          <w:tcPr>
            <w:tcW w:w="355" w:type="dxa"/>
          </w:tcPr>
          <w:p>
            <w:pPr/>
          </w:p>
        </w:tc>
        <w:tc>
          <w:tcPr>
            <w:tcW w:w="360" w:type="dxa"/>
          </w:tcPr>
          <w:p>
            <w:pPr/>
          </w:p>
        </w:tc>
        <w:tc>
          <w:tcPr>
            <w:tcW w:w="1138" w:type="dxa"/>
          </w:tcPr>
          <w:p>
            <w:pPr/>
          </w:p>
        </w:tc>
        <w:tc>
          <w:tcPr>
            <w:tcW w:w="758" w:type="dxa"/>
          </w:tcPr>
          <w:p>
            <w:pPr/>
          </w:p>
        </w:tc>
        <w:tc>
          <w:tcPr>
            <w:tcW w:w="744" w:type="dxa"/>
          </w:tcPr>
          <w:p>
            <w:pPr/>
          </w:p>
        </w:tc>
        <w:tc>
          <w:tcPr>
            <w:tcW w:w="1195" w:type="dxa"/>
          </w:tcPr>
          <w:p>
            <w:pPr/>
          </w:p>
        </w:tc>
        <w:tc>
          <w:tcPr>
            <w:tcW w:w="1354" w:type="dxa"/>
          </w:tcPr>
          <w:p>
            <w:pPr/>
          </w:p>
        </w:tc>
      </w:tr>
      <w:tr>
        <w:trPr>
          <w:trHeight w:val="288" w:hRule="exact"/>
        </w:trPr>
        <w:tc>
          <w:tcPr>
            <w:tcW w:w="1272" w:type="dxa"/>
          </w:tcPr>
          <w:p>
            <w:pPr>
              <w:pStyle w:val="TableParagraph"/>
              <w:spacing w:line="273" w:lineRule="exact"/>
              <w:ind w:left="105" w:right="101"/>
              <w:jc w:val="left"/>
              <w:rPr>
                <w:sz w:val="24"/>
              </w:rPr>
            </w:pPr>
            <w:r>
              <w:rPr>
                <w:sz w:val="24"/>
              </w:rPr>
              <w:t>8.</w:t>
            </w:r>
          </w:p>
        </w:tc>
        <w:tc>
          <w:tcPr>
            <w:tcW w:w="355" w:type="dxa"/>
          </w:tcPr>
          <w:p>
            <w:pPr/>
          </w:p>
        </w:tc>
        <w:tc>
          <w:tcPr>
            <w:tcW w:w="360" w:type="dxa"/>
          </w:tcPr>
          <w:p>
            <w:pPr/>
          </w:p>
        </w:tc>
        <w:tc>
          <w:tcPr>
            <w:tcW w:w="355" w:type="dxa"/>
          </w:tcPr>
          <w:p>
            <w:pPr/>
          </w:p>
        </w:tc>
        <w:tc>
          <w:tcPr>
            <w:tcW w:w="360" w:type="dxa"/>
          </w:tcPr>
          <w:p>
            <w:pPr/>
          </w:p>
        </w:tc>
        <w:tc>
          <w:tcPr>
            <w:tcW w:w="360" w:type="dxa"/>
          </w:tcPr>
          <w:p>
            <w:pPr/>
          </w:p>
        </w:tc>
        <w:tc>
          <w:tcPr>
            <w:tcW w:w="355" w:type="dxa"/>
          </w:tcPr>
          <w:p>
            <w:pPr/>
          </w:p>
        </w:tc>
        <w:tc>
          <w:tcPr>
            <w:tcW w:w="360" w:type="dxa"/>
          </w:tcPr>
          <w:p>
            <w:pPr/>
          </w:p>
        </w:tc>
        <w:tc>
          <w:tcPr>
            <w:tcW w:w="355" w:type="dxa"/>
          </w:tcPr>
          <w:p>
            <w:pPr/>
          </w:p>
        </w:tc>
        <w:tc>
          <w:tcPr>
            <w:tcW w:w="360" w:type="dxa"/>
          </w:tcPr>
          <w:p>
            <w:pPr/>
          </w:p>
        </w:tc>
        <w:tc>
          <w:tcPr>
            <w:tcW w:w="355" w:type="dxa"/>
          </w:tcPr>
          <w:p>
            <w:pPr/>
          </w:p>
        </w:tc>
        <w:tc>
          <w:tcPr>
            <w:tcW w:w="360" w:type="dxa"/>
          </w:tcPr>
          <w:p>
            <w:pPr/>
          </w:p>
        </w:tc>
        <w:tc>
          <w:tcPr>
            <w:tcW w:w="360" w:type="dxa"/>
          </w:tcPr>
          <w:p>
            <w:pPr/>
          </w:p>
        </w:tc>
        <w:tc>
          <w:tcPr>
            <w:tcW w:w="355" w:type="dxa"/>
          </w:tcPr>
          <w:p>
            <w:pPr/>
          </w:p>
        </w:tc>
        <w:tc>
          <w:tcPr>
            <w:tcW w:w="360" w:type="dxa"/>
          </w:tcPr>
          <w:p>
            <w:pPr/>
          </w:p>
        </w:tc>
        <w:tc>
          <w:tcPr>
            <w:tcW w:w="1138" w:type="dxa"/>
          </w:tcPr>
          <w:p>
            <w:pPr/>
          </w:p>
        </w:tc>
        <w:tc>
          <w:tcPr>
            <w:tcW w:w="758" w:type="dxa"/>
          </w:tcPr>
          <w:p>
            <w:pPr/>
          </w:p>
        </w:tc>
        <w:tc>
          <w:tcPr>
            <w:tcW w:w="744" w:type="dxa"/>
          </w:tcPr>
          <w:p>
            <w:pPr/>
          </w:p>
        </w:tc>
        <w:tc>
          <w:tcPr>
            <w:tcW w:w="1195" w:type="dxa"/>
          </w:tcPr>
          <w:p>
            <w:pPr/>
          </w:p>
        </w:tc>
        <w:tc>
          <w:tcPr>
            <w:tcW w:w="1354" w:type="dxa"/>
          </w:tcPr>
          <w:p>
            <w:pPr/>
          </w:p>
        </w:tc>
      </w:tr>
      <w:tr>
        <w:trPr>
          <w:trHeight w:val="283" w:hRule="exact"/>
        </w:trPr>
        <w:tc>
          <w:tcPr>
            <w:tcW w:w="1272" w:type="dxa"/>
          </w:tcPr>
          <w:p>
            <w:pPr>
              <w:pStyle w:val="TableParagraph"/>
              <w:spacing w:line="273" w:lineRule="exact"/>
              <w:ind w:left="105" w:right="101"/>
              <w:jc w:val="left"/>
              <w:rPr>
                <w:sz w:val="24"/>
              </w:rPr>
            </w:pPr>
            <w:r>
              <w:rPr>
                <w:sz w:val="24"/>
              </w:rPr>
              <w:t>9.</w:t>
            </w:r>
          </w:p>
        </w:tc>
        <w:tc>
          <w:tcPr>
            <w:tcW w:w="355" w:type="dxa"/>
          </w:tcPr>
          <w:p>
            <w:pPr/>
          </w:p>
        </w:tc>
        <w:tc>
          <w:tcPr>
            <w:tcW w:w="360" w:type="dxa"/>
          </w:tcPr>
          <w:p>
            <w:pPr/>
          </w:p>
        </w:tc>
        <w:tc>
          <w:tcPr>
            <w:tcW w:w="355" w:type="dxa"/>
          </w:tcPr>
          <w:p>
            <w:pPr/>
          </w:p>
        </w:tc>
        <w:tc>
          <w:tcPr>
            <w:tcW w:w="360" w:type="dxa"/>
          </w:tcPr>
          <w:p>
            <w:pPr/>
          </w:p>
        </w:tc>
        <w:tc>
          <w:tcPr>
            <w:tcW w:w="360" w:type="dxa"/>
          </w:tcPr>
          <w:p>
            <w:pPr/>
          </w:p>
        </w:tc>
        <w:tc>
          <w:tcPr>
            <w:tcW w:w="355" w:type="dxa"/>
          </w:tcPr>
          <w:p>
            <w:pPr/>
          </w:p>
        </w:tc>
        <w:tc>
          <w:tcPr>
            <w:tcW w:w="360" w:type="dxa"/>
          </w:tcPr>
          <w:p>
            <w:pPr/>
          </w:p>
        </w:tc>
        <w:tc>
          <w:tcPr>
            <w:tcW w:w="355" w:type="dxa"/>
          </w:tcPr>
          <w:p>
            <w:pPr/>
          </w:p>
        </w:tc>
        <w:tc>
          <w:tcPr>
            <w:tcW w:w="360" w:type="dxa"/>
          </w:tcPr>
          <w:p>
            <w:pPr/>
          </w:p>
        </w:tc>
        <w:tc>
          <w:tcPr>
            <w:tcW w:w="355" w:type="dxa"/>
          </w:tcPr>
          <w:p>
            <w:pPr/>
          </w:p>
        </w:tc>
        <w:tc>
          <w:tcPr>
            <w:tcW w:w="360" w:type="dxa"/>
          </w:tcPr>
          <w:p>
            <w:pPr/>
          </w:p>
        </w:tc>
        <w:tc>
          <w:tcPr>
            <w:tcW w:w="360" w:type="dxa"/>
          </w:tcPr>
          <w:p>
            <w:pPr/>
          </w:p>
        </w:tc>
        <w:tc>
          <w:tcPr>
            <w:tcW w:w="355" w:type="dxa"/>
          </w:tcPr>
          <w:p>
            <w:pPr/>
          </w:p>
        </w:tc>
        <w:tc>
          <w:tcPr>
            <w:tcW w:w="360" w:type="dxa"/>
          </w:tcPr>
          <w:p>
            <w:pPr/>
          </w:p>
        </w:tc>
        <w:tc>
          <w:tcPr>
            <w:tcW w:w="1138" w:type="dxa"/>
          </w:tcPr>
          <w:p>
            <w:pPr/>
          </w:p>
        </w:tc>
        <w:tc>
          <w:tcPr>
            <w:tcW w:w="758" w:type="dxa"/>
          </w:tcPr>
          <w:p>
            <w:pPr/>
          </w:p>
        </w:tc>
        <w:tc>
          <w:tcPr>
            <w:tcW w:w="744" w:type="dxa"/>
          </w:tcPr>
          <w:p>
            <w:pPr/>
          </w:p>
        </w:tc>
        <w:tc>
          <w:tcPr>
            <w:tcW w:w="1195" w:type="dxa"/>
          </w:tcPr>
          <w:p>
            <w:pPr/>
          </w:p>
        </w:tc>
        <w:tc>
          <w:tcPr>
            <w:tcW w:w="1354" w:type="dxa"/>
          </w:tcPr>
          <w:p>
            <w:pPr/>
          </w:p>
        </w:tc>
      </w:tr>
      <w:tr>
        <w:trPr>
          <w:trHeight w:val="288" w:hRule="exact"/>
        </w:trPr>
        <w:tc>
          <w:tcPr>
            <w:tcW w:w="1272" w:type="dxa"/>
          </w:tcPr>
          <w:p>
            <w:pPr>
              <w:pStyle w:val="TableParagraph"/>
              <w:spacing w:before="1"/>
              <w:ind w:left="105" w:right="101"/>
              <w:jc w:val="left"/>
              <w:rPr>
                <w:sz w:val="24"/>
              </w:rPr>
            </w:pPr>
            <w:r>
              <w:rPr>
                <w:sz w:val="24"/>
              </w:rPr>
              <w:t>10.</w:t>
            </w:r>
          </w:p>
        </w:tc>
        <w:tc>
          <w:tcPr>
            <w:tcW w:w="355" w:type="dxa"/>
          </w:tcPr>
          <w:p>
            <w:pPr/>
          </w:p>
        </w:tc>
        <w:tc>
          <w:tcPr>
            <w:tcW w:w="360" w:type="dxa"/>
          </w:tcPr>
          <w:p>
            <w:pPr/>
          </w:p>
        </w:tc>
        <w:tc>
          <w:tcPr>
            <w:tcW w:w="355" w:type="dxa"/>
          </w:tcPr>
          <w:p>
            <w:pPr/>
          </w:p>
        </w:tc>
        <w:tc>
          <w:tcPr>
            <w:tcW w:w="360" w:type="dxa"/>
          </w:tcPr>
          <w:p>
            <w:pPr/>
          </w:p>
        </w:tc>
        <w:tc>
          <w:tcPr>
            <w:tcW w:w="360" w:type="dxa"/>
          </w:tcPr>
          <w:p>
            <w:pPr/>
          </w:p>
        </w:tc>
        <w:tc>
          <w:tcPr>
            <w:tcW w:w="355" w:type="dxa"/>
          </w:tcPr>
          <w:p>
            <w:pPr/>
          </w:p>
        </w:tc>
        <w:tc>
          <w:tcPr>
            <w:tcW w:w="360" w:type="dxa"/>
          </w:tcPr>
          <w:p>
            <w:pPr/>
          </w:p>
        </w:tc>
        <w:tc>
          <w:tcPr>
            <w:tcW w:w="355" w:type="dxa"/>
          </w:tcPr>
          <w:p>
            <w:pPr/>
          </w:p>
        </w:tc>
        <w:tc>
          <w:tcPr>
            <w:tcW w:w="360" w:type="dxa"/>
          </w:tcPr>
          <w:p>
            <w:pPr/>
          </w:p>
        </w:tc>
        <w:tc>
          <w:tcPr>
            <w:tcW w:w="355" w:type="dxa"/>
          </w:tcPr>
          <w:p>
            <w:pPr/>
          </w:p>
        </w:tc>
        <w:tc>
          <w:tcPr>
            <w:tcW w:w="360" w:type="dxa"/>
          </w:tcPr>
          <w:p>
            <w:pPr/>
          </w:p>
        </w:tc>
        <w:tc>
          <w:tcPr>
            <w:tcW w:w="360" w:type="dxa"/>
          </w:tcPr>
          <w:p>
            <w:pPr/>
          </w:p>
        </w:tc>
        <w:tc>
          <w:tcPr>
            <w:tcW w:w="355" w:type="dxa"/>
          </w:tcPr>
          <w:p>
            <w:pPr/>
          </w:p>
        </w:tc>
        <w:tc>
          <w:tcPr>
            <w:tcW w:w="360" w:type="dxa"/>
          </w:tcPr>
          <w:p>
            <w:pPr/>
          </w:p>
        </w:tc>
        <w:tc>
          <w:tcPr>
            <w:tcW w:w="1138" w:type="dxa"/>
          </w:tcPr>
          <w:p>
            <w:pPr/>
          </w:p>
        </w:tc>
        <w:tc>
          <w:tcPr>
            <w:tcW w:w="758" w:type="dxa"/>
          </w:tcPr>
          <w:p>
            <w:pPr/>
          </w:p>
        </w:tc>
        <w:tc>
          <w:tcPr>
            <w:tcW w:w="744" w:type="dxa"/>
          </w:tcPr>
          <w:p>
            <w:pPr/>
          </w:p>
        </w:tc>
        <w:tc>
          <w:tcPr>
            <w:tcW w:w="1195" w:type="dxa"/>
          </w:tcPr>
          <w:p>
            <w:pPr/>
          </w:p>
        </w:tc>
        <w:tc>
          <w:tcPr>
            <w:tcW w:w="1354" w:type="dxa"/>
          </w:tcPr>
          <w:p>
            <w:pPr/>
          </w:p>
        </w:tc>
      </w:tr>
      <w:tr>
        <w:trPr>
          <w:trHeight w:val="288" w:hRule="exact"/>
        </w:trPr>
        <w:tc>
          <w:tcPr>
            <w:tcW w:w="1272" w:type="dxa"/>
          </w:tcPr>
          <w:p>
            <w:pPr>
              <w:pStyle w:val="TableParagraph"/>
              <w:spacing w:line="273" w:lineRule="exact"/>
              <w:ind w:left="105" w:right="101"/>
              <w:jc w:val="left"/>
              <w:rPr>
                <w:sz w:val="24"/>
              </w:rPr>
            </w:pPr>
            <w:r>
              <w:rPr>
                <w:sz w:val="24"/>
              </w:rPr>
              <w:t>Totales</w:t>
            </w:r>
          </w:p>
        </w:tc>
        <w:tc>
          <w:tcPr>
            <w:tcW w:w="715" w:type="dxa"/>
            <w:gridSpan w:val="2"/>
          </w:tcPr>
          <w:p>
            <w:pPr/>
          </w:p>
        </w:tc>
        <w:tc>
          <w:tcPr>
            <w:tcW w:w="715" w:type="dxa"/>
            <w:gridSpan w:val="2"/>
          </w:tcPr>
          <w:p>
            <w:pPr/>
          </w:p>
        </w:tc>
        <w:tc>
          <w:tcPr>
            <w:tcW w:w="715" w:type="dxa"/>
            <w:gridSpan w:val="2"/>
          </w:tcPr>
          <w:p>
            <w:pPr/>
          </w:p>
        </w:tc>
        <w:tc>
          <w:tcPr>
            <w:tcW w:w="715" w:type="dxa"/>
            <w:gridSpan w:val="2"/>
          </w:tcPr>
          <w:p>
            <w:pPr/>
          </w:p>
        </w:tc>
        <w:tc>
          <w:tcPr>
            <w:tcW w:w="715" w:type="dxa"/>
            <w:gridSpan w:val="2"/>
          </w:tcPr>
          <w:p>
            <w:pPr/>
          </w:p>
        </w:tc>
        <w:tc>
          <w:tcPr>
            <w:tcW w:w="720" w:type="dxa"/>
            <w:gridSpan w:val="2"/>
          </w:tcPr>
          <w:p>
            <w:pPr/>
          </w:p>
        </w:tc>
        <w:tc>
          <w:tcPr>
            <w:tcW w:w="715" w:type="dxa"/>
            <w:gridSpan w:val="2"/>
          </w:tcPr>
          <w:p>
            <w:pPr/>
          </w:p>
        </w:tc>
        <w:tc>
          <w:tcPr>
            <w:tcW w:w="1138" w:type="dxa"/>
          </w:tcPr>
          <w:p>
            <w:pPr/>
          </w:p>
        </w:tc>
        <w:tc>
          <w:tcPr>
            <w:tcW w:w="758" w:type="dxa"/>
          </w:tcPr>
          <w:p>
            <w:pPr/>
          </w:p>
        </w:tc>
        <w:tc>
          <w:tcPr>
            <w:tcW w:w="744" w:type="dxa"/>
          </w:tcPr>
          <w:p>
            <w:pPr/>
          </w:p>
        </w:tc>
        <w:tc>
          <w:tcPr>
            <w:tcW w:w="1195" w:type="dxa"/>
          </w:tcPr>
          <w:p>
            <w:pPr/>
          </w:p>
        </w:tc>
        <w:tc>
          <w:tcPr>
            <w:tcW w:w="1354" w:type="dxa"/>
          </w:tcPr>
          <w:p>
            <w:pPr/>
          </w:p>
        </w:tc>
      </w:tr>
      <w:tr>
        <w:trPr>
          <w:trHeight w:val="283" w:hRule="exact"/>
        </w:trPr>
        <w:tc>
          <w:tcPr>
            <w:tcW w:w="1272" w:type="dxa"/>
          </w:tcPr>
          <w:p>
            <w:pPr/>
          </w:p>
        </w:tc>
        <w:tc>
          <w:tcPr>
            <w:tcW w:w="715" w:type="dxa"/>
            <w:gridSpan w:val="2"/>
          </w:tcPr>
          <w:p>
            <w:pPr>
              <w:pStyle w:val="TableParagraph"/>
              <w:spacing w:line="273" w:lineRule="exact"/>
              <w:ind w:left="100"/>
              <w:jc w:val="left"/>
              <w:rPr>
                <w:sz w:val="24"/>
              </w:rPr>
            </w:pPr>
            <w:r>
              <w:rPr>
                <w:sz w:val="24"/>
              </w:rPr>
              <w:t>3=</w:t>
            </w:r>
          </w:p>
        </w:tc>
        <w:tc>
          <w:tcPr>
            <w:tcW w:w="715" w:type="dxa"/>
            <w:gridSpan w:val="2"/>
          </w:tcPr>
          <w:p>
            <w:pPr>
              <w:pStyle w:val="TableParagraph"/>
              <w:spacing w:line="273" w:lineRule="exact"/>
              <w:ind w:left="105"/>
              <w:jc w:val="left"/>
              <w:rPr>
                <w:sz w:val="24"/>
              </w:rPr>
            </w:pPr>
            <w:r>
              <w:rPr>
                <w:sz w:val="24"/>
              </w:rPr>
              <w:t>3=</w:t>
            </w:r>
          </w:p>
        </w:tc>
        <w:tc>
          <w:tcPr>
            <w:tcW w:w="715" w:type="dxa"/>
            <w:gridSpan w:val="2"/>
          </w:tcPr>
          <w:p>
            <w:pPr>
              <w:pStyle w:val="TableParagraph"/>
              <w:spacing w:line="273" w:lineRule="exact"/>
              <w:ind w:left="105"/>
              <w:jc w:val="left"/>
              <w:rPr>
                <w:sz w:val="24"/>
              </w:rPr>
            </w:pPr>
            <w:r>
              <w:rPr>
                <w:sz w:val="24"/>
              </w:rPr>
              <w:t>3=</w:t>
            </w:r>
          </w:p>
        </w:tc>
        <w:tc>
          <w:tcPr>
            <w:tcW w:w="715" w:type="dxa"/>
            <w:gridSpan w:val="2"/>
          </w:tcPr>
          <w:p>
            <w:pPr>
              <w:pStyle w:val="TableParagraph"/>
              <w:spacing w:line="273" w:lineRule="exact"/>
              <w:ind w:left="105"/>
              <w:jc w:val="left"/>
              <w:rPr>
                <w:sz w:val="24"/>
              </w:rPr>
            </w:pPr>
            <w:r>
              <w:rPr>
                <w:sz w:val="24"/>
              </w:rPr>
              <w:t>3=</w:t>
            </w:r>
          </w:p>
        </w:tc>
        <w:tc>
          <w:tcPr>
            <w:tcW w:w="715" w:type="dxa"/>
            <w:gridSpan w:val="2"/>
          </w:tcPr>
          <w:p>
            <w:pPr>
              <w:pStyle w:val="TableParagraph"/>
              <w:spacing w:line="273" w:lineRule="exact"/>
              <w:ind w:left="105"/>
              <w:jc w:val="left"/>
              <w:rPr>
                <w:sz w:val="24"/>
              </w:rPr>
            </w:pPr>
            <w:r>
              <w:rPr>
                <w:sz w:val="24"/>
              </w:rPr>
              <w:t>3=</w:t>
            </w:r>
          </w:p>
        </w:tc>
        <w:tc>
          <w:tcPr>
            <w:tcW w:w="720" w:type="dxa"/>
            <w:gridSpan w:val="2"/>
          </w:tcPr>
          <w:p>
            <w:pPr>
              <w:pStyle w:val="TableParagraph"/>
              <w:spacing w:line="273" w:lineRule="exact"/>
              <w:ind w:left="105"/>
              <w:jc w:val="left"/>
              <w:rPr>
                <w:sz w:val="24"/>
              </w:rPr>
            </w:pPr>
            <w:r>
              <w:rPr>
                <w:sz w:val="24"/>
              </w:rPr>
              <w:t>3=</w:t>
            </w:r>
          </w:p>
        </w:tc>
        <w:tc>
          <w:tcPr>
            <w:tcW w:w="5904" w:type="dxa"/>
            <w:gridSpan w:val="7"/>
            <w:vMerge w:val="restart"/>
            <w:tcBorders>
              <w:right w:val="nil"/>
            </w:tcBorders>
          </w:tcPr>
          <w:p>
            <w:pPr/>
          </w:p>
        </w:tc>
      </w:tr>
      <w:tr>
        <w:trPr>
          <w:trHeight w:val="288" w:hRule="exact"/>
        </w:trPr>
        <w:tc>
          <w:tcPr>
            <w:tcW w:w="1272" w:type="dxa"/>
          </w:tcPr>
          <w:p>
            <w:pPr/>
          </w:p>
        </w:tc>
        <w:tc>
          <w:tcPr>
            <w:tcW w:w="715" w:type="dxa"/>
            <w:gridSpan w:val="2"/>
          </w:tcPr>
          <w:p>
            <w:pPr>
              <w:pStyle w:val="TableParagraph"/>
              <w:spacing w:line="273" w:lineRule="exact"/>
              <w:ind w:left="100"/>
              <w:jc w:val="left"/>
              <w:rPr>
                <w:sz w:val="24"/>
              </w:rPr>
            </w:pPr>
            <w:r>
              <w:rPr>
                <w:sz w:val="24"/>
              </w:rPr>
              <w:t>4=</w:t>
            </w:r>
          </w:p>
        </w:tc>
        <w:tc>
          <w:tcPr>
            <w:tcW w:w="715" w:type="dxa"/>
            <w:gridSpan w:val="2"/>
          </w:tcPr>
          <w:p>
            <w:pPr>
              <w:pStyle w:val="TableParagraph"/>
              <w:spacing w:line="273" w:lineRule="exact"/>
              <w:ind w:left="105"/>
              <w:jc w:val="left"/>
              <w:rPr>
                <w:sz w:val="24"/>
              </w:rPr>
            </w:pPr>
            <w:r>
              <w:rPr>
                <w:sz w:val="24"/>
              </w:rPr>
              <w:t>4=</w:t>
            </w:r>
          </w:p>
        </w:tc>
        <w:tc>
          <w:tcPr>
            <w:tcW w:w="715" w:type="dxa"/>
            <w:gridSpan w:val="2"/>
          </w:tcPr>
          <w:p>
            <w:pPr>
              <w:pStyle w:val="TableParagraph"/>
              <w:spacing w:line="273" w:lineRule="exact"/>
              <w:ind w:left="105"/>
              <w:jc w:val="left"/>
              <w:rPr>
                <w:sz w:val="24"/>
              </w:rPr>
            </w:pPr>
            <w:r>
              <w:rPr>
                <w:sz w:val="24"/>
              </w:rPr>
              <w:t>4=</w:t>
            </w:r>
          </w:p>
        </w:tc>
        <w:tc>
          <w:tcPr>
            <w:tcW w:w="715" w:type="dxa"/>
            <w:gridSpan w:val="2"/>
          </w:tcPr>
          <w:p>
            <w:pPr>
              <w:pStyle w:val="TableParagraph"/>
              <w:spacing w:line="273" w:lineRule="exact"/>
              <w:ind w:left="105"/>
              <w:jc w:val="left"/>
              <w:rPr>
                <w:sz w:val="24"/>
              </w:rPr>
            </w:pPr>
            <w:r>
              <w:rPr>
                <w:sz w:val="24"/>
              </w:rPr>
              <w:t>4=</w:t>
            </w:r>
          </w:p>
        </w:tc>
        <w:tc>
          <w:tcPr>
            <w:tcW w:w="715" w:type="dxa"/>
            <w:gridSpan w:val="2"/>
          </w:tcPr>
          <w:p>
            <w:pPr>
              <w:pStyle w:val="TableParagraph"/>
              <w:spacing w:line="273" w:lineRule="exact"/>
              <w:ind w:left="105"/>
              <w:jc w:val="left"/>
              <w:rPr>
                <w:sz w:val="24"/>
              </w:rPr>
            </w:pPr>
            <w:r>
              <w:rPr>
                <w:sz w:val="24"/>
              </w:rPr>
              <w:t>4=</w:t>
            </w:r>
          </w:p>
        </w:tc>
        <w:tc>
          <w:tcPr>
            <w:tcW w:w="720" w:type="dxa"/>
            <w:gridSpan w:val="2"/>
          </w:tcPr>
          <w:p>
            <w:pPr>
              <w:pStyle w:val="TableParagraph"/>
              <w:spacing w:line="273" w:lineRule="exact"/>
              <w:ind w:left="105"/>
              <w:jc w:val="left"/>
              <w:rPr>
                <w:sz w:val="24"/>
              </w:rPr>
            </w:pPr>
            <w:r>
              <w:rPr>
                <w:sz w:val="24"/>
              </w:rPr>
              <w:t>4=</w:t>
            </w:r>
          </w:p>
        </w:tc>
        <w:tc>
          <w:tcPr>
            <w:tcW w:w="5904" w:type="dxa"/>
            <w:gridSpan w:val="7"/>
            <w:vMerge/>
            <w:tcBorders>
              <w:bottom w:val="nil"/>
              <w:right w:val="nil"/>
            </w:tcBorders>
          </w:tcPr>
          <w:p>
            <w:pPr/>
          </w:p>
        </w:tc>
      </w:tr>
    </w:tbl>
    <w:p>
      <w:pPr>
        <w:spacing w:after="0"/>
        <w:sectPr>
          <w:pgSz w:w="12240" w:h="15840"/>
          <w:pgMar w:header="0" w:footer="972" w:top="1360" w:bottom="1220" w:left="160" w:right="360"/>
        </w:sectPr>
      </w:pPr>
    </w:p>
    <w:p>
      <w:pPr>
        <w:pStyle w:val="Heading1"/>
        <w:numPr>
          <w:ilvl w:val="2"/>
          <w:numId w:val="22"/>
        </w:numPr>
        <w:tabs>
          <w:tab w:pos="411" w:val="left" w:leader="none"/>
        </w:tabs>
        <w:spacing w:line="240" w:lineRule="auto" w:before="50" w:after="0"/>
        <w:ind w:left="116" w:right="0" w:firstLine="0"/>
        <w:jc w:val="left"/>
      </w:pPr>
      <w:r>
        <w:rPr/>
        <w:t>INTERACIÓN ÍNTIMA</w:t>
      </w:r>
    </w:p>
    <w:p>
      <w:pPr>
        <w:pStyle w:val="BodyText"/>
        <w:rPr>
          <w:b/>
        </w:rPr>
      </w:pPr>
    </w:p>
    <w:p>
      <w:pPr>
        <w:pStyle w:val="ListParagraph"/>
        <w:numPr>
          <w:ilvl w:val="3"/>
          <w:numId w:val="22"/>
        </w:numPr>
        <w:tabs>
          <w:tab w:pos="591" w:val="left" w:leader="none"/>
        </w:tabs>
        <w:spacing w:line="240" w:lineRule="auto" w:before="0" w:after="0"/>
        <w:ind w:left="116" w:right="0" w:firstLine="0"/>
        <w:jc w:val="left"/>
        <w:rPr>
          <w:sz w:val="24"/>
        </w:rPr>
      </w:pPr>
      <w:r>
        <w:rPr>
          <w:sz w:val="24"/>
        </w:rPr>
        <w:t>Si quiere hablar de sus asuntos personales, ¿a quién(es) busca?</w:t>
      </w:r>
    </w:p>
    <w:p>
      <w:pPr>
        <w:pStyle w:val="ListParagraph"/>
        <w:numPr>
          <w:ilvl w:val="0"/>
          <w:numId w:val="10"/>
        </w:numPr>
        <w:tabs>
          <w:tab w:pos="261" w:val="left" w:leader="none"/>
        </w:tabs>
        <w:spacing w:line="274" w:lineRule="exact" w:before="7" w:after="0"/>
        <w:ind w:left="116" w:right="1280" w:firstLine="0"/>
        <w:jc w:val="left"/>
        <w:rPr>
          <w:sz w:val="24"/>
        </w:rPr>
      </w:pPr>
      <w:r>
        <w:rPr>
          <w:sz w:val="24"/>
        </w:rPr>
        <w:t>Si el sujeto es incapaz de dar el nombre de alguna persona, pasar a la pregunta A4.</w:t>
      </w:r>
    </w:p>
    <w:p>
      <w:pPr>
        <w:pStyle w:val="ListParagraph"/>
        <w:numPr>
          <w:ilvl w:val="0"/>
          <w:numId w:val="10"/>
        </w:numPr>
        <w:tabs>
          <w:tab w:pos="306" w:val="left" w:leader="none"/>
        </w:tabs>
        <w:spacing w:line="274" w:lineRule="exact" w:before="4" w:after="0"/>
        <w:ind w:left="116" w:right="103" w:firstLine="0"/>
        <w:jc w:val="left"/>
        <w:rPr>
          <w:sz w:val="24"/>
        </w:rPr>
      </w:pPr>
      <w:r>
        <w:rPr>
          <w:sz w:val="24"/>
        </w:rPr>
        <w:t>Si el sujeto nombra una o más personas, pruebe a ver si le da un nombre adicional, preguntando: ¿Hay alguien más en el que piense?</w:t>
      </w:r>
    </w:p>
    <w:p>
      <w:pPr>
        <w:pStyle w:val="ListParagraph"/>
        <w:numPr>
          <w:ilvl w:val="3"/>
          <w:numId w:val="22"/>
        </w:numPr>
        <w:tabs>
          <w:tab w:pos="666" w:val="left" w:leader="none"/>
        </w:tabs>
        <w:spacing w:line="274" w:lineRule="exact" w:before="4" w:after="0"/>
        <w:ind w:left="116" w:right="103" w:firstLine="0"/>
        <w:jc w:val="left"/>
        <w:rPr>
          <w:sz w:val="24"/>
        </w:rPr>
      </w:pPr>
      <w:r>
        <w:rPr>
          <w:sz w:val="24"/>
        </w:rPr>
        <w:t>Durante el mes pasado, ¿con cuáles de esas personas habló sobre sus asuntos personales o íntimos?</w:t>
      </w:r>
    </w:p>
    <w:p>
      <w:pPr>
        <w:pStyle w:val="ListParagraph"/>
        <w:numPr>
          <w:ilvl w:val="0"/>
          <w:numId w:val="10"/>
        </w:numPr>
        <w:tabs>
          <w:tab w:pos="273" w:val="left" w:leader="none"/>
        </w:tabs>
        <w:spacing w:line="274" w:lineRule="exact" w:before="4" w:after="0"/>
        <w:ind w:left="116" w:right="103" w:firstLine="0"/>
        <w:jc w:val="left"/>
        <w:rPr>
          <w:sz w:val="24"/>
        </w:rPr>
      </w:pPr>
      <w:r>
        <w:rPr>
          <w:sz w:val="24"/>
        </w:rPr>
        <w:t>Pruebe preguntarle específicamente por las personas que fueron enlistadas en la pregunta A1, pero no las enlistó en la pregunta A2.</w:t>
      </w:r>
    </w:p>
    <w:p>
      <w:pPr>
        <w:pStyle w:val="ListParagraph"/>
        <w:numPr>
          <w:ilvl w:val="3"/>
          <w:numId w:val="22"/>
        </w:numPr>
        <w:tabs>
          <w:tab w:pos="619" w:val="left" w:leader="none"/>
        </w:tabs>
        <w:spacing w:line="274" w:lineRule="exact" w:before="4" w:after="0"/>
        <w:ind w:left="116" w:right="103" w:firstLine="0"/>
        <w:jc w:val="left"/>
        <w:rPr>
          <w:sz w:val="24"/>
        </w:rPr>
      </w:pPr>
      <w:r>
        <w:rPr>
          <w:sz w:val="24"/>
        </w:rPr>
        <w:t>Durante el mes pasado, las veces que habló con esa(s) persona(s) sobre sus asuntos íntimos, ¿quedó satisfecho(a)?</w:t>
      </w:r>
      <w:r>
        <w:rPr>
          <w:spacing w:val="-1"/>
          <w:sz w:val="24"/>
        </w:rPr>
        <w:t> </w:t>
      </w:r>
      <w:r>
        <w:rPr>
          <w:sz w:val="24"/>
        </w:rPr>
        <w:t>¿Cuánto?</w:t>
      </w:r>
    </w:p>
    <w:p>
      <w:pPr>
        <w:pStyle w:val="ListParagraph"/>
        <w:numPr>
          <w:ilvl w:val="0"/>
          <w:numId w:val="10"/>
        </w:numPr>
        <w:tabs>
          <w:tab w:pos="284" w:val="left" w:leader="none"/>
        </w:tabs>
        <w:spacing w:line="274" w:lineRule="exact" w:before="4" w:after="0"/>
        <w:ind w:left="116" w:right="103" w:firstLine="0"/>
        <w:jc w:val="left"/>
        <w:rPr>
          <w:sz w:val="24"/>
        </w:rPr>
      </w:pPr>
      <w:r>
        <w:rPr>
          <w:sz w:val="24"/>
        </w:rPr>
        <w:t>Mire la tarjeta de satisfacción (mostrarla) y dígame la alternativa que mejor describe su calificación.</w:t>
      </w:r>
    </w:p>
    <w:p>
      <w:pPr>
        <w:pStyle w:val="ListParagraph"/>
        <w:numPr>
          <w:ilvl w:val="0"/>
          <w:numId w:val="10"/>
        </w:numPr>
        <w:tabs>
          <w:tab w:pos="261" w:val="left" w:leader="none"/>
        </w:tabs>
        <w:spacing w:line="274" w:lineRule="exact" w:before="0" w:after="0"/>
        <w:ind w:left="260" w:right="0" w:hanging="144"/>
        <w:jc w:val="left"/>
        <w:rPr>
          <w:sz w:val="24"/>
        </w:rPr>
      </w:pPr>
      <w:r>
        <w:rPr>
          <w:sz w:val="24"/>
        </w:rPr>
        <w:t>Anote la calificación en la parte inferior de la hoja de respuestas, en el número 3.</w:t>
      </w:r>
    </w:p>
    <w:p>
      <w:pPr>
        <w:pStyle w:val="ListParagraph"/>
        <w:numPr>
          <w:ilvl w:val="3"/>
          <w:numId w:val="22"/>
        </w:numPr>
        <w:tabs>
          <w:tab w:pos="615" w:val="left" w:leader="none"/>
        </w:tabs>
        <w:spacing w:line="242" w:lineRule="auto" w:before="0" w:after="0"/>
        <w:ind w:left="116" w:right="103" w:firstLine="0"/>
        <w:jc w:val="left"/>
        <w:rPr>
          <w:sz w:val="24"/>
        </w:rPr>
      </w:pPr>
      <w:r>
        <w:rPr>
          <w:sz w:val="24"/>
        </w:rPr>
        <w:t>Durante el mes pasado, tuvo necesidad de hablar con alguien de algún(os) asunto(s) personal(es) o íntimo(s)</w:t>
      </w:r>
    </w:p>
    <w:p>
      <w:pPr>
        <w:pStyle w:val="ListParagraph"/>
        <w:numPr>
          <w:ilvl w:val="0"/>
          <w:numId w:val="10"/>
        </w:numPr>
        <w:tabs>
          <w:tab w:pos="297" w:val="left" w:leader="none"/>
        </w:tabs>
        <w:spacing w:line="242" w:lineRule="auto" w:before="0" w:after="0"/>
        <w:ind w:left="116" w:right="103" w:firstLine="0"/>
        <w:jc w:val="left"/>
        <w:rPr>
          <w:sz w:val="24"/>
        </w:rPr>
      </w:pPr>
      <w:r>
        <w:rPr>
          <w:sz w:val="24"/>
        </w:rPr>
        <w:t>Mire la tarjeta de necesidad (mostrarla) y dígame la alternativa que mejor describe su calificación.</w:t>
      </w:r>
    </w:p>
    <w:p>
      <w:pPr>
        <w:pStyle w:val="ListParagraph"/>
        <w:numPr>
          <w:ilvl w:val="0"/>
          <w:numId w:val="10"/>
        </w:numPr>
        <w:tabs>
          <w:tab w:pos="261" w:val="left" w:leader="none"/>
        </w:tabs>
        <w:spacing w:line="271" w:lineRule="exact" w:before="0" w:after="0"/>
        <w:ind w:left="260" w:right="0" w:hanging="144"/>
        <w:jc w:val="left"/>
        <w:rPr>
          <w:sz w:val="24"/>
        </w:rPr>
      </w:pPr>
      <w:r>
        <w:rPr>
          <w:sz w:val="24"/>
        </w:rPr>
        <w:t>Anote la calificación en la parte inferior de la hoja de respuestas, en el número 4.</w:t>
      </w:r>
    </w:p>
    <w:p>
      <w:pPr>
        <w:pStyle w:val="BodyText"/>
      </w:pPr>
    </w:p>
    <w:p>
      <w:pPr>
        <w:pStyle w:val="BodyText"/>
        <w:spacing w:before="2"/>
      </w:pPr>
    </w:p>
    <w:p>
      <w:pPr>
        <w:pStyle w:val="Heading1"/>
        <w:numPr>
          <w:ilvl w:val="2"/>
          <w:numId w:val="22"/>
        </w:numPr>
        <w:tabs>
          <w:tab w:pos="397" w:val="left" w:leader="none"/>
        </w:tabs>
        <w:spacing w:line="240" w:lineRule="auto" w:before="0" w:after="0"/>
        <w:ind w:left="396" w:right="0" w:hanging="280"/>
        <w:jc w:val="left"/>
      </w:pPr>
      <w:r>
        <w:rPr/>
        <w:t>AYUDA MATERIAL</w:t>
      </w:r>
    </w:p>
    <w:p>
      <w:pPr>
        <w:pStyle w:val="BodyText"/>
        <w:spacing w:before="4"/>
        <w:rPr>
          <w:b/>
        </w:rPr>
      </w:pPr>
    </w:p>
    <w:p>
      <w:pPr>
        <w:pStyle w:val="ListParagraph"/>
        <w:numPr>
          <w:ilvl w:val="3"/>
          <w:numId w:val="22"/>
        </w:numPr>
        <w:tabs>
          <w:tab w:pos="593" w:val="left" w:leader="none"/>
        </w:tabs>
        <w:spacing w:line="274" w:lineRule="exact" w:before="1" w:after="0"/>
        <w:ind w:left="116" w:right="103" w:firstLine="0"/>
        <w:jc w:val="left"/>
        <w:rPr>
          <w:sz w:val="24"/>
        </w:rPr>
      </w:pPr>
      <w:r>
        <w:rPr>
          <w:sz w:val="24"/>
        </w:rPr>
        <w:t>Si necesita dinero o algo de valor, ¿qué personas conocidas le prestarían o darían esa cantidad de dinero o ese objeto valioso?</w:t>
      </w:r>
    </w:p>
    <w:p>
      <w:pPr>
        <w:pStyle w:val="ListParagraph"/>
        <w:numPr>
          <w:ilvl w:val="0"/>
          <w:numId w:val="10"/>
        </w:numPr>
        <w:tabs>
          <w:tab w:pos="321" w:val="left" w:leader="none"/>
        </w:tabs>
        <w:spacing w:line="274" w:lineRule="exact" w:before="4" w:after="0"/>
        <w:ind w:left="116" w:right="103" w:firstLine="0"/>
        <w:jc w:val="left"/>
        <w:rPr>
          <w:sz w:val="24"/>
        </w:rPr>
      </w:pPr>
      <w:r>
        <w:rPr>
          <w:sz w:val="24"/>
        </w:rPr>
        <w:t>Puede nombrar algunas de las personas que nombró anteriormente, si caben en esa descripción, o puede nombrar a otras personas.</w:t>
      </w:r>
    </w:p>
    <w:p>
      <w:pPr>
        <w:pStyle w:val="ListParagraph"/>
        <w:numPr>
          <w:ilvl w:val="0"/>
          <w:numId w:val="10"/>
        </w:numPr>
        <w:tabs>
          <w:tab w:pos="261" w:val="left" w:leader="none"/>
        </w:tabs>
        <w:spacing w:line="274" w:lineRule="exact" w:before="4" w:after="0"/>
        <w:ind w:left="116" w:right="1280" w:firstLine="0"/>
        <w:jc w:val="left"/>
        <w:rPr>
          <w:sz w:val="24"/>
        </w:rPr>
      </w:pPr>
      <w:r>
        <w:rPr>
          <w:sz w:val="24"/>
        </w:rPr>
        <w:t>Si el sujeto es incapaz de dar el nombre de alguna persona, pasar a la pregunta B4.</w:t>
      </w:r>
    </w:p>
    <w:p>
      <w:pPr>
        <w:pStyle w:val="ListParagraph"/>
        <w:numPr>
          <w:ilvl w:val="0"/>
          <w:numId w:val="10"/>
        </w:numPr>
        <w:tabs>
          <w:tab w:pos="306" w:val="left" w:leader="none"/>
        </w:tabs>
        <w:spacing w:line="274" w:lineRule="exact" w:before="4" w:after="0"/>
        <w:ind w:left="116" w:right="103" w:firstLine="0"/>
        <w:jc w:val="left"/>
        <w:rPr>
          <w:sz w:val="24"/>
        </w:rPr>
      </w:pPr>
      <w:r>
        <w:rPr>
          <w:sz w:val="24"/>
        </w:rPr>
        <w:t>Si el sujeto nombra una o más personas, pruebe a ver si le da un nombre adicional, preguntando: ¿Hay alguien más en el que piense?</w:t>
      </w:r>
    </w:p>
    <w:p>
      <w:pPr>
        <w:pStyle w:val="ListParagraph"/>
        <w:numPr>
          <w:ilvl w:val="3"/>
          <w:numId w:val="22"/>
        </w:numPr>
        <w:tabs>
          <w:tab w:pos="617" w:val="left" w:leader="none"/>
        </w:tabs>
        <w:spacing w:line="274" w:lineRule="exact" w:before="4" w:after="0"/>
        <w:ind w:left="116" w:right="103" w:firstLine="0"/>
        <w:jc w:val="left"/>
        <w:rPr>
          <w:sz w:val="24"/>
        </w:rPr>
      </w:pPr>
      <w:r>
        <w:rPr>
          <w:sz w:val="24"/>
        </w:rPr>
        <w:t>Durante el mes pasado, ¿cuáles de esas personas le prestaron o dieron dinero o el objeto de valor que necesitaba?</w:t>
      </w:r>
    </w:p>
    <w:p>
      <w:pPr>
        <w:pStyle w:val="ListParagraph"/>
        <w:numPr>
          <w:ilvl w:val="0"/>
          <w:numId w:val="10"/>
        </w:numPr>
        <w:tabs>
          <w:tab w:pos="273" w:val="left" w:leader="none"/>
        </w:tabs>
        <w:spacing w:line="274" w:lineRule="exact" w:before="4" w:after="0"/>
        <w:ind w:left="116" w:right="103" w:firstLine="0"/>
        <w:jc w:val="left"/>
        <w:rPr>
          <w:sz w:val="24"/>
        </w:rPr>
      </w:pPr>
      <w:r>
        <w:rPr>
          <w:sz w:val="24"/>
        </w:rPr>
        <w:t>Pruebe preguntarle específicamente por las personas que fueron enlistadas en la pregunta B1, pero no las enlistó en la pregunta B2.</w:t>
      </w:r>
    </w:p>
    <w:p>
      <w:pPr>
        <w:pStyle w:val="ListParagraph"/>
        <w:numPr>
          <w:ilvl w:val="3"/>
          <w:numId w:val="22"/>
        </w:numPr>
        <w:tabs>
          <w:tab w:pos="595" w:val="left" w:leader="none"/>
        </w:tabs>
        <w:spacing w:line="274" w:lineRule="exact" w:before="4" w:after="0"/>
        <w:ind w:left="116" w:right="103" w:firstLine="0"/>
        <w:jc w:val="left"/>
        <w:rPr>
          <w:sz w:val="24"/>
        </w:rPr>
      </w:pPr>
      <w:r>
        <w:rPr>
          <w:sz w:val="24"/>
        </w:rPr>
        <w:t>Durante el mes pasado, ¿quedó satisfecho(a) con el dinero o los objetos de valor que esas personas le prestaron o dieron?</w:t>
      </w:r>
      <w:r>
        <w:rPr>
          <w:spacing w:val="-1"/>
          <w:sz w:val="24"/>
        </w:rPr>
        <w:t> </w:t>
      </w:r>
      <w:r>
        <w:rPr>
          <w:sz w:val="24"/>
        </w:rPr>
        <w:t>¿cuánto?</w:t>
      </w:r>
    </w:p>
    <w:p>
      <w:pPr>
        <w:pStyle w:val="ListParagraph"/>
        <w:numPr>
          <w:ilvl w:val="0"/>
          <w:numId w:val="10"/>
        </w:numPr>
        <w:tabs>
          <w:tab w:pos="284" w:val="left" w:leader="none"/>
        </w:tabs>
        <w:spacing w:line="274" w:lineRule="exact" w:before="4" w:after="0"/>
        <w:ind w:left="116" w:right="103" w:firstLine="0"/>
        <w:jc w:val="left"/>
        <w:rPr>
          <w:sz w:val="24"/>
        </w:rPr>
      </w:pPr>
      <w:r>
        <w:rPr>
          <w:sz w:val="24"/>
        </w:rPr>
        <w:t>Mire la tarjeta de satisfacción (mostrarla) y dígame la alternativa que mejor describe su calificación.</w:t>
      </w:r>
    </w:p>
    <w:p>
      <w:pPr>
        <w:pStyle w:val="ListParagraph"/>
        <w:numPr>
          <w:ilvl w:val="0"/>
          <w:numId w:val="10"/>
        </w:numPr>
        <w:tabs>
          <w:tab w:pos="261" w:val="left" w:leader="none"/>
        </w:tabs>
        <w:spacing w:line="274" w:lineRule="exact" w:before="0" w:after="0"/>
        <w:ind w:left="260" w:right="0" w:hanging="144"/>
        <w:jc w:val="left"/>
        <w:rPr>
          <w:sz w:val="24"/>
        </w:rPr>
      </w:pPr>
      <w:r>
        <w:rPr>
          <w:sz w:val="24"/>
        </w:rPr>
        <w:t>Anote la calificación en la parte inferior de la hoja de respuestas, en el número 3.</w:t>
      </w:r>
    </w:p>
    <w:p>
      <w:pPr>
        <w:pStyle w:val="ListParagraph"/>
        <w:numPr>
          <w:ilvl w:val="3"/>
          <w:numId w:val="22"/>
        </w:numPr>
        <w:tabs>
          <w:tab w:pos="602" w:val="left" w:leader="none"/>
        </w:tabs>
        <w:spacing w:line="274" w:lineRule="exact" w:before="3" w:after="0"/>
        <w:ind w:left="116" w:right="103" w:firstLine="0"/>
        <w:jc w:val="left"/>
        <w:rPr>
          <w:sz w:val="24"/>
        </w:rPr>
      </w:pPr>
      <w:r>
        <w:rPr>
          <w:sz w:val="24"/>
        </w:rPr>
        <w:t>Durante el mes pasado, ¿necesitó que le prestaran o dieran dinero o algún objeto de valor?</w:t>
      </w:r>
    </w:p>
    <w:p>
      <w:pPr>
        <w:pStyle w:val="ListParagraph"/>
        <w:numPr>
          <w:ilvl w:val="0"/>
          <w:numId w:val="10"/>
        </w:numPr>
        <w:tabs>
          <w:tab w:pos="297" w:val="left" w:leader="none"/>
        </w:tabs>
        <w:spacing w:line="274" w:lineRule="exact" w:before="4" w:after="0"/>
        <w:ind w:left="116" w:right="103" w:firstLine="0"/>
        <w:jc w:val="left"/>
        <w:rPr>
          <w:sz w:val="24"/>
        </w:rPr>
      </w:pPr>
      <w:r>
        <w:rPr>
          <w:sz w:val="24"/>
        </w:rPr>
        <w:t>Mire la tarjeta de necesidad (mostrarla) y dígame la alternativa que mejor describe su calificación.</w:t>
      </w:r>
    </w:p>
    <w:p>
      <w:pPr>
        <w:pStyle w:val="ListParagraph"/>
        <w:numPr>
          <w:ilvl w:val="0"/>
          <w:numId w:val="10"/>
        </w:numPr>
        <w:tabs>
          <w:tab w:pos="261" w:val="left" w:leader="none"/>
        </w:tabs>
        <w:spacing w:line="276" w:lineRule="exact" w:before="0" w:after="0"/>
        <w:ind w:left="260" w:right="0" w:hanging="144"/>
        <w:jc w:val="left"/>
        <w:rPr>
          <w:sz w:val="24"/>
        </w:rPr>
      </w:pPr>
      <w:r>
        <w:rPr>
          <w:sz w:val="24"/>
        </w:rPr>
        <w:t>Anote la calificación en la parte inferior de la hoja de respuestas, en el número</w:t>
      </w:r>
    </w:p>
    <w:p>
      <w:pPr>
        <w:spacing w:after="0" w:line="276" w:lineRule="exact"/>
        <w:jc w:val="left"/>
        <w:rPr>
          <w:sz w:val="24"/>
        </w:rPr>
        <w:sectPr>
          <w:pgSz w:w="12240" w:h="15840"/>
          <w:pgMar w:header="0" w:footer="972" w:top="1360" w:bottom="1220" w:left="1580" w:right="1600"/>
        </w:sectPr>
      </w:pPr>
    </w:p>
    <w:p>
      <w:pPr>
        <w:pStyle w:val="BodyText"/>
        <w:spacing w:before="4"/>
        <w:rPr>
          <w:sz w:val="10"/>
        </w:rPr>
      </w:pPr>
    </w:p>
    <w:p>
      <w:pPr>
        <w:pStyle w:val="Heading1"/>
        <w:numPr>
          <w:ilvl w:val="2"/>
          <w:numId w:val="22"/>
        </w:numPr>
        <w:tabs>
          <w:tab w:pos="411" w:val="left" w:leader="none"/>
        </w:tabs>
        <w:spacing w:line="240" w:lineRule="auto" w:before="69" w:after="0"/>
        <w:ind w:left="410" w:right="0" w:hanging="294"/>
        <w:jc w:val="left"/>
      </w:pPr>
      <w:r>
        <w:rPr/>
        <w:t>CONSEJO E INFORMACIÓN</w:t>
      </w:r>
    </w:p>
    <w:p>
      <w:pPr>
        <w:pStyle w:val="BodyText"/>
        <w:rPr>
          <w:b/>
        </w:rPr>
      </w:pPr>
    </w:p>
    <w:p>
      <w:pPr>
        <w:pStyle w:val="ListParagraph"/>
        <w:numPr>
          <w:ilvl w:val="3"/>
          <w:numId w:val="22"/>
        </w:numPr>
        <w:tabs>
          <w:tab w:pos="577" w:val="left" w:leader="none"/>
        </w:tabs>
        <w:spacing w:line="275" w:lineRule="exact" w:before="0" w:after="0"/>
        <w:ind w:left="576" w:right="0" w:hanging="460"/>
        <w:jc w:val="left"/>
        <w:rPr>
          <w:sz w:val="24"/>
        </w:rPr>
      </w:pPr>
      <w:r>
        <w:rPr>
          <w:sz w:val="24"/>
        </w:rPr>
        <w:t>Si necesita de algún consejo importante, ¿a quién(es) buscaría?</w:t>
      </w:r>
    </w:p>
    <w:p>
      <w:pPr>
        <w:pStyle w:val="ListParagraph"/>
        <w:numPr>
          <w:ilvl w:val="0"/>
          <w:numId w:val="10"/>
        </w:numPr>
        <w:tabs>
          <w:tab w:pos="321" w:val="left" w:leader="none"/>
        </w:tabs>
        <w:spacing w:line="242" w:lineRule="auto" w:before="0" w:after="0"/>
        <w:ind w:left="116" w:right="103" w:firstLine="0"/>
        <w:jc w:val="left"/>
        <w:rPr>
          <w:sz w:val="24"/>
        </w:rPr>
      </w:pPr>
      <w:r>
        <w:rPr>
          <w:sz w:val="24"/>
        </w:rPr>
        <w:t>Puede nombrar algunas de las personas que nombró anteriormente, si caben en esa descripción, o puede nombrar a otras personas.</w:t>
      </w:r>
    </w:p>
    <w:p>
      <w:pPr>
        <w:pStyle w:val="ListParagraph"/>
        <w:numPr>
          <w:ilvl w:val="0"/>
          <w:numId w:val="10"/>
        </w:numPr>
        <w:tabs>
          <w:tab w:pos="261" w:val="left" w:leader="none"/>
        </w:tabs>
        <w:spacing w:line="242" w:lineRule="auto" w:before="0" w:after="0"/>
        <w:ind w:left="116" w:right="1280" w:firstLine="0"/>
        <w:jc w:val="left"/>
        <w:rPr>
          <w:sz w:val="24"/>
        </w:rPr>
      </w:pPr>
      <w:r>
        <w:rPr>
          <w:sz w:val="24"/>
        </w:rPr>
        <w:t>Si el sujeto es incapaz de dar el nombre de alguna persona, pasar a la pregunta C4.</w:t>
      </w:r>
    </w:p>
    <w:p>
      <w:pPr>
        <w:pStyle w:val="ListParagraph"/>
        <w:numPr>
          <w:ilvl w:val="0"/>
          <w:numId w:val="10"/>
        </w:numPr>
        <w:tabs>
          <w:tab w:pos="306" w:val="left" w:leader="none"/>
        </w:tabs>
        <w:spacing w:line="242" w:lineRule="auto" w:before="0" w:after="0"/>
        <w:ind w:left="116" w:right="103" w:firstLine="0"/>
        <w:jc w:val="left"/>
        <w:rPr>
          <w:sz w:val="24"/>
        </w:rPr>
      </w:pPr>
      <w:r>
        <w:rPr>
          <w:sz w:val="24"/>
        </w:rPr>
        <w:t>Si el sujeto nombra una o más personas, pruebe a ver si le da un nombre adicional, preguntando: ¿Hay alguien más en el que piense?</w:t>
      </w:r>
    </w:p>
    <w:p>
      <w:pPr>
        <w:pStyle w:val="ListParagraph"/>
        <w:numPr>
          <w:ilvl w:val="3"/>
          <w:numId w:val="22"/>
        </w:numPr>
        <w:tabs>
          <w:tab w:pos="577" w:val="left" w:leader="none"/>
        </w:tabs>
        <w:spacing w:line="271" w:lineRule="exact" w:before="0" w:after="0"/>
        <w:ind w:left="576" w:right="0" w:hanging="460"/>
        <w:jc w:val="left"/>
        <w:rPr>
          <w:sz w:val="24"/>
        </w:rPr>
      </w:pPr>
      <w:r>
        <w:rPr>
          <w:sz w:val="24"/>
        </w:rPr>
        <w:t>Desde el último mes, ¿a qué personas buscó para que le dieran un consejo?</w:t>
      </w:r>
    </w:p>
    <w:p>
      <w:pPr>
        <w:pStyle w:val="ListParagraph"/>
        <w:numPr>
          <w:ilvl w:val="0"/>
          <w:numId w:val="10"/>
        </w:numPr>
        <w:tabs>
          <w:tab w:pos="273" w:val="left" w:leader="none"/>
        </w:tabs>
        <w:spacing w:line="274" w:lineRule="exact" w:before="7" w:after="0"/>
        <w:ind w:left="116" w:right="103" w:firstLine="0"/>
        <w:jc w:val="left"/>
        <w:rPr>
          <w:sz w:val="24"/>
        </w:rPr>
      </w:pPr>
      <w:r>
        <w:rPr>
          <w:sz w:val="24"/>
        </w:rPr>
        <w:t>Pruebe preguntarle específicamente por las personas que fueron enlistadas en la pregunta C1, pero no las enlistó en la pregunta C2.</w:t>
      </w:r>
    </w:p>
    <w:p>
      <w:pPr>
        <w:pStyle w:val="ListParagraph"/>
        <w:numPr>
          <w:ilvl w:val="3"/>
          <w:numId w:val="22"/>
        </w:numPr>
        <w:tabs>
          <w:tab w:pos="577" w:val="left" w:leader="none"/>
        </w:tabs>
        <w:spacing w:line="274" w:lineRule="exact" w:before="0" w:after="0"/>
        <w:ind w:left="576" w:right="0" w:hanging="460"/>
        <w:jc w:val="left"/>
        <w:rPr>
          <w:sz w:val="24"/>
        </w:rPr>
      </w:pPr>
      <w:r>
        <w:rPr>
          <w:sz w:val="24"/>
        </w:rPr>
        <w:t>Durante los meses pasados, ¿quedó satisfecho(a) con los consejos recibidos?</w:t>
      </w:r>
      <w:r>
        <w:rPr>
          <w:spacing w:val="-1"/>
          <w:sz w:val="24"/>
        </w:rPr>
        <w:t> </w:t>
      </w:r>
      <w:r>
        <w:rPr>
          <w:sz w:val="24"/>
        </w:rPr>
        <w:t>¿cuánto?</w:t>
      </w:r>
    </w:p>
    <w:p>
      <w:pPr>
        <w:pStyle w:val="ListParagraph"/>
        <w:numPr>
          <w:ilvl w:val="0"/>
          <w:numId w:val="10"/>
        </w:numPr>
        <w:tabs>
          <w:tab w:pos="284" w:val="left" w:leader="none"/>
        </w:tabs>
        <w:spacing w:line="242" w:lineRule="auto" w:before="0" w:after="0"/>
        <w:ind w:left="116" w:right="103" w:firstLine="0"/>
        <w:jc w:val="left"/>
        <w:rPr>
          <w:sz w:val="24"/>
        </w:rPr>
      </w:pPr>
      <w:r>
        <w:rPr>
          <w:sz w:val="24"/>
        </w:rPr>
        <w:t>Mire la tarjeta de satisfacción (mostrarla) y dígame la alternativa que mejor describe su calificación.</w:t>
      </w:r>
    </w:p>
    <w:p>
      <w:pPr>
        <w:pStyle w:val="ListParagraph"/>
        <w:numPr>
          <w:ilvl w:val="0"/>
          <w:numId w:val="10"/>
        </w:numPr>
        <w:tabs>
          <w:tab w:pos="261" w:val="left" w:leader="none"/>
        </w:tabs>
        <w:spacing w:line="271" w:lineRule="exact" w:before="0" w:after="0"/>
        <w:ind w:left="260" w:right="0" w:hanging="144"/>
        <w:jc w:val="left"/>
        <w:rPr>
          <w:sz w:val="24"/>
        </w:rPr>
      </w:pPr>
      <w:r>
        <w:rPr>
          <w:sz w:val="24"/>
        </w:rPr>
        <w:t>Anote la calificación en la parte inferior de la hoja de respuestas, en el número 3.</w:t>
      </w:r>
    </w:p>
    <w:p>
      <w:pPr>
        <w:pStyle w:val="ListParagraph"/>
        <w:numPr>
          <w:ilvl w:val="3"/>
          <w:numId w:val="22"/>
        </w:numPr>
        <w:tabs>
          <w:tab w:pos="577" w:val="left" w:leader="none"/>
        </w:tabs>
        <w:spacing w:line="275" w:lineRule="exact" w:before="2" w:after="0"/>
        <w:ind w:left="576" w:right="0" w:hanging="460"/>
        <w:jc w:val="left"/>
        <w:rPr>
          <w:sz w:val="24"/>
        </w:rPr>
      </w:pPr>
      <w:r>
        <w:rPr>
          <w:sz w:val="24"/>
        </w:rPr>
        <w:t>Durante estos últimos meses, ¿necesitó recibir consejos?</w:t>
      </w:r>
    </w:p>
    <w:p>
      <w:pPr>
        <w:pStyle w:val="ListParagraph"/>
        <w:numPr>
          <w:ilvl w:val="0"/>
          <w:numId w:val="10"/>
        </w:numPr>
        <w:tabs>
          <w:tab w:pos="297" w:val="left" w:leader="none"/>
        </w:tabs>
        <w:spacing w:line="242" w:lineRule="auto" w:before="0" w:after="0"/>
        <w:ind w:left="116" w:right="103" w:firstLine="0"/>
        <w:jc w:val="left"/>
        <w:rPr>
          <w:sz w:val="24"/>
        </w:rPr>
      </w:pPr>
      <w:r>
        <w:rPr>
          <w:sz w:val="24"/>
        </w:rPr>
        <w:t>Mire la tarjeta de necesidad (mostrarla) y dígame la alternativa que mejor describe su calificación.</w:t>
      </w:r>
    </w:p>
    <w:p>
      <w:pPr>
        <w:pStyle w:val="ListParagraph"/>
        <w:numPr>
          <w:ilvl w:val="0"/>
          <w:numId w:val="10"/>
        </w:numPr>
        <w:tabs>
          <w:tab w:pos="261" w:val="left" w:leader="none"/>
        </w:tabs>
        <w:spacing w:line="271" w:lineRule="exact" w:before="0" w:after="0"/>
        <w:ind w:left="260" w:right="0" w:hanging="144"/>
        <w:jc w:val="left"/>
        <w:rPr>
          <w:sz w:val="24"/>
        </w:rPr>
      </w:pPr>
      <w:r>
        <w:rPr>
          <w:sz w:val="24"/>
        </w:rPr>
        <w:t>Anote la calificación en la parte inferior de la hoja de respuestas, en el número 4.</w:t>
      </w:r>
    </w:p>
    <w:p>
      <w:pPr>
        <w:pStyle w:val="BodyText"/>
      </w:pPr>
    </w:p>
    <w:p>
      <w:pPr>
        <w:pStyle w:val="BodyText"/>
        <w:spacing w:before="2"/>
      </w:pPr>
    </w:p>
    <w:p>
      <w:pPr>
        <w:pStyle w:val="Heading1"/>
        <w:numPr>
          <w:ilvl w:val="2"/>
          <w:numId w:val="22"/>
        </w:numPr>
        <w:tabs>
          <w:tab w:pos="411" w:val="left" w:leader="none"/>
        </w:tabs>
        <w:spacing w:line="240" w:lineRule="auto" w:before="0" w:after="0"/>
        <w:ind w:left="410" w:right="0" w:hanging="294"/>
        <w:jc w:val="left"/>
      </w:pPr>
      <w:r>
        <w:rPr/>
        <w:t>INFORMACIÓN POSITIVA</w:t>
      </w:r>
    </w:p>
    <w:p>
      <w:pPr>
        <w:pStyle w:val="BodyText"/>
        <w:spacing w:before="4"/>
        <w:rPr>
          <w:b/>
        </w:rPr>
      </w:pPr>
    </w:p>
    <w:p>
      <w:pPr>
        <w:pStyle w:val="ListParagraph"/>
        <w:numPr>
          <w:ilvl w:val="3"/>
          <w:numId w:val="22"/>
        </w:numPr>
        <w:tabs>
          <w:tab w:pos="627" w:val="left" w:leader="none"/>
        </w:tabs>
        <w:spacing w:line="274" w:lineRule="exact" w:before="1" w:after="0"/>
        <w:ind w:left="116" w:right="103" w:firstLine="0"/>
        <w:jc w:val="left"/>
        <w:rPr>
          <w:sz w:val="24"/>
        </w:rPr>
      </w:pPr>
      <w:r>
        <w:rPr>
          <w:sz w:val="24"/>
        </w:rPr>
        <w:t>¿Cree que a alguien le parece bien su estilo de vida? ¿son personas que mencionó antes u otras?</w:t>
      </w:r>
    </w:p>
    <w:p>
      <w:pPr>
        <w:pStyle w:val="ListParagraph"/>
        <w:numPr>
          <w:ilvl w:val="0"/>
          <w:numId w:val="10"/>
        </w:numPr>
        <w:tabs>
          <w:tab w:pos="261" w:val="left" w:leader="none"/>
        </w:tabs>
        <w:spacing w:line="274" w:lineRule="exact" w:before="4" w:after="0"/>
        <w:ind w:left="116" w:right="1280" w:firstLine="0"/>
        <w:jc w:val="left"/>
        <w:rPr>
          <w:sz w:val="24"/>
        </w:rPr>
      </w:pPr>
      <w:r>
        <w:rPr>
          <w:sz w:val="24"/>
        </w:rPr>
        <w:t>Si el sujeto es incapaz de dar el nombre de alguna persona, pasar a la pregunta D4.</w:t>
      </w:r>
    </w:p>
    <w:p>
      <w:pPr>
        <w:pStyle w:val="ListParagraph"/>
        <w:numPr>
          <w:ilvl w:val="0"/>
          <w:numId w:val="10"/>
        </w:numPr>
        <w:tabs>
          <w:tab w:pos="306" w:val="left" w:leader="none"/>
        </w:tabs>
        <w:spacing w:line="274" w:lineRule="exact" w:before="4" w:after="0"/>
        <w:ind w:left="116" w:right="103" w:firstLine="0"/>
        <w:jc w:val="left"/>
        <w:rPr>
          <w:sz w:val="24"/>
        </w:rPr>
      </w:pPr>
      <w:r>
        <w:rPr>
          <w:sz w:val="24"/>
        </w:rPr>
        <w:t>Si el sujeto nombra una o más personas, pruebe a ver si le da un nombre adicional, preguntando: ¿Hay alguien más en el que piense?</w:t>
      </w:r>
    </w:p>
    <w:p>
      <w:pPr>
        <w:pStyle w:val="ListParagraph"/>
        <w:numPr>
          <w:ilvl w:val="3"/>
          <w:numId w:val="22"/>
        </w:numPr>
        <w:tabs>
          <w:tab w:pos="591" w:val="left" w:leader="none"/>
        </w:tabs>
        <w:spacing w:line="274" w:lineRule="exact" w:before="0" w:after="0"/>
        <w:ind w:left="590" w:right="0" w:hanging="474"/>
        <w:jc w:val="left"/>
        <w:rPr>
          <w:sz w:val="24"/>
        </w:rPr>
      </w:pPr>
      <w:r>
        <w:rPr>
          <w:sz w:val="24"/>
        </w:rPr>
        <w:t>Durante los últimos meses, ¿quiénes le dijeron que le gustaba su estilo de vida?</w:t>
      </w:r>
    </w:p>
    <w:p>
      <w:pPr>
        <w:pStyle w:val="ListParagraph"/>
        <w:numPr>
          <w:ilvl w:val="0"/>
          <w:numId w:val="10"/>
        </w:numPr>
        <w:tabs>
          <w:tab w:pos="273" w:val="left" w:leader="none"/>
        </w:tabs>
        <w:spacing w:line="242" w:lineRule="auto" w:before="0" w:after="0"/>
        <w:ind w:left="116" w:right="103" w:firstLine="0"/>
        <w:jc w:val="left"/>
        <w:rPr>
          <w:sz w:val="24"/>
        </w:rPr>
      </w:pPr>
      <w:r>
        <w:rPr>
          <w:sz w:val="24"/>
        </w:rPr>
        <w:t>Pruebe preguntarle específicamente por las personas que fueron enlistadas en la pregunta D1, pero no las enlistó en la pregunta D2.</w:t>
      </w:r>
    </w:p>
    <w:p>
      <w:pPr>
        <w:pStyle w:val="ListParagraph"/>
        <w:numPr>
          <w:ilvl w:val="3"/>
          <w:numId w:val="22"/>
        </w:numPr>
        <w:tabs>
          <w:tab w:pos="591" w:val="left" w:leader="none"/>
        </w:tabs>
        <w:spacing w:line="242" w:lineRule="auto" w:before="0" w:after="0"/>
        <w:ind w:left="116" w:right="843" w:firstLine="0"/>
        <w:jc w:val="left"/>
        <w:rPr>
          <w:sz w:val="24"/>
        </w:rPr>
      </w:pPr>
      <w:r>
        <w:rPr>
          <w:sz w:val="24"/>
        </w:rPr>
        <w:t>Durante los meses pasados, ¿qué tan satisfecho(a) se sintió cuando las personas le dijeron que le había gustado su estilo de vida?</w:t>
      </w:r>
    </w:p>
    <w:p>
      <w:pPr>
        <w:pStyle w:val="ListParagraph"/>
        <w:numPr>
          <w:ilvl w:val="0"/>
          <w:numId w:val="10"/>
        </w:numPr>
        <w:tabs>
          <w:tab w:pos="284" w:val="left" w:leader="none"/>
        </w:tabs>
        <w:spacing w:line="242" w:lineRule="auto" w:before="0" w:after="0"/>
        <w:ind w:left="116" w:right="103" w:firstLine="0"/>
        <w:jc w:val="left"/>
        <w:rPr>
          <w:sz w:val="24"/>
        </w:rPr>
      </w:pPr>
      <w:r>
        <w:rPr>
          <w:sz w:val="24"/>
        </w:rPr>
        <w:t>Mire la tarjeta de satisfacción (mostrarla) y dígame la alternativa que mejor describe su calificación.</w:t>
      </w:r>
    </w:p>
    <w:p>
      <w:pPr>
        <w:pStyle w:val="ListParagraph"/>
        <w:numPr>
          <w:ilvl w:val="0"/>
          <w:numId w:val="10"/>
        </w:numPr>
        <w:tabs>
          <w:tab w:pos="261" w:val="left" w:leader="none"/>
        </w:tabs>
        <w:spacing w:line="271" w:lineRule="exact" w:before="0" w:after="0"/>
        <w:ind w:left="260" w:right="0" w:hanging="144"/>
        <w:jc w:val="left"/>
        <w:rPr>
          <w:sz w:val="24"/>
        </w:rPr>
      </w:pPr>
      <w:r>
        <w:rPr>
          <w:sz w:val="24"/>
        </w:rPr>
        <w:t>Anote la calificación en la parte inferior de la hoja de respuestas, en el número 3.</w:t>
      </w:r>
    </w:p>
    <w:p>
      <w:pPr>
        <w:pStyle w:val="ListParagraph"/>
        <w:numPr>
          <w:ilvl w:val="3"/>
          <w:numId w:val="22"/>
        </w:numPr>
        <w:tabs>
          <w:tab w:pos="591" w:val="left" w:leader="none"/>
        </w:tabs>
        <w:spacing w:line="274" w:lineRule="exact" w:before="7" w:after="0"/>
        <w:ind w:left="116" w:right="103" w:firstLine="0"/>
        <w:jc w:val="left"/>
        <w:rPr>
          <w:sz w:val="24"/>
        </w:rPr>
      </w:pPr>
      <w:r>
        <w:rPr>
          <w:sz w:val="24"/>
        </w:rPr>
        <w:t>Durante los meses pasados, ¿necesitó que las personas que le conocen le hicieran saber que les gustaba su estilo de vida?</w:t>
      </w:r>
    </w:p>
    <w:p>
      <w:pPr>
        <w:pStyle w:val="ListParagraph"/>
        <w:numPr>
          <w:ilvl w:val="0"/>
          <w:numId w:val="10"/>
        </w:numPr>
        <w:tabs>
          <w:tab w:pos="297" w:val="left" w:leader="none"/>
        </w:tabs>
        <w:spacing w:line="274" w:lineRule="exact" w:before="4" w:after="0"/>
        <w:ind w:left="116" w:right="103" w:firstLine="0"/>
        <w:jc w:val="left"/>
        <w:rPr>
          <w:sz w:val="24"/>
        </w:rPr>
      </w:pPr>
      <w:r>
        <w:rPr>
          <w:sz w:val="24"/>
        </w:rPr>
        <w:t>Mire la tarjeta de necesidad (mostrarla) y dígame la alternativa que mejor describe su calificación.</w:t>
      </w:r>
    </w:p>
    <w:p>
      <w:pPr>
        <w:pStyle w:val="ListParagraph"/>
        <w:numPr>
          <w:ilvl w:val="0"/>
          <w:numId w:val="10"/>
        </w:numPr>
        <w:tabs>
          <w:tab w:pos="261" w:val="left" w:leader="none"/>
        </w:tabs>
        <w:spacing w:line="271" w:lineRule="exact" w:before="0" w:after="0"/>
        <w:ind w:left="260" w:right="0" w:hanging="144"/>
        <w:jc w:val="left"/>
        <w:rPr>
          <w:sz w:val="24"/>
        </w:rPr>
      </w:pPr>
      <w:r>
        <w:rPr>
          <w:sz w:val="24"/>
        </w:rPr>
        <w:t>Anote la calificación en la parte inferior de la hoja de respuestas, en el número 4.</w:t>
      </w:r>
    </w:p>
    <w:p>
      <w:pPr>
        <w:spacing w:after="0" w:line="271" w:lineRule="exact"/>
        <w:jc w:val="left"/>
        <w:rPr>
          <w:sz w:val="24"/>
        </w:rPr>
        <w:sectPr>
          <w:pgSz w:w="12240" w:h="15840"/>
          <w:pgMar w:header="0" w:footer="972" w:top="1500" w:bottom="1220" w:left="1580" w:right="1600"/>
        </w:sectPr>
      </w:pPr>
    </w:p>
    <w:p>
      <w:pPr>
        <w:pStyle w:val="Heading1"/>
        <w:numPr>
          <w:ilvl w:val="2"/>
          <w:numId w:val="22"/>
        </w:numPr>
        <w:tabs>
          <w:tab w:pos="397" w:val="left" w:leader="none"/>
        </w:tabs>
        <w:spacing w:line="240" w:lineRule="auto" w:before="50" w:after="0"/>
        <w:ind w:left="396" w:right="0" w:hanging="280"/>
        <w:jc w:val="left"/>
      </w:pPr>
      <w:r>
        <w:rPr/>
        <w:t>ASISTENCIA</w:t>
      </w:r>
    </w:p>
    <w:p>
      <w:pPr>
        <w:pStyle w:val="BodyText"/>
        <w:rPr>
          <w:b/>
        </w:rPr>
      </w:pPr>
    </w:p>
    <w:p>
      <w:pPr>
        <w:pStyle w:val="ListParagraph"/>
        <w:numPr>
          <w:ilvl w:val="3"/>
          <w:numId w:val="22"/>
        </w:numPr>
        <w:tabs>
          <w:tab w:pos="567" w:val="left" w:leader="none"/>
        </w:tabs>
        <w:spacing w:line="242" w:lineRule="auto" w:before="0" w:after="0"/>
        <w:ind w:left="116" w:right="103" w:firstLine="0"/>
        <w:jc w:val="left"/>
        <w:rPr>
          <w:sz w:val="24"/>
        </w:rPr>
      </w:pPr>
      <w:r>
        <w:rPr>
          <w:sz w:val="24"/>
        </w:rPr>
        <w:t>Cuando necesita que alguien le ayude con las cosas de la casa o que lo(a) acompañe de compras o al médico, ¿a quién le pasa la voz?</w:t>
      </w:r>
    </w:p>
    <w:p>
      <w:pPr>
        <w:pStyle w:val="BodyText"/>
        <w:spacing w:line="242" w:lineRule="auto"/>
        <w:ind w:left="116" w:right="1407"/>
      </w:pPr>
      <w:r>
        <w:rPr/>
        <w:t>Si el sujeto es incapaz de dar el nombre de alguna persona, pasar a la pregunta E.4.</w:t>
      </w:r>
    </w:p>
    <w:p>
      <w:pPr>
        <w:pStyle w:val="ListParagraph"/>
        <w:numPr>
          <w:ilvl w:val="0"/>
          <w:numId w:val="10"/>
        </w:numPr>
        <w:tabs>
          <w:tab w:pos="306" w:val="left" w:leader="none"/>
        </w:tabs>
        <w:spacing w:line="242" w:lineRule="auto" w:before="0" w:after="0"/>
        <w:ind w:left="116" w:right="103" w:firstLine="0"/>
        <w:jc w:val="left"/>
        <w:rPr>
          <w:sz w:val="24"/>
        </w:rPr>
      </w:pPr>
      <w:r>
        <w:rPr>
          <w:sz w:val="24"/>
        </w:rPr>
        <w:t>Si el sujeto nombra una o más personas, pruebe a ver si le da un nombre adicional, preguntando: ¿Hay alguien más en el que piense?</w:t>
      </w:r>
    </w:p>
    <w:p>
      <w:pPr>
        <w:pStyle w:val="ListParagraph"/>
        <w:numPr>
          <w:ilvl w:val="3"/>
          <w:numId w:val="22"/>
        </w:numPr>
        <w:tabs>
          <w:tab w:pos="600" w:val="left" w:leader="none"/>
        </w:tabs>
        <w:spacing w:line="242" w:lineRule="auto" w:before="0" w:after="0"/>
        <w:ind w:left="116" w:right="103" w:firstLine="0"/>
        <w:jc w:val="left"/>
        <w:rPr>
          <w:sz w:val="24"/>
        </w:rPr>
      </w:pPr>
      <w:r>
        <w:rPr>
          <w:sz w:val="24"/>
        </w:rPr>
        <w:t>Durante los meses pasados, ¿cuáles de esas personas le acompañó o ayudó con las cosas que necesitaba hacer?</w:t>
      </w:r>
    </w:p>
    <w:p>
      <w:pPr>
        <w:pStyle w:val="ListParagraph"/>
        <w:numPr>
          <w:ilvl w:val="0"/>
          <w:numId w:val="10"/>
        </w:numPr>
        <w:tabs>
          <w:tab w:pos="273" w:val="left" w:leader="none"/>
        </w:tabs>
        <w:spacing w:line="242" w:lineRule="auto" w:before="0" w:after="0"/>
        <w:ind w:left="116" w:right="103" w:firstLine="0"/>
        <w:jc w:val="left"/>
        <w:rPr>
          <w:sz w:val="24"/>
        </w:rPr>
      </w:pPr>
      <w:r>
        <w:rPr>
          <w:sz w:val="24"/>
        </w:rPr>
        <w:t>Pruebe preguntarle específicamente por las personas que fueron enlistadas en la pregunta E1, pero no las enlistó en la pregunta E2.</w:t>
      </w:r>
    </w:p>
    <w:p>
      <w:pPr>
        <w:pStyle w:val="ListParagraph"/>
        <w:numPr>
          <w:ilvl w:val="3"/>
          <w:numId w:val="22"/>
        </w:numPr>
        <w:tabs>
          <w:tab w:pos="564" w:val="left" w:leader="none"/>
        </w:tabs>
        <w:spacing w:line="242" w:lineRule="auto" w:before="0" w:after="0"/>
        <w:ind w:left="116" w:right="736" w:firstLine="0"/>
        <w:jc w:val="left"/>
        <w:rPr>
          <w:sz w:val="24"/>
        </w:rPr>
      </w:pPr>
      <w:r>
        <w:rPr>
          <w:sz w:val="24"/>
        </w:rPr>
        <w:t>Durante los últimos meses, ¿qué tan satisfecho(a) se sintió con la ayuda, cuidado o apoyo recibido?</w:t>
      </w:r>
    </w:p>
    <w:p>
      <w:pPr>
        <w:pStyle w:val="ListParagraph"/>
        <w:numPr>
          <w:ilvl w:val="0"/>
          <w:numId w:val="10"/>
        </w:numPr>
        <w:tabs>
          <w:tab w:pos="284" w:val="left" w:leader="none"/>
        </w:tabs>
        <w:spacing w:line="242" w:lineRule="auto" w:before="0" w:after="0"/>
        <w:ind w:left="116" w:right="103" w:firstLine="0"/>
        <w:jc w:val="left"/>
        <w:rPr>
          <w:sz w:val="24"/>
        </w:rPr>
      </w:pPr>
      <w:r>
        <w:rPr>
          <w:sz w:val="24"/>
        </w:rPr>
        <w:t>Mire la tarjeta de satisfacción (mostrarla) y dígame la alternativa que mejor describe su calificación.</w:t>
      </w:r>
    </w:p>
    <w:p>
      <w:pPr>
        <w:pStyle w:val="ListParagraph"/>
        <w:numPr>
          <w:ilvl w:val="0"/>
          <w:numId w:val="10"/>
        </w:numPr>
        <w:tabs>
          <w:tab w:pos="261" w:val="left" w:leader="none"/>
        </w:tabs>
        <w:spacing w:line="271" w:lineRule="exact" w:before="0" w:after="0"/>
        <w:ind w:left="260" w:right="0" w:hanging="144"/>
        <w:jc w:val="left"/>
        <w:rPr>
          <w:sz w:val="24"/>
        </w:rPr>
      </w:pPr>
      <w:r>
        <w:rPr>
          <w:sz w:val="24"/>
        </w:rPr>
        <w:t>Anote la calificación en la parte inferior de la hoja de respuestas, en el número 3.</w:t>
      </w:r>
    </w:p>
    <w:p>
      <w:pPr>
        <w:pStyle w:val="ListParagraph"/>
        <w:numPr>
          <w:ilvl w:val="3"/>
          <w:numId w:val="22"/>
        </w:numPr>
        <w:tabs>
          <w:tab w:pos="564" w:val="left" w:leader="none"/>
        </w:tabs>
        <w:spacing w:line="275" w:lineRule="exact" w:before="2" w:after="0"/>
        <w:ind w:left="563" w:right="0" w:hanging="447"/>
        <w:jc w:val="left"/>
        <w:rPr>
          <w:sz w:val="24"/>
        </w:rPr>
      </w:pPr>
      <w:r>
        <w:rPr>
          <w:sz w:val="24"/>
        </w:rPr>
        <w:t>Durante estos últimos meses, ¿cuán necesitado(a) estuvo de ayuda, cuidado o apoyo?</w:t>
      </w:r>
    </w:p>
    <w:p>
      <w:pPr>
        <w:pStyle w:val="ListParagraph"/>
        <w:numPr>
          <w:ilvl w:val="0"/>
          <w:numId w:val="10"/>
        </w:numPr>
        <w:tabs>
          <w:tab w:pos="297" w:val="left" w:leader="none"/>
        </w:tabs>
        <w:spacing w:line="242" w:lineRule="auto" w:before="0" w:after="0"/>
        <w:ind w:left="116" w:right="103" w:firstLine="0"/>
        <w:jc w:val="left"/>
        <w:rPr>
          <w:sz w:val="24"/>
        </w:rPr>
      </w:pPr>
      <w:r>
        <w:rPr>
          <w:sz w:val="24"/>
        </w:rPr>
        <w:t>Mire la tarjeta de necesidad (mostrarla) y dígame la alternativa que mejor describe su calificación.</w:t>
      </w:r>
    </w:p>
    <w:p>
      <w:pPr>
        <w:pStyle w:val="ListParagraph"/>
        <w:numPr>
          <w:ilvl w:val="0"/>
          <w:numId w:val="10"/>
        </w:numPr>
        <w:tabs>
          <w:tab w:pos="261" w:val="left" w:leader="none"/>
        </w:tabs>
        <w:spacing w:line="271" w:lineRule="exact" w:before="0" w:after="0"/>
        <w:ind w:left="260" w:right="0" w:hanging="144"/>
        <w:jc w:val="left"/>
        <w:rPr>
          <w:sz w:val="24"/>
        </w:rPr>
      </w:pPr>
      <w:r>
        <w:rPr>
          <w:sz w:val="24"/>
        </w:rPr>
        <w:t>Anote la calificación en la parte inferior de la hoja de respuestas, en el número 4.</w:t>
      </w:r>
    </w:p>
    <w:p>
      <w:pPr>
        <w:pStyle w:val="BodyText"/>
      </w:pPr>
    </w:p>
    <w:p>
      <w:pPr>
        <w:pStyle w:val="Heading1"/>
        <w:numPr>
          <w:ilvl w:val="2"/>
          <w:numId w:val="22"/>
        </w:numPr>
        <w:tabs>
          <w:tab w:pos="384" w:val="left" w:leader="none"/>
        </w:tabs>
        <w:spacing w:line="240" w:lineRule="auto" w:before="0" w:after="0"/>
        <w:ind w:left="383" w:right="0" w:hanging="267"/>
        <w:jc w:val="left"/>
      </w:pPr>
      <w:r>
        <w:rPr/>
        <w:t>PARTICIPACIÓN SOCIAL</w:t>
      </w:r>
    </w:p>
    <w:p>
      <w:pPr>
        <w:pStyle w:val="BodyText"/>
        <w:rPr>
          <w:b/>
        </w:rPr>
      </w:pPr>
    </w:p>
    <w:p>
      <w:pPr>
        <w:pStyle w:val="ListParagraph"/>
        <w:numPr>
          <w:ilvl w:val="3"/>
          <w:numId w:val="22"/>
        </w:numPr>
        <w:tabs>
          <w:tab w:pos="551" w:val="left" w:leader="none"/>
        </w:tabs>
        <w:spacing w:line="240" w:lineRule="auto" w:before="0" w:after="0"/>
        <w:ind w:left="116" w:right="0" w:firstLine="0"/>
        <w:jc w:val="left"/>
        <w:rPr>
          <w:sz w:val="24"/>
        </w:rPr>
      </w:pPr>
      <w:r>
        <w:rPr>
          <w:sz w:val="24"/>
        </w:rPr>
        <w:t>¿Con quiénes se reúne cuando quiere pasar un momento divertido?</w:t>
      </w:r>
    </w:p>
    <w:p>
      <w:pPr>
        <w:pStyle w:val="ListParagraph"/>
        <w:numPr>
          <w:ilvl w:val="0"/>
          <w:numId w:val="10"/>
        </w:numPr>
        <w:tabs>
          <w:tab w:pos="261" w:val="left" w:leader="none"/>
        </w:tabs>
        <w:spacing w:line="274" w:lineRule="exact" w:before="7" w:after="0"/>
        <w:ind w:left="116" w:right="1280" w:firstLine="0"/>
        <w:jc w:val="left"/>
        <w:rPr>
          <w:sz w:val="24"/>
        </w:rPr>
      </w:pPr>
      <w:r>
        <w:rPr>
          <w:sz w:val="24"/>
        </w:rPr>
        <w:t>Si el sujeto es incapaz de dar el nombre de alguna persona, pasar a la pregunta F4.</w:t>
      </w:r>
    </w:p>
    <w:p>
      <w:pPr>
        <w:pStyle w:val="ListParagraph"/>
        <w:numPr>
          <w:ilvl w:val="0"/>
          <w:numId w:val="10"/>
        </w:numPr>
        <w:tabs>
          <w:tab w:pos="306" w:val="left" w:leader="none"/>
        </w:tabs>
        <w:spacing w:line="274" w:lineRule="exact" w:before="4" w:after="0"/>
        <w:ind w:left="116" w:right="103" w:firstLine="0"/>
        <w:jc w:val="left"/>
        <w:rPr>
          <w:sz w:val="24"/>
        </w:rPr>
      </w:pPr>
      <w:r>
        <w:rPr>
          <w:sz w:val="24"/>
        </w:rPr>
        <w:t>Si el sujeto nombra una o más personas, pruebe a ver si le da un nombre adicional, preguntando: ¿Hay alguien más en el que piense?</w:t>
      </w:r>
    </w:p>
    <w:p>
      <w:pPr>
        <w:pStyle w:val="ListParagraph"/>
        <w:numPr>
          <w:ilvl w:val="3"/>
          <w:numId w:val="22"/>
        </w:numPr>
        <w:tabs>
          <w:tab w:pos="551" w:val="left" w:leader="none"/>
        </w:tabs>
        <w:spacing w:line="274" w:lineRule="exact" w:before="0" w:after="0"/>
        <w:ind w:left="550" w:right="0" w:hanging="434"/>
        <w:jc w:val="left"/>
        <w:rPr>
          <w:sz w:val="24"/>
        </w:rPr>
      </w:pPr>
      <w:r>
        <w:rPr>
          <w:sz w:val="24"/>
        </w:rPr>
        <w:t>Durante los meses pasados, ¿con quiénes se reunió para divertirse o entretenerse?</w:t>
      </w:r>
    </w:p>
    <w:p>
      <w:pPr>
        <w:pStyle w:val="ListParagraph"/>
        <w:numPr>
          <w:ilvl w:val="0"/>
          <w:numId w:val="10"/>
        </w:numPr>
        <w:tabs>
          <w:tab w:pos="273" w:val="left" w:leader="none"/>
        </w:tabs>
        <w:spacing w:line="242" w:lineRule="auto" w:before="0" w:after="0"/>
        <w:ind w:left="116" w:right="103" w:firstLine="0"/>
        <w:jc w:val="left"/>
        <w:rPr>
          <w:sz w:val="24"/>
        </w:rPr>
      </w:pPr>
      <w:r>
        <w:rPr>
          <w:sz w:val="24"/>
        </w:rPr>
        <w:t>Pruebe preguntarle específicamente por las personas que fueron enlistadas en la pregunta F1, pero no las enlistó en la pregunta F2.</w:t>
      </w:r>
    </w:p>
    <w:p>
      <w:pPr>
        <w:pStyle w:val="ListParagraph"/>
        <w:numPr>
          <w:ilvl w:val="3"/>
          <w:numId w:val="22"/>
        </w:numPr>
        <w:tabs>
          <w:tab w:pos="557" w:val="left" w:leader="none"/>
        </w:tabs>
        <w:spacing w:line="242" w:lineRule="auto" w:before="0" w:after="0"/>
        <w:ind w:left="116" w:right="103" w:firstLine="0"/>
        <w:jc w:val="left"/>
        <w:rPr>
          <w:sz w:val="24"/>
        </w:rPr>
      </w:pPr>
      <w:r>
        <w:rPr>
          <w:sz w:val="24"/>
        </w:rPr>
        <w:t>Durante los meses pasados, ¿qué tan satisfecho(a) se sintió las veces que se reunió con esas personas para divertirse o entretenerse?</w:t>
      </w:r>
    </w:p>
    <w:p>
      <w:pPr>
        <w:pStyle w:val="ListParagraph"/>
        <w:numPr>
          <w:ilvl w:val="0"/>
          <w:numId w:val="10"/>
        </w:numPr>
        <w:tabs>
          <w:tab w:pos="284" w:val="left" w:leader="none"/>
        </w:tabs>
        <w:spacing w:line="242" w:lineRule="auto" w:before="0" w:after="0"/>
        <w:ind w:left="116" w:right="103" w:firstLine="0"/>
        <w:jc w:val="left"/>
        <w:rPr>
          <w:sz w:val="24"/>
        </w:rPr>
      </w:pPr>
      <w:r>
        <w:rPr>
          <w:sz w:val="24"/>
        </w:rPr>
        <w:t>Mire la tarjeta de satisfacción (mostrarla) y dígame la alternativa que mejor describe su calificación.</w:t>
      </w:r>
    </w:p>
    <w:p>
      <w:pPr>
        <w:pStyle w:val="ListParagraph"/>
        <w:numPr>
          <w:ilvl w:val="0"/>
          <w:numId w:val="10"/>
        </w:numPr>
        <w:tabs>
          <w:tab w:pos="261" w:val="left" w:leader="none"/>
        </w:tabs>
        <w:spacing w:line="271" w:lineRule="exact" w:before="0" w:after="0"/>
        <w:ind w:left="260" w:right="0" w:hanging="144"/>
        <w:jc w:val="left"/>
        <w:rPr>
          <w:sz w:val="24"/>
        </w:rPr>
      </w:pPr>
      <w:r>
        <w:rPr>
          <w:sz w:val="24"/>
        </w:rPr>
        <w:t>Anote la calificación en la parte inferior de la hoja de respuestas, en el número 3.</w:t>
      </w:r>
    </w:p>
    <w:p>
      <w:pPr>
        <w:pStyle w:val="ListParagraph"/>
        <w:numPr>
          <w:ilvl w:val="3"/>
          <w:numId w:val="22"/>
        </w:numPr>
        <w:tabs>
          <w:tab w:pos="615" w:val="left" w:leader="none"/>
        </w:tabs>
        <w:spacing w:line="274" w:lineRule="exact" w:before="7" w:after="0"/>
        <w:ind w:left="116" w:right="103" w:firstLine="0"/>
        <w:jc w:val="left"/>
        <w:rPr>
          <w:sz w:val="24"/>
        </w:rPr>
      </w:pPr>
      <w:r>
        <w:rPr>
          <w:sz w:val="24"/>
        </w:rPr>
        <w:t>Durante estos últimos meses, ¿cuánto cree que necesitó de algunos amigos para divertirse o entretenerse?</w:t>
      </w:r>
    </w:p>
    <w:p>
      <w:pPr>
        <w:pStyle w:val="ListParagraph"/>
        <w:numPr>
          <w:ilvl w:val="0"/>
          <w:numId w:val="10"/>
        </w:numPr>
        <w:tabs>
          <w:tab w:pos="297" w:val="left" w:leader="none"/>
        </w:tabs>
        <w:spacing w:line="274" w:lineRule="exact" w:before="4" w:after="0"/>
        <w:ind w:left="116" w:right="103" w:firstLine="0"/>
        <w:jc w:val="left"/>
        <w:rPr>
          <w:sz w:val="24"/>
        </w:rPr>
      </w:pPr>
      <w:r>
        <w:rPr>
          <w:sz w:val="24"/>
        </w:rPr>
        <w:t>Mire la tarjeta de necesidad (mostrarla) y dígame la alternativa que mejor describe su calificación.</w:t>
      </w:r>
    </w:p>
    <w:p>
      <w:pPr>
        <w:pStyle w:val="ListParagraph"/>
        <w:numPr>
          <w:ilvl w:val="0"/>
          <w:numId w:val="10"/>
        </w:numPr>
        <w:tabs>
          <w:tab w:pos="261" w:val="left" w:leader="none"/>
        </w:tabs>
        <w:spacing w:line="276" w:lineRule="exact" w:before="0" w:after="0"/>
        <w:ind w:left="260" w:right="0" w:hanging="144"/>
        <w:jc w:val="left"/>
        <w:rPr>
          <w:sz w:val="24"/>
        </w:rPr>
      </w:pPr>
      <w:r>
        <w:rPr>
          <w:sz w:val="24"/>
        </w:rPr>
        <w:t>Anote la calificación en la parte inferior de la hoja de respuestas, en el número 4.</w:t>
      </w:r>
    </w:p>
    <w:p>
      <w:pPr>
        <w:spacing w:after="0" w:line="276" w:lineRule="exact"/>
        <w:jc w:val="left"/>
        <w:rPr>
          <w:sz w:val="24"/>
        </w:rPr>
        <w:sectPr>
          <w:pgSz w:w="12240" w:h="15840"/>
          <w:pgMar w:header="0" w:footer="972" w:top="1360" w:bottom="1220" w:left="1580" w:right="1600"/>
        </w:sectPr>
      </w:pPr>
    </w:p>
    <w:p>
      <w:pPr>
        <w:pStyle w:val="Heading1"/>
        <w:numPr>
          <w:ilvl w:val="2"/>
          <w:numId w:val="22"/>
        </w:numPr>
        <w:tabs>
          <w:tab w:pos="424" w:val="left" w:leader="none"/>
        </w:tabs>
        <w:spacing w:line="240" w:lineRule="auto" w:before="50" w:after="0"/>
        <w:ind w:left="423" w:right="0" w:hanging="307"/>
        <w:jc w:val="left"/>
      </w:pPr>
      <w:r>
        <w:rPr/>
        <w:t>INTERACCIÓN NEGATIVA</w:t>
      </w:r>
    </w:p>
    <w:p>
      <w:pPr>
        <w:pStyle w:val="BodyText"/>
        <w:rPr>
          <w:b/>
        </w:rPr>
      </w:pPr>
    </w:p>
    <w:p>
      <w:pPr>
        <w:pStyle w:val="ListParagraph"/>
        <w:numPr>
          <w:ilvl w:val="3"/>
          <w:numId w:val="22"/>
        </w:numPr>
        <w:tabs>
          <w:tab w:pos="624" w:val="left" w:leader="none"/>
        </w:tabs>
        <w:spacing w:line="242" w:lineRule="auto" w:before="0" w:after="0"/>
        <w:ind w:left="116" w:right="103" w:firstLine="0"/>
        <w:jc w:val="left"/>
        <w:rPr>
          <w:sz w:val="24"/>
        </w:rPr>
      </w:pPr>
      <w:r>
        <w:rPr>
          <w:sz w:val="24"/>
        </w:rPr>
        <w:t>¿Quiénes son las personas con las que generalmente discute o que le pueden hacer enojar?</w:t>
      </w:r>
    </w:p>
    <w:p>
      <w:pPr>
        <w:pStyle w:val="ListParagraph"/>
        <w:numPr>
          <w:ilvl w:val="3"/>
          <w:numId w:val="22"/>
        </w:numPr>
        <w:tabs>
          <w:tab w:pos="591" w:val="left" w:leader="none"/>
        </w:tabs>
        <w:spacing w:line="271" w:lineRule="exact" w:before="0" w:after="0"/>
        <w:ind w:left="590" w:right="0" w:hanging="474"/>
        <w:jc w:val="left"/>
        <w:rPr>
          <w:sz w:val="24"/>
        </w:rPr>
      </w:pPr>
      <w:r>
        <w:rPr>
          <w:sz w:val="24"/>
        </w:rPr>
        <w:t>¿Con cuáles de estas personas discutió o le hicieron enojar?</w:t>
      </w:r>
    </w:p>
    <w:p>
      <w:pPr>
        <w:pStyle w:val="BodyText"/>
      </w:pPr>
    </w:p>
    <w:p>
      <w:pPr>
        <w:pStyle w:val="Heading1"/>
        <w:numPr>
          <w:ilvl w:val="2"/>
          <w:numId w:val="22"/>
        </w:numPr>
        <w:tabs>
          <w:tab w:pos="424" w:val="left" w:leader="none"/>
        </w:tabs>
        <w:spacing w:line="242" w:lineRule="auto" w:before="0" w:after="0"/>
        <w:ind w:left="116" w:right="305" w:firstLine="0"/>
        <w:jc w:val="left"/>
      </w:pPr>
      <w:r>
        <w:rPr/>
        <w:t>CARACTERÍSTICAS PERSONALES DE LAS PERSONAS CON QUIENES SE RELACIONA</w:t>
      </w:r>
    </w:p>
    <w:p>
      <w:pPr>
        <w:pStyle w:val="BodyText"/>
        <w:spacing w:before="2"/>
        <w:rPr>
          <w:b/>
        </w:rPr>
      </w:pPr>
    </w:p>
    <w:p>
      <w:pPr>
        <w:pStyle w:val="BodyText"/>
        <w:spacing w:line="274" w:lineRule="exact"/>
        <w:ind w:left="116" w:right="135"/>
      </w:pPr>
      <w:r>
        <w:rPr/>
        <w:t>Ahora quisiera tener información acerca de las personas que nombró (para cada persona de la lista) podría decirme:</w:t>
      </w:r>
    </w:p>
    <w:p>
      <w:pPr>
        <w:pStyle w:val="ListParagraph"/>
        <w:numPr>
          <w:ilvl w:val="3"/>
          <w:numId w:val="22"/>
        </w:numPr>
        <w:tabs>
          <w:tab w:pos="607" w:val="left" w:leader="none"/>
        </w:tabs>
        <w:spacing w:line="240" w:lineRule="auto" w:before="0" w:after="0"/>
        <w:ind w:left="116" w:right="103" w:firstLine="0"/>
        <w:jc w:val="both"/>
        <w:rPr>
          <w:sz w:val="24"/>
        </w:rPr>
      </w:pPr>
      <w:r>
        <w:rPr>
          <w:sz w:val="24"/>
        </w:rPr>
        <w:t>¿Cuál es la relación de esta persona con usted? Para los miembros familiares indique  la relación exacta (madre, padre, hermano, hermana, abuela, etc.). Para profesionales también especifique la relación profesional exacta (maestro, sacerdote, doctor, consejero, etc.).</w:t>
      </w:r>
    </w:p>
    <w:p>
      <w:pPr>
        <w:pStyle w:val="ListParagraph"/>
        <w:numPr>
          <w:ilvl w:val="3"/>
          <w:numId w:val="22"/>
        </w:numPr>
        <w:tabs>
          <w:tab w:pos="591" w:val="left" w:leader="none"/>
        </w:tabs>
        <w:spacing w:line="275" w:lineRule="exact" w:before="2" w:after="0"/>
        <w:ind w:left="590" w:right="0" w:hanging="474"/>
        <w:jc w:val="left"/>
        <w:rPr>
          <w:sz w:val="24"/>
        </w:rPr>
      </w:pPr>
      <w:r>
        <w:rPr>
          <w:sz w:val="24"/>
        </w:rPr>
        <w:t>¿Cuántos años tiene esta persona?</w:t>
      </w:r>
    </w:p>
    <w:p>
      <w:pPr>
        <w:pStyle w:val="ListParagraph"/>
        <w:numPr>
          <w:ilvl w:val="3"/>
          <w:numId w:val="22"/>
        </w:numPr>
        <w:tabs>
          <w:tab w:pos="591" w:val="left" w:leader="none"/>
        </w:tabs>
        <w:spacing w:line="275" w:lineRule="exact" w:before="0" w:after="0"/>
        <w:ind w:left="590" w:right="0" w:hanging="474"/>
        <w:jc w:val="left"/>
        <w:rPr>
          <w:sz w:val="24"/>
        </w:rPr>
      </w:pPr>
      <w:r>
        <w:rPr>
          <w:sz w:val="24"/>
        </w:rPr>
        <w:t>¿Cuál es su sexo?</w:t>
      </w:r>
    </w:p>
    <w:p>
      <w:pPr>
        <w:pStyle w:val="ListParagraph"/>
        <w:numPr>
          <w:ilvl w:val="3"/>
          <w:numId w:val="22"/>
        </w:numPr>
        <w:tabs>
          <w:tab w:pos="664" w:val="left" w:leader="none"/>
        </w:tabs>
        <w:spacing w:line="274" w:lineRule="exact" w:before="7" w:after="0"/>
        <w:ind w:left="116" w:right="103" w:firstLine="0"/>
        <w:jc w:val="left"/>
        <w:rPr>
          <w:sz w:val="24"/>
        </w:rPr>
      </w:pPr>
      <w:r>
        <w:rPr>
          <w:sz w:val="24"/>
        </w:rPr>
        <w:t>¿Qué tan lejos vive esta persona de usted? (mostrar la tarjeta de distancias al entrevistado)</w:t>
      </w:r>
    </w:p>
    <w:p>
      <w:pPr>
        <w:pStyle w:val="ListParagraph"/>
        <w:numPr>
          <w:ilvl w:val="3"/>
          <w:numId w:val="22"/>
        </w:numPr>
        <w:tabs>
          <w:tab w:pos="645" w:val="left" w:leader="none"/>
        </w:tabs>
        <w:spacing w:line="274" w:lineRule="exact" w:before="4" w:after="0"/>
        <w:ind w:left="116" w:right="103" w:firstLine="0"/>
        <w:jc w:val="left"/>
        <w:rPr>
          <w:sz w:val="24"/>
        </w:rPr>
      </w:pPr>
      <w:r>
        <w:rPr>
          <w:sz w:val="24"/>
        </w:rPr>
        <w:t>¿Con qué frecuencia conversó con esta persona durante el mes pasado? (mostrar tarjeta de frecuencia al entrevistado)</w:t>
      </w:r>
    </w:p>
    <w:p>
      <w:pPr>
        <w:pStyle w:val="BodyText"/>
        <w:spacing w:before="5"/>
      </w:pPr>
    </w:p>
    <w:p>
      <w:pPr>
        <w:spacing w:line="252" w:lineRule="auto" w:before="0"/>
        <w:ind w:left="116" w:right="135" w:firstLine="0"/>
        <w:jc w:val="left"/>
        <w:rPr>
          <w:sz w:val="19"/>
        </w:rPr>
      </w:pPr>
      <w:r>
        <w:rPr>
          <w:b/>
          <w:w w:val="105"/>
          <w:sz w:val="19"/>
        </w:rPr>
        <w:t>II- </w:t>
      </w:r>
      <w:r>
        <w:rPr>
          <w:w w:val="105"/>
          <w:sz w:val="19"/>
        </w:rPr>
        <w:t>POR FAVOR CONTESTE A CADA UNA DE LAS 4 PREGUNTAS SELECCIONANDO SUS RESPUESTAS SEGÚN LOS SIGUIENTES CRITERIOS:</w:t>
      </w:r>
    </w:p>
    <w:p>
      <w:pPr>
        <w:pStyle w:val="BodyText"/>
        <w:spacing w:before="5"/>
        <w:rPr>
          <w:sz w:val="19"/>
        </w:rPr>
      </w:pPr>
    </w:p>
    <w:p>
      <w:pPr>
        <w:pStyle w:val="Heading1"/>
        <w:numPr>
          <w:ilvl w:val="0"/>
          <w:numId w:val="27"/>
        </w:numPr>
        <w:tabs>
          <w:tab w:pos="411" w:val="left" w:leader="none"/>
        </w:tabs>
        <w:spacing w:line="240" w:lineRule="auto" w:before="0" w:after="0"/>
        <w:ind w:left="410" w:right="0" w:hanging="294"/>
        <w:jc w:val="left"/>
      </w:pPr>
      <w:r>
        <w:rPr/>
        <w:t>BALANCE:</w:t>
      </w:r>
    </w:p>
    <w:p>
      <w:pPr>
        <w:spacing w:line="252" w:lineRule="auto" w:before="6"/>
        <w:ind w:left="836" w:right="101" w:firstLine="50"/>
        <w:jc w:val="both"/>
        <w:rPr>
          <w:sz w:val="19"/>
        </w:rPr>
      </w:pPr>
      <w:r>
        <w:rPr>
          <w:w w:val="105"/>
          <w:sz w:val="19"/>
        </w:rPr>
        <w:t>¿Usted siente que hay una balanza en el “dar-recibir” en esta relación, o una persona da más que la otra?</w:t>
      </w:r>
    </w:p>
    <w:p>
      <w:pPr>
        <w:pStyle w:val="BodyText"/>
        <w:spacing w:before="1"/>
        <w:rPr>
          <w:sz w:val="20"/>
        </w:rPr>
      </w:pPr>
    </w:p>
    <w:p>
      <w:pPr>
        <w:spacing w:line="252" w:lineRule="auto" w:before="1"/>
        <w:ind w:left="116" w:right="6299" w:firstLine="0"/>
        <w:jc w:val="left"/>
        <w:rPr>
          <w:sz w:val="19"/>
        </w:rPr>
      </w:pPr>
      <w:r>
        <w:rPr>
          <w:w w:val="105"/>
          <w:sz w:val="19"/>
        </w:rPr>
        <w:t>Doy mucho más de lo que recibo Doy más de lo que recibo Damos y recibimos por igual Tomo más de lo que</w:t>
      </w:r>
      <w:r>
        <w:rPr>
          <w:spacing w:val="-7"/>
          <w:w w:val="105"/>
          <w:sz w:val="19"/>
        </w:rPr>
        <w:t> </w:t>
      </w:r>
      <w:r>
        <w:rPr>
          <w:w w:val="105"/>
          <w:sz w:val="19"/>
        </w:rPr>
        <w:t>doy</w:t>
      </w:r>
    </w:p>
    <w:p>
      <w:pPr>
        <w:spacing w:before="1"/>
        <w:ind w:left="116" w:right="1164" w:firstLine="0"/>
        <w:jc w:val="left"/>
        <w:rPr>
          <w:sz w:val="19"/>
        </w:rPr>
      </w:pPr>
      <w:r>
        <w:rPr>
          <w:w w:val="105"/>
          <w:sz w:val="19"/>
        </w:rPr>
        <w:t>Tomo mucho más de lo que doy.</w:t>
      </w:r>
    </w:p>
    <w:p>
      <w:pPr>
        <w:pStyle w:val="BodyText"/>
        <w:spacing w:before="4"/>
        <w:rPr>
          <w:sz w:val="20"/>
        </w:rPr>
      </w:pPr>
    </w:p>
    <w:p>
      <w:pPr>
        <w:pStyle w:val="Heading1"/>
        <w:numPr>
          <w:ilvl w:val="0"/>
          <w:numId w:val="27"/>
        </w:numPr>
        <w:tabs>
          <w:tab w:pos="397" w:val="left" w:leader="none"/>
        </w:tabs>
        <w:spacing w:line="240" w:lineRule="auto" w:before="0" w:after="0"/>
        <w:ind w:left="396" w:right="0" w:hanging="280"/>
        <w:jc w:val="left"/>
      </w:pPr>
      <w:r>
        <w:rPr/>
        <w:t>COMPLEJIDAD:</w:t>
      </w:r>
    </w:p>
    <w:p>
      <w:pPr>
        <w:spacing w:line="252" w:lineRule="auto" w:before="6"/>
        <w:ind w:left="836" w:right="103" w:firstLine="0"/>
        <w:jc w:val="both"/>
        <w:rPr>
          <w:sz w:val="19"/>
        </w:rPr>
      </w:pPr>
      <w:r>
        <w:rPr>
          <w:w w:val="105"/>
          <w:sz w:val="19"/>
        </w:rPr>
        <w:t>Algunas relaciones son simples en el sentido de lo que hacemos una o algunas cosas con esa persona o la vemos en un lugar (solo almorzamos con el compañero de trabajo, o practicamos deporte con alguien, pero nunca hacemos otra cosa). Otras relaciones son muy complejas, el ellas vemos a la persona en muchos lugares y situaciones y hacemos muchas cosas diferentes con ella. ¿Cuán compleja es su relación con cada una de las personas de la lista?</w:t>
      </w:r>
    </w:p>
    <w:p>
      <w:pPr>
        <w:pStyle w:val="BodyText"/>
        <w:spacing w:before="1"/>
        <w:rPr>
          <w:sz w:val="20"/>
        </w:rPr>
      </w:pPr>
    </w:p>
    <w:p>
      <w:pPr>
        <w:spacing w:before="1"/>
        <w:ind w:left="116" w:right="1164" w:firstLine="0"/>
        <w:jc w:val="left"/>
        <w:rPr>
          <w:sz w:val="19"/>
        </w:rPr>
      </w:pPr>
      <w:r>
        <w:rPr>
          <w:w w:val="105"/>
          <w:sz w:val="19"/>
        </w:rPr>
        <w:t>Simple, hacemos algunas cosas juntos.</w:t>
      </w:r>
    </w:p>
    <w:p>
      <w:pPr>
        <w:spacing w:before="7"/>
        <w:ind w:left="116" w:right="1164" w:firstLine="0"/>
        <w:jc w:val="left"/>
        <w:rPr>
          <w:sz w:val="19"/>
        </w:rPr>
      </w:pPr>
      <w:r>
        <w:rPr>
          <w:w w:val="105"/>
          <w:sz w:val="19"/>
        </w:rPr>
        <w:t>Bastante compleja, nos vemos en distintos lugares y por causas diferentes</w:t>
      </w:r>
    </w:p>
    <w:p>
      <w:pPr>
        <w:spacing w:before="12"/>
        <w:ind w:left="116" w:right="1164" w:firstLine="0"/>
        <w:jc w:val="left"/>
        <w:rPr>
          <w:sz w:val="19"/>
        </w:rPr>
      </w:pPr>
      <w:r>
        <w:rPr>
          <w:w w:val="105"/>
          <w:sz w:val="19"/>
        </w:rPr>
        <w:t>Muy compleja, nos vemos en las situaciones más disímiles y hacemos muchas cosas juntos.</w:t>
      </w:r>
    </w:p>
    <w:p>
      <w:pPr>
        <w:pStyle w:val="BodyText"/>
        <w:spacing w:before="4"/>
        <w:rPr>
          <w:sz w:val="20"/>
        </w:rPr>
      </w:pPr>
    </w:p>
    <w:p>
      <w:pPr>
        <w:pStyle w:val="Heading1"/>
        <w:numPr>
          <w:ilvl w:val="0"/>
          <w:numId w:val="27"/>
        </w:numPr>
        <w:tabs>
          <w:tab w:pos="411" w:val="left" w:leader="none"/>
        </w:tabs>
        <w:spacing w:line="240" w:lineRule="auto" w:before="0" w:after="0"/>
        <w:ind w:left="410" w:right="0" w:hanging="294"/>
        <w:jc w:val="left"/>
      </w:pPr>
      <w:r>
        <w:rPr/>
        <w:t>RELACION:</w:t>
      </w:r>
    </w:p>
    <w:p>
      <w:pPr>
        <w:spacing w:before="10"/>
        <w:ind w:left="886" w:right="0" w:firstLine="0"/>
        <w:jc w:val="both"/>
        <w:rPr>
          <w:sz w:val="19"/>
        </w:rPr>
      </w:pPr>
      <w:r>
        <w:rPr>
          <w:w w:val="105"/>
          <w:sz w:val="19"/>
        </w:rPr>
        <w:t>¿Qué naturaleza tiene su relación con esta persona?¿Es él ella su familiar, su amigo, etc.?</w:t>
      </w:r>
    </w:p>
    <w:p>
      <w:pPr>
        <w:pStyle w:val="BodyText"/>
        <w:spacing w:before="7"/>
        <w:rPr>
          <w:sz w:val="20"/>
        </w:rPr>
      </w:pPr>
    </w:p>
    <w:p>
      <w:pPr>
        <w:spacing w:line="252" w:lineRule="auto" w:before="0"/>
        <w:ind w:left="116" w:right="6923" w:firstLine="0"/>
        <w:jc w:val="left"/>
        <w:rPr>
          <w:sz w:val="19"/>
        </w:rPr>
      </w:pPr>
      <w:r>
        <w:rPr>
          <w:w w:val="105"/>
          <w:sz w:val="19"/>
        </w:rPr>
        <w:t>Esposo / esposa o pareja. Familiar inmediato</w:t>
      </w:r>
    </w:p>
    <w:p>
      <w:pPr>
        <w:spacing w:after="0" w:line="252" w:lineRule="auto"/>
        <w:jc w:val="left"/>
        <w:rPr>
          <w:sz w:val="19"/>
        </w:rPr>
        <w:sectPr>
          <w:pgSz w:w="12240" w:h="15840"/>
          <w:pgMar w:header="0" w:footer="972" w:top="1360" w:bottom="1220" w:left="1580" w:right="1600"/>
        </w:sectPr>
      </w:pPr>
    </w:p>
    <w:p>
      <w:pPr>
        <w:spacing w:line="252" w:lineRule="auto" w:before="58"/>
        <w:ind w:left="116" w:right="3887" w:firstLine="0"/>
        <w:jc w:val="left"/>
        <w:rPr>
          <w:sz w:val="19"/>
        </w:rPr>
      </w:pPr>
      <w:r>
        <w:rPr>
          <w:w w:val="105"/>
          <w:sz w:val="19"/>
        </w:rPr>
        <w:t>Familiar más lejano(primos, tío, tías de sangre o políticos, etc.) Pareja sexual</w:t>
      </w:r>
    </w:p>
    <w:p>
      <w:pPr>
        <w:spacing w:line="252" w:lineRule="auto" w:before="1"/>
        <w:ind w:left="116" w:right="7633" w:firstLine="0"/>
        <w:jc w:val="left"/>
        <w:rPr>
          <w:sz w:val="19"/>
        </w:rPr>
      </w:pPr>
      <w:r>
        <w:rPr>
          <w:w w:val="105"/>
          <w:sz w:val="19"/>
        </w:rPr>
        <w:t>Amigo cercano Conocido social Otros.</w:t>
      </w:r>
    </w:p>
    <w:p>
      <w:pPr>
        <w:pStyle w:val="BodyText"/>
        <w:spacing w:before="5"/>
        <w:rPr>
          <w:sz w:val="19"/>
        </w:rPr>
      </w:pPr>
    </w:p>
    <w:p>
      <w:pPr>
        <w:pStyle w:val="Heading1"/>
        <w:numPr>
          <w:ilvl w:val="0"/>
          <w:numId w:val="27"/>
        </w:numPr>
        <w:tabs>
          <w:tab w:pos="411" w:val="left" w:leader="none"/>
        </w:tabs>
        <w:spacing w:line="240" w:lineRule="auto" w:before="0" w:after="0"/>
        <w:ind w:left="410" w:right="0" w:hanging="294"/>
        <w:jc w:val="left"/>
      </w:pPr>
      <w:r>
        <w:rPr/>
        <w:t>SECTOR:</w:t>
      </w:r>
    </w:p>
    <w:p>
      <w:pPr>
        <w:spacing w:line="252" w:lineRule="auto" w:before="6"/>
        <w:ind w:left="836" w:right="135" w:firstLine="0"/>
        <w:jc w:val="left"/>
        <w:rPr>
          <w:sz w:val="19"/>
        </w:rPr>
      </w:pPr>
      <w:r>
        <w:rPr>
          <w:w w:val="105"/>
          <w:sz w:val="19"/>
        </w:rPr>
        <w:t>Cada una de las personas que usted ha mencionado ¿es un vecino, compañero de trabajo / de  estudios,</w:t>
      </w:r>
      <w:r>
        <w:rPr>
          <w:spacing w:val="-5"/>
          <w:w w:val="105"/>
          <w:sz w:val="19"/>
        </w:rPr>
        <w:t> </w:t>
      </w:r>
      <w:r>
        <w:rPr>
          <w:w w:val="105"/>
          <w:sz w:val="19"/>
        </w:rPr>
        <w:t>etc?</w:t>
      </w:r>
    </w:p>
    <w:p>
      <w:pPr>
        <w:pStyle w:val="BodyText"/>
        <w:spacing w:before="1"/>
        <w:rPr>
          <w:sz w:val="20"/>
        </w:rPr>
      </w:pPr>
    </w:p>
    <w:p>
      <w:pPr>
        <w:spacing w:before="1"/>
        <w:ind w:left="116" w:right="1164" w:firstLine="0"/>
        <w:jc w:val="left"/>
        <w:rPr>
          <w:sz w:val="19"/>
        </w:rPr>
      </w:pPr>
      <w:r>
        <w:rPr>
          <w:w w:val="105"/>
          <w:sz w:val="19"/>
        </w:rPr>
        <w:t>Vecino</w:t>
      </w:r>
    </w:p>
    <w:p>
      <w:pPr>
        <w:spacing w:before="12"/>
        <w:ind w:left="116" w:right="1164" w:firstLine="0"/>
        <w:jc w:val="left"/>
        <w:rPr>
          <w:sz w:val="19"/>
        </w:rPr>
      </w:pPr>
      <w:r>
        <w:rPr>
          <w:w w:val="105"/>
          <w:sz w:val="19"/>
        </w:rPr>
        <w:t>Compañero de trabajo/ de estudio.</w:t>
      </w:r>
    </w:p>
    <w:p>
      <w:pPr>
        <w:spacing w:line="252" w:lineRule="auto" w:before="12"/>
        <w:ind w:left="116" w:right="3833" w:firstLine="0"/>
        <w:jc w:val="left"/>
        <w:rPr>
          <w:sz w:val="19"/>
        </w:rPr>
      </w:pPr>
      <w:r>
        <w:rPr>
          <w:w w:val="105"/>
          <w:sz w:val="19"/>
        </w:rPr>
        <w:t>Miembro de una comunidad eclesiástica o de otra organización. Monja o cura.</w:t>
      </w:r>
    </w:p>
    <w:p>
      <w:pPr>
        <w:spacing w:before="1"/>
        <w:ind w:left="116" w:right="1164" w:firstLine="0"/>
        <w:jc w:val="left"/>
        <w:rPr>
          <w:sz w:val="19"/>
        </w:rPr>
      </w:pPr>
      <w:r>
        <w:rPr>
          <w:w w:val="105"/>
          <w:sz w:val="19"/>
        </w:rPr>
        <w:t>Otros.</w:t>
      </w:r>
    </w:p>
    <w:p>
      <w:pPr>
        <w:pStyle w:val="BodyText"/>
        <w:spacing w:before="10"/>
        <w:rPr>
          <w:sz w:val="19"/>
        </w:rPr>
      </w:pPr>
    </w:p>
    <w:p>
      <w:pPr>
        <w:pStyle w:val="ListParagraph"/>
        <w:numPr>
          <w:ilvl w:val="2"/>
          <w:numId w:val="22"/>
        </w:numPr>
        <w:tabs>
          <w:tab w:pos="459" w:val="left" w:leader="none"/>
        </w:tabs>
        <w:spacing w:line="240" w:lineRule="auto" w:before="0" w:after="0"/>
        <w:ind w:left="458" w:right="0" w:hanging="342"/>
        <w:jc w:val="left"/>
        <w:rPr>
          <w:sz w:val="24"/>
        </w:rPr>
      </w:pPr>
    </w:p>
    <w:p>
      <w:pPr>
        <w:pStyle w:val="BodyText"/>
        <w:rPr>
          <w:b/>
        </w:rPr>
      </w:pPr>
    </w:p>
    <w:p>
      <w:pPr>
        <w:pStyle w:val="Heading1"/>
        <w:numPr>
          <w:ilvl w:val="0"/>
          <w:numId w:val="28"/>
        </w:numPr>
        <w:tabs>
          <w:tab w:pos="411" w:val="left" w:leader="none"/>
        </w:tabs>
        <w:spacing w:line="240" w:lineRule="auto" w:before="0" w:after="0"/>
        <w:ind w:left="410" w:right="0" w:hanging="294"/>
        <w:jc w:val="left"/>
      </w:pPr>
      <w:r>
        <w:rPr/>
        <w:t>TARJETA DE SATISFACCIÓN</w:t>
      </w:r>
    </w:p>
    <w:p>
      <w:pPr>
        <w:pStyle w:val="ListParagraph"/>
        <w:numPr>
          <w:ilvl w:val="1"/>
          <w:numId w:val="28"/>
        </w:numPr>
        <w:tabs>
          <w:tab w:pos="357" w:val="left" w:leader="none"/>
        </w:tabs>
        <w:spacing w:line="275" w:lineRule="exact" w:before="2" w:after="0"/>
        <w:ind w:left="356" w:right="0" w:hanging="240"/>
        <w:jc w:val="left"/>
        <w:rPr>
          <w:sz w:val="24"/>
        </w:rPr>
      </w:pPr>
      <w:r>
        <w:rPr>
          <w:sz w:val="24"/>
        </w:rPr>
        <w:t>Muy Insatisfecho</w:t>
      </w:r>
    </w:p>
    <w:p>
      <w:pPr>
        <w:pStyle w:val="ListParagraph"/>
        <w:numPr>
          <w:ilvl w:val="1"/>
          <w:numId w:val="28"/>
        </w:numPr>
        <w:tabs>
          <w:tab w:pos="357" w:val="left" w:leader="none"/>
        </w:tabs>
        <w:spacing w:line="275" w:lineRule="exact" w:before="0" w:after="0"/>
        <w:ind w:left="356" w:right="0" w:hanging="240"/>
        <w:jc w:val="left"/>
        <w:rPr>
          <w:sz w:val="24"/>
        </w:rPr>
      </w:pPr>
      <w:r>
        <w:rPr>
          <w:sz w:val="24"/>
        </w:rPr>
        <w:t>Poco Satisfecho</w:t>
      </w:r>
    </w:p>
    <w:p>
      <w:pPr>
        <w:pStyle w:val="ListParagraph"/>
        <w:numPr>
          <w:ilvl w:val="1"/>
          <w:numId w:val="28"/>
        </w:numPr>
        <w:tabs>
          <w:tab w:pos="357" w:val="left" w:leader="none"/>
        </w:tabs>
        <w:spacing w:line="275" w:lineRule="exact" w:before="2" w:after="0"/>
        <w:ind w:left="356" w:right="0" w:hanging="240"/>
        <w:jc w:val="left"/>
        <w:rPr>
          <w:sz w:val="24"/>
        </w:rPr>
      </w:pPr>
      <w:r>
        <w:rPr>
          <w:sz w:val="24"/>
        </w:rPr>
        <w:t>Indiferente</w:t>
      </w:r>
    </w:p>
    <w:p>
      <w:pPr>
        <w:pStyle w:val="ListParagraph"/>
        <w:numPr>
          <w:ilvl w:val="1"/>
          <w:numId w:val="28"/>
        </w:numPr>
        <w:tabs>
          <w:tab w:pos="357" w:val="left" w:leader="none"/>
        </w:tabs>
        <w:spacing w:line="275" w:lineRule="exact" w:before="0" w:after="0"/>
        <w:ind w:left="356" w:right="0" w:hanging="240"/>
        <w:jc w:val="left"/>
        <w:rPr>
          <w:sz w:val="24"/>
        </w:rPr>
      </w:pPr>
      <w:r>
        <w:rPr>
          <w:sz w:val="24"/>
        </w:rPr>
        <w:t>Moderadamente Satisfecho</w:t>
      </w:r>
    </w:p>
    <w:p>
      <w:pPr>
        <w:pStyle w:val="ListParagraph"/>
        <w:numPr>
          <w:ilvl w:val="1"/>
          <w:numId w:val="28"/>
        </w:numPr>
        <w:tabs>
          <w:tab w:pos="357" w:val="left" w:leader="none"/>
        </w:tabs>
        <w:spacing w:line="240" w:lineRule="auto" w:before="2" w:after="0"/>
        <w:ind w:left="356" w:right="0" w:hanging="240"/>
        <w:jc w:val="left"/>
        <w:rPr>
          <w:sz w:val="24"/>
        </w:rPr>
      </w:pPr>
      <w:r>
        <w:rPr>
          <w:sz w:val="24"/>
        </w:rPr>
        <w:t>Muy Satisfecho</w:t>
      </w:r>
    </w:p>
    <w:p>
      <w:pPr>
        <w:pStyle w:val="BodyText"/>
      </w:pPr>
    </w:p>
    <w:p>
      <w:pPr>
        <w:pStyle w:val="Heading1"/>
        <w:numPr>
          <w:ilvl w:val="0"/>
          <w:numId w:val="28"/>
        </w:numPr>
        <w:tabs>
          <w:tab w:pos="397" w:val="left" w:leader="none"/>
        </w:tabs>
        <w:spacing w:line="275" w:lineRule="exact" w:before="0" w:after="0"/>
        <w:ind w:left="396" w:right="0" w:hanging="280"/>
        <w:jc w:val="left"/>
      </w:pPr>
      <w:r>
        <w:rPr/>
        <w:t>TARJETA DE NECESIDAD</w:t>
      </w:r>
    </w:p>
    <w:p>
      <w:pPr>
        <w:pStyle w:val="ListParagraph"/>
        <w:numPr>
          <w:ilvl w:val="1"/>
          <w:numId w:val="28"/>
        </w:numPr>
        <w:tabs>
          <w:tab w:pos="357" w:val="left" w:leader="none"/>
        </w:tabs>
        <w:spacing w:line="275" w:lineRule="exact" w:before="0" w:after="0"/>
        <w:ind w:left="356" w:right="0" w:hanging="240"/>
        <w:jc w:val="left"/>
        <w:rPr>
          <w:sz w:val="24"/>
        </w:rPr>
      </w:pPr>
      <w:r>
        <w:rPr>
          <w:sz w:val="24"/>
        </w:rPr>
        <w:t>Ninguna Necesidad</w:t>
      </w:r>
    </w:p>
    <w:p>
      <w:pPr>
        <w:pStyle w:val="ListParagraph"/>
        <w:numPr>
          <w:ilvl w:val="1"/>
          <w:numId w:val="28"/>
        </w:numPr>
        <w:tabs>
          <w:tab w:pos="357" w:val="left" w:leader="none"/>
        </w:tabs>
        <w:spacing w:line="275" w:lineRule="exact" w:before="2" w:after="0"/>
        <w:ind w:left="356" w:right="0" w:hanging="240"/>
        <w:jc w:val="left"/>
        <w:rPr>
          <w:sz w:val="24"/>
        </w:rPr>
      </w:pPr>
      <w:r>
        <w:rPr>
          <w:sz w:val="24"/>
        </w:rPr>
        <w:t>Poco Necesidad</w:t>
      </w:r>
    </w:p>
    <w:p>
      <w:pPr>
        <w:pStyle w:val="ListParagraph"/>
        <w:numPr>
          <w:ilvl w:val="1"/>
          <w:numId w:val="28"/>
        </w:numPr>
        <w:tabs>
          <w:tab w:pos="357" w:val="left" w:leader="none"/>
        </w:tabs>
        <w:spacing w:line="275" w:lineRule="exact" w:before="0" w:after="0"/>
        <w:ind w:left="356" w:right="0" w:hanging="240"/>
        <w:jc w:val="left"/>
        <w:rPr>
          <w:sz w:val="24"/>
        </w:rPr>
      </w:pPr>
      <w:r>
        <w:rPr>
          <w:sz w:val="24"/>
        </w:rPr>
        <w:t>Necesidad Moderada</w:t>
      </w:r>
    </w:p>
    <w:p>
      <w:pPr>
        <w:pStyle w:val="ListParagraph"/>
        <w:numPr>
          <w:ilvl w:val="1"/>
          <w:numId w:val="28"/>
        </w:numPr>
        <w:tabs>
          <w:tab w:pos="357" w:val="left" w:leader="none"/>
        </w:tabs>
        <w:spacing w:line="275" w:lineRule="exact" w:before="2" w:after="0"/>
        <w:ind w:left="356" w:right="0" w:hanging="240"/>
        <w:jc w:val="left"/>
        <w:rPr>
          <w:sz w:val="24"/>
        </w:rPr>
      </w:pPr>
      <w:r>
        <w:rPr>
          <w:sz w:val="24"/>
        </w:rPr>
        <w:t>Mucha Necesidad</w:t>
      </w:r>
    </w:p>
    <w:p>
      <w:pPr>
        <w:pStyle w:val="ListParagraph"/>
        <w:numPr>
          <w:ilvl w:val="1"/>
          <w:numId w:val="28"/>
        </w:numPr>
        <w:tabs>
          <w:tab w:pos="357" w:val="left" w:leader="none"/>
        </w:tabs>
        <w:spacing w:line="275" w:lineRule="exact" w:before="0" w:after="0"/>
        <w:ind w:left="356" w:right="0" w:hanging="240"/>
        <w:jc w:val="left"/>
        <w:rPr>
          <w:sz w:val="24"/>
        </w:rPr>
      </w:pPr>
      <w:r>
        <w:rPr>
          <w:sz w:val="24"/>
        </w:rPr>
        <w:t>Muchísima Necesidad</w:t>
      </w:r>
    </w:p>
    <w:p>
      <w:pPr>
        <w:pStyle w:val="BodyText"/>
      </w:pPr>
    </w:p>
    <w:p>
      <w:pPr>
        <w:pStyle w:val="Heading1"/>
        <w:numPr>
          <w:ilvl w:val="0"/>
          <w:numId w:val="28"/>
        </w:numPr>
        <w:tabs>
          <w:tab w:pos="411" w:val="left" w:leader="none"/>
        </w:tabs>
        <w:spacing w:line="240" w:lineRule="auto" w:before="0" w:after="0"/>
        <w:ind w:left="410" w:right="0" w:hanging="294"/>
        <w:jc w:val="left"/>
      </w:pPr>
      <w:r>
        <w:rPr/>
        <w:t>TARJETA DE DISTANCIA</w:t>
      </w:r>
    </w:p>
    <w:p>
      <w:pPr>
        <w:pStyle w:val="ListParagraph"/>
        <w:numPr>
          <w:ilvl w:val="1"/>
          <w:numId w:val="28"/>
        </w:numPr>
        <w:tabs>
          <w:tab w:pos="357" w:val="left" w:leader="none"/>
        </w:tabs>
        <w:spacing w:line="275" w:lineRule="exact" w:before="2" w:after="0"/>
        <w:ind w:left="356" w:right="0" w:hanging="240"/>
        <w:jc w:val="left"/>
        <w:rPr>
          <w:sz w:val="24"/>
        </w:rPr>
      </w:pPr>
      <w:r>
        <w:rPr>
          <w:sz w:val="24"/>
        </w:rPr>
        <w:t>En la misma casa</w:t>
      </w:r>
    </w:p>
    <w:p>
      <w:pPr>
        <w:pStyle w:val="ListParagraph"/>
        <w:numPr>
          <w:ilvl w:val="1"/>
          <w:numId w:val="28"/>
        </w:numPr>
        <w:tabs>
          <w:tab w:pos="357" w:val="left" w:leader="none"/>
        </w:tabs>
        <w:spacing w:line="275" w:lineRule="exact" w:before="0" w:after="0"/>
        <w:ind w:left="356" w:right="0" w:hanging="240"/>
        <w:jc w:val="left"/>
        <w:rPr>
          <w:sz w:val="24"/>
        </w:rPr>
      </w:pPr>
      <w:r>
        <w:rPr>
          <w:sz w:val="24"/>
        </w:rPr>
        <w:t>En la misma cuadra</w:t>
      </w:r>
    </w:p>
    <w:p>
      <w:pPr>
        <w:pStyle w:val="ListParagraph"/>
        <w:numPr>
          <w:ilvl w:val="1"/>
          <w:numId w:val="28"/>
        </w:numPr>
        <w:tabs>
          <w:tab w:pos="357" w:val="left" w:leader="none"/>
        </w:tabs>
        <w:spacing w:line="275" w:lineRule="exact" w:before="2" w:after="0"/>
        <w:ind w:left="356" w:right="0" w:hanging="240"/>
        <w:jc w:val="left"/>
        <w:rPr>
          <w:sz w:val="24"/>
        </w:rPr>
      </w:pPr>
      <w:r>
        <w:rPr>
          <w:sz w:val="24"/>
        </w:rPr>
        <w:t>En el mismo municipio</w:t>
      </w:r>
    </w:p>
    <w:p>
      <w:pPr>
        <w:pStyle w:val="ListParagraph"/>
        <w:numPr>
          <w:ilvl w:val="1"/>
          <w:numId w:val="28"/>
        </w:numPr>
        <w:tabs>
          <w:tab w:pos="357" w:val="left" w:leader="none"/>
        </w:tabs>
        <w:spacing w:line="275" w:lineRule="exact" w:before="0" w:after="0"/>
        <w:ind w:left="356" w:right="0" w:hanging="240"/>
        <w:jc w:val="left"/>
        <w:rPr>
          <w:sz w:val="24"/>
        </w:rPr>
      </w:pPr>
      <w:r>
        <w:rPr>
          <w:sz w:val="24"/>
        </w:rPr>
        <w:t>En otro municipio</w:t>
      </w:r>
    </w:p>
    <w:p>
      <w:pPr>
        <w:pStyle w:val="ListParagraph"/>
        <w:numPr>
          <w:ilvl w:val="1"/>
          <w:numId w:val="28"/>
        </w:numPr>
        <w:tabs>
          <w:tab w:pos="357" w:val="left" w:leader="none"/>
        </w:tabs>
        <w:spacing w:line="240" w:lineRule="auto" w:before="2" w:after="0"/>
        <w:ind w:left="356" w:right="0" w:hanging="240"/>
        <w:jc w:val="left"/>
        <w:rPr>
          <w:sz w:val="24"/>
        </w:rPr>
      </w:pPr>
      <w:r>
        <w:rPr>
          <w:sz w:val="24"/>
        </w:rPr>
        <w:t>Fuera de Toluca</w:t>
      </w:r>
    </w:p>
    <w:p>
      <w:pPr>
        <w:pStyle w:val="BodyText"/>
      </w:pPr>
    </w:p>
    <w:p>
      <w:pPr>
        <w:pStyle w:val="Heading1"/>
        <w:numPr>
          <w:ilvl w:val="0"/>
          <w:numId w:val="28"/>
        </w:numPr>
        <w:tabs>
          <w:tab w:pos="411" w:val="left" w:leader="none"/>
        </w:tabs>
        <w:spacing w:line="275" w:lineRule="exact" w:before="0" w:after="0"/>
        <w:ind w:left="410" w:right="0" w:hanging="294"/>
        <w:jc w:val="left"/>
      </w:pPr>
      <w:r>
        <w:rPr/>
        <w:t>TARJETA DE FRECUENCIA DEL CONTACTO</w:t>
      </w:r>
    </w:p>
    <w:p>
      <w:pPr>
        <w:pStyle w:val="ListParagraph"/>
        <w:numPr>
          <w:ilvl w:val="1"/>
          <w:numId w:val="28"/>
        </w:numPr>
        <w:tabs>
          <w:tab w:pos="357" w:val="left" w:leader="none"/>
        </w:tabs>
        <w:spacing w:line="275" w:lineRule="exact" w:before="0" w:after="0"/>
        <w:ind w:left="356" w:right="0" w:hanging="240"/>
        <w:jc w:val="left"/>
        <w:rPr>
          <w:sz w:val="24"/>
        </w:rPr>
      </w:pPr>
      <w:r>
        <w:rPr>
          <w:sz w:val="24"/>
        </w:rPr>
        <w:t>Casi todos los días</w:t>
      </w:r>
    </w:p>
    <w:p>
      <w:pPr>
        <w:pStyle w:val="ListParagraph"/>
        <w:numPr>
          <w:ilvl w:val="1"/>
          <w:numId w:val="28"/>
        </w:numPr>
        <w:tabs>
          <w:tab w:pos="357" w:val="left" w:leader="none"/>
        </w:tabs>
        <w:spacing w:line="275" w:lineRule="exact" w:before="2" w:after="0"/>
        <w:ind w:left="356" w:right="0" w:hanging="240"/>
        <w:jc w:val="left"/>
        <w:rPr>
          <w:sz w:val="24"/>
        </w:rPr>
      </w:pPr>
      <w:r>
        <w:rPr>
          <w:sz w:val="24"/>
        </w:rPr>
        <w:t>Algunas veces a la semana</w:t>
      </w:r>
    </w:p>
    <w:p>
      <w:pPr>
        <w:pStyle w:val="ListParagraph"/>
        <w:numPr>
          <w:ilvl w:val="1"/>
          <w:numId w:val="28"/>
        </w:numPr>
        <w:tabs>
          <w:tab w:pos="357" w:val="left" w:leader="none"/>
        </w:tabs>
        <w:spacing w:line="275" w:lineRule="exact" w:before="0" w:after="0"/>
        <w:ind w:left="356" w:right="0" w:hanging="240"/>
        <w:jc w:val="left"/>
        <w:rPr>
          <w:sz w:val="24"/>
        </w:rPr>
      </w:pPr>
      <w:r>
        <w:rPr>
          <w:sz w:val="24"/>
        </w:rPr>
        <w:t>Una vez a la semana</w:t>
      </w:r>
    </w:p>
    <w:p>
      <w:pPr>
        <w:pStyle w:val="ListParagraph"/>
        <w:numPr>
          <w:ilvl w:val="1"/>
          <w:numId w:val="28"/>
        </w:numPr>
        <w:tabs>
          <w:tab w:pos="357" w:val="left" w:leader="none"/>
        </w:tabs>
        <w:spacing w:line="275" w:lineRule="exact" w:before="2" w:after="0"/>
        <w:ind w:left="356" w:right="0" w:hanging="240"/>
        <w:jc w:val="left"/>
        <w:rPr>
          <w:sz w:val="24"/>
        </w:rPr>
      </w:pPr>
      <w:r>
        <w:rPr>
          <w:sz w:val="24"/>
        </w:rPr>
        <w:t>Una o dos veces durante las pasadas cuatro semanas</w:t>
      </w:r>
    </w:p>
    <w:p>
      <w:pPr>
        <w:pStyle w:val="ListParagraph"/>
        <w:numPr>
          <w:ilvl w:val="1"/>
          <w:numId w:val="28"/>
        </w:numPr>
        <w:tabs>
          <w:tab w:pos="357" w:val="left" w:leader="none"/>
        </w:tabs>
        <w:spacing w:line="275" w:lineRule="exact" w:before="0" w:after="0"/>
        <w:ind w:left="356" w:right="0" w:hanging="240"/>
        <w:jc w:val="left"/>
        <w:rPr>
          <w:sz w:val="24"/>
        </w:rPr>
      </w:pPr>
      <w:r>
        <w:rPr>
          <w:sz w:val="24"/>
        </w:rPr>
        <w:t>Ninguna Vez</w:t>
      </w:r>
    </w:p>
    <w:sectPr>
      <w:pgSz w:w="12240" w:h="15840"/>
      <w:pgMar w:header="0" w:footer="972" w:top="1360" w:bottom="1220" w:left="1580" w:right="1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Cambria">
    <w:altName w:val="Cambria"/>
    <w:charset w:val="0"/>
    <w:family w:val="roman"/>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8.73999pt;margin-top:729.383911pt;width:10pt;height:14pt;mso-position-horizontal-relative:page;mso-position-vertical-relative:page;z-index:-14348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2"/>
      </w:rPr>
    </w:pPr>
    <w:r>
      <w:rPr/>
      <w:pict>
        <v:shape style="position:absolute;margin-left:512.73999pt;margin-top:729.383911pt;width:16pt;height:14pt;mso-position-horizontal-relative:page;mso-position-vertical-relative:page;z-index:-14339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52</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73999pt;margin-top:729.383911pt;width:16pt;height:14pt;mso-position-horizontal-relative:page;mso-position-vertical-relative:page;z-index:-14336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56</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512.73999pt;margin-top:729.383911pt;width:16pt;height:14pt;mso-position-horizontal-relative:page;mso-position-vertical-relative:page;z-index:-14334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67</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73999pt;margin-top:729.383911pt;width:16pt;height:14pt;mso-position-horizontal-relative:page;mso-position-vertical-relative:page;z-index:-14346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512.73999pt;margin-top:729.383911pt;width:16pt;height:14pt;mso-position-horizontal-relative:page;mso-position-vertical-relative:page;z-index:-14344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29</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73999pt;margin-top:729.383911pt;width:16pt;height:14pt;mso-position-horizontal-relative:page;mso-position-vertical-relative:page;z-index:-14341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42</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7">
    <w:multiLevelType w:val="hybridMultilevel"/>
    <w:lvl w:ilvl="0">
      <w:start w:val="1"/>
      <w:numFmt w:val="upperLetter"/>
      <w:lvlText w:val="%1."/>
      <w:lvlJc w:val="left"/>
      <w:pPr>
        <w:ind w:left="410" w:hanging="294"/>
        <w:jc w:val="left"/>
      </w:pPr>
      <w:rPr>
        <w:rFonts w:hint="default" w:ascii="Times New Roman" w:hAnsi="Times New Roman" w:eastAsia="Times New Roman" w:cs="Times New Roman"/>
        <w:b/>
        <w:bCs/>
        <w:w w:val="100"/>
        <w:sz w:val="24"/>
        <w:szCs w:val="24"/>
      </w:rPr>
    </w:lvl>
    <w:lvl w:ilvl="1">
      <w:start w:val="1"/>
      <w:numFmt w:val="decimal"/>
      <w:lvlText w:val="%2."/>
      <w:lvlJc w:val="left"/>
      <w:pPr>
        <w:ind w:left="356" w:hanging="240"/>
        <w:jc w:val="left"/>
      </w:pPr>
      <w:rPr>
        <w:rFonts w:hint="default" w:ascii="Times New Roman" w:hAnsi="Times New Roman" w:eastAsia="Times New Roman" w:cs="Times New Roman"/>
        <w:w w:val="100"/>
        <w:sz w:val="24"/>
        <w:szCs w:val="24"/>
      </w:rPr>
    </w:lvl>
    <w:lvl w:ilvl="2">
      <w:start w:val="1"/>
      <w:numFmt w:val="bullet"/>
      <w:lvlText w:val="•"/>
      <w:lvlJc w:val="left"/>
      <w:pPr>
        <w:ind w:left="1380" w:hanging="240"/>
      </w:pPr>
      <w:rPr>
        <w:rFonts w:hint="default"/>
      </w:rPr>
    </w:lvl>
    <w:lvl w:ilvl="3">
      <w:start w:val="1"/>
      <w:numFmt w:val="bullet"/>
      <w:lvlText w:val="•"/>
      <w:lvlJc w:val="left"/>
      <w:pPr>
        <w:ind w:left="2340" w:hanging="240"/>
      </w:pPr>
      <w:rPr>
        <w:rFonts w:hint="default"/>
      </w:rPr>
    </w:lvl>
    <w:lvl w:ilvl="4">
      <w:start w:val="1"/>
      <w:numFmt w:val="bullet"/>
      <w:lvlText w:val="•"/>
      <w:lvlJc w:val="left"/>
      <w:pPr>
        <w:ind w:left="3300" w:hanging="240"/>
      </w:pPr>
      <w:rPr>
        <w:rFonts w:hint="default"/>
      </w:rPr>
    </w:lvl>
    <w:lvl w:ilvl="5">
      <w:start w:val="1"/>
      <w:numFmt w:val="bullet"/>
      <w:lvlText w:val="•"/>
      <w:lvlJc w:val="left"/>
      <w:pPr>
        <w:ind w:left="4260" w:hanging="240"/>
      </w:pPr>
      <w:rPr>
        <w:rFonts w:hint="default"/>
      </w:rPr>
    </w:lvl>
    <w:lvl w:ilvl="6">
      <w:start w:val="1"/>
      <w:numFmt w:val="bullet"/>
      <w:lvlText w:val="•"/>
      <w:lvlJc w:val="left"/>
      <w:pPr>
        <w:ind w:left="5220" w:hanging="240"/>
      </w:pPr>
      <w:rPr>
        <w:rFonts w:hint="default"/>
      </w:rPr>
    </w:lvl>
    <w:lvl w:ilvl="7">
      <w:start w:val="1"/>
      <w:numFmt w:val="bullet"/>
      <w:lvlText w:val="•"/>
      <w:lvlJc w:val="left"/>
      <w:pPr>
        <w:ind w:left="6180" w:hanging="240"/>
      </w:pPr>
      <w:rPr>
        <w:rFonts w:hint="default"/>
      </w:rPr>
    </w:lvl>
    <w:lvl w:ilvl="8">
      <w:start w:val="1"/>
      <w:numFmt w:val="bullet"/>
      <w:lvlText w:val="•"/>
      <w:lvlJc w:val="left"/>
      <w:pPr>
        <w:ind w:left="7140" w:hanging="240"/>
      </w:pPr>
      <w:rPr>
        <w:rFonts w:hint="default"/>
      </w:rPr>
    </w:lvl>
  </w:abstractNum>
  <w:abstractNum w:abstractNumId="26">
    <w:multiLevelType w:val="hybridMultilevel"/>
    <w:lvl w:ilvl="0">
      <w:start w:val="1"/>
      <w:numFmt w:val="upperLetter"/>
      <w:lvlText w:val="%1."/>
      <w:lvlJc w:val="left"/>
      <w:pPr>
        <w:ind w:left="410" w:hanging="294"/>
        <w:jc w:val="left"/>
      </w:pPr>
      <w:rPr>
        <w:rFonts w:hint="default" w:ascii="Times New Roman" w:hAnsi="Times New Roman" w:eastAsia="Times New Roman" w:cs="Times New Roman"/>
        <w:b/>
        <w:bCs/>
        <w:w w:val="100"/>
        <w:sz w:val="24"/>
        <w:szCs w:val="24"/>
      </w:rPr>
    </w:lvl>
    <w:lvl w:ilvl="1">
      <w:start w:val="1"/>
      <w:numFmt w:val="bullet"/>
      <w:lvlText w:val="•"/>
      <w:lvlJc w:val="left"/>
      <w:pPr>
        <w:ind w:left="1284" w:hanging="294"/>
      </w:pPr>
      <w:rPr>
        <w:rFonts w:hint="default"/>
      </w:rPr>
    </w:lvl>
    <w:lvl w:ilvl="2">
      <w:start w:val="1"/>
      <w:numFmt w:val="bullet"/>
      <w:lvlText w:val="•"/>
      <w:lvlJc w:val="left"/>
      <w:pPr>
        <w:ind w:left="2148" w:hanging="294"/>
      </w:pPr>
      <w:rPr>
        <w:rFonts w:hint="default"/>
      </w:rPr>
    </w:lvl>
    <w:lvl w:ilvl="3">
      <w:start w:val="1"/>
      <w:numFmt w:val="bullet"/>
      <w:lvlText w:val="•"/>
      <w:lvlJc w:val="left"/>
      <w:pPr>
        <w:ind w:left="3012" w:hanging="294"/>
      </w:pPr>
      <w:rPr>
        <w:rFonts w:hint="default"/>
      </w:rPr>
    </w:lvl>
    <w:lvl w:ilvl="4">
      <w:start w:val="1"/>
      <w:numFmt w:val="bullet"/>
      <w:lvlText w:val="•"/>
      <w:lvlJc w:val="left"/>
      <w:pPr>
        <w:ind w:left="3876" w:hanging="294"/>
      </w:pPr>
      <w:rPr>
        <w:rFonts w:hint="default"/>
      </w:rPr>
    </w:lvl>
    <w:lvl w:ilvl="5">
      <w:start w:val="1"/>
      <w:numFmt w:val="bullet"/>
      <w:lvlText w:val="•"/>
      <w:lvlJc w:val="left"/>
      <w:pPr>
        <w:ind w:left="4740" w:hanging="294"/>
      </w:pPr>
      <w:rPr>
        <w:rFonts w:hint="default"/>
      </w:rPr>
    </w:lvl>
    <w:lvl w:ilvl="6">
      <w:start w:val="1"/>
      <w:numFmt w:val="bullet"/>
      <w:lvlText w:val="•"/>
      <w:lvlJc w:val="left"/>
      <w:pPr>
        <w:ind w:left="5604" w:hanging="294"/>
      </w:pPr>
      <w:rPr>
        <w:rFonts w:hint="default"/>
      </w:rPr>
    </w:lvl>
    <w:lvl w:ilvl="7">
      <w:start w:val="1"/>
      <w:numFmt w:val="bullet"/>
      <w:lvlText w:val="•"/>
      <w:lvlJc w:val="left"/>
      <w:pPr>
        <w:ind w:left="6468" w:hanging="294"/>
      </w:pPr>
      <w:rPr>
        <w:rFonts w:hint="default"/>
      </w:rPr>
    </w:lvl>
    <w:lvl w:ilvl="8">
      <w:start w:val="1"/>
      <w:numFmt w:val="bullet"/>
      <w:lvlText w:val="•"/>
      <w:lvlJc w:val="left"/>
      <w:pPr>
        <w:ind w:left="7332" w:hanging="294"/>
      </w:pPr>
      <w:rPr>
        <w:rFonts w:hint="default"/>
      </w:rPr>
    </w:lvl>
  </w:abstractNum>
  <w:abstractNum w:abstractNumId="25">
    <w:multiLevelType w:val="hybridMultilevel"/>
    <w:lvl w:ilvl="0">
      <w:start w:val="1"/>
      <w:numFmt w:val="lowerLetter"/>
      <w:lvlText w:val="%1)"/>
      <w:lvlJc w:val="left"/>
      <w:pPr>
        <w:ind w:left="342" w:hanging="226"/>
        <w:jc w:val="left"/>
      </w:pPr>
      <w:rPr>
        <w:rFonts w:hint="default" w:ascii="Times New Roman" w:hAnsi="Times New Roman" w:eastAsia="Times New Roman" w:cs="Times New Roman"/>
        <w:spacing w:val="0"/>
        <w:w w:val="102"/>
        <w:sz w:val="21"/>
        <w:szCs w:val="21"/>
      </w:rPr>
    </w:lvl>
    <w:lvl w:ilvl="1">
      <w:start w:val="1"/>
      <w:numFmt w:val="bullet"/>
      <w:lvlText w:val="•"/>
      <w:lvlJc w:val="left"/>
      <w:pPr>
        <w:ind w:left="1212" w:hanging="226"/>
      </w:pPr>
      <w:rPr>
        <w:rFonts w:hint="default"/>
      </w:rPr>
    </w:lvl>
    <w:lvl w:ilvl="2">
      <w:start w:val="1"/>
      <w:numFmt w:val="bullet"/>
      <w:lvlText w:val="•"/>
      <w:lvlJc w:val="left"/>
      <w:pPr>
        <w:ind w:left="2084" w:hanging="226"/>
      </w:pPr>
      <w:rPr>
        <w:rFonts w:hint="default"/>
      </w:rPr>
    </w:lvl>
    <w:lvl w:ilvl="3">
      <w:start w:val="1"/>
      <w:numFmt w:val="bullet"/>
      <w:lvlText w:val="•"/>
      <w:lvlJc w:val="left"/>
      <w:pPr>
        <w:ind w:left="2956" w:hanging="226"/>
      </w:pPr>
      <w:rPr>
        <w:rFonts w:hint="default"/>
      </w:rPr>
    </w:lvl>
    <w:lvl w:ilvl="4">
      <w:start w:val="1"/>
      <w:numFmt w:val="bullet"/>
      <w:lvlText w:val="•"/>
      <w:lvlJc w:val="left"/>
      <w:pPr>
        <w:ind w:left="3828" w:hanging="226"/>
      </w:pPr>
      <w:rPr>
        <w:rFonts w:hint="default"/>
      </w:rPr>
    </w:lvl>
    <w:lvl w:ilvl="5">
      <w:start w:val="1"/>
      <w:numFmt w:val="bullet"/>
      <w:lvlText w:val="•"/>
      <w:lvlJc w:val="left"/>
      <w:pPr>
        <w:ind w:left="4700" w:hanging="226"/>
      </w:pPr>
      <w:rPr>
        <w:rFonts w:hint="default"/>
      </w:rPr>
    </w:lvl>
    <w:lvl w:ilvl="6">
      <w:start w:val="1"/>
      <w:numFmt w:val="bullet"/>
      <w:lvlText w:val="•"/>
      <w:lvlJc w:val="left"/>
      <w:pPr>
        <w:ind w:left="5572" w:hanging="226"/>
      </w:pPr>
      <w:rPr>
        <w:rFonts w:hint="default"/>
      </w:rPr>
    </w:lvl>
    <w:lvl w:ilvl="7">
      <w:start w:val="1"/>
      <w:numFmt w:val="bullet"/>
      <w:lvlText w:val="•"/>
      <w:lvlJc w:val="left"/>
      <w:pPr>
        <w:ind w:left="6444" w:hanging="226"/>
      </w:pPr>
      <w:rPr>
        <w:rFonts w:hint="default"/>
      </w:rPr>
    </w:lvl>
    <w:lvl w:ilvl="8">
      <w:start w:val="1"/>
      <w:numFmt w:val="bullet"/>
      <w:lvlText w:val="•"/>
      <w:lvlJc w:val="left"/>
      <w:pPr>
        <w:ind w:left="7316" w:hanging="226"/>
      </w:pPr>
      <w:rPr>
        <w:rFonts w:hint="default"/>
      </w:rPr>
    </w:lvl>
  </w:abstractNum>
  <w:abstractNum w:abstractNumId="24">
    <w:multiLevelType w:val="hybridMultilevel"/>
    <w:lvl w:ilvl="0">
      <w:start w:val="1"/>
      <w:numFmt w:val="decimal"/>
      <w:lvlText w:val="%1."/>
      <w:lvlJc w:val="left"/>
      <w:pPr>
        <w:ind w:left="336" w:hanging="220"/>
        <w:jc w:val="left"/>
      </w:pPr>
      <w:rPr>
        <w:rFonts w:hint="default" w:ascii="Times New Roman" w:hAnsi="Times New Roman" w:eastAsia="Times New Roman" w:cs="Times New Roman"/>
        <w:spacing w:val="0"/>
        <w:w w:val="102"/>
        <w:sz w:val="21"/>
        <w:szCs w:val="21"/>
      </w:rPr>
    </w:lvl>
    <w:lvl w:ilvl="1">
      <w:start w:val="1"/>
      <w:numFmt w:val="bullet"/>
      <w:lvlText w:val="•"/>
      <w:lvlJc w:val="left"/>
      <w:pPr>
        <w:ind w:left="1212" w:hanging="220"/>
      </w:pPr>
      <w:rPr>
        <w:rFonts w:hint="default"/>
      </w:rPr>
    </w:lvl>
    <w:lvl w:ilvl="2">
      <w:start w:val="1"/>
      <w:numFmt w:val="bullet"/>
      <w:lvlText w:val="•"/>
      <w:lvlJc w:val="left"/>
      <w:pPr>
        <w:ind w:left="2084" w:hanging="220"/>
      </w:pPr>
      <w:rPr>
        <w:rFonts w:hint="default"/>
      </w:rPr>
    </w:lvl>
    <w:lvl w:ilvl="3">
      <w:start w:val="1"/>
      <w:numFmt w:val="bullet"/>
      <w:lvlText w:val="•"/>
      <w:lvlJc w:val="left"/>
      <w:pPr>
        <w:ind w:left="2956" w:hanging="220"/>
      </w:pPr>
      <w:rPr>
        <w:rFonts w:hint="default"/>
      </w:rPr>
    </w:lvl>
    <w:lvl w:ilvl="4">
      <w:start w:val="1"/>
      <w:numFmt w:val="bullet"/>
      <w:lvlText w:val="•"/>
      <w:lvlJc w:val="left"/>
      <w:pPr>
        <w:ind w:left="3828" w:hanging="220"/>
      </w:pPr>
      <w:rPr>
        <w:rFonts w:hint="default"/>
      </w:rPr>
    </w:lvl>
    <w:lvl w:ilvl="5">
      <w:start w:val="1"/>
      <w:numFmt w:val="bullet"/>
      <w:lvlText w:val="•"/>
      <w:lvlJc w:val="left"/>
      <w:pPr>
        <w:ind w:left="4700" w:hanging="220"/>
      </w:pPr>
      <w:rPr>
        <w:rFonts w:hint="default"/>
      </w:rPr>
    </w:lvl>
    <w:lvl w:ilvl="6">
      <w:start w:val="1"/>
      <w:numFmt w:val="bullet"/>
      <w:lvlText w:val="•"/>
      <w:lvlJc w:val="left"/>
      <w:pPr>
        <w:ind w:left="5572" w:hanging="220"/>
      </w:pPr>
      <w:rPr>
        <w:rFonts w:hint="default"/>
      </w:rPr>
    </w:lvl>
    <w:lvl w:ilvl="7">
      <w:start w:val="1"/>
      <w:numFmt w:val="bullet"/>
      <w:lvlText w:val="•"/>
      <w:lvlJc w:val="left"/>
      <w:pPr>
        <w:ind w:left="6444" w:hanging="220"/>
      </w:pPr>
      <w:rPr>
        <w:rFonts w:hint="default"/>
      </w:rPr>
    </w:lvl>
    <w:lvl w:ilvl="8">
      <w:start w:val="1"/>
      <w:numFmt w:val="bullet"/>
      <w:lvlText w:val="•"/>
      <w:lvlJc w:val="left"/>
      <w:pPr>
        <w:ind w:left="7316" w:hanging="220"/>
      </w:pPr>
      <w:rPr>
        <w:rFonts w:hint="default"/>
      </w:rPr>
    </w:lvl>
  </w:abstractNum>
  <w:abstractNum w:abstractNumId="23">
    <w:multiLevelType w:val="hybridMultilevel"/>
    <w:lvl w:ilvl="0">
      <w:start w:val="1"/>
      <w:numFmt w:val="lowerLetter"/>
      <w:lvlText w:val="%1)"/>
      <w:lvlJc w:val="left"/>
      <w:pPr>
        <w:ind w:left="342" w:hanging="226"/>
        <w:jc w:val="left"/>
      </w:pPr>
      <w:rPr>
        <w:rFonts w:hint="default" w:ascii="Times New Roman" w:hAnsi="Times New Roman" w:eastAsia="Times New Roman" w:cs="Times New Roman"/>
        <w:spacing w:val="0"/>
        <w:w w:val="102"/>
        <w:sz w:val="21"/>
        <w:szCs w:val="21"/>
      </w:rPr>
    </w:lvl>
    <w:lvl w:ilvl="1">
      <w:start w:val="1"/>
      <w:numFmt w:val="bullet"/>
      <w:lvlText w:val="•"/>
      <w:lvlJc w:val="left"/>
      <w:pPr>
        <w:ind w:left="1212" w:hanging="226"/>
      </w:pPr>
      <w:rPr>
        <w:rFonts w:hint="default"/>
      </w:rPr>
    </w:lvl>
    <w:lvl w:ilvl="2">
      <w:start w:val="1"/>
      <w:numFmt w:val="bullet"/>
      <w:lvlText w:val="•"/>
      <w:lvlJc w:val="left"/>
      <w:pPr>
        <w:ind w:left="2084" w:hanging="226"/>
      </w:pPr>
      <w:rPr>
        <w:rFonts w:hint="default"/>
      </w:rPr>
    </w:lvl>
    <w:lvl w:ilvl="3">
      <w:start w:val="1"/>
      <w:numFmt w:val="bullet"/>
      <w:lvlText w:val="•"/>
      <w:lvlJc w:val="left"/>
      <w:pPr>
        <w:ind w:left="2956" w:hanging="226"/>
      </w:pPr>
      <w:rPr>
        <w:rFonts w:hint="default"/>
      </w:rPr>
    </w:lvl>
    <w:lvl w:ilvl="4">
      <w:start w:val="1"/>
      <w:numFmt w:val="bullet"/>
      <w:lvlText w:val="•"/>
      <w:lvlJc w:val="left"/>
      <w:pPr>
        <w:ind w:left="3828" w:hanging="226"/>
      </w:pPr>
      <w:rPr>
        <w:rFonts w:hint="default"/>
      </w:rPr>
    </w:lvl>
    <w:lvl w:ilvl="5">
      <w:start w:val="1"/>
      <w:numFmt w:val="bullet"/>
      <w:lvlText w:val="•"/>
      <w:lvlJc w:val="left"/>
      <w:pPr>
        <w:ind w:left="4700" w:hanging="226"/>
      </w:pPr>
      <w:rPr>
        <w:rFonts w:hint="default"/>
      </w:rPr>
    </w:lvl>
    <w:lvl w:ilvl="6">
      <w:start w:val="1"/>
      <w:numFmt w:val="bullet"/>
      <w:lvlText w:val="•"/>
      <w:lvlJc w:val="left"/>
      <w:pPr>
        <w:ind w:left="5572" w:hanging="226"/>
      </w:pPr>
      <w:rPr>
        <w:rFonts w:hint="default"/>
      </w:rPr>
    </w:lvl>
    <w:lvl w:ilvl="7">
      <w:start w:val="1"/>
      <w:numFmt w:val="bullet"/>
      <w:lvlText w:val="•"/>
      <w:lvlJc w:val="left"/>
      <w:pPr>
        <w:ind w:left="6444" w:hanging="226"/>
      </w:pPr>
      <w:rPr>
        <w:rFonts w:hint="default"/>
      </w:rPr>
    </w:lvl>
    <w:lvl w:ilvl="8">
      <w:start w:val="1"/>
      <w:numFmt w:val="bullet"/>
      <w:lvlText w:val="•"/>
      <w:lvlJc w:val="left"/>
      <w:pPr>
        <w:ind w:left="7316" w:hanging="226"/>
      </w:pPr>
      <w:rPr>
        <w:rFonts w:hint="default"/>
      </w:rPr>
    </w:lvl>
  </w:abstractNum>
  <w:abstractNum w:abstractNumId="22">
    <w:multiLevelType w:val="hybridMultilevel"/>
    <w:lvl w:ilvl="0">
      <w:start w:val="1"/>
      <w:numFmt w:val="lowerLetter"/>
      <w:lvlText w:val="%1)"/>
      <w:lvlJc w:val="left"/>
      <w:pPr>
        <w:ind w:left="342" w:hanging="226"/>
        <w:jc w:val="left"/>
      </w:pPr>
      <w:rPr>
        <w:rFonts w:hint="default" w:ascii="Times New Roman" w:hAnsi="Times New Roman" w:eastAsia="Times New Roman" w:cs="Times New Roman"/>
        <w:spacing w:val="0"/>
        <w:w w:val="102"/>
        <w:sz w:val="21"/>
        <w:szCs w:val="21"/>
      </w:rPr>
    </w:lvl>
    <w:lvl w:ilvl="1">
      <w:start w:val="1"/>
      <w:numFmt w:val="bullet"/>
      <w:lvlText w:val="•"/>
      <w:lvlJc w:val="left"/>
      <w:pPr>
        <w:ind w:left="1212" w:hanging="226"/>
      </w:pPr>
      <w:rPr>
        <w:rFonts w:hint="default"/>
      </w:rPr>
    </w:lvl>
    <w:lvl w:ilvl="2">
      <w:start w:val="1"/>
      <w:numFmt w:val="bullet"/>
      <w:lvlText w:val="•"/>
      <w:lvlJc w:val="left"/>
      <w:pPr>
        <w:ind w:left="2084" w:hanging="226"/>
      </w:pPr>
      <w:rPr>
        <w:rFonts w:hint="default"/>
      </w:rPr>
    </w:lvl>
    <w:lvl w:ilvl="3">
      <w:start w:val="1"/>
      <w:numFmt w:val="bullet"/>
      <w:lvlText w:val="•"/>
      <w:lvlJc w:val="left"/>
      <w:pPr>
        <w:ind w:left="2956" w:hanging="226"/>
      </w:pPr>
      <w:rPr>
        <w:rFonts w:hint="default"/>
      </w:rPr>
    </w:lvl>
    <w:lvl w:ilvl="4">
      <w:start w:val="1"/>
      <w:numFmt w:val="bullet"/>
      <w:lvlText w:val="•"/>
      <w:lvlJc w:val="left"/>
      <w:pPr>
        <w:ind w:left="3828" w:hanging="226"/>
      </w:pPr>
      <w:rPr>
        <w:rFonts w:hint="default"/>
      </w:rPr>
    </w:lvl>
    <w:lvl w:ilvl="5">
      <w:start w:val="1"/>
      <w:numFmt w:val="bullet"/>
      <w:lvlText w:val="•"/>
      <w:lvlJc w:val="left"/>
      <w:pPr>
        <w:ind w:left="4700" w:hanging="226"/>
      </w:pPr>
      <w:rPr>
        <w:rFonts w:hint="default"/>
      </w:rPr>
    </w:lvl>
    <w:lvl w:ilvl="6">
      <w:start w:val="1"/>
      <w:numFmt w:val="bullet"/>
      <w:lvlText w:val="•"/>
      <w:lvlJc w:val="left"/>
      <w:pPr>
        <w:ind w:left="5572" w:hanging="226"/>
      </w:pPr>
      <w:rPr>
        <w:rFonts w:hint="default"/>
      </w:rPr>
    </w:lvl>
    <w:lvl w:ilvl="7">
      <w:start w:val="1"/>
      <w:numFmt w:val="bullet"/>
      <w:lvlText w:val="•"/>
      <w:lvlJc w:val="left"/>
      <w:pPr>
        <w:ind w:left="6444" w:hanging="226"/>
      </w:pPr>
      <w:rPr>
        <w:rFonts w:hint="default"/>
      </w:rPr>
    </w:lvl>
    <w:lvl w:ilvl="8">
      <w:start w:val="1"/>
      <w:numFmt w:val="bullet"/>
      <w:lvlText w:val="•"/>
      <w:lvlJc w:val="left"/>
      <w:pPr>
        <w:ind w:left="7316" w:hanging="226"/>
      </w:pPr>
      <w:rPr>
        <w:rFonts w:hint="default"/>
      </w:rPr>
    </w:lvl>
  </w:abstractNum>
  <w:abstractNum w:abstractNumId="21">
    <w:multiLevelType w:val="hybridMultilevel"/>
    <w:lvl w:ilvl="0">
      <w:start w:val="1"/>
      <w:numFmt w:val="upperRoman"/>
      <w:lvlText w:val="%1."/>
      <w:lvlJc w:val="left"/>
      <w:pPr>
        <w:ind w:left="299" w:hanging="184"/>
        <w:jc w:val="left"/>
      </w:pPr>
      <w:rPr>
        <w:rFonts w:hint="default" w:ascii="Times New Roman" w:hAnsi="Times New Roman" w:eastAsia="Times New Roman" w:cs="Times New Roman"/>
        <w:spacing w:val="0"/>
        <w:w w:val="102"/>
        <w:sz w:val="21"/>
        <w:szCs w:val="21"/>
      </w:rPr>
    </w:lvl>
    <w:lvl w:ilvl="1">
      <w:start w:val="1"/>
      <w:numFmt w:val="decimal"/>
      <w:lvlText w:val="%2."/>
      <w:lvlJc w:val="left"/>
      <w:pPr>
        <w:ind w:left="336" w:hanging="220"/>
        <w:jc w:val="left"/>
      </w:pPr>
      <w:rPr>
        <w:rFonts w:hint="default" w:ascii="Times New Roman" w:hAnsi="Times New Roman" w:eastAsia="Times New Roman" w:cs="Times New Roman"/>
        <w:spacing w:val="0"/>
        <w:w w:val="102"/>
        <w:sz w:val="21"/>
        <w:szCs w:val="21"/>
      </w:rPr>
    </w:lvl>
    <w:lvl w:ilvl="2">
      <w:start w:val="1"/>
      <w:numFmt w:val="upperLetter"/>
      <w:lvlText w:val="%3."/>
      <w:lvlJc w:val="left"/>
      <w:pPr>
        <w:ind w:left="116" w:hanging="294"/>
        <w:jc w:val="left"/>
      </w:pPr>
      <w:rPr>
        <w:rFonts w:hint="default" w:ascii="Times New Roman" w:hAnsi="Times New Roman" w:eastAsia="Times New Roman" w:cs="Times New Roman"/>
        <w:b/>
        <w:bCs/>
        <w:w w:val="100"/>
        <w:sz w:val="24"/>
        <w:szCs w:val="24"/>
      </w:rPr>
    </w:lvl>
    <w:lvl w:ilvl="3">
      <w:start w:val="1"/>
      <w:numFmt w:val="decimal"/>
      <w:lvlText w:val="%3.%4."/>
      <w:lvlJc w:val="left"/>
      <w:pPr>
        <w:ind w:left="116" w:hanging="474"/>
        <w:jc w:val="left"/>
      </w:pPr>
      <w:rPr>
        <w:rFonts w:hint="default" w:ascii="Times New Roman" w:hAnsi="Times New Roman" w:eastAsia="Times New Roman" w:cs="Times New Roman"/>
        <w:w w:val="100"/>
        <w:sz w:val="24"/>
        <w:szCs w:val="24"/>
      </w:rPr>
    </w:lvl>
    <w:lvl w:ilvl="4">
      <w:start w:val="1"/>
      <w:numFmt w:val="bullet"/>
      <w:lvlText w:val="•"/>
      <w:lvlJc w:val="left"/>
      <w:pPr>
        <w:ind w:left="1791" w:hanging="474"/>
      </w:pPr>
      <w:rPr>
        <w:rFonts w:hint="default"/>
      </w:rPr>
    </w:lvl>
    <w:lvl w:ilvl="5">
      <w:start w:val="1"/>
      <w:numFmt w:val="bullet"/>
      <w:lvlText w:val="•"/>
      <w:lvlJc w:val="left"/>
      <w:pPr>
        <w:ind w:left="3002" w:hanging="474"/>
      </w:pPr>
      <w:rPr>
        <w:rFonts w:hint="default"/>
      </w:rPr>
    </w:lvl>
    <w:lvl w:ilvl="6">
      <w:start w:val="1"/>
      <w:numFmt w:val="bullet"/>
      <w:lvlText w:val="•"/>
      <w:lvlJc w:val="left"/>
      <w:pPr>
        <w:ind w:left="4214" w:hanging="474"/>
      </w:pPr>
      <w:rPr>
        <w:rFonts w:hint="default"/>
      </w:rPr>
    </w:lvl>
    <w:lvl w:ilvl="7">
      <w:start w:val="1"/>
      <w:numFmt w:val="bullet"/>
      <w:lvlText w:val="•"/>
      <w:lvlJc w:val="left"/>
      <w:pPr>
        <w:ind w:left="5425" w:hanging="474"/>
      </w:pPr>
      <w:rPr>
        <w:rFonts w:hint="default"/>
      </w:rPr>
    </w:lvl>
    <w:lvl w:ilvl="8">
      <w:start w:val="1"/>
      <w:numFmt w:val="bullet"/>
      <w:lvlText w:val="•"/>
      <w:lvlJc w:val="left"/>
      <w:pPr>
        <w:ind w:left="6637" w:hanging="474"/>
      </w:pPr>
      <w:rPr>
        <w:rFonts w:hint="default"/>
      </w:rPr>
    </w:lvl>
  </w:abstractNum>
  <w:abstractNum w:abstractNumId="20">
    <w:multiLevelType w:val="hybridMultilevel"/>
    <w:lvl w:ilvl="0">
      <w:start w:val="14"/>
      <w:numFmt w:val="upperRoman"/>
      <w:lvlText w:val="%1"/>
      <w:lvlJc w:val="left"/>
      <w:pPr>
        <w:ind w:left="3719" w:hanging="681"/>
        <w:jc w:val="left"/>
      </w:pPr>
      <w:rPr>
        <w:rFonts w:hint="default"/>
      </w:rPr>
    </w:lvl>
    <w:lvl w:ilvl="1">
      <w:start w:val="1"/>
      <w:numFmt w:val="decimal"/>
      <w:lvlText w:val="%1.%2"/>
      <w:lvlJc w:val="left"/>
      <w:pPr>
        <w:ind w:left="3692" w:hanging="681"/>
        <w:jc w:val="right"/>
      </w:pPr>
      <w:rPr>
        <w:rFonts w:hint="default" w:ascii="Times New Roman" w:hAnsi="Times New Roman" w:eastAsia="Times New Roman" w:cs="Times New Roman"/>
        <w:b/>
        <w:bCs/>
        <w:w w:val="100"/>
        <w:sz w:val="24"/>
        <w:szCs w:val="24"/>
      </w:rPr>
    </w:lvl>
    <w:lvl w:ilvl="2">
      <w:start w:val="1"/>
      <w:numFmt w:val="bullet"/>
      <w:lvlText w:val="•"/>
      <w:lvlJc w:val="left"/>
      <w:pPr>
        <w:ind w:left="4622" w:hanging="681"/>
      </w:pPr>
      <w:rPr>
        <w:rFonts w:hint="default"/>
      </w:rPr>
    </w:lvl>
    <w:lvl w:ilvl="3">
      <w:start w:val="1"/>
      <w:numFmt w:val="bullet"/>
      <w:lvlText w:val="•"/>
      <w:lvlJc w:val="left"/>
      <w:pPr>
        <w:ind w:left="5524" w:hanging="681"/>
      </w:pPr>
      <w:rPr>
        <w:rFonts w:hint="default"/>
      </w:rPr>
    </w:lvl>
    <w:lvl w:ilvl="4">
      <w:start w:val="1"/>
      <w:numFmt w:val="bullet"/>
      <w:lvlText w:val="•"/>
      <w:lvlJc w:val="left"/>
      <w:pPr>
        <w:ind w:left="6426" w:hanging="681"/>
      </w:pPr>
      <w:rPr>
        <w:rFonts w:hint="default"/>
      </w:rPr>
    </w:lvl>
    <w:lvl w:ilvl="5">
      <w:start w:val="1"/>
      <w:numFmt w:val="bullet"/>
      <w:lvlText w:val="•"/>
      <w:lvlJc w:val="left"/>
      <w:pPr>
        <w:ind w:left="7328" w:hanging="681"/>
      </w:pPr>
      <w:rPr>
        <w:rFonts w:hint="default"/>
      </w:rPr>
    </w:lvl>
    <w:lvl w:ilvl="6">
      <w:start w:val="1"/>
      <w:numFmt w:val="bullet"/>
      <w:lvlText w:val="•"/>
      <w:lvlJc w:val="left"/>
      <w:pPr>
        <w:ind w:left="8231" w:hanging="681"/>
      </w:pPr>
      <w:rPr>
        <w:rFonts w:hint="default"/>
      </w:rPr>
    </w:lvl>
    <w:lvl w:ilvl="7">
      <w:start w:val="1"/>
      <w:numFmt w:val="bullet"/>
      <w:lvlText w:val="•"/>
      <w:lvlJc w:val="left"/>
      <w:pPr>
        <w:ind w:left="9133" w:hanging="681"/>
      </w:pPr>
      <w:rPr>
        <w:rFonts w:hint="default"/>
      </w:rPr>
    </w:lvl>
    <w:lvl w:ilvl="8">
      <w:start w:val="1"/>
      <w:numFmt w:val="bullet"/>
      <w:lvlText w:val="•"/>
      <w:lvlJc w:val="left"/>
      <w:pPr>
        <w:ind w:left="10035" w:hanging="681"/>
      </w:pPr>
      <w:rPr>
        <w:rFonts w:hint="default"/>
      </w:rPr>
    </w:lvl>
  </w:abstractNum>
  <w:abstractNum w:abstractNumId="19">
    <w:multiLevelType w:val="hybridMultilevel"/>
    <w:lvl w:ilvl="0">
      <w:start w:val="1"/>
      <w:numFmt w:val="decimal"/>
      <w:lvlText w:val="%1."/>
      <w:lvlJc w:val="left"/>
      <w:pPr>
        <w:ind w:left="476" w:hanging="360"/>
        <w:jc w:val="left"/>
      </w:pPr>
      <w:rPr>
        <w:rFonts w:hint="default"/>
        <w:spacing w:val="-24"/>
        <w:w w:val="100"/>
      </w:rPr>
    </w:lvl>
    <w:lvl w:ilvl="1">
      <w:start w:val="1"/>
      <w:numFmt w:val="bullet"/>
      <w:lvlText w:val="•"/>
      <w:lvlJc w:val="left"/>
      <w:pPr>
        <w:ind w:left="133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54" w:hanging="360"/>
      </w:pPr>
      <w:rPr>
        <w:rFonts w:hint="default"/>
      </w:rPr>
    </w:lvl>
    <w:lvl w:ilvl="4">
      <w:start w:val="1"/>
      <w:numFmt w:val="bullet"/>
      <w:lvlText w:val="•"/>
      <w:lvlJc w:val="left"/>
      <w:pPr>
        <w:ind w:left="3912" w:hanging="360"/>
      </w:pPr>
      <w:rPr>
        <w:rFonts w:hint="default"/>
      </w:rPr>
    </w:lvl>
    <w:lvl w:ilvl="5">
      <w:start w:val="1"/>
      <w:numFmt w:val="bullet"/>
      <w:lvlText w:val="•"/>
      <w:lvlJc w:val="left"/>
      <w:pPr>
        <w:ind w:left="4770" w:hanging="360"/>
      </w:pPr>
      <w:rPr>
        <w:rFonts w:hint="default"/>
      </w:rPr>
    </w:lvl>
    <w:lvl w:ilvl="6">
      <w:start w:val="1"/>
      <w:numFmt w:val="bullet"/>
      <w:lvlText w:val="•"/>
      <w:lvlJc w:val="left"/>
      <w:pPr>
        <w:ind w:left="5628" w:hanging="360"/>
      </w:pPr>
      <w:rPr>
        <w:rFonts w:hint="default"/>
      </w:rPr>
    </w:lvl>
    <w:lvl w:ilvl="7">
      <w:start w:val="1"/>
      <w:numFmt w:val="bullet"/>
      <w:lvlText w:val="•"/>
      <w:lvlJc w:val="left"/>
      <w:pPr>
        <w:ind w:left="6486" w:hanging="360"/>
      </w:pPr>
      <w:rPr>
        <w:rFonts w:hint="default"/>
      </w:rPr>
    </w:lvl>
    <w:lvl w:ilvl="8">
      <w:start w:val="1"/>
      <w:numFmt w:val="bullet"/>
      <w:lvlText w:val="•"/>
      <w:lvlJc w:val="left"/>
      <w:pPr>
        <w:ind w:left="7344" w:hanging="360"/>
      </w:pPr>
      <w:rPr>
        <w:rFonts w:hint="default"/>
      </w:rPr>
    </w:lvl>
  </w:abstractNum>
  <w:abstractNum w:abstractNumId="18">
    <w:multiLevelType w:val="hybridMultilevel"/>
    <w:lvl w:ilvl="0">
      <w:start w:val="6"/>
      <w:numFmt w:val="upperRoman"/>
      <w:lvlText w:val="%1"/>
      <w:lvlJc w:val="left"/>
      <w:pPr>
        <w:ind w:left="2668" w:hanging="507"/>
        <w:jc w:val="left"/>
      </w:pPr>
      <w:rPr>
        <w:rFonts w:hint="default"/>
      </w:rPr>
    </w:lvl>
    <w:lvl w:ilvl="1">
      <w:start w:val="5"/>
      <w:numFmt w:val="decimal"/>
      <w:lvlText w:val="%1.%2"/>
      <w:lvlJc w:val="left"/>
      <w:pPr>
        <w:ind w:left="2668" w:hanging="507"/>
        <w:jc w:val="right"/>
      </w:pPr>
      <w:rPr>
        <w:rFonts w:hint="default" w:ascii="Times New Roman" w:hAnsi="Times New Roman" w:eastAsia="Times New Roman" w:cs="Times New Roman"/>
        <w:b/>
        <w:bCs/>
        <w:w w:val="100"/>
        <w:sz w:val="24"/>
        <w:szCs w:val="24"/>
      </w:rPr>
    </w:lvl>
    <w:lvl w:ilvl="2">
      <w:start w:val="1"/>
      <w:numFmt w:val="decimal"/>
      <w:lvlText w:val="%1.%2.%3"/>
      <w:lvlJc w:val="left"/>
      <w:pPr>
        <w:ind w:left="4759" w:hanging="687"/>
        <w:jc w:val="right"/>
      </w:pPr>
      <w:rPr>
        <w:rFonts w:hint="default" w:ascii="Times New Roman" w:hAnsi="Times New Roman" w:eastAsia="Times New Roman" w:cs="Times New Roman"/>
        <w:b/>
        <w:bCs/>
        <w:w w:val="100"/>
        <w:sz w:val="24"/>
        <w:szCs w:val="24"/>
      </w:rPr>
    </w:lvl>
    <w:lvl w:ilvl="3">
      <w:start w:val="1"/>
      <w:numFmt w:val="bullet"/>
      <w:lvlText w:val="•"/>
      <w:lvlJc w:val="left"/>
      <w:pPr>
        <w:ind w:left="5715" w:hanging="687"/>
      </w:pPr>
      <w:rPr>
        <w:rFonts w:hint="default"/>
      </w:rPr>
    </w:lvl>
    <w:lvl w:ilvl="4">
      <w:start w:val="1"/>
      <w:numFmt w:val="bullet"/>
      <w:lvlText w:val="•"/>
      <w:lvlJc w:val="left"/>
      <w:pPr>
        <w:ind w:left="6193" w:hanging="687"/>
      </w:pPr>
      <w:rPr>
        <w:rFonts w:hint="default"/>
      </w:rPr>
    </w:lvl>
    <w:lvl w:ilvl="5">
      <w:start w:val="1"/>
      <w:numFmt w:val="bullet"/>
      <w:lvlText w:val="•"/>
      <w:lvlJc w:val="left"/>
      <w:pPr>
        <w:ind w:left="6671" w:hanging="687"/>
      </w:pPr>
      <w:rPr>
        <w:rFonts w:hint="default"/>
      </w:rPr>
    </w:lvl>
    <w:lvl w:ilvl="6">
      <w:start w:val="1"/>
      <w:numFmt w:val="bullet"/>
      <w:lvlText w:val="•"/>
      <w:lvlJc w:val="left"/>
      <w:pPr>
        <w:ind w:left="7148" w:hanging="687"/>
      </w:pPr>
      <w:rPr>
        <w:rFonts w:hint="default"/>
      </w:rPr>
    </w:lvl>
    <w:lvl w:ilvl="7">
      <w:start w:val="1"/>
      <w:numFmt w:val="bullet"/>
      <w:lvlText w:val="•"/>
      <w:lvlJc w:val="left"/>
      <w:pPr>
        <w:ind w:left="7626" w:hanging="687"/>
      </w:pPr>
      <w:rPr>
        <w:rFonts w:hint="default"/>
      </w:rPr>
    </w:lvl>
    <w:lvl w:ilvl="8">
      <w:start w:val="1"/>
      <w:numFmt w:val="bullet"/>
      <w:lvlText w:val="•"/>
      <w:lvlJc w:val="left"/>
      <w:pPr>
        <w:ind w:left="8104" w:hanging="687"/>
      </w:pPr>
      <w:rPr>
        <w:rFonts w:hint="default"/>
      </w:rPr>
    </w:lvl>
  </w:abstractNum>
  <w:abstractNum w:abstractNumId="17">
    <w:multiLevelType w:val="hybridMultilevel"/>
    <w:lvl w:ilvl="0">
      <w:start w:val="1"/>
      <w:numFmt w:val="bullet"/>
      <w:lvlText w:val=""/>
      <w:lvlJc w:val="left"/>
      <w:pPr>
        <w:ind w:left="760" w:hanging="360"/>
      </w:pPr>
      <w:rPr>
        <w:rFonts w:hint="default" w:ascii="Symbol" w:hAnsi="Symbol" w:eastAsia="Symbol" w:cs="Symbol"/>
        <w:w w:val="100"/>
        <w:sz w:val="24"/>
        <w:szCs w:val="24"/>
      </w:rPr>
    </w:lvl>
    <w:lvl w:ilvl="1">
      <w:start w:val="1"/>
      <w:numFmt w:val="bullet"/>
      <w:lvlText w:val="•"/>
      <w:lvlJc w:val="left"/>
      <w:pPr>
        <w:ind w:left="1590" w:hanging="360"/>
      </w:pPr>
      <w:rPr>
        <w:rFonts w:hint="default"/>
      </w:rPr>
    </w:lvl>
    <w:lvl w:ilvl="2">
      <w:start w:val="1"/>
      <w:numFmt w:val="bullet"/>
      <w:lvlText w:val="•"/>
      <w:lvlJc w:val="left"/>
      <w:pPr>
        <w:ind w:left="2420" w:hanging="360"/>
      </w:pPr>
      <w:rPr>
        <w:rFonts w:hint="default"/>
      </w:rPr>
    </w:lvl>
    <w:lvl w:ilvl="3">
      <w:start w:val="1"/>
      <w:numFmt w:val="bullet"/>
      <w:lvlText w:val="•"/>
      <w:lvlJc w:val="left"/>
      <w:pPr>
        <w:ind w:left="3250" w:hanging="360"/>
      </w:pPr>
      <w:rPr>
        <w:rFonts w:hint="default"/>
      </w:rPr>
    </w:lvl>
    <w:lvl w:ilvl="4">
      <w:start w:val="1"/>
      <w:numFmt w:val="bullet"/>
      <w:lvlText w:val="•"/>
      <w:lvlJc w:val="left"/>
      <w:pPr>
        <w:ind w:left="4080" w:hanging="360"/>
      </w:pPr>
      <w:rPr>
        <w:rFonts w:hint="default"/>
      </w:rPr>
    </w:lvl>
    <w:lvl w:ilvl="5">
      <w:start w:val="1"/>
      <w:numFmt w:val="bullet"/>
      <w:lvlText w:val="•"/>
      <w:lvlJc w:val="left"/>
      <w:pPr>
        <w:ind w:left="4910" w:hanging="360"/>
      </w:pPr>
      <w:rPr>
        <w:rFonts w:hint="default"/>
      </w:rPr>
    </w:lvl>
    <w:lvl w:ilvl="6">
      <w:start w:val="1"/>
      <w:numFmt w:val="bullet"/>
      <w:lvlText w:val="•"/>
      <w:lvlJc w:val="left"/>
      <w:pPr>
        <w:ind w:left="5740" w:hanging="360"/>
      </w:pPr>
      <w:rPr>
        <w:rFonts w:hint="default"/>
      </w:rPr>
    </w:lvl>
    <w:lvl w:ilvl="7">
      <w:start w:val="1"/>
      <w:numFmt w:val="bullet"/>
      <w:lvlText w:val="•"/>
      <w:lvlJc w:val="left"/>
      <w:pPr>
        <w:ind w:left="6570" w:hanging="360"/>
      </w:pPr>
      <w:rPr>
        <w:rFonts w:hint="default"/>
      </w:rPr>
    </w:lvl>
    <w:lvl w:ilvl="8">
      <w:start w:val="1"/>
      <w:numFmt w:val="bullet"/>
      <w:lvlText w:val="•"/>
      <w:lvlJc w:val="left"/>
      <w:pPr>
        <w:ind w:left="7400" w:hanging="360"/>
      </w:pPr>
      <w:rPr>
        <w:rFonts w:hint="default"/>
      </w:rPr>
    </w:lvl>
  </w:abstractNum>
  <w:abstractNum w:abstractNumId="16">
    <w:multiLevelType w:val="hybridMultilevel"/>
    <w:lvl w:ilvl="0">
      <w:start w:val="1"/>
      <w:numFmt w:val="upperLetter"/>
      <w:lvlText w:val="%1."/>
      <w:lvlJc w:val="left"/>
      <w:pPr>
        <w:ind w:left="670" w:hanging="200"/>
        <w:jc w:val="left"/>
      </w:pPr>
      <w:rPr>
        <w:rFonts w:hint="default" w:ascii="Arial" w:hAnsi="Arial" w:eastAsia="Arial" w:cs="Arial"/>
        <w:spacing w:val="0"/>
        <w:w w:val="104"/>
        <w:sz w:val="17"/>
        <w:szCs w:val="17"/>
      </w:rPr>
    </w:lvl>
    <w:lvl w:ilvl="1">
      <w:start w:val="1"/>
      <w:numFmt w:val="bullet"/>
      <w:lvlText w:val="•"/>
      <w:lvlJc w:val="left"/>
      <w:pPr>
        <w:ind w:left="838" w:hanging="200"/>
      </w:pPr>
      <w:rPr>
        <w:rFonts w:hint="default"/>
      </w:rPr>
    </w:lvl>
    <w:lvl w:ilvl="2">
      <w:start w:val="1"/>
      <w:numFmt w:val="bullet"/>
      <w:lvlText w:val="•"/>
      <w:lvlJc w:val="left"/>
      <w:pPr>
        <w:ind w:left="996" w:hanging="200"/>
      </w:pPr>
      <w:rPr>
        <w:rFonts w:hint="default"/>
      </w:rPr>
    </w:lvl>
    <w:lvl w:ilvl="3">
      <w:start w:val="1"/>
      <w:numFmt w:val="bullet"/>
      <w:lvlText w:val="•"/>
      <w:lvlJc w:val="left"/>
      <w:pPr>
        <w:ind w:left="1154" w:hanging="200"/>
      </w:pPr>
      <w:rPr>
        <w:rFonts w:hint="default"/>
      </w:rPr>
    </w:lvl>
    <w:lvl w:ilvl="4">
      <w:start w:val="1"/>
      <w:numFmt w:val="bullet"/>
      <w:lvlText w:val="•"/>
      <w:lvlJc w:val="left"/>
      <w:pPr>
        <w:ind w:left="1312" w:hanging="200"/>
      </w:pPr>
      <w:rPr>
        <w:rFonts w:hint="default"/>
      </w:rPr>
    </w:lvl>
    <w:lvl w:ilvl="5">
      <w:start w:val="1"/>
      <w:numFmt w:val="bullet"/>
      <w:lvlText w:val="•"/>
      <w:lvlJc w:val="left"/>
      <w:pPr>
        <w:ind w:left="1470" w:hanging="200"/>
      </w:pPr>
      <w:rPr>
        <w:rFonts w:hint="default"/>
      </w:rPr>
    </w:lvl>
    <w:lvl w:ilvl="6">
      <w:start w:val="1"/>
      <w:numFmt w:val="bullet"/>
      <w:lvlText w:val="•"/>
      <w:lvlJc w:val="left"/>
      <w:pPr>
        <w:ind w:left="1628" w:hanging="200"/>
      </w:pPr>
      <w:rPr>
        <w:rFonts w:hint="default"/>
      </w:rPr>
    </w:lvl>
    <w:lvl w:ilvl="7">
      <w:start w:val="1"/>
      <w:numFmt w:val="bullet"/>
      <w:lvlText w:val="•"/>
      <w:lvlJc w:val="left"/>
      <w:pPr>
        <w:ind w:left="1786" w:hanging="200"/>
      </w:pPr>
      <w:rPr>
        <w:rFonts w:hint="default"/>
      </w:rPr>
    </w:lvl>
    <w:lvl w:ilvl="8">
      <w:start w:val="1"/>
      <w:numFmt w:val="bullet"/>
      <w:lvlText w:val="•"/>
      <w:lvlJc w:val="left"/>
      <w:pPr>
        <w:ind w:left="1944" w:hanging="200"/>
      </w:pPr>
      <w:rPr>
        <w:rFonts w:hint="default"/>
      </w:rPr>
    </w:lvl>
  </w:abstractNum>
  <w:abstractNum w:abstractNumId="15">
    <w:multiLevelType w:val="hybridMultilevel"/>
    <w:lvl w:ilvl="0">
      <w:start w:val="1"/>
      <w:numFmt w:val="lowerLetter"/>
      <w:lvlText w:val="%1)"/>
      <w:lvlJc w:val="left"/>
      <w:pPr>
        <w:ind w:left="290" w:hanging="185"/>
        <w:jc w:val="left"/>
      </w:pPr>
      <w:rPr>
        <w:rFonts w:hint="default" w:ascii="Times New Roman" w:hAnsi="Times New Roman" w:eastAsia="Times New Roman" w:cs="Times New Roman"/>
        <w:spacing w:val="0"/>
        <w:w w:val="104"/>
        <w:sz w:val="17"/>
        <w:szCs w:val="17"/>
      </w:rPr>
    </w:lvl>
    <w:lvl w:ilvl="1">
      <w:start w:val="1"/>
      <w:numFmt w:val="bullet"/>
      <w:lvlText w:val="•"/>
      <w:lvlJc w:val="left"/>
      <w:pPr>
        <w:ind w:left="496" w:hanging="185"/>
      </w:pPr>
      <w:rPr>
        <w:rFonts w:hint="default"/>
      </w:rPr>
    </w:lvl>
    <w:lvl w:ilvl="2">
      <w:start w:val="1"/>
      <w:numFmt w:val="bullet"/>
      <w:lvlText w:val="•"/>
      <w:lvlJc w:val="left"/>
      <w:pPr>
        <w:ind w:left="692" w:hanging="185"/>
      </w:pPr>
      <w:rPr>
        <w:rFonts w:hint="default"/>
      </w:rPr>
    </w:lvl>
    <w:lvl w:ilvl="3">
      <w:start w:val="1"/>
      <w:numFmt w:val="bullet"/>
      <w:lvlText w:val="•"/>
      <w:lvlJc w:val="left"/>
      <w:pPr>
        <w:ind w:left="888" w:hanging="185"/>
      </w:pPr>
      <w:rPr>
        <w:rFonts w:hint="default"/>
      </w:rPr>
    </w:lvl>
    <w:lvl w:ilvl="4">
      <w:start w:val="1"/>
      <w:numFmt w:val="bullet"/>
      <w:lvlText w:val="•"/>
      <w:lvlJc w:val="left"/>
      <w:pPr>
        <w:ind w:left="1084" w:hanging="185"/>
      </w:pPr>
      <w:rPr>
        <w:rFonts w:hint="default"/>
      </w:rPr>
    </w:lvl>
    <w:lvl w:ilvl="5">
      <w:start w:val="1"/>
      <w:numFmt w:val="bullet"/>
      <w:lvlText w:val="•"/>
      <w:lvlJc w:val="left"/>
      <w:pPr>
        <w:ind w:left="1280" w:hanging="185"/>
      </w:pPr>
      <w:rPr>
        <w:rFonts w:hint="default"/>
      </w:rPr>
    </w:lvl>
    <w:lvl w:ilvl="6">
      <w:start w:val="1"/>
      <w:numFmt w:val="bullet"/>
      <w:lvlText w:val="•"/>
      <w:lvlJc w:val="left"/>
      <w:pPr>
        <w:ind w:left="1476" w:hanging="185"/>
      </w:pPr>
      <w:rPr>
        <w:rFonts w:hint="default"/>
      </w:rPr>
    </w:lvl>
    <w:lvl w:ilvl="7">
      <w:start w:val="1"/>
      <w:numFmt w:val="bullet"/>
      <w:lvlText w:val="•"/>
      <w:lvlJc w:val="left"/>
      <w:pPr>
        <w:ind w:left="1672" w:hanging="185"/>
      </w:pPr>
      <w:rPr>
        <w:rFonts w:hint="default"/>
      </w:rPr>
    </w:lvl>
    <w:lvl w:ilvl="8">
      <w:start w:val="1"/>
      <w:numFmt w:val="bullet"/>
      <w:lvlText w:val="•"/>
      <w:lvlJc w:val="left"/>
      <w:pPr>
        <w:ind w:left="1868" w:hanging="185"/>
      </w:pPr>
      <w:rPr>
        <w:rFonts w:hint="default"/>
      </w:rPr>
    </w:lvl>
  </w:abstractNum>
  <w:abstractNum w:abstractNumId="14">
    <w:multiLevelType w:val="hybridMultilevel"/>
    <w:lvl w:ilvl="0">
      <w:start w:val="6"/>
      <w:numFmt w:val="upperRoman"/>
      <w:lvlText w:val="%1"/>
      <w:lvlJc w:val="left"/>
      <w:pPr>
        <w:ind w:left="1703" w:hanging="507"/>
        <w:jc w:val="left"/>
      </w:pPr>
      <w:rPr>
        <w:rFonts w:hint="default"/>
      </w:rPr>
    </w:lvl>
    <w:lvl w:ilvl="1">
      <w:start w:val="1"/>
      <w:numFmt w:val="decimal"/>
      <w:lvlText w:val="%1.%2"/>
      <w:lvlJc w:val="left"/>
      <w:pPr>
        <w:ind w:left="1703" w:hanging="507"/>
        <w:jc w:val="right"/>
      </w:pPr>
      <w:rPr>
        <w:rFonts w:hint="default" w:ascii="Times New Roman" w:hAnsi="Times New Roman" w:eastAsia="Times New Roman" w:cs="Times New Roman"/>
        <w:b/>
        <w:bCs/>
        <w:w w:val="100"/>
        <w:sz w:val="24"/>
        <w:szCs w:val="24"/>
      </w:rPr>
    </w:lvl>
    <w:lvl w:ilvl="2">
      <w:start w:val="1"/>
      <w:numFmt w:val="decimal"/>
      <w:lvlText w:val="%1.%2.%3"/>
      <w:lvlJc w:val="left"/>
      <w:pPr>
        <w:ind w:left="3838" w:hanging="687"/>
        <w:jc w:val="right"/>
      </w:pPr>
      <w:rPr>
        <w:rFonts w:hint="default" w:ascii="Times New Roman" w:hAnsi="Times New Roman" w:eastAsia="Times New Roman" w:cs="Times New Roman"/>
        <w:b/>
        <w:bCs/>
        <w:w w:val="100"/>
        <w:sz w:val="24"/>
        <w:szCs w:val="24"/>
      </w:rPr>
    </w:lvl>
    <w:lvl w:ilvl="3">
      <w:start w:val="1"/>
      <w:numFmt w:val="bullet"/>
      <w:lvlText w:val="•"/>
      <w:lvlJc w:val="left"/>
      <w:pPr>
        <w:ind w:left="5000" w:hanging="687"/>
      </w:pPr>
      <w:rPr>
        <w:rFonts w:hint="default"/>
      </w:rPr>
    </w:lvl>
    <w:lvl w:ilvl="4">
      <w:start w:val="1"/>
      <w:numFmt w:val="bullet"/>
      <w:lvlText w:val="•"/>
      <w:lvlJc w:val="left"/>
      <w:pPr>
        <w:ind w:left="5580" w:hanging="687"/>
      </w:pPr>
      <w:rPr>
        <w:rFonts w:hint="default"/>
      </w:rPr>
    </w:lvl>
    <w:lvl w:ilvl="5">
      <w:start w:val="1"/>
      <w:numFmt w:val="bullet"/>
      <w:lvlText w:val="•"/>
      <w:lvlJc w:val="left"/>
      <w:pPr>
        <w:ind w:left="6160" w:hanging="687"/>
      </w:pPr>
      <w:rPr>
        <w:rFonts w:hint="default"/>
      </w:rPr>
    </w:lvl>
    <w:lvl w:ilvl="6">
      <w:start w:val="1"/>
      <w:numFmt w:val="bullet"/>
      <w:lvlText w:val="•"/>
      <w:lvlJc w:val="left"/>
      <w:pPr>
        <w:ind w:left="6740" w:hanging="687"/>
      </w:pPr>
      <w:rPr>
        <w:rFonts w:hint="default"/>
      </w:rPr>
    </w:lvl>
    <w:lvl w:ilvl="7">
      <w:start w:val="1"/>
      <w:numFmt w:val="bullet"/>
      <w:lvlText w:val="•"/>
      <w:lvlJc w:val="left"/>
      <w:pPr>
        <w:ind w:left="7320" w:hanging="687"/>
      </w:pPr>
      <w:rPr>
        <w:rFonts w:hint="default"/>
      </w:rPr>
    </w:lvl>
    <w:lvl w:ilvl="8">
      <w:start w:val="1"/>
      <w:numFmt w:val="bullet"/>
      <w:lvlText w:val="•"/>
      <w:lvlJc w:val="left"/>
      <w:pPr>
        <w:ind w:left="7900" w:hanging="687"/>
      </w:pPr>
      <w:rPr>
        <w:rFonts w:hint="default"/>
      </w:rPr>
    </w:lvl>
  </w:abstractNum>
  <w:abstractNum w:abstractNumId="13">
    <w:multiLevelType w:val="hybridMultilevel"/>
    <w:lvl w:ilvl="0">
      <w:start w:val="1"/>
      <w:numFmt w:val="decimal"/>
      <w:lvlText w:val="%1."/>
      <w:lvlJc w:val="left"/>
      <w:pPr>
        <w:ind w:left="116" w:hanging="325"/>
        <w:jc w:val="left"/>
      </w:pPr>
      <w:rPr>
        <w:rFonts w:hint="default" w:ascii="Times New Roman" w:hAnsi="Times New Roman" w:eastAsia="Times New Roman" w:cs="Times New Roman"/>
        <w:w w:val="100"/>
        <w:sz w:val="24"/>
        <w:szCs w:val="24"/>
      </w:rPr>
    </w:lvl>
    <w:lvl w:ilvl="1">
      <w:start w:val="1"/>
      <w:numFmt w:val="bullet"/>
      <w:lvlText w:val=""/>
      <w:lvlJc w:val="left"/>
      <w:pPr>
        <w:ind w:left="836" w:hanging="360"/>
      </w:pPr>
      <w:rPr>
        <w:rFonts w:hint="default" w:ascii="Symbol" w:hAnsi="Symbol" w:eastAsia="Symbol" w:cs="Symbol"/>
        <w:w w:val="100"/>
        <w:sz w:val="24"/>
        <w:szCs w:val="24"/>
      </w:rPr>
    </w:lvl>
    <w:lvl w:ilvl="2">
      <w:start w:val="1"/>
      <w:numFmt w:val="bullet"/>
      <w:lvlText w:val="•"/>
      <w:lvlJc w:val="left"/>
      <w:pPr>
        <w:ind w:left="1753" w:hanging="360"/>
      </w:pPr>
      <w:rPr>
        <w:rFonts w:hint="default"/>
      </w:rPr>
    </w:lvl>
    <w:lvl w:ilvl="3">
      <w:start w:val="1"/>
      <w:numFmt w:val="bullet"/>
      <w:lvlText w:val="•"/>
      <w:lvlJc w:val="left"/>
      <w:pPr>
        <w:ind w:left="2666" w:hanging="360"/>
      </w:pPr>
      <w:rPr>
        <w:rFonts w:hint="default"/>
      </w:rPr>
    </w:lvl>
    <w:lvl w:ilvl="4">
      <w:start w:val="1"/>
      <w:numFmt w:val="bullet"/>
      <w:lvlText w:val="•"/>
      <w:lvlJc w:val="left"/>
      <w:pPr>
        <w:ind w:left="3580" w:hanging="360"/>
      </w:pPr>
      <w:rPr>
        <w:rFonts w:hint="default"/>
      </w:rPr>
    </w:lvl>
    <w:lvl w:ilvl="5">
      <w:start w:val="1"/>
      <w:numFmt w:val="bullet"/>
      <w:lvlText w:val="•"/>
      <w:lvlJc w:val="left"/>
      <w:pPr>
        <w:ind w:left="4493" w:hanging="360"/>
      </w:pPr>
      <w:rPr>
        <w:rFonts w:hint="default"/>
      </w:rPr>
    </w:lvl>
    <w:lvl w:ilvl="6">
      <w:start w:val="1"/>
      <w:numFmt w:val="bullet"/>
      <w:lvlText w:val="•"/>
      <w:lvlJc w:val="left"/>
      <w:pPr>
        <w:ind w:left="5406" w:hanging="360"/>
      </w:pPr>
      <w:rPr>
        <w:rFonts w:hint="default"/>
      </w:rPr>
    </w:lvl>
    <w:lvl w:ilvl="7">
      <w:start w:val="1"/>
      <w:numFmt w:val="bullet"/>
      <w:lvlText w:val="•"/>
      <w:lvlJc w:val="left"/>
      <w:pPr>
        <w:ind w:left="6320" w:hanging="360"/>
      </w:pPr>
      <w:rPr>
        <w:rFonts w:hint="default"/>
      </w:rPr>
    </w:lvl>
    <w:lvl w:ilvl="8">
      <w:start w:val="1"/>
      <w:numFmt w:val="bullet"/>
      <w:lvlText w:val="•"/>
      <w:lvlJc w:val="left"/>
      <w:pPr>
        <w:ind w:left="7233" w:hanging="360"/>
      </w:pPr>
      <w:rPr>
        <w:rFonts w:hint="default"/>
      </w:rPr>
    </w:lvl>
  </w:abstractNum>
  <w:abstractNum w:abstractNumId="12">
    <w:multiLevelType w:val="hybridMultilevel"/>
    <w:lvl w:ilvl="0">
      <w:start w:val="5"/>
      <w:numFmt w:val="upperRoman"/>
      <w:lvlText w:val="%1"/>
      <w:lvlJc w:val="left"/>
      <w:pPr>
        <w:ind w:left="1575" w:hanging="380"/>
        <w:jc w:val="left"/>
      </w:pPr>
      <w:rPr>
        <w:rFonts w:hint="default"/>
      </w:rPr>
    </w:lvl>
    <w:lvl w:ilvl="1">
      <w:start w:val="1"/>
      <w:numFmt w:val="decimal"/>
      <w:lvlText w:val="%1.%2"/>
      <w:lvlJc w:val="left"/>
      <w:pPr>
        <w:ind w:left="1575" w:hanging="380"/>
        <w:jc w:val="left"/>
      </w:pPr>
      <w:rPr>
        <w:rFonts w:hint="default" w:ascii="Times New Roman" w:hAnsi="Times New Roman" w:eastAsia="Times New Roman" w:cs="Times New Roman"/>
        <w:b/>
        <w:bCs/>
        <w:spacing w:val="0"/>
        <w:w w:val="102"/>
        <w:sz w:val="21"/>
        <w:szCs w:val="21"/>
      </w:rPr>
    </w:lvl>
    <w:lvl w:ilvl="2">
      <w:start w:val="1"/>
      <w:numFmt w:val="bullet"/>
      <w:lvlText w:val="•"/>
      <w:lvlJc w:val="left"/>
      <w:pPr>
        <w:ind w:left="3076" w:hanging="380"/>
      </w:pPr>
      <w:rPr>
        <w:rFonts w:hint="default"/>
      </w:rPr>
    </w:lvl>
    <w:lvl w:ilvl="3">
      <w:start w:val="1"/>
      <w:numFmt w:val="bullet"/>
      <w:lvlText w:val="•"/>
      <w:lvlJc w:val="left"/>
      <w:pPr>
        <w:ind w:left="3824" w:hanging="380"/>
      </w:pPr>
      <w:rPr>
        <w:rFonts w:hint="default"/>
      </w:rPr>
    </w:lvl>
    <w:lvl w:ilvl="4">
      <w:start w:val="1"/>
      <w:numFmt w:val="bullet"/>
      <w:lvlText w:val="•"/>
      <w:lvlJc w:val="left"/>
      <w:pPr>
        <w:ind w:left="4572" w:hanging="380"/>
      </w:pPr>
      <w:rPr>
        <w:rFonts w:hint="default"/>
      </w:rPr>
    </w:lvl>
    <w:lvl w:ilvl="5">
      <w:start w:val="1"/>
      <w:numFmt w:val="bullet"/>
      <w:lvlText w:val="•"/>
      <w:lvlJc w:val="left"/>
      <w:pPr>
        <w:ind w:left="5320" w:hanging="380"/>
      </w:pPr>
      <w:rPr>
        <w:rFonts w:hint="default"/>
      </w:rPr>
    </w:lvl>
    <w:lvl w:ilvl="6">
      <w:start w:val="1"/>
      <w:numFmt w:val="bullet"/>
      <w:lvlText w:val="•"/>
      <w:lvlJc w:val="left"/>
      <w:pPr>
        <w:ind w:left="6068" w:hanging="380"/>
      </w:pPr>
      <w:rPr>
        <w:rFonts w:hint="default"/>
      </w:rPr>
    </w:lvl>
    <w:lvl w:ilvl="7">
      <w:start w:val="1"/>
      <w:numFmt w:val="bullet"/>
      <w:lvlText w:val="•"/>
      <w:lvlJc w:val="left"/>
      <w:pPr>
        <w:ind w:left="6816" w:hanging="380"/>
      </w:pPr>
      <w:rPr>
        <w:rFonts w:hint="default"/>
      </w:rPr>
    </w:lvl>
    <w:lvl w:ilvl="8">
      <w:start w:val="1"/>
      <w:numFmt w:val="bullet"/>
      <w:lvlText w:val="•"/>
      <w:lvlJc w:val="left"/>
      <w:pPr>
        <w:ind w:left="7564" w:hanging="380"/>
      </w:pPr>
      <w:rPr>
        <w:rFonts w:hint="default"/>
      </w:rPr>
    </w:lvl>
  </w:abstractNum>
  <w:abstractNum w:abstractNumId="11">
    <w:multiLevelType w:val="hybridMultilevel"/>
    <w:lvl w:ilvl="0">
      <w:start w:val="4"/>
      <w:numFmt w:val="upperRoman"/>
      <w:lvlText w:val="%1"/>
      <w:lvlJc w:val="left"/>
      <w:pPr>
        <w:ind w:left="2958" w:hanging="507"/>
        <w:jc w:val="left"/>
      </w:pPr>
      <w:rPr>
        <w:rFonts w:hint="default"/>
      </w:rPr>
    </w:lvl>
    <w:lvl w:ilvl="1">
      <w:start w:val="1"/>
      <w:numFmt w:val="decimal"/>
      <w:lvlText w:val="%1.%2"/>
      <w:lvlJc w:val="left"/>
      <w:pPr>
        <w:ind w:left="2958" w:hanging="507"/>
        <w:jc w:val="left"/>
      </w:pPr>
      <w:rPr>
        <w:rFonts w:hint="default" w:ascii="Times New Roman" w:hAnsi="Times New Roman" w:eastAsia="Times New Roman" w:cs="Times New Roman"/>
        <w:b/>
        <w:bCs/>
        <w:w w:val="100"/>
        <w:sz w:val="24"/>
        <w:szCs w:val="24"/>
      </w:rPr>
    </w:lvl>
    <w:lvl w:ilvl="2">
      <w:start w:val="1"/>
      <w:numFmt w:val="decimal"/>
      <w:lvlText w:val="%1.%2.%3"/>
      <w:lvlJc w:val="left"/>
      <w:pPr>
        <w:ind w:left="3132" w:hanging="687"/>
        <w:jc w:val="right"/>
      </w:pPr>
      <w:rPr>
        <w:rFonts w:hint="default" w:ascii="Times New Roman" w:hAnsi="Times New Roman" w:eastAsia="Times New Roman" w:cs="Times New Roman"/>
        <w:b/>
        <w:bCs/>
        <w:w w:val="100"/>
        <w:sz w:val="24"/>
        <w:szCs w:val="24"/>
      </w:rPr>
    </w:lvl>
    <w:lvl w:ilvl="3">
      <w:start w:val="1"/>
      <w:numFmt w:val="decimal"/>
      <w:lvlText w:val="%1.%2.%3.%4"/>
      <w:lvlJc w:val="left"/>
      <w:pPr>
        <w:ind w:left="4707" w:hanging="867"/>
        <w:jc w:val="right"/>
      </w:pPr>
      <w:rPr>
        <w:rFonts w:hint="default" w:ascii="Times New Roman" w:hAnsi="Times New Roman" w:eastAsia="Times New Roman" w:cs="Times New Roman"/>
        <w:b/>
        <w:bCs/>
        <w:w w:val="100"/>
        <w:sz w:val="24"/>
        <w:szCs w:val="24"/>
      </w:rPr>
    </w:lvl>
    <w:lvl w:ilvl="4">
      <w:start w:val="1"/>
      <w:numFmt w:val="bullet"/>
      <w:lvlText w:val="•"/>
      <w:lvlJc w:val="left"/>
      <w:pPr>
        <w:ind w:left="5790" w:hanging="867"/>
      </w:pPr>
      <w:rPr>
        <w:rFonts w:hint="default"/>
      </w:rPr>
    </w:lvl>
    <w:lvl w:ilvl="5">
      <w:start w:val="1"/>
      <w:numFmt w:val="bullet"/>
      <w:lvlText w:val="•"/>
      <w:lvlJc w:val="left"/>
      <w:pPr>
        <w:ind w:left="6335" w:hanging="867"/>
      </w:pPr>
      <w:rPr>
        <w:rFonts w:hint="default"/>
      </w:rPr>
    </w:lvl>
    <w:lvl w:ilvl="6">
      <w:start w:val="1"/>
      <w:numFmt w:val="bullet"/>
      <w:lvlText w:val="•"/>
      <w:lvlJc w:val="left"/>
      <w:pPr>
        <w:ind w:left="6880" w:hanging="867"/>
      </w:pPr>
      <w:rPr>
        <w:rFonts w:hint="default"/>
      </w:rPr>
    </w:lvl>
    <w:lvl w:ilvl="7">
      <w:start w:val="1"/>
      <w:numFmt w:val="bullet"/>
      <w:lvlText w:val="•"/>
      <w:lvlJc w:val="left"/>
      <w:pPr>
        <w:ind w:left="7425" w:hanging="867"/>
      </w:pPr>
      <w:rPr>
        <w:rFonts w:hint="default"/>
      </w:rPr>
    </w:lvl>
    <w:lvl w:ilvl="8">
      <w:start w:val="1"/>
      <w:numFmt w:val="bullet"/>
      <w:lvlText w:val="•"/>
      <w:lvlJc w:val="left"/>
      <w:pPr>
        <w:ind w:left="7970" w:hanging="867"/>
      </w:pPr>
      <w:rPr>
        <w:rFonts w:hint="default"/>
      </w:rPr>
    </w:lvl>
  </w:abstractNum>
  <w:abstractNum w:abstractNumId="10">
    <w:multiLevelType w:val="hybridMultilevel"/>
    <w:lvl w:ilvl="0">
      <w:start w:val="3"/>
      <w:numFmt w:val="upperRoman"/>
      <w:lvlText w:val="%1"/>
      <w:lvlJc w:val="left"/>
      <w:pPr>
        <w:ind w:left="1968" w:hanging="521"/>
        <w:jc w:val="left"/>
      </w:pPr>
      <w:rPr>
        <w:rFonts w:hint="default"/>
      </w:rPr>
    </w:lvl>
    <w:lvl w:ilvl="1">
      <w:start w:val="1"/>
      <w:numFmt w:val="decimal"/>
      <w:lvlText w:val="%1.%2"/>
      <w:lvlJc w:val="left"/>
      <w:pPr>
        <w:ind w:left="1968" w:hanging="521"/>
        <w:jc w:val="right"/>
      </w:pPr>
      <w:rPr>
        <w:rFonts w:hint="default" w:ascii="Times New Roman" w:hAnsi="Times New Roman" w:eastAsia="Times New Roman" w:cs="Times New Roman"/>
        <w:b/>
        <w:bCs/>
        <w:w w:val="100"/>
        <w:sz w:val="24"/>
        <w:szCs w:val="24"/>
      </w:rPr>
    </w:lvl>
    <w:lvl w:ilvl="2">
      <w:start w:val="1"/>
      <w:numFmt w:val="bullet"/>
      <w:lvlText w:val="•"/>
      <w:lvlJc w:val="left"/>
      <w:pPr>
        <w:ind w:left="3380" w:hanging="521"/>
      </w:pPr>
      <w:rPr>
        <w:rFonts w:hint="default"/>
      </w:rPr>
    </w:lvl>
    <w:lvl w:ilvl="3">
      <w:start w:val="1"/>
      <w:numFmt w:val="bullet"/>
      <w:lvlText w:val="•"/>
      <w:lvlJc w:val="left"/>
      <w:pPr>
        <w:ind w:left="4090" w:hanging="521"/>
      </w:pPr>
      <w:rPr>
        <w:rFonts w:hint="default"/>
      </w:rPr>
    </w:lvl>
    <w:lvl w:ilvl="4">
      <w:start w:val="1"/>
      <w:numFmt w:val="bullet"/>
      <w:lvlText w:val="•"/>
      <w:lvlJc w:val="left"/>
      <w:pPr>
        <w:ind w:left="4800" w:hanging="521"/>
      </w:pPr>
      <w:rPr>
        <w:rFonts w:hint="default"/>
      </w:rPr>
    </w:lvl>
    <w:lvl w:ilvl="5">
      <w:start w:val="1"/>
      <w:numFmt w:val="bullet"/>
      <w:lvlText w:val="•"/>
      <w:lvlJc w:val="left"/>
      <w:pPr>
        <w:ind w:left="5510" w:hanging="521"/>
      </w:pPr>
      <w:rPr>
        <w:rFonts w:hint="default"/>
      </w:rPr>
    </w:lvl>
    <w:lvl w:ilvl="6">
      <w:start w:val="1"/>
      <w:numFmt w:val="bullet"/>
      <w:lvlText w:val="•"/>
      <w:lvlJc w:val="left"/>
      <w:pPr>
        <w:ind w:left="6220" w:hanging="521"/>
      </w:pPr>
      <w:rPr>
        <w:rFonts w:hint="default"/>
      </w:rPr>
    </w:lvl>
    <w:lvl w:ilvl="7">
      <w:start w:val="1"/>
      <w:numFmt w:val="bullet"/>
      <w:lvlText w:val="•"/>
      <w:lvlJc w:val="left"/>
      <w:pPr>
        <w:ind w:left="6930" w:hanging="521"/>
      </w:pPr>
      <w:rPr>
        <w:rFonts w:hint="default"/>
      </w:rPr>
    </w:lvl>
    <w:lvl w:ilvl="8">
      <w:start w:val="1"/>
      <w:numFmt w:val="bullet"/>
      <w:lvlText w:val="•"/>
      <w:lvlJc w:val="left"/>
      <w:pPr>
        <w:ind w:left="7640" w:hanging="521"/>
      </w:pPr>
      <w:rPr>
        <w:rFonts w:hint="default"/>
      </w:rPr>
    </w:lvl>
  </w:abstractNum>
  <w:abstractNum w:abstractNumId="9">
    <w:multiLevelType w:val="hybridMultilevel"/>
    <w:lvl w:ilvl="0">
      <w:start w:val="1"/>
      <w:numFmt w:val="bullet"/>
      <w:lvlText w:val="•"/>
      <w:lvlJc w:val="left"/>
      <w:pPr>
        <w:ind w:left="116" w:hanging="145"/>
      </w:pPr>
      <w:rPr>
        <w:rFonts w:hint="default" w:ascii="Times New Roman" w:hAnsi="Times New Roman" w:eastAsia="Times New Roman" w:cs="Times New Roman"/>
        <w:w w:val="100"/>
        <w:sz w:val="24"/>
        <w:szCs w:val="24"/>
      </w:rPr>
    </w:lvl>
    <w:lvl w:ilvl="1">
      <w:start w:val="1"/>
      <w:numFmt w:val="bullet"/>
      <w:lvlText w:val=""/>
      <w:lvlJc w:val="left"/>
      <w:pPr>
        <w:ind w:left="836" w:hanging="360"/>
      </w:pPr>
      <w:rPr>
        <w:rFonts w:hint="default" w:ascii="Symbol" w:hAnsi="Symbol" w:eastAsia="Symbol" w:cs="Symbol"/>
        <w:w w:val="100"/>
        <w:sz w:val="24"/>
        <w:szCs w:val="24"/>
      </w:rPr>
    </w:lvl>
    <w:lvl w:ilvl="2">
      <w:start w:val="1"/>
      <w:numFmt w:val="bullet"/>
      <w:lvlText w:val="•"/>
      <w:lvlJc w:val="left"/>
      <w:pPr>
        <w:ind w:left="1040" w:hanging="360"/>
      </w:pPr>
      <w:rPr>
        <w:rFonts w:hint="default"/>
      </w:rPr>
    </w:lvl>
    <w:lvl w:ilvl="3">
      <w:start w:val="1"/>
      <w:numFmt w:val="bullet"/>
      <w:lvlText w:val="•"/>
      <w:lvlJc w:val="left"/>
      <w:pPr>
        <w:ind w:left="2042" w:hanging="360"/>
      </w:pPr>
      <w:rPr>
        <w:rFonts w:hint="default"/>
      </w:rPr>
    </w:lvl>
    <w:lvl w:ilvl="4">
      <w:start w:val="1"/>
      <w:numFmt w:val="bullet"/>
      <w:lvlText w:val="•"/>
      <w:lvlJc w:val="left"/>
      <w:pPr>
        <w:ind w:left="3045" w:hanging="360"/>
      </w:pPr>
      <w:rPr>
        <w:rFonts w:hint="default"/>
      </w:rPr>
    </w:lvl>
    <w:lvl w:ilvl="5">
      <w:start w:val="1"/>
      <w:numFmt w:val="bullet"/>
      <w:lvlText w:val="•"/>
      <w:lvlJc w:val="left"/>
      <w:pPr>
        <w:ind w:left="4047" w:hanging="360"/>
      </w:pPr>
      <w:rPr>
        <w:rFonts w:hint="default"/>
      </w:rPr>
    </w:lvl>
    <w:lvl w:ilvl="6">
      <w:start w:val="1"/>
      <w:numFmt w:val="bullet"/>
      <w:lvlText w:val="•"/>
      <w:lvlJc w:val="left"/>
      <w:pPr>
        <w:ind w:left="5050" w:hanging="360"/>
      </w:pPr>
      <w:rPr>
        <w:rFonts w:hint="default"/>
      </w:rPr>
    </w:lvl>
    <w:lvl w:ilvl="7">
      <w:start w:val="1"/>
      <w:numFmt w:val="bullet"/>
      <w:lvlText w:val="•"/>
      <w:lvlJc w:val="left"/>
      <w:pPr>
        <w:ind w:left="6052" w:hanging="360"/>
      </w:pPr>
      <w:rPr>
        <w:rFonts w:hint="default"/>
      </w:rPr>
    </w:lvl>
    <w:lvl w:ilvl="8">
      <w:start w:val="1"/>
      <w:numFmt w:val="bullet"/>
      <w:lvlText w:val="•"/>
      <w:lvlJc w:val="left"/>
      <w:pPr>
        <w:ind w:left="7055" w:hanging="360"/>
      </w:pPr>
      <w:rPr>
        <w:rFonts w:hint="default"/>
      </w:rPr>
    </w:lvl>
  </w:abstractNum>
  <w:abstractNum w:abstractNumId="8">
    <w:multiLevelType w:val="hybridMultilevel"/>
    <w:lvl w:ilvl="0">
      <w:start w:val="1"/>
      <w:numFmt w:val="bullet"/>
      <w:lvlText w:val="♦"/>
      <w:lvlJc w:val="left"/>
      <w:pPr>
        <w:ind w:left="116" w:hanging="236"/>
      </w:pPr>
      <w:rPr>
        <w:rFonts w:hint="default" w:ascii="Times New Roman" w:hAnsi="Times New Roman" w:eastAsia="Times New Roman" w:cs="Times New Roman"/>
        <w:spacing w:val="-7"/>
        <w:w w:val="100"/>
        <w:sz w:val="24"/>
        <w:szCs w:val="24"/>
      </w:rPr>
    </w:lvl>
    <w:lvl w:ilvl="1">
      <w:start w:val="1"/>
      <w:numFmt w:val="bullet"/>
      <w:lvlText w:val="•"/>
      <w:lvlJc w:val="left"/>
      <w:pPr>
        <w:ind w:left="1014" w:hanging="236"/>
      </w:pPr>
      <w:rPr>
        <w:rFonts w:hint="default"/>
      </w:rPr>
    </w:lvl>
    <w:lvl w:ilvl="2">
      <w:start w:val="1"/>
      <w:numFmt w:val="bullet"/>
      <w:lvlText w:val="•"/>
      <w:lvlJc w:val="left"/>
      <w:pPr>
        <w:ind w:left="1908" w:hanging="236"/>
      </w:pPr>
      <w:rPr>
        <w:rFonts w:hint="default"/>
      </w:rPr>
    </w:lvl>
    <w:lvl w:ilvl="3">
      <w:start w:val="1"/>
      <w:numFmt w:val="bullet"/>
      <w:lvlText w:val="•"/>
      <w:lvlJc w:val="left"/>
      <w:pPr>
        <w:ind w:left="2802" w:hanging="236"/>
      </w:pPr>
      <w:rPr>
        <w:rFonts w:hint="default"/>
      </w:rPr>
    </w:lvl>
    <w:lvl w:ilvl="4">
      <w:start w:val="1"/>
      <w:numFmt w:val="bullet"/>
      <w:lvlText w:val="•"/>
      <w:lvlJc w:val="left"/>
      <w:pPr>
        <w:ind w:left="3696" w:hanging="236"/>
      </w:pPr>
      <w:rPr>
        <w:rFonts w:hint="default"/>
      </w:rPr>
    </w:lvl>
    <w:lvl w:ilvl="5">
      <w:start w:val="1"/>
      <w:numFmt w:val="bullet"/>
      <w:lvlText w:val="•"/>
      <w:lvlJc w:val="left"/>
      <w:pPr>
        <w:ind w:left="4590" w:hanging="236"/>
      </w:pPr>
      <w:rPr>
        <w:rFonts w:hint="default"/>
      </w:rPr>
    </w:lvl>
    <w:lvl w:ilvl="6">
      <w:start w:val="1"/>
      <w:numFmt w:val="bullet"/>
      <w:lvlText w:val="•"/>
      <w:lvlJc w:val="left"/>
      <w:pPr>
        <w:ind w:left="5484" w:hanging="236"/>
      </w:pPr>
      <w:rPr>
        <w:rFonts w:hint="default"/>
      </w:rPr>
    </w:lvl>
    <w:lvl w:ilvl="7">
      <w:start w:val="1"/>
      <w:numFmt w:val="bullet"/>
      <w:lvlText w:val="•"/>
      <w:lvlJc w:val="left"/>
      <w:pPr>
        <w:ind w:left="6378" w:hanging="236"/>
      </w:pPr>
      <w:rPr>
        <w:rFonts w:hint="default"/>
      </w:rPr>
    </w:lvl>
    <w:lvl w:ilvl="8">
      <w:start w:val="1"/>
      <w:numFmt w:val="bullet"/>
      <w:lvlText w:val="•"/>
      <w:lvlJc w:val="left"/>
      <w:pPr>
        <w:ind w:left="7272" w:hanging="236"/>
      </w:pPr>
      <w:rPr>
        <w:rFonts w:hint="default"/>
      </w:rPr>
    </w:lvl>
  </w:abstractNum>
  <w:abstractNum w:abstractNumId="7">
    <w:multiLevelType w:val="hybridMultilevel"/>
    <w:lvl w:ilvl="0">
      <w:start w:val="1"/>
      <w:numFmt w:val="bullet"/>
      <w:lvlText w:val="♦"/>
      <w:lvlJc w:val="left"/>
      <w:pPr>
        <w:ind w:left="116" w:hanging="286"/>
      </w:pPr>
      <w:rPr>
        <w:rFonts w:hint="default" w:ascii="Times New Roman" w:hAnsi="Times New Roman" w:eastAsia="Times New Roman" w:cs="Times New Roman"/>
        <w:spacing w:val="-28"/>
        <w:w w:val="100"/>
        <w:sz w:val="24"/>
        <w:szCs w:val="24"/>
      </w:rPr>
    </w:lvl>
    <w:lvl w:ilvl="1">
      <w:start w:val="1"/>
      <w:numFmt w:val="bullet"/>
      <w:lvlText w:val="•"/>
      <w:lvlJc w:val="left"/>
      <w:pPr>
        <w:ind w:left="1014" w:hanging="286"/>
      </w:pPr>
      <w:rPr>
        <w:rFonts w:hint="default"/>
      </w:rPr>
    </w:lvl>
    <w:lvl w:ilvl="2">
      <w:start w:val="1"/>
      <w:numFmt w:val="bullet"/>
      <w:lvlText w:val="•"/>
      <w:lvlJc w:val="left"/>
      <w:pPr>
        <w:ind w:left="1908" w:hanging="286"/>
      </w:pPr>
      <w:rPr>
        <w:rFonts w:hint="default"/>
      </w:rPr>
    </w:lvl>
    <w:lvl w:ilvl="3">
      <w:start w:val="1"/>
      <w:numFmt w:val="bullet"/>
      <w:lvlText w:val="•"/>
      <w:lvlJc w:val="left"/>
      <w:pPr>
        <w:ind w:left="2802" w:hanging="286"/>
      </w:pPr>
      <w:rPr>
        <w:rFonts w:hint="default"/>
      </w:rPr>
    </w:lvl>
    <w:lvl w:ilvl="4">
      <w:start w:val="1"/>
      <w:numFmt w:val="bullet"/>
      <w:lvlText w:val="•"/>
      <w:lvlJc w:val="left"/>
      <w:pPr>
        <w:ind w:left="3696" w:hanging="286"/>
      </w:pPr>
      <w:rPr>
        <w:rFonts w:hint="default"/>
      </w:rPr>
    </w:lvl>
    <w:lvl w:ilvl="5">
      <w:start w:val="1"/>
      <w:numFmt w:val="bullet"/>
      <w:lvlText w:val="•"/>
      <w:lvlJc w:val="left"/>
      <w:pPr>
        <w:ind w:left="4590" w:hanging="286"/>
      </w:pPr>
      <w:rPr>
        <w:rFonts w:hint="default"/>
      </w:rPr>
    </w:lvl>
    <w:lvl w:ilvl="6">
      <w:start w:val="1"/>
      <w:numFmt w:val="bullet"/>
      <w:lvlText w:val="•"/>
      <w:lvlJc w:val="left"/>
      <w:pPr>
        <w:ind w:left="5484" w:hanging="286"/>
      </w:pPr>
      <w:rPr>
        <w:rFonts w:hint="default"/>
      </w:rPr>
    </w:lvl>
    <w:lvl w:ilvl="7">
      <w:start w:val="1"/>
      <w:numFmt w:val="bullet"/>
      <w:lvlText w:val="•"/>
      <w:lvlJc w:val="left"/>
      <w:pPr>
        <w:ind w:left="6378" w:hanging="286"/>
      </w:pPr>
      <w:rPr>
        <w:rFonts w:hint="default"/>
      </w:rPr>
    </w:lvl>
    <w:lvl w:ilvl="8">
      <w:start w:val="1"/>
      <w:numFmt w:val="bullet"/>
      <w:lvlText w:val="•"/>
      <w:lvlJc w:val="left"/>
      <w:pPr>
        <w:ind w:left="7272" w:hanging="286"/>
      </w:pPr>
      <w:rPr>
        <w:rFonts w:hint="default"/>
      </w:rPr>
    </w:lvl>
  </w:abstractNum>
  <w:abstractNum w:abstractNumId="6">
    <w:multiLevelType w:val="hybridMultilevel"/>
    <w:lvl w:ilvl="0">
      <w:start w:val="1"/>
      <w:numFmt w:val="lowerLetter"/>
      <w:lvlText w:val="%1)"/>
      <w:lvlJc w:val="left"/>
      <w:pPr>
        <w:ind w:left="116" w:hanging="352"/>
        <w:jc w:val="left"/>
      </w:pPr>
      <w:rPr>
        <w:rFonts w:hint="default" w:ascii="Times New Roman" w:hAnsi="Times New Roman" w:eastAsia="Times New Roman" w:cs="Times New Roman"/>
        <w:spacing w:val="-15"/>
        <w:w w:val="100"/>
        <w:sz w:val="24"/>
        <w:szCs w:val="24"/>
      </w:rPr>
    </w:lvl>
    <w:lvl w:ilvl="1">
      <w:start w:val="1"/>
      <w:numFmt w:val="bullet"/>
      <w:lvlText w:val="•"/>
      <w:lvlJc w:val="left"/>
      <w:pPr>
        <w:ind w:left="1014" w:hanging="352"/>
      </w:pPr>
      <w:rPr>
        <w:rFonts w:hint="default"/>
      </w:rPr>
    </w:lvl>
    <w:lvl w:ilvl="2">
      <w:start w:val="1"/>
      <w:numFmt w:val="bullet"/>
      <w:lvlText w:val="•"/>
      <w:lvlJc w:val="left"/>
      <w:pPr>
        <w:ind w:left="1908" w:hanging="352"/>
      </w:pPr>
      <w:rPr>
        <w:rFonts w:hint="default"/>
      </w:rPr>
    </w:lvl>
    <w:lvl w:ilvl="3">
      <w:start w:val="1"/>
      <w:numFmt w:val="bullet"/>
      <w:lvlText w:val="•"/>
      <w:lvlJc w:val="left"/>
      <w:pPr>
        <w:ind w:left="2802" w:hanging="352"/>
      </w:pPr>
      <w:rPr>
        <w:rFonts w:hint="default"/>
      </w:rPr>
    </w:lvl>
    <w:lvl w:ilvl="4">
      <w:start w:val="1"/>
      <w:numFmt w:val="bullet"/>
      <w:lvlText w:val="•"/>
      <w:lvlJc w:val="left"/>
      <w:pPr>
        <w:ind w:left="3696" w:hanging="352"/>
      </w:pPr>
      <w:rPr>
        <w:rFonts w:hint="default"/>
      </w:rPr>
    </w:lvl>
    <w:lvl w:ilvl="5">
      <w:start w:val="1"/>
      <w:numFmt w:val="bullet"/>
      <w:lvlText w:val="•"/>
      <w:lvlJc w:val="left"/>
      <w:pPr>
        <w:ind w:left="4590" w:hanging="352"/>
      </w:pPr>
      <w:rPr>
        <w:rFonts w:hint="default"/>
      </w:rPr>
    </w:lvl>
    <w:lvl w:ilvl="6">
      <w:start w:val="1"/>
      <w:numFmt w:val="bullet"/>
      <w:lvlText w:val="•"/>
      <w:lvlJc w:val="left"/>
      <w:pPr>
        <w:ind w:left="5484" w:hanging="352"/>
      </w:pPr>
      <w:rPr>
        <w:rFonts w:hint="default"/>
      </w:rPr>
    </w:lvl>
    <w:lvl w:ilvl="7">
      <w:start w:val="1"/>
      <w:numFmt w:val="bullet"/>
      <w:lvlText w:val="•"/>
      <w:lvlJc w:val="left"/>
      <w:pPr>
        <w:ind w:left="6378" w:hanging="352"/>
      </w:pPr>
      <w:rPr>
        <w:rFonts w:hint="default"/>
      </w:rPr>
    </w:lvl>
    <w:lvl w:ilvl="8">
      <w:start w:val="1"/>
      <w:numFmt w:val="bullet"/>
      <w:lvlText w:val="•"/>
      <w:lvlJc w:val="left"/>
      <w:pPr>
        <w:ind w:left="7272" w:hanging="352"/>
      </w:pPr>
      <w:rPr>
        <w:rFonts w:hint="default"/>
      </w:rPr>
    </w:lvl>
  </w:abstractNum>
  <w:abstractNum w:abstractNumId="5">
    <w:multiLevelType w:val="hybridMultilevel"/>
    <w:lvl w:ilvl="0">
      <w:start w:val="1"/>
      <w:numFmt w:val="lowerLetter"/>
      <w:lvlText w:val="%1)"/>
      <w:lvlJc w:val="left"/>
      <w:pPr>
        <w:ind w:left="363" w:hanging="247"/>
        <w:jc w:val="left"/>
      </w:pPr>
      <w:rPr>
        <w:rFonts w:hint="default" w:ascii="Times New Roman" w:hAnsi="Times New Roman" w:eastAsia="Times New Roman" w:cs="Times New Roman"/>
        <w:w w:val="100"/>
        <w:sz w:val="24"/>
        <w:szCs w:val="24"/>
      </w:rPr>
    </w:lvl>
    <w:lvl w:ilvl="1">
      <w:start w:val="1"/>
      <w:numFmt w:val="bullet"/>
      <w:lvlText w:val="•"/>
      <w:lvlJc w:val="left"/>
      <w:pPr>
        <w:ind w:left="1230" w:hanging="247"/>
      </w:pPr>
      <w:rPr>
        <w:rFonts w:hint="default"/>
      </w:rPr>
    </w:lvl>
    <w:lvl w:ilvl="2">
      <w:start w:val="1"/>
      <w:numFmt w:val="bullet"/>
      <w:lvlText w:val="•"/>
      <w:lvlJc w:val="left"/>
      <w:pPr>
        <w:ind w:left="2100" w:hanging="247"/>
      </w:pPr>
      <w:rPr>
        <w:rFonts w:hint="default"/>
      </w:rPr>
    </w:lvl>
    <w:lvl w:ilvl="3">
      <w:start w:val="1"/>
      <w:numFmt w:val="bullet"/>
      <w:lvlText w:val="•"/>
      <w:lvlJc w:val="left"/>
      <w:pPr>
        <w:ind w:left="2970" w:hanging="247"/>
      </w:pPr>
      <w:rPr>
        <w:rFonts w:hint="default"/>
      </w:rPr>
    </w:lvl>
    <w:lvl w:ilvl="4">
      <w:start w:val="1"/>
      <w:numFmt w:val="bullet"/>
      <w:lvlText w:val="•"/>
      <w:lvlJc w:val="left"/>
      <w:pPr>
        <w:ind w:left="3840" w:hanging="247"/>
      </w:pPr>
      <w:rPr>
        <w:rFonts w:hint="default"/>
      </w:rPr>
    </w:lvl>
    <w:lvl w:ilvl="5">
      <w:start w:val="1"/>
      <w:numFmt w:val="bullet"/>
      <w:lvlText w:val="•"/>
      <w:lvlJc w:val="left"/>
      <w:pPr>
        <w:ind w:left="4710" w:hanging="247"/>
      </w:pPr>
      <w:rPr>
        <w:rFonts w:hint="default"/>
      </w:rPr>
    </w:lvl>
    <w:lvl w:ilvl="6">
      <w:start w:val="1"/>
      <w:numFmt w:val="bullet"/>
      <w:lvlText w:val="•"/>
      <w:lvlJc w:val="left"/>
      <w:pPr>
        <w:ind w:left="5580" w:hanging="247"/>
      </w:pPr>
      <w:rPr>
        <w:rFonts w:hint="default"/>
      </w:rPr>
    </w:lvl>
    <w:lvl w:ilvl="7">
      <w:start w:val="1"/>
      <w:numFmt w:val="bullet"/>
      <w:lvlText w:val="•"/>
      <w:lvlJc w:val="left"/>
      <w:pPr>
        <w:ind w:left="6450" w:hanging="247"/>
      </w:pPr>
      <w:rPr>
        <w:rFonts w:hint="default"/>
      </w:rPr>
    </w:lvl>
    <w:lvl w:ilvl="8">
      <w:start w:val="1"/>
      <w:numFmt w:val="bullet"/>
      <w:lvlText w:val="•"/>
      <w:lvlJc w:val="left"/>
      <w:pPr>
        <w:ind w:left="7320" w:hanging="247"/>
      </w:pPr>
      <w:rPr>
        <w:rFonts w:hint="default"/>
      </w:rPr>
    </w:lvl>
  </w:abstractNum>
  <w:abstractNum w:abstractNumId="4">
    <w:multiLevelType w:val="hybridMultilevel"/>
    <w:lvl w:ilvl="0">
      <w:start w:val="1"/>
      <w:numFmt w:val="decimal"/>
      <w:lvlText w:val="%1."/>
      <w:lvlJc w:val="left"/>
      <w:pPr>
        <w:ind w:left="356" w:hanging="240"/>
        <w:jc w:val="left"/>
      </w:pPr>
      <w:rPr>
        <w:rFonts w:hint="default" w:ascii="Times New Roman" w:hAnsi="Times New Roman" w:eastAsia="Times New Roman" w:cs="Times New Roman"/>
        <w:w w:val="100"/>
        <w:sz w:val="24"/>
        <w:szCs w:val="24"/>
      </w:rPr>
    </w:lvl>
    <w:lvl w:ilvl="1">
      <w:start w:val="1"/>
      <w:numFmt w:val="bullet"/>
      <w:lvlText w:val="•"/>
      <w:lvlJc w:val="left"/>
      <w:pPr>
        <w:ind w:left="1230" w:hanging="240"/>
      </w:pPr>
      <w:rPr>
        <w:rFonts w:hint="default"/>
      </w:rPr>
    </w:lvl>
    <w:lvl w:ilvl="2">
      <w:start w:val="1"/>
      <w:numFmt w:val="bullet"/>
      <w:lvlText w:val="•"/>
      <w:lvlJc w:val="left"/>
      <w:pPr>
        <w:ind w:left="2100" w:hanging="240"/>
      </w:pPr>
      <w:rPr>
        <w:rFonts w:hint="default"/>
      </w:rPr>
    </w:lvl>
    <w:lvl w:ilvl="3">
      <w:start w:val="1"/>
      <w:numFmt w:val="bullet"/>
      <w:lvlText w:val="•"/>
      <w:lvlJc w:val="left"/>
      <w:pPr>
        <w:ind w:left="2970" w:hanging="240"/>
      </w:pPr>
      <w:rPr>
        <w:rFonts w:hint="default"/>
      </w:rPr>
    </w:lvl>
    <w:lvl w:ilvl="4">
      <w:start w:val="1"/>
      <w:numFmt w:val="bullet"/>
      <w:lvlText w:val="•"/>
      <w:lvlJc w:val="left"/>
      <w:pPr>
        <w:ind w:left="3840" w:hanging="240"/>
      </w:pPr>
      <w:rPr>
        <w:rFonts w:hint="default"/>
      </w:rPr>
    </w:lvl>
    <w:lvl w:ilvl="5">
      <w:start w:val="1"/>
      <w:numFmt w:val="bullet"/>
      <w:lvlText w:val="•"/>
      <w:lvlJc w:val="left"/>
      <w:pPr>
        <w:ind w:left="4710" w:hanging="240"/>
      </w:pPr>
      <w:rPr>
        <w:rFonts w:hint="default"/>
      </w:rPr>
    </w:lvl>
    <w:lvl w:ilvl="6">
      <w:start w:val="1"/>
      <w:numFmt w:val="bullet"/>
      <w:lvlText w:val="•"/>
      <w:lvlJc w:val="left"/>
      <w:pPr>
        <w:ind w:left="5580" w:hanging="240"/>
      </w:pPr>
      <w:rPr>
        <w:rFonts w:hint="default"/>
      </w:rPr>
    </w:lvl>
    <w:lvl w:ilvl="7">
      <w:start w:val="1"/>
      <w:numFmt w:val="bullet"/>
      <w:lvlText w:val="•"/>
      <w:lvlJc w:val="left"/>
      <w:pPr>
        <w:ind w:left="6450" w:hanging="240"/>
      </w:pPr>
      <w:rPr>
        <w:rFonts w:hint="default"/>
      </w:rPr>
    </w:lvl>
    <w:lvl w:ilvl="8">
      <w:start w:val="1"/>
      <w:numFmt w:val="bullet"/>
      <w:lvlText w:val="•"/>
      <w:lvlJc w:val="left"/>
      <w:pPr>
        <w:ind w:left="7320" w:hanging="240"/>
      </w:pPr>
      <w:rPr>
        <w:rFonts w:hint="default"/>
      </w:rPr>
    </w:lvl>
  </w:abstractNum>
  <w:abstractNum w:abstractNumId="3">
    <w:multiLevelType w:val="hybridMultilevel"/>
    <w:lvl w:ilvl="0">
      <w:start w:val="1"/>
      <w:numFmt w:val="upperRoman"/>
      <w:lvlText w:val="%1."/>
      <w:lvlJc w:val="left"/>
      <w:pPr>
        <w:ind w:left="116" w:hanging="278"/>
        <w:jc w:val="right"/>
      </w:pPr>
      <w:rPr>
        <w:rFonts w:hint="default"/>
        <w:spacing w:val="-28"/>
        <w:w w:val="100"/>
      </w:rPr>
    </w:lvl>
    <w:lvl w:ilvl="1">
      <w:start w:val="12"/>
      <w:numFmt w:val="upperRoman"/>
      <w:lvlText w:val="%2."/>
      <w:lvlJc w:val="left"/>
      <w:pPr>
        <w:ind w:left="3545" w:hanging="541"/>
        <w:jc w:val="right"/>
      </w:pPr>
      <w:rPr>
        <w:rFonts w:hint="default" w:ascii="Times New Roman" w:hAnsi="Times New Roman" w:eastAsia="Times New Roman" w:cs="Times New Roman"/>
        <w:b/>
        <w:bCs/>
        <w:w w:val="100"/>
        <w:sz w:val="24"/>
        <w:szCs w:val="24"/>
      </w:rPr>
    </w:lvl>
    <w:lvl w:ilvl="2">
      <w:start w:val="1"/>
      <w:numFmt w:val="bullet"/>
      <w:lvlText w:val="•"/>
      <w:lvlJc w:val="left"/>
      <w:pPr>
        <w:ind w:left="4000" w:hanging="541"/>
      </w:pPr>
      <w:rPr>
        <w:rFonts w:hint="default"/>
      </w:rPr>
    </w:lvl>
    <w:lvl w:ilvl="3">
      <w:start w:val="1"/>
      <w:numFmt w:val="bullet"/>
      <w:lvlText w:val="•"/>
      <w:lvlJc w:val="left"/>
      <w:pPr>
        <w:ind w:left="4632" w:hanging="541"/>
      </w:pPr>
      <w:rPr>
        <w:rFonts w:hint="default"/>
      </w:rPr>
    </w:lvl>
    <w:lvl w:ilvl="4">
      <w:start w:val="1"/>
      <w:numFmt w:val="bullet"/>
      <w:lvlText w:val="•"/>
      <w:lvlJc w:val="left"/>
      <w:pPr>
        <w:ind w:left="5265" w:hanging="541"/>
      </w:pPr>
      <w:rPr>
        <w:rFonts w:hint="default"/>
      </w:rPr>
    </w:lvl>
    <w:lvl w:ilvl="5">
      <w:start w:val="1"/>
      <w:numFmt w:val="bullet"/>
      <w:lvlText w:val="•"/>
      <w:lvlJc w:val="left"/>
      <w:pPr>
        <w:ind w:left="5897" w:hanging="541"/>
      </w:pPr>
      <w:rPr>
        <w:rFonts w:hint="default"/>
      </w:rPr>
    </w:lvl>
    <w:lvl w:ilvl="6">
      <w:start w:val="1"/>
      <w:numFmt w:val="bullet"/>
      <w:lvlText w:val="•"/>
      <w:lvlJc w:val="left"/>
      <w:pPr>
        <w:ind w:left="6530" w:hanging="541"/>
      </w:pPr>
      <w:rPr>
        <w:rFonts w:hint="default"/>
      </w:rPr>
    </w:lvl>
    <w:lvl w:ilvl="7">
      <w:start w:val="1"/>
      <w:numFmt w:val="bullet"/>
      <w:lvlText w:val="•"/>
      <w:lvlJc w:val="left"/>
      <w:pPr>
        <w:ind w:left="7162" w:hanging="541"/>
      </w:pPr>
      <w:rPr>
        <w:rFonts w:hint="default"/>
      </w:rPr>
    </w:lvl>
    <w:lvl w:ilvl="8">
      <w:start w:val="1"/>
      <w:numFmt w:val="bullet"/>
      <w:lvlText w:val="•"/>
      <w:lvlJc w:val="left"/>
      <w:pPr>
        <w:ind w:left="7795" w:hanging="541"/>
      </w:pPr>
      <w:rPr>
        <w:rFonts w:hint="default"/>
      </w:rPr>
    </w:lvl>
  </w:abstractNum>
  <w:abstractNum w:abstractNumId="2">
    <w:multiLevelType w:val="hybridMultilevel"/>
    <w:lvl w:ilvl="0">
      <w:start w:val="1"/>
      <w:numFmt w:val="upperRoman"/>
      <w:lvlText w:val="%1"/>
      <w:lvlJc w:val="left"/>
      <w:pPr>
        <w:ind w:left="510" w:hanging="394"/>
        <w:jc w:val="left"/>
      </w:pPr>
      <w:rPr>
        <w:rFonts w:hint="default"/>
      </w:rPr>
    </w:lvl>
    <w:lvl w:ilvl="1">
      <w:start w:val="1"/>
      <w:numFmt w:val="decimal"/>
      <w:lvlText w:val="%1.%2"/>
      <w:lvlJc w:val="left"/>
      <w:pPr>
        <w:ind w:left="510" w:hanging="394"/>
        <w:jc w:val="left"/>
      </w:pPr>
      <w:rPr>
        <w:rFonts w:hint="default" w:ascii="Times New Roman" w:hAnsi="Times New Roman" w:eastAsia="Times New Roman" w:cs="Times New Roman"/>
        <w:b/>
        <w:bCs/>
        <w:w w:val="100"/>
        <w:sz w:val="24"/>
        <w:szCs w:val="24"/>
      </w:rPr>
    </w:lvl>
    <w:lvl w:ilvl="2">
      <w:start w:val="1"/>
      <w:numFmt w:val="bullet"/>
      <w:lvlText w:val="•"/>
      <w:lvlJc w:val="left"/>
      <w:pPr>
        <w:ind w:left="2228" w:hanging="394"/>
      </w:pPr>
      <w:rPr>
        <w:rFonts w:hint="default"/>
      </w:rPr>
    </w:lvl>
    <w:lvl w:ilvl="3">
      <w:start w:val="1"/>
      <w:numFmt w:val="bullet"/>
      <w:lvlText w:val="•"/>
      <w:lvlJc w:val="left"/>
      <w:pPr>
        <w:ind w:left="3082" w:hanging="394"/>
      </w:pPr>
      <w:rPr>
        <w:rFonts w:hint="default"/>
      </w:rPr>
    </w:lvl>
    <w:lvl w:ilvl="4">
      <w:start w:val="1"/>
      <w:numFmt w:val="bullet"/>
      <w:lvlText w:val="•"/>
      <w:lvlJc w:val="left"/>
      <w:pPr>
        <w:ind w:left="3936" w:hanging="394"/>
      </w:pPr>
      <w:rPr>
        <w:rFonts w:hint="default"/>
      </w:rPr>
    </w:lvl>
    <w:lvl w:ilvl="5">
      <w:start w:val="1"/>
      <w:numFmt w:val="bullet"/>
      <w:lvlText w:val="•"/>
      <w:lvlJc w:val="left"/>
      <w:pPr>
        <w:ind w:left="4790" w:hanging="394"/>
      </w:pPr>
      <w:rPr>
        <w:rFonts w:hint="default"/>
      </w:rPr>
    </w:lvl>
    <w:lvl w:ilvl="6">
      <w:start w:val="1"/>
      <w:numFmt w:val="bullet"/>
      <w:lvlText w:val="•"/>
      <w:lvlJc w:val="left"/>
      <w:pPr>
        <w:ind w:left="5644" w:hanging="394"/>
      </w:pPr>
      <w:rPr>
        <w:rFonts w:hint="default"/>
      </w:rPr>
    </w:lvl>
    <w:lvl w:ilvl="7">
      <w:start w:val="1"/>
      <w:numFmt w:val="bullet"/>
      <w:lvlText w:val="•"/>
      <w:lvlJc w:val="left"/>
      <w:pPr>
        <w:ind w:left="6498" w:hanging="394"/>
      </w:pPr>
      <w:rPr>
        <w:rFonts w:hint="default"/>
      </w:rPr>
    </w:lvl>
    <w:lvl w:ilvl="8">
      <w:start w:val="1"/>
      <w:numFmt w:val="bullet"/>
      <w:lvlText w:val="•"/>
      <w:lvlJc w:val="left"/>
      <w:pPr>
        <w:ind w:left="7352" w:hanging="394"/>
      </w:pPr>
      <w:rPr>
        <w:rFonts w:hint="default"/>
      </w:rPr>
    </w:lvl>
  </w:abstractNum>
  <w:abstractNum w:abstractNumId="1">
    <w:multiLevelType w:val="hybridMultilevel"/>
    <w:lvl w:ilvl="0">
      <w:start w:val="6"/>
      <w:numFmt w:val="upperRoman"/>
      <w:lvlText w:val="%1"/>
      <w:lvlJc w:val="left"/>
      <w:pPr>
        <w:ind w:left="2030" w:hanging="494"/>
        <w:jc w:val="left"/>
      </w:pPr>
      <w:rPr>
        <w:rFonts w:hint="default"/>
      </w:rPr>
    </w:lvl>
    <w:lvl w:ilvl="1">
      <w:start w:val="6"/>
      <w:numFmt w:val="decimal"/>
      <w:lvlText w:val="%1.%2"/>
      <w:lvlJc w:val="left"/>
      <w:pPr>
        <w:ind w:left="2030" w:hanging="494"/>
        <w:jc w:val="left"/>
      </w:pPr>
      <w:rPr>
        <w:rFonts w:hint="default" w:ascii="Times New Roman" w:hAnsi="Times New Roman" w:eastAsia="Times New Roman" w:cs="Times New Roman"/>
        <w:w w:val="100"/>
        <w:sz w:val="24"/>
        <w:szCs w:val="24"/>
      </w:rPr>
    </w:lvl>
    <w:lvl w:ilvl="2">
      <w:start w:val="1"/>
      <w:numFmt w:val="bullet"/>
      <w:lvlText w:val="•"/>
      <w:lvlJc w:val="left"/>
      <w:pPr>
        <w:ind w:left="3416" w:hanging="494"/>
      </w:pPr>
      <w:rPr>
        <w:rFonts w:hint="default"/>
      </w:rPr>
    </w:lvl>
    <w:lvl w:ilvl="3">
      <w:start w:val="1"/>
      <w:numFmt w:val="bullet"/>
      <w:lvlText w:val="•"/>
      <w:lvlJc w:val="left"/>
      <w:pPr>
        <w:ind w:left="4104" w:hanging="494"/>
      </w:pPr>
      <w:rPr>
        <w:rFonts w:hint="default"/>
      </w:rPr>
    </w:lvl>
    <w:lvl w:ilvl="4">
      <w:start w:val="1"/>
      <w:numFmt w:val="bullet"/>
      <w:lvlText w:val="•"/>
      <w:lvlJc w:val="left"/>
      <w:pPr>
        <w:ind w:left="4792" w:hanging="494"/>
      </w:pPr>
      <w:rPr>
        <w:rFonts w:hint="default"/>
      </w:rPr>
    </w:lvl>
    <w:lvl w:ilvl="5">
      <w:start w:val="1"/>
      <w:numFmt w:val="bullet"/>
      <w:lvlText w:val="•"/>
      <w:lvlJc w:val="left"/>
      <w:pPr>
        <w:ind w:left="5480" w:hanging="494"/>
      </w:pPr>
      <w:rPr>
        <w:rFonts w:hint="default"/>
      </w:rPr>
    </w:lvl>
    <w:lvl w:ilvl="6">
      <w:start w:val="1"/>
      <w:numFmt w:val="bullet"/>
      <w:lvlText w:val="•"/>
      <w:lvlJc w:val="left"/>
      <w:pPr>
        <w:ind w:left="6168" w:hanging="494"/>
      </w:pPr>
      <w:rPr>
        <w:rFonts w:hint="default"/>
      </w:rPr>
    </w:lvl>
    <w:lvl w:ilvl="7">
      <w:start w:val="1"/>
      <w:numFmt w:val="bullet"/>
      <w:lvlText w:val="•"/>
      <w:lvlJc w:val="left"/>
      <w:pPr>
        <w:ind w:left="6856" w:hanging="494"/>
      </w:pPr>
      <w:rPr>
        <w:rFonts w:hint="default"/>
      </w:rPr>
    </w:lvl>
    <w:lvl w:ilvl="8">
      <w:start w:val="1"/>
      <w:numFmt w:val="bullet"/>
      <w:lvlText w:val="•"/>
      <w:lvlJc w:val="left"/>
      <w:pPr>
        <w:ind w:left="7544" w:hanging="494"/>
      </w:pPr>
      <w:rPr>
        <w:rFonts w:hint="default"/>
      </w:rPr>
    </w:lvl>
  </w:abstractNum>
  <w:abstractNum w:abstractNumId="0">
    <w:multiLevelType w:val="hybridMultilevel"/>
    <w:lvl w:ilvl="0">
      <w:start w:val="1"/>
      <w:numFmt w:val="upperRoman"/>
      <w:lvlText w:val="%1."/>
      <w:lvlJc w:val="left"/>
      <w:pPr>
        <w:ind w:left="1187" w:hanging="360"/>
        <w:jc w:val="left"/>
      </w:pPr>
      <w:rPr>
        <w:rFonts w:hint="default" w:ascii="Arial" w:hAnsi="Arial" w:eastAsia="Arial" w:cs="Arial"/>
        <w:b/>
        <w:bCs/>
        <w:w w:val="100"/>
        <w:sz w:val="24"/>
        <w:szCs w:val="24"/>
      </w:rPr>
    </w:lvl>
    <w:lvl w:ilvl="1">
      <w:start w:val="1"/>
      <w:numFmt w:val="decimal"/>
      <w:lvlText w:val="%1.%2"/>
      <w:lvlJc w:val="left"/>
      <w:pPr>
        <w:ind w:left="1736" w:hanging="320"/>
        <w:jc w:val="left"/>
      </w:pPr>
      <w:rPr>
        <w:rFonts w:hint="default" w:ascii="Times New Roman" w:hAnsi="Times New Roman" w:eastAsia="Times New Roman" w:cs="Times New Roman"/>
        <w:w w:val="100"/>
        <w:sz w:val="24"/>
        <w:szCs w:val="24"/>
      </w:rPr>
    </w:lvl>
    <w:lvl w:ilvl="2">
      <w:start w:val="1"/>
      <w:numFmt w:val="decimal"/>
      <w:lvlText w:val="%1.%2.%3"/>
      <w:lvlJc w:val="left"/>
      <w:pPr>
        <w:ind w:left="2066" w:hanging="674"/>
        <w:jc w:val="left"/>
      </w:pPr>
      <w:rPr>
        <w:rFonts w:hint="default" w:ascii="Times New Roman" w:hAnsi="Times New Roman" w:eastAsia="Times New Roman" w:cs="Times New Roman"/>
        <w:w w:val="100"/>
        <w:sz w:val="24"/>
        <w:szCs w:val="24"/>
      </w:rPr>
    </w:lvl>
    <w:lvl w:ilvl="3">
      <w:start w:val="1"/>
      <w:numFmt w:val="decimal"/>
      <w:lvlText w:val="%1.%2.%3.%4"/>
      <w:lvlJc w:val="left"/>
      <w:pPr>
        <w:ind w:left="2246" w:hanging="854"/>
        <w:jc w:val="left"/>
      </w:pPr>
      <w:rPr>
        <w:rFonts w:hint="default" w:ascii="Times New Roman" w:hAnsi="Times New Roman" w:eastAsia="Times New Roman" w:cs="Times New Roman"/>
        <w:w w:val="100"/>
        <w:sz w:val="24"/>
        <w:szCs w:val="24"/>
      </w:rPr>
    </w:lvl>
    <w:lvl w:ilvl="4">
      <w:start w:val="1"/>
      <w:numFmt w:val="bullet"/>
      <w:lvlText w:val="•"/>
      <w:lvlJc w:val="left"/>
      <w:pPr>
        <w:ind w:left="1780" w:hanging="854"/>
      </w:pPr>
      <w:rPr>
        <w:rFonts w:hint="default"/>
      </w:rPr>
    </w:lvl>
    <w:lvl w:ilvl="5">
      <w:start w:val="1"/>
      <w:numFmt w:val="bullet"/>
      <w:lvlText w:val="•"/>
      <w:lvlJc w:val="left"/>
      <w:pPr>
        <w:ind w:left="1840" w:hanging="854"/>
      </w:pPr>
      <w:rPr>
        <w:rFonts w:hint="default"/>
      </w:rPr>
    </w:lvl>
    <w:lvl w:ilvl="6">
      <w:start w:val="1"/>
      <w:numFmt w:val="bullet"/>
      <w:lvlText w:val="•"/>
      <w:lvlJc w:val="left"/>
      <w:pPr>
        <w:ind w:left="1860" w:hanging="854"/>
      </w:pPr>
      <w:rPr>
        <w:rFonts w:hint="default"/>
      </w:rPr>
    </w:lvl>
    <w:lvl w:ilvl="7">
      <w:start w:val="1"/>
      <w:numFmt w:val="bullet"/>
      <w:lvlText w:val="•"/>
      <w:lvlJc w:val="left"/>
      <w:pPr>
        <w:ind w:left="1880" w:hanging="854"/>
      </w:pPr>
      <w:rPr>
        <w:rFonts w:hint="default"/>
      </w:rPr>
    </w:lvl>
    <w:lvl w:ilvl="8">
      <w:start w:val="1"/>
      <w:numFmt w:val="bullet"/>
      <w:lvlText w:val="•"/>
      <w:lvlJc w:val="left"/>
      <w:pPr>
        <w:ind w:left="2060" w:hanging="854"/>
      </w:pPr>
      <w:rPr>
        <w:rFonts w:hint="default"/>
      </w:rPr>
    </w:lvl>
  </w:abstract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356"/>
      <w:ind w:left="1187" w:hanging="360"/>
    </w:pPr>
    <w:rPr>
      <w:rFonts w:ascii="Times New Roman" w:hAnsi="Times New Roman" w:eastAsia="Times New Roman" w:cs="Times New Roman"/>
      <w:b/>
      <w:bCs/>
      <w:sz w:val="24"/>
      <w:szCs w:val="24"/>
    </w:rPr>
  </w:style>
  <w:style w:styleId="TOC2" w:type="paragraph">
    <w:name w:val="TOC 2"/>
    <w:basedOn w:val="Normal"/>
    <w:uiPriority w:val="1"/>
    <w:qFormat/>
    <w:pPr>
      <w:spacing w:before="41"/>
      <w:ind w:left="1550" w:hanging="494"/>
    </w:pPr>
    <w:rPr>
      <w:rFonts w:ascii="Times New Roman" w:hAnsi="Times New Roman" w:eastAsia="Times New Roman" w:cs="Times New Roman"/>
      <w:sz w:val="24"/>
      <w:szCs w:val="24"/>
    </w:rPr>
  </w:style>
  <w:style w:styleId="TOC3" w:type="paragraph">
    <w:name w:val="TOC 3"/>
    <w:basedOn w:val="Normal"/>
    <w:uiPriority w:val="1"/>
    <w:qFormat/>
    <w:pPr>
      <w:spacing w:before="41"/>
      <w:ind w:left="1854" w:hanging="667"/>
    </w:pPr>
    <w:rPr>
      <w:rFonts w:ascii="Times New Roman" w:hAnsi="Times New Roman" w:eastAsia="Times New Roman" w:cs="Times New Roman"/>
      <w:sz w:val="24"/>
      <w:szCs w:val="24"/>
    </w:rPr>
  </w:style>
  <w:style w:styleId="TOC4" w:type="paragraph">
    <w:name w:val="TOC 4"/>
    <w:basedOn w:val="Normal"/>
    <w:uiPriority w:val="1"/>
    <w:qFormat/>
    <w:pPr>
      <w:spacing w:before="41"/>
      <w:ind w:left="1787" w:hanging="480"/>
      <w:jc w:val="center"/>
    </w:pPr>
    <w:rPr>
      <w:rFonts w:ascii="Times New Roman" w:hAnsi="Times New Roman" w:eastAsia="Times New Roman" w:cs="Times New Roman"/>
      <w:sz w:val="24"/>
      <w:szCs w:val="24"/>
    </w:rPr>
  </w:style>
  <w:style w:styleId="TOC5" w:type="paragraph">
    <w:name w:val="TOC 5"/>
    <w:basedOn w:val="Normal"/>
    <w:uiPriority w:val="1"/>
    <w:qFormat/>
    <w:pPr>
      <w:spacing w:before="41"/>
      <w:ind w:left="1736" w:hanging="320"/>
    </w:pPr>
    <w:rPr>
      <w:rFonts w:ascii="Times New Roman" w:hAnsi="Times New Roman" w:eastAsia="Times New Roman" w:cs="Times New Roman"/>
      <w:sz w:val="24"/>
      <w:szCs w:val="24"/>
    </w:rPr>
  </w:style>
  <w:style w:styleId="TOC6" w:type="paragraph">
    <w:name w:val="TOC 6"/>
    <w:basedOn w:val="Normal"/>
    <w:uiPriority w:val="1"/>
    <w:qFormat/>
    <w:pPr>
      <w:spacing w:before="41"/>
      <w:ind w:left="1981" w:hanging="674"/>
    </w:pPr>
    <w:rPr>
      <w:rFonts w:ascii="Times New Roman" w:hAnsi="Times New Roman" w:eastAsia="Times New Roman" w:cs="Times New Roman"/>
      <w:sz w:val="24"/>
      <w:szCs w:val="24"/>
    </w:rPr>
  </w:style>
  <w:style w:styleId="TOC7" w:type="paragraph">
    <w:name w:val="TOC 7"/>
    <w:basedOn w:val="Normal"/>
    <w:uiPriority w:val="1"/>
    <w:qFormat/>
    <w:pPr>
      <w:spacing w:before="41"/>
      <w:ind w:left="2210" w:hanging="674"/>
    </w:pPr>
    <w:rPr>
      <w:rFonts w:ascii="Times New Roman" w:hAnsi="Times New Roman" w:eastAsia="Times New Roman" w:cs="Times New Roman"/>
      <w:sz w:val="24"/>
      <w:szCs w:val="24"/>
    </w:rPr>
  </w:style>
  <w:style w:styleId="TOC8" w:type="paragraph">
    <w:name w:val="TOC 8"/>
    <w:basedOn w:val="Normal"/>
    <w:uiPriority w:val="1"/>
    <w:qFormat/>
    <w:pPr>
      <w:spacing w:before="247"/>
      <w:ind w:left="3732"/>
    </w:pPr>
    <w:rPr>
      <w:rFonts w:ascii="Times New Roman" w:hAnsi="Times New Roman" w:eastAsia="Times New Roman" w:cs="Times New Roman"/>
      <w:b/>
      <w:bCs/>
      <w:sz w:val="24"/>
      <w:szCs w:val="24"/>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ind w:left="116"/>
      <w:outlineLvl w:val="1"/>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116"/>
    </w:pPr>
    <w:rPr>
      <w:rFonts w:ascii="Times New Roman" w:hAnsi="Times New Roman" w:eastAsia="Times New Roman" w:cs="Times New Roman"/>
    </w:rPr>
  </w:style>
  <w:style w:styleId="TableParagraph" w:type="paragraph">
    <w:name w:val="Table Paragraph"/>
    <w:basedOn w:val="Normal"/>
    <w:uiPriority w:val="1"/>
    <w:qFormat/>
    <w:pPr>
      <w:ind w:left="103"/>
      <w:jc w:val="center"/>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jpeg"/><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footer" Target="footer5.xml"/><Relationship Id="rId11" Type="http://schemas.openxmlformats.org/officeDocument/2006/relationships/footer" Target="footer6.xml"/><Relationship Id="rId12" Type="http://schemas.openxmlformats.org/officeDocument/2006/relationships/image" Target="media/image2.png"/><Relationship Id="rId13" Type="http://schemas.openxmlformats.org/officeDocument/2006/relationships/footer" Target="footer7.xml"/><Relationship Id="rId14" Type="http://schemas.openxmlformats.org/officeDocument/2006/relationships/image" Target="media/image3.png"/><Relationship Id="rId15" Type="http://schemas.openxmlformats.org/officeDocument/2006/relationships/image" Target="media/image4.png"/><Relationship Id="rId16" Type="http://schemas.openxmlformats.org/officeDocument/2006/relationships/footer" Target="footer8.xml"/><Relationship Id="rId17" Type="http://schemas.openxmlformats.org/officeDocument/2006/relationships/image" Target="media/image5.png"/><Relationship Id="rId18" Type="http://schemas.openxmlformats.org/officeDocument/2006/relationships/image" Target="media/image6.png"/><Relationship Id="rId19" Type="http://schemas.openxmlformats.org/officeDocument/2006/relationships/image" Target="media/image7.png"/><Relationship Id="rId20" Type="http://schemas.openxmlformats.org/officeDocument/2006/relationships/image" Target="media/image8.png"/><Relationship Id="rId21" Type="http://schemas.openxmlformats.org/officeDocument/2006/relationships/image" Target="media/image9.png"/><Relationship Id="rId22" Type="http://schemas.openxmlformats.org/officeDocument/2006/relationships/image" Target="media/image10.png"/><Relationship Id="rId23" Type="http://schemas.openxmlformats.org/officeDocument/2006/relationships/image" Target="media/image11.png"/><Relationship Id="rId24" Type="http://schemas.openxmlformats.org/officeDocument/2006/relationships/image" Target="media/image12.png"/><Relationship Id="rId25" Type="http://schemas.openxmlformats.org/officeDocument/2006/relationships/image" Target="media/image13.png"/><Relationship Id="rId26" Type="http://schemas.openxmlformats.org/officeDocument/2006/relationships/footer" Target="footer9.xml"/><Relationship Id="rId27" Type="http://schemas.openxmlformats.org/officeDocument/2006/relationships/image" Target="media/image14.png"/><Relationship Id="rId28" Type="http://schemas.openxmlformats.org/officeDocument/2006/relationships/image" Target="media/image15.png"/><Relationship Id="rId29" Type="http://schemas.openxmlformats.org/officeDocument/2006/relationships/image" Target="media/image16.png"/><Relationship Id="rId30" Type="http://schemas.openxmlformats.org/officeDocument/2006/relationships/footer" Target="footer10.xml"/><Relationship Id="rId31" Type="http://schemas.openxmlformats.org/officeDocument/2006/relationships/image" Target="media/image17.png"/><Relationship Id="rId32" Type="http://schemas.openxmlformats.org/officeDocument/2006/relationships/image" Target="media/image18.png"/><Relationship Id="rId33" Type="http://schemas.openxmlformats.org/officeDocument/2006/relationships/footer" Target="footer11.xml"/><Relationship Id="rId34" Type="http://schemas.openxmlformats.org/officeDocument/2006/relationships/image" Target="media/image19.png"/><Relationship Id="rId35" Type="http://schemas.openxmlformats.org/officeDocument/2006/relationships/image" Target="media/image20.png"/><Relationship Id="rId36" Type="http://schemas.openxmlformats.org/officeDocument/2006/relationships/image" Target="media/image21.png"/><Relationship Id="rId37" Type="http://schemas.openxmlformats.org/officeDocument/2006/relationships/image" Target="media/image22.png"/><Relationship Id="rId38" Type="http://schemas.openxmlformats.org/officeDocument/2006/relationships/image" Target="media/image23.png"/><Relationship Id="rId39" Type="http://schemas.openxmlformats.org/officeDocument/2006/relationships/image" Target="media/image24.png"/><Relationship Id="rId40" Type="http://schemas.openxmlformats.org/officeDocument/2006/relationships/image" Target="media/image25.png"/><Relationship Id="rId41" Type="http://schemas.openxmlformats.org/officeDocument/2006/relationships/image" Target="media/image26.png"/><Relationship Id="rId42" Type="http://schemas.openxmlformats.org/officeDocument/2006/relationships/image" Target="media/image27.png"/><Relationship Id="rId43" Type="http://schemas.openxmlformats.org/officeDocument/2006/relationships/footer" Target="footer12.xml"/><Relationship Id="rId44" Type="http://schemas.openxmlformats.org/officeDocument/2006/relationships/image" Target="media/image28.png"/><Relationship Id="rId45" Type="http://schemas.openxmlformats.org/officeDocument/2006/relationships/image" Target="media/image29.png"/><Relationship Id="rId46" Type="http://schemas.openxmlformats.org/officeDocument/2006/relationships/image" Target="media/image30.png"/><Relationship Id="rId47" Type="http://schemas.openxmlformats.org/officeDocument/2006/relationships/footer" Target="footer13.xml"/><Relationship Id="rId48" Type="http://schemas.openxmlformats.org/officeDocument/2006/relationships/image" Target="media/image31.png"/><Relationship Id="rId49" Type="http://schemas.openxmlformats.org/officeDocument/2006/relationships/image" Target="media/image32.png"/><Relationship Id="rId50" Type="http://schemas.openxmlformats.org/officeDocument/2006/relationships/image" Target="media/image33.png"/><Relationship Id="rId51" Type="http://schemas.openxmlformats.org/officeDocument/2006/relationships/image" Target="media/image34.png"/><Relationship Id="rId52" Type="http://schemas.openxmlformats.org/officeDocument/2006/relationships/image" Target="media/image35.png"/><Relationship Id="rId53" Type="http://schemas.openxmlformats.org/officeDocument/2006/relationships/image" Target="media/image36.png"/><Relationship Id="rId54" Type="http://schemas.openxmlformats.org/officeDocument/2006/relationships/image" Target="media/image37.png"/><Relationship Id="rId55" Type="http://schemas.openxmlformats.org/officeDocument/2006/relationships/image" Target="media/image38.png"/><Relationship Id="rId56" Type="http://schemas.openxmlformats.org/officeDocument/2006/relationships/footer" Target="footer14.xml"/><Relationship Id="rId57" Type="http://schemas.openxmlformats.org/officeDocument/2006/relationships/hyperlink" Target="http://www.fehad.org/valhad/pn000.html" TargetMode="External"/><Relationship Id="rId58" Type="http://schemas.openxmlformats.org/officeDocument/2006/relationships/hyperlink" Target="http://www.psicolatino.com/" TargetMode="External"/><Relationship Id="rId59" Type="http://schemas.openxmlformats.org/officeDocument/2006/relationships/hyperlink" Target="http://www.thelancet.com/journal/vol335/iss9212/abs/llan.335.9212.original_research.1" TargetMode="External"/><Relationship Id="rId60" Type="http://schemas.openxmlformats.org/officeDocument/2006/relationships/hyperlink" Target="http://www.ncbi.nlm.nih.gov/entrez/query.fcgi?cmd=Retrieve&amp;amp;db=PubMed&amp;amp;list_uids" TargetMode="External"/><Relationship Id="rId61" Type="http://schemas.openxmlformats.org/officeDocument/2006/relationships/hyperlink" Target="http://consulta.cuba.cu/consultas.php" TargetMode="External"/><Relationship Id="rId62" Type="http://schemas.openxmlformats.org/officeDocument/2006/relationships/hyperlink" Target="http://www2.ajkd.org/scripts/om.dll/serve?article=aajkd50121&amp;amp;nav=abs" TargetMode="External"/><Relationship Id="rId63" Type="http://schemas.openxmlformats.org/officeDocument/2006/relationships/footer" Target="footer15.xml"/><Relationship Id="rId64" Type="http://schemas.openxmlformats.org/officeDocument/2006/relationships/image" Target="media/image39.png"/><Relationship Id="rId65" Type="http://schemas.openxmlformats.org/officeDocument/2006/relationships/hyperlink" Target="mailto:comision.etica@imss.gob.mx" TargetMode="External"/><Relationship Id="rId66" Type="http://schemas.openxmlformats.org/officeDocument/2006/relationships/footer" Target="footer16.xml"/><Relationship Id="rId67" Type="http://schemas.openxmlformats.org/officeDocument/2006/relationships/image" Target="media/image40.jpeg"/><Relationship Id="rId68" Type="http://schemas.openxmlformats.org/officeDocument/2006/relationships/image" Target="media/image41.jpeg"/><Relationship Id="rId69" Type="http://schemas.openxmlformats.org/officeDocument/2006/relationships/image" Target="media/image42.jpeg"/><Relationship Id="rId7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2017-05-17T19:30:52Z</dcterms:created>
  <dcterms:modified xsi:type="dcterms:W3CDTF">2017-05-17T19:30:52Z</dcterms:modified>
</cp:coreProperties>
</file>