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8"/>
        </w:rPr>
      </w:pPr>
    </w:p>
    <w:p>
      <w:pPr>
        <w:pStyle w:val="Heading1"/>
        <w:spacing w:line="242" w:lineRule="auto" w:before="78"/>
        <w:ind w:left="1817" w:right="1134"/>
        <w:jc w:val="center"/>
      </w:pPr>
      <w:r>
        <w:rPr>
          <w:color w:val="231F20"/>
        </w:rPr>
        <w:t>UNIVERSIDAD AUTÓNOMA DEL ESTADO DE MÉXICO FACULTAD DE MEDICINA</w:t>
      </w:r>
    </w:p>
    <w:p>
      <w:pPr>
        <w:spacing w:line="242" w:lineRule="auto" w:before="0"/>
        <w:ind w:left="1114" w:right="432" w:firstLine="0"/>
        <w:jc w:val="center"/>
        <w:rPr>
          <w:b/>
          <w:sz w:val="19"/>
        </w:rPr>
      </w:pPr>
      <w:r>
        <w:rPr>
          <w:b/>
          <w:color w:val="231F20"/>
          <w:sz w:val="19"/>
        </w:rPr>
        <w:t>COORDINACIÓN DE INVESTIGACIÓN Y ESTUDIOS AVANZADOS DEPARTAMENTO DE ESTUDIOS AVANZADOS</w:t>
      </w:r>
    </w:p>
    <w:p>
      <w:pPr>
        <w:spacing w:line="242" w:lineRule="auto" w:before="0"/>
        <w:ind w:left="1819" w:right="1134" w:firstLine="0"/>
        <w:jc w:val="center"/>
        <w:rPr>
          <w:b/>
          <w:sz w:val="19"/>
        </w:rPr>
      </w:pPr>
      <w:r>
        <w:rPr>
          <w:b/>
          <w:color w:val="231F20"/>
          <w:sz w:val="19"/>
        </w:rPr>
        <w:t>COORDINACIÓN DE LA ESPECIALIDAD EN MEDICINA INTERNA DEPARTAMENTO DE EVALUACIÓN PROFESIONAL</w:t>
      </w:r>
    </w:p>
    <w:p>
      <w:pPr>
        <w:pStyle w:val="BodyText"/>
        <w:spacing w:before="11"/>
        <w:rPr>
          <w:b/>
          <w:sz w:val="15"/>
        </w:rPr>
      </w:pPr>
      <w:r>
        <w:rPr/>
        <w:drawing>
          <wp:anchor distT="0" distB="0" distL="0" distR="0" allowOverlap="1" layoutInCell="1" locked="0" behindDoc="0" simplePos="0" relativeHeight="0">
            <wp:simplePos x="0" y="0"/>
            <wp:positionH relativeFrom="page">
              <wp:posOffset>2905963</wp:posOffset>
            </wp:positionH>
            <wp:positionV relativeFrom="paragraph">
              <wp:posOffset>141543</wp:posOffset>
            </wp:positionV>
            <wp:extent cx="2364977" cy="1734216"/>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2364977" cy="1734216"/>
                    </a:xfrm>
                    <a:prstGeom prst="rect">
                      <a:avLst/>
                    </a:prstGeom>
                  </pic:spPr>
                </pic:pic>
              </a:graphicData>
            </a:graphic>
          </wp:anchor>
        </w:drawing>
      </w:r>
    </w:p>
    <w:p>
      <w:pPr>
        <w:spacing w:line="278" w:lineRule="auto" w:before="13"/>
        <w:ind w:left="1019" w:right="1021" w:firstLine="0"/>
        <w:jc w:val="center"/>
        <w:rPr>
          <w:b/>
          <w:sz w:val="19"/>
        </w:rPr>
      </w:pPr>
      <w:r>
        <w:rPr>
          <w:b/>
          <w:color w:val="231F20"/>
          <w:w w:val="101"/>
          <w:sz w:val="19"/>
          <w:u w:val="single" w:color="231F20"/>
        </w:rPr>
        <w:t> </w:t>
      </w:r>
      <w:r>
        <w:rPr>
          <w:b/>
          <w:color w:val="231F20"/>
          <w:sz w:val="19"/>
          <w:u w:val="single" w:color="231F20"/>
        </w:rPr>
        <w:t>“PERITONITIS ASOCIADA A DIÁLISIS PERITONEAL, FRECUENCIA EN EL SERVICIO DE MEDICINA INTERNA DEL HOSPITAL GENERAL DE TLALNEPANTLA EN EL AÑO 2011”</w:t>
      </w:r>
    </w:p>
    <w:p>
      <w:pPr>
        <w:pStyle w:val="BodyText"/>
        <w:spacing w:before="4"/>
        <w:rPr>
          <w:b/>
          <w:sz w:val="12"/>
        </w:rPr>
      </w:pPr>
    </w:p>
    <w:p>
      <w:pPr>
        <w:spacing w:line="242" w:lineRule="auto" w:before="78"/>
        <w:ind w:left="2509" w:right="1827" w:firstLine="0"/>
        <w:jc w:val="center"/>
        <w:rPr>
          <w:b/>
          <w:sz w:val="19"/>
        </w:rPr>
      </w:pPr>
      <w:r>
        <w:rPr>
          <w:b/>
          <w:color w:val="231F20"/>
          <w:sz w:val="19"/>
        </w:rPr>
        <w:t>INSTITUTO DE SALUD DEL ESTADO DE MÉXICO HOSPITAL GENERAL DE TLALNEPANTLA “VALLE CEYLÁN”</w:t>
      </w:r>
    </w:p>
    <w:p>
      <w:pPr>
        <w:pStyle w:val="BodyText"/>
        <w:spacing w:before="2"/>
        <w:rPr>
          <w:b/>
        </w:rPr>
      </w:pPr>
    </w:p>
    <w:p>
      <w:pPr>
        <w:spacing w:before="0"/>
        <w:ind w:left="1817" w:right="1134" w:firstLine="0"/>
        <w:jc w:val="center"/>
        <w:rPr>
          <w:b/>
          <w:sz w:val="19"/>
        </w:rPr>
      </w:pPr>
      <w:r>
        <w:rPr>
          <w:b/>
          <w:color w:val="231F20"/>
          <w:sz w:val="19"/>
        </w:rPr>
        <w:t>TESIS</w:t>
      </w:r>
    </w:p>
    <w:p>
      <w:pPr>
        <w:spacing w:line="242" w:lineRule="auto" w:before="2"/>
        <w:ind w:left="2377" w:right="1695" w:firstLine="0"/>
        <w:jc w:val="center"/>
        <w:rPr>
          <w:b/>
          <w:sz w:val="19"/>
        </w:rPr>
      </w:pPr>
      <w:r>
        <w:rPr>
          <w:b/>
          <w:color w:val="231F20"/>
          <w:sz w:val="19"/>
        </w:rPr>
        <w:t>QUE PARA OBTENER EL DIPLOMA DE POSGRADO EN LA  ESPECIALIDAD EN MEDICINA INTERNA</w:t>
      </w:r>
    </w:p>
    <w:p>
      <w:pPr>
        <w:pStyle w:val="BodyText"/>
        <w:spacing w:before="2"/>
        <w:rPr>
          <w:b/>
        </w:rPr>
      </w:pPr>
    </w:p>
    <w:p>
      <w:pPr>
        <w:spacing w:before="0"/>
        <w:ind w:left="1811" w:right="1134" w:firstLine="0"/>
        <w:jc w:val="center"/>
        <w:rPr>
          <w:b/>
          <w:sz w:val="19"/>
        </w:rPr>
      </w:pPr>
      <w:r>
        <w:rPr>
          <w:b/>
          <w:color w:val="231F20"/>
          <w:sz w:val="19"/>
        </w:rPr>
        <w:t>PRESENTA:</w:t>
      </w:r>
    </w:p>
    <w:p>
      <w:pPr>
        <w:spacing w:line="484" w:lineRule="auto" w:before="2"/>
        <w:ind w:left="3744" w:right="858" w:hanging="1282"/>
        <w:jc w:val="left"/>
        <w:rPr>
          <w:b/>
          <w:sz w:val="19"/>
        </w:rPr>
      </w:pPr>
      <w:r>
        <w:rPr>
          <w:b/>
          <w:color w:val="231F20"/>
          <w:sz w:val="19"/>
        </w:rPr>
        <w:t>M. C. VÍCTOR MANUEL DOMÍNGUEZ DE LA CRUZ DIRECTOR DE TESIS:</w:t>
      </w:r>
    </w:p>
    <w:p>
      <w:pPr>
        <w:spacing w:before="7"/>
        <w:ind w:left="1902" w:right="858" w:firstLine="0"/>
        <w:jc w:val="left"/>
        <w:rPr>
          <w:b/>
          <w:sz w:val="19"/>
        </w:rPr>
      </w:pPr>
      <w:r>
        <w:rPr>
          <w:b/>
          <w:color w:val="231F20"/>
          <w:sz w:val="19"/>
        </w:rPr>
        <w:t>E. EN M.I. DR MIGUEL ÁNGEL SOBERANES LÓPEZ  E. EN M.I.</w:t>
      </w:r>
    </w:p>
    <w:p>
      <w:pPr>
        <w:pStyle w:val="BodyText"/>
        <w:spacing w:before="4"/>
        <w:rPr>
          <w:b/>
        </w:rPr>
      </w:pPr>
    </w:p>
    <w:p>
      <w:pPr>
        <w:spacing w:before="0"/>
        <w:ind w:left="1817" w:right="1134" w:firstLine="0"/>
        <w:jc w:val="center"/>
        <w:rPr>
          <w:b/>
          <w:sz w:val="19"/>
        </w:rPr>
      </w:pPr>
      <w:r>
        <w:rPr>
          <w:b/>
          <w:color w:val="231F20"/>
          <w:sz w:val="19"/>
        </w:rPr>
        <w:t>REVISORES:</w:t>
      </w:r>
    </w:p>
    <w:p>
      <w:pPr>
        <w:spacing w:before="2"/>
        <w:ind w:left="2991" w:right="858" w:firstLine="0"/>
        <w:jc w:val="left"/>
        <w:rPr>
          <w:b/>
          <w:sz w:val="19"/>
        </w:rPr>
      </w:pPr>
      <w:r>
        <w:rPr>
          <w:b/>
          <w:color w:val="231F20"/>
          <w:sz w:val="19"/>
        </w:rPr>
        <w:t>M. EN I.C. HÉCTOR L. OCAÑA SERVIN</w:t>
      </w:r>
    </w:p>
    <w:p>
      <w:pPr>
        <w:spacing w:before="2"/>
        <w:ind w:left="2376" w:right="858" w:firstLine="0"/>
        <w:jc w:val="left"/>
        <w:rPr>
          <w:b/>
          <w:sz w:val="19"/>
        </w:rPr>
      </w:pPr>
      <w:r>
        <w:rPr>
          <w:b/>
          <w:color w:val="231F20"/>
          <w:sz w:val="19"/>
        </w:rPr>
        <w:t>E. EN M.I. LIGIA DEL SOCORRO GARCÍA CÁCERES</w:t>
      </w:r>
    </w:p>
    <w:p>
      <w:pPr>
        <w:spacing w:before="2"/>
        <w:ind w:left="3018" w:right="858" w:firstLine="0"/>
        <w:jc w:val="left"/>
        <w:rPr>
          <w:b/>
          <w:sz w:val="19"/>
        </w:rPr>
      </w:pPr>
      <w:r>
        <w:rPr>
          <w:b/>
          <w:color w:val="231F20"/>
          <w:sz w:val="19"/>
        </w:rPr>
        <w:t>E. EN M.I. ALFREDO CABRAL CASAS</w:t>
      </w:r>
    </w:p>
    <w:p>
      <w:pPr>
        <w:pStyle w:val="BodyText"/>
        <w:rPr>
          <w:b/>
          <w:sz w:val="18"/>
        </w:rPr>
      </w:pPr>
    </w:p>
    <w:p>
      <w:pPr>
        <w:pStyle w:val="BodyText"/>
        <w:rPr>
          <w:b/>
          <w:sz w:val="18"/>
        </w:rPr>
      </w:pPr>
    </w:p>
    <w:p>
      <w:pPr>
        <w:pStyle w:val="BodyText"/>
        <w:spacing w:before="9"/>
        <w:rPr>
          <w:b/>
          <w:sz w:val="21"/>
        </w:rPr>
      </w:pPr>
    </w:p>
    <w:p>
      <w:pPr>
        <w:spacing w:before="0"/>
        <w:ind w:left="4617" w:right="858" w:firstLine="0"/>
        <w:jc w:val="left"/>
        <w:rPr>
          <w:b/>
          <w:sz w:val="19"/>
        </w:rPr>
      </w:pPr>
      <w:r>
        <w:rPr>
          <w:b/>
          <w:color w:val="231F20"/>
          <w:sz w:val="19"/>
        </w:rPr>
        <w:t>TOLUCA, ESTADO DE MÉXICO 2013</w:t>
      </w:r>
    </w:p>
    <w:p>
      <w:pPr>
        <w:spacing w:after="0"/>
        <w:jc w:val="left"/>
        <w:rPr>
          <w:sz w:val="19"/>
        </w:rPr>
        <w:sectPr>
          <w:type w:val="continuous"/>
          <w:pgSz w:w="12240" w:h="15840"/>
          <w:pgMar w:top="1500" w:bottom="280" w:left="172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rPr>
      </w:pPr>
    </w:p>
    <w:p>
      <w:pPr>
        <w:pStyle w:val="Heading1"/>
        <w:spacing w:before="77"/>
        <w:ind w:left="3930" w:right="858"/>
        <w:rPr>
          <w:rFonts w:ascii="Times New Roman" w:hAnsi="Times New Roman"/>
        </w:rPr>
      </w:pPr>
      <w:r>
        <w:rPr>
          <w:rFonts w:ascii="Times New Roman" w:hAnsi="Times New Roman"/>
          <w:color w:val="231F20"/>
        </w:rPr>
        <w:t>II. ÍNDICE</w:t>
      </w:r>
    </w:p>
    <w:p>
      <w:pPr>
        <w:pStyle w:val="BodyText"/>
        <w:rPr>
          <w:rFonts w:ascii="Times New Roman"/>
          <w:b/>
          <w:sz w:val="18"/>
        </w:rPr>
      </w:pPr>
    </w:p>
    <w:p>
      <w:pPr>
        <w:pStyle w:val="BodyText"/>
        <w:spacing w:before="7"/>
        <w:rPr>
          <w:rFonts w:ascii="Times New Roman"/>
          <w:b/>
          <w:sz w:val="20"/>
        </w:rPr>
      </w:pPr>
    </w:p>
    <w:p>
      <w:pPr>
        <w:pStyle w:val="ListParagraph"/>
        <w:numPr>
          <w:ilvl w:val="0"/>
          <w:numId w:val="1"/>
        </w:numPr>
        <w:tabs>
          <w:tab w:pos="1037" w:val="left" w:leader="none"/>
        </w:tabs>
        <w:spacing w:line="240" w:lineRule="auto" w:before="0" w:after="0"/>
        <w:ind w:left="1036" w:right="0" w:hanging="171"/>
        <w:jc w:val="left"/>
        <w:rPr>
          <w:rFonts w:ascii="Times New Roman"/>
          <w:b/>
          <w:sz w:val="19"/>
        </w:rPr>
      </w:pPr>
      <w:r>
        <w:rPr>
          <w:rFonts w:ascii="Times New Roman"/>
          <w:b/>
          <w:color w:val="231F20"/>
          <w:sz w:val="19"/>
        </w:rPr>
        <w:t>PORTADA</w:t>
      </w:r>
    </w:p>
    <w:p>
      <w:pPr>
        <w:pStyle w:val="ListParagraph"/>
        <w:numPr>
          <w:ilvl w:val="0"/>
          <w:numId w:val="1"/>
        </w:numPr>
        <w:tabs>
          <w:tab w:pos="1112" w:val="left" w:leader="none"/>
        </w:tabs>
        <w:spacing w:line="240" w:lineRule="auto" w:before="113" w:after="0"/>
        <w:ind w:left="1111" w:right="0" w:hanging="246"/>
        <w:jc w:val="left"/>
        <w:rPr>
          <w:rFonts w:ascii="Times New Roman" w:hAnsi="Times New Roman"/>
          <w:b/>
          <w:sz w:val="19"/>
        </w:rPr>
      </w:pPr>
      <w:r>
        <w:rPr>
          <w:rFonts w:ascii="Times New Roman" w:hAnsi="Times New Roman"/>
          <w:b/>
          <w:color w:val="231F20"/>
          <w:sz w:val="19"/>
        </w:rPr>
        <w:t>ÍNDICE</w:t>
      </w:r>
    </w:p>
    <w:sdt>
      <w:sdtPr>
        <w:docPartObj>
          <w:docPartGallery w:val="Table of Contents"/>
          <w:docPartUnique/>
        </w:docPartObj>
      </w:sdtPr>
      <w:sdtEndPr/>
      <w:sdtContent>
        <w:p>
          <w:pPr>
            <w:pStyle w:val="TOC1"/>
            <w:tabs>
              <w:tab w:pos="7763" w:val="left" w:leader="none"/>
            </w:tabs>
            <w:ind w:left="865" w:right="858" w:firstLine="0"/>
          </w:pPr>
          <w:hyperlink w:history="true" w:anchor="_TOC_250000">
            <w:r>
              <w:rPr>
                <w:color w:val="231F20"/>
              </w:rPr>
              <w:t>III</w:t>
            </w:r>
            <w:r>
              <w:rPr>
                <w:color w:val="231F20"/>
                <w:spacing w:val="3"/>
              </w:rPr>
              <w:t> </w:t>
            </w:r>
            <w:r>
              <w:rPr>
                <w:color w:val="231F20"/>
              </w:rPr>
              <w:t>RESUMEN</w:t>
              <w:tab/>
              <w:t>2</w:t>
            </w:r>
          </w:hyperlink>
        </w:p>
        <w:p>
          <w:pPr>
            <w:pStyle w:val="TOC1"/>
            <w:numPr>
              <w:ilvl w:val="0"/>
              <w:numId w:val="2"/>
            </w:numPr>
            <w:tabs>
              <w:tab w:pos="1223" w:val="left" w:leader="none"/>
              <w:tab w:pos="7759" w:val="left" w:leader="none"/>
            </w:tabs>
            <w:spacing w:line="240" w:lineRule="auto" w:before="113" w:after="0"/>
            <w:ind w:left="1222" w:right="0" w:hanging="357"/>
            <w:jc w:val="left"/>
          </w:pPr>
          <w:r>
            <w:rPr>
              <w:color w:val="231F20"/>
            </w:rPr>
            <w:t>MARCO</w:t>
          </w:r>
          <w:r>
            <w:rPr>
              <w:color w:val="231F20"/>
              <w:spacing w:val="6"/>
            </w:rPr>
            <w:t> </w:t>
          </w:r>
          <w:r>
            <w:rPr>
              <w:color w:val="231F20"/>
            </w:rPr>
            <w:t>TEÓRICO</w:t>
            <w:tab/>
            <w:t>4</w:t>
          </w:r>
        </w:p>
        <w:p>
          <w:pPr>
            <w:pStyle w:val="TOC1"/>
            <w:numPr>
              <w:ilvl w:val="0"/>
              <w:numId w:val="2"/>
            </w:numPr>
            <w:tabs>
              <w:tab w:pos="1101" w:val="left" w:leader="none"/>
              <w:tab w:pos="7711" w:val="left" w:leader="none"/>
            </w:tabs>
            <w:spacing w:line="240" w:lineRule="auto" w:before="111" w:after="0"/>
            <w:ind w:left="1100" w:right="0" w:hanging="235"/>
            <w:jc w:val="left"/>
          </w:pPr>
          <w:r>
            <w:rPr>
              <w:color w:val="231F20"/>
            </w:rPr>
            <w:t>PLANTEAMIENTO</w:t>
          </w:r>
          <w:r>
            <w:rPr>
              <w:color w:val="231F20"/>
              <w:spacing w:val="10"/>
            </w:rPr>
            <w:t> </w:t>
          </w:r>
          <w:r>
            <w:rPr>
              <w:color w:val="231F20"/>
            </w:rPr>
            <w:t>DEL</w:t>
          </w:r>
          <w:r>
            <w:rPr>
              <w:color w:val="231F20"/>
              <w:spacing w:val="10"/>
            </w:rPr>
            <w:t> </w:t>
          </w:r>
          <w:r>
            <w:rPr>
              <w:color w:val="231F20"/>
            </w:rPr>
            <w:t>PROBLEMA</w:t>
            <w:tab/>
            <w:t>20</w:t>
          </w:r>
        </w:p>
        <w:p>
          <w:pPr>
            <w:pStyle w:val="TOC1"/>
            <w:numPr>
              <w:ilvl w:val="0"/>
              <w:numId w:val="2"/>
            </w:numPr>
            <w:tabs>
              <w:tab w:pos="1175" w:val="left" w:leader="none"/>
              <w:tab w:pos="7711" w:val="left" w:leader="none"/>
            </w:tabs>
            <w:spacing w:line="240" w:lineRule="auto" w:before="113" w:after="0"/>
            <w:ind w:left="1174" w:right="0" w:hanging="309"/>
            <w:jc w:val="left"/>
          </w:pPr>
          <w:r>
            <w:rPr>
              <w:color w:val="231F20"/>
            </w:rPr>
            <w:t>JUSTIFICACIÓN</w:t>
            <w:tab/>
            <w:t>22</w:t>
          </w:r>
        </w:p>
        <w:p>
          <w:pPr>
            <w:pStyle w:val="TOC1"/>
            <w:numPr>
              <w:ilvl w:val="0"/>
              <w:numId w:val="2"/>
            </w:numPr>
            <w:tabs>
              <w:tab w:pos="1250" w:val="left" w:leader="none"/>
              <w:tab w:pos="7720" w:val="left" w:leader="none"/>
            </w:tabs>
            <w:spacing w:line="240" w:lineRule="auto" w:before="111" w:after="0"/>
            <w:ind w:left="1249" w:right="0" w:hanging="384"/>
            <w:jc w:val="left"/>
          </w:pPr>
          <w:r>
            <w:rPr>
              <w:color w:val="231F20"/>
            </w:rPr>
            <w:t>OBJETIVOS</w:t>
            <w:tab/>
            <w:t>23</w:t>
          </w:r>
        </w:p>
        <w:p>
          <w:pPr>
            <w:pStyle w:val="TOC1"/>
            <w:numPr>
              <w:ilvl w:val="0"/>
              <w:numId w:val="2"/>
            </w:numPr>
            <w:tabs>
              <w:tab w:pos="1325" w:val="left" w:leader="none"/>
              <w:tab w:pos="7719" w:val="left" w:leader="none"/>
            </w:tabs>
            <w:spacing w:line="240" w:lineRule="auto" w:before="114" w:after="0"/>
            <w:ind w:left="1324" w:right="0" w:hanging="459"/>
            <w:jc w:val="left"/>
          </w:pPr>
          <w:r>
            <w:rPr>
              <w:color w:val="231F20"/>
            </w:rPr>
            <w:t>HIPÓTESIS</w:t>
            <w:tab/>
            <w:t>23</w:t>
          </w:r>
        </w:p>
        <w:p>
          <w:pPr>
            <w:pStyle w:val="TOC1"/>
            <w:numPr>
              <w:ilvl w:val="0"/>
              <w:numId w:val="2"/>
            </w:numPr>
            <w:tabs>
              <w:tab w:pos="1175" w:val="left" w:leader="none"/>
              <w:tab w:pos="7721" w:val="left" w:leader="none"/>
            </w:tabs>
            <w:spacing w:line="240" w:lineRule="auto" w:before="111" w:after="0"/>
            <w:ind w:left="1175" w:right="0" w:hanging="310"/>
            <w:jc w:val="left"/>
          </w:pPr>
          <w:r>
            <w:rPr>
              <w:color w:val="231F20"/>
            </w:rPr>
            <w:t>MATERIAL</w:t>
          </w:r>
          <w:r>
            <w:rPr>
              <w:color w:val="231F20"/>
              <w:spacing w:val="5"/>
            </w:rPr>
            <w:t> </w:t>
          </w:r>
          <w:r>
            <w:rPr>
              <w:color w:val="231F20"/>
            </w:rPr>
            <w:t>Y</w:t>
          </w:r>
          <w:r>
            <w:rPr>
              <w:color w:val="231F20"/>
              <w:spacing w:val="5"/>
            </w:rPr>
            <w:t> </w:t>
          </w:r>
          <w:r>
            <w:rPr>
              <w:color w:val="231F20"/>
            </w:rPr>
            <w:t>MÉTODOS</w:t>
            <w:tab/>
            <w:t>24</w:t>
          </w:r>
        </w:p>
        <w:p>
          <w:pPr>
            <w:pStyle w:val="TOC2"/>
            <w:numPr>
              <w:ilvl w:val="1"/>
              <w:numId w:val="2"/>
            </w:numPr>
            <w:tabs>
              <w:tab w:pos="1817" w:val="left" w:leader="none"/>
              <w:tab w:pos="7720" w:val="left" w:leader="none"/>
            </w:tabs>
            <w:spacing w:line="240" w:lineRule="auto" w:before="113" w:after="0"/>
            <w:ind w:left="1816" w:right="0" w:hanging="384"/>
            <w:jc w:val="left"/>
          </w:pPr>
          <w:r>
            <w:rPr>
              <w:color w:val="231F20"/>
            </w:rPr>
            <w:t>DISEÑO</w:t>
            <w:tab/>
            <w:t>24</w:t>
          </w:r>
        </w:p>
        <w:p>
          <w:pPr>
            <w:pStyle w:val="TOC2"/>
            <w:numPr>
              <w:ilvl w:val="1"/>
              <w:numId w:val="2"/>
            </w:numPr>
            <w:tabs>
              <w:tab w:pos="1892" w:val="left" w:leader="none"/>
              <w:tab w:pos="7710" w:val="left" w:leader="none"/>
            </w:tabs>
            <w:spacing w:line="240" w:lineRule="auto" w:before="111" w:after="0"/>
            <w:ind w:left="1891" w:right="0" w:hanging="459"/>
            <w:jc w:val="left"/>
          </w:pPr>
          <w:r>
            <w:rPr>
              <w:color w:val="231F20"/>
            </w:rPr>
            <w:t>OPERACIONALIZACIÓN</w:t>
          </w:r>
          <w:r>
            <w:rPr>
              <w:color w:val="231F20"/>
              <w:spacing w:val="10"/>
            </w:rPr>
            <w:t> </w:t>
          </w:r>
          <w:r>
            <w:rPr>
              <w:color w:val="231F20"/>
            </w:rPr>
            <w:t>DE</w:t>
          </w:r>
          <w:r>
            <w:rPr>
              <w:color w:val="231F20"/>
              <w:spacing w:val="10"/>
            </w:rPr>
            <w:t> </w:t>
          </w:r>
          <w:r>
            <w:rPr>
              <w:color w:val="231F20"/>
            </w:rPr>
            <w:t>VARIABLES</w:t>
            <w:tab/>
            <w:t>25</w:t>
          </w:r>
        </w:p>
        <w:p>
          <w:pPr>
            <w:pStyle w:val="TOC2"/>
            <w:numPr>
              <w:ilvl w:val="1"/>
              <w:numId w:val="2"/>
            </w:numPr>
            <w:tabs>
              <w:tab w:pos="1966" w:val="left" w:leader="none"/>
              <w:tab w:pos="7720" w:val="left" w:leader="none"/>
            </w:tabs>
            <w:spacing w:line="240" w:lineRule="auto" w:before="113" w:after="0"/>
            <w:ind w:left="1965" w:right="0" w:hanging="533"/>
            <w:jc w:val="left"/>
          </w:pPr>
          <w:r>
            <w:rPr>
              <w:color w:val="231F20"/>
            </w:rPr>
            <w:t>UNIVERSO</w:t>
          </w:r>
          <w:r>
            <w:rPr>
              <w:color w:val="231F20"/>
              <w:spacing w:val="13"/>
            </w:rPr>
            <w:t> </w:t>
          </w:r>
          <w:r>
            <w:rPr>
              <w:color w:val="231F20"/>
            </w:rPr>
            <w:t>DE</w:t>
          </w:r>
          <w:r>
            <w:rPr>
              <w:color w:val="231F20"/>
              <w:spacing w:val="11"/>
            </w:rPr>
            <w:t> </w:t>
          </w:r>
          <w:r>
            <w:rPr>
              <w:color w:val="231F20"/>
            </w:rPr>
            <w:t>TRABAJO</w:t>
            <w:tab/>
            <w:t>26</w:t>
          </w:r>
        </w:p>
        <w:p>
          <w:pPr>
            <w:pStyle w:val="TOC2"/>
            <w:numPr>
              <w:ilvl w:val="1"/>
              <w:numId w:val="2"/>
            </w:numPr>
            <w:tabs>
              <w:tab w:pos="1955" w:val="left" w:leader="none"/>
              <w:tab w:pos="7711" w:val="left" w:leader="none"/>
            </w:tabs>
            <w:spacing w:line="240" w:lineRule="auto" w:before="111" w:after="0"/>
            <w:ind w:left="1954" w:right="0" w:hanging="522"/>
            <w:jc w:val="left"/>
          </w:pPr>
          <w:r>
            <w:rPr>
              <w:color w:val="231F20"/>
            </w:rPr>
            <w:t>CRITERIOS</w:t>
          </w:r>
          <w:r>
            <w:rPr>
              <w:color w:val="231F20"/>
              <w:spacing w:val="12"/>
            </w:rPr>
            <w:t> </w:t>
          </w:r>
          <w:r>
            <w:rPr>
              <w:color w:val="231F20"/>
            </w:rPr>
            <w:t>DE</w:t>
          </w:r>
          <w:r>
            <w:rPr>
              <w:color w:val="231F20"/>
              <w:spacing w:val="12"/>
            </w:rPr>
            <w:t> </w:t>
          </w:r>
          <w:r>
            <w:rPr>
              <w:color w:val="231F20"/>
            </w:rPr>
            <w:t>INCLUSIÓN</w:t>
            <w:tab/>
            <w:t>27</w:t>
          </w:r>
        </w:p>
        <w:p>
          <w:pPr>
            <w:pStyle w:val="TOC2"/>
            <w:numPr>
              <w:ilvl w:val="1"/>
              <w:numId w:val="2"/>
            </w:numPr>
            <w:tabs>
              <w:tab w:pos="1881" w:val="left" w:leader="none"/>
              <w:tab w:pos="7711" w:val="left" w:leader="none"/>
            </w:tabs>
            <w:spacing w:line="240" w:lineRule="auto" w:before="113" w:after="0"/>
            <w:ind w:left="1880" w:right="0" w:hanging="448"/>
            <w:jc w:val="left"/>
          </w:pPr>
          <w:r>
            <w:rPr>
              <w:color w:val="231F20"/>
            </w:rPr>
            <w:t>CRITERIOS</w:t>
          </w:r>
          <w:r>
            <w:rPr>
              <w:color w:val="231F20"/>
              <w:spacing w:val="12"/>
            </w:rPr>
            <w:t> </w:t>
          </w:r>
          <w:r>
            <w:rPr>
              <w:color w:val="231F20"/>
            </w:rPr>
            <w:t>DE</w:t>
          </w:r>
          <w:r>
            <w:rPr>
              <w:color w:val="231F20"/>
              <w:spacing w:val="12"/>
            </w:rPr>
            <w:t> </w:t>
          </w:r>
          <w:r>
            <w:rPr>
              <w:color w:val="231F20"/>
            </w:rPr>
            <w:t>EXCLUSIÓN</w:t>
            <w:tab/>
            <w:t>27</w:t>
          </w:r>
        </w:p>
        <w:p>
          <w:pPr>
            <w:pStyle w:val="TOC2"/>
            <w:numPr>
              <w:ilvl w:val="1"/>
              <w:numId w:val="2"/>
            </w:numPr>
            <w:tabs>
              <w:tab w:pos="1955" w:val="left" w:leader="none"/>
              <w:tab w:pos="7721" w:val="left" w:leader="none"/>
            </w:tabs>
            <w:spacing w:line="240" w:lineRule="auto" w:before="111" w:after="0"/>
            <w:ind w:left="1954" w:right="0" w:hanging="522"/>
            <w:jc w:val="left"/>
          </w:pPr>
          <w:r>
            <w:rPr>
              <w:color w:val="231F20"/>
            </w:rPr>
            <w:t>CRITERIOS</w:t>
          </w:r>
          <w:r>
            <w:rPr>
              <w:color w:val="231F20"/>
              <w:spacing w:val="13"/>
            </w:rPr>
            <w:t> </w:t>
          </w:r>
          <w:r>
            <w:rPr>
              <w:color w:val="231F20"/>
            </w:rPr>
            <w:t>DE</w:t>
          </w:r>
          <w:r>
            <w:rPr>
              <w:color w:val="231F20"/>
              <w:spacing w:val="13"/>
            </w:rPr>
            <w:t> </w:t>
          </w:r>
          <w:r>
            <w:rPr>
              <w:color w:val="231F20"/>
            </w:rPr>
            <w:t>ELIMINACIÓN</w:t>
            <w:tab/>
            <w:t>27</w:t>
          </w:r>
        </w:p>
        <w:p>
          <w:pPr>
            <w:pStyle w:val="TOC2"/>
            <w:numPr>
              <w:ilvl w:val="1"/>
              <w:numId w:val="2"/>
            </w:numPr>
            <w:tabs>
              <w:tab w:pos="2030" w:val="left" w:leader="none"/>
              <w:tab w:pos="7711" w:val="left" w:leader="none"/>
            </w:tabs>
            <w:spacing w:line="240" w:lineRule="auto" w:before="114" w:after="0"/>
            <w:ind w:left="2029" w:right="0" w:hanging="597"/>
            <w:jc w:val="left"/>
          </w:pPr>
          <w:r>
            <w:rPr>
              <w:color w:val="231F20"/>
            </w:rPr>
            <w:t>INSTRUMENTO DE RECOLECCIÓN</w:t>
          </w:r>
          <w:r>
            <w:rPr>
              <w:color w:val="231F20"/>
              <w:spacing w:val="9"/>
            </w:rPr>
            <w:t> </w:t>
          </w:r>
          <w:r>
            <w:rPr>
              <w:color w:val="231F20"/>
            </w:rPr>
            <w:t>DE</w:t>
          </w:r>
          <w:r>
            <w:rPr>
              <w:color w:val="231F20"/>
              <w:spacing w:val="3"/>
            </w:rPr>
            <w:t> </w:t>
          </w:r>
          <w:r>
            <w:rPr>
              <w:color w:val="231F20"/>
            </w:rPr>
            <w:t>DATOS</w:t>
            <w:tab/>
            <w:t>28</w:t>
          </w:r>
        </w:p>
        <w:p>
          <w:pPr>
            <w:pStyle w:val="TOC2"/>
            <w:numPr>
              <w:ilvl w:val="1"/>
              <w:numId w:val="2"/>
            </w:numPr>
            <w:tabs>
              <w:tab w:pos="2105" w:val="left" w:leader="none"/>
              <w:tab w:pos="7720" w:val="left" w:leader="none"/>
            </w:tabs>
            <w:spacing w:line="240" w:lineRule="auto" w:before="111" w:after="0"/>
            <w:ind w:left="2104" w:right="0" w:hanging="672"/>
            <w:jc w:val="left"/>
          </w:pPr>
          <w:r>
            <w:rPr>
              <w:color w:val="231F20"/>
            </w:rPr>
            <w:t>TAMAÑO DE</w:t>
          </w:r>
          <w:r>
            <w:rPr>
              <w:color w:val="231F20"/>
              <w:spacing w:val="12"/>
            </w:rPr>
            <w:t> </w:t>
          </w:r>
          <w:r>
            <w:rPr>
              <w:color w:val="231F20"/>
            </w:rPr>
            <w:t>LA</w:t>
          </w:r>
          <w:r>
            <w:rPr>
              <w:color w:val="231F20"/>
              <w:spacing w:val="5"/>
            </w:rPr>
            <w:t> </w:t>
          </w:r>
          <w:r>
            <w:rPr>
              <w:color w:val="231F20"/>
            </w:rPr>
            <w:t>MUESTRA</w:t>
            <w:tab/>
            <w:t>28</w:t>
          </w:r>
        </w:p>
        <w:p>
          <w:pPr>
            <w:pStyle w:val="TOC2"/>
            <w:numPr>
              <w:ilvl w:val="1"/>
              <w:numId w:val="2"/>
            </w:numPr>
            <w:tabs>
              <w:tab w:pos="2003" w:val="left" w:leader="none"/>
              <w:tab w:pos="7711" w:val="left" w:leader="none"/>
            </w:tabs>
            <w:spacing w:line="240" w:lineRule="auto" w:before="113" w:after="0"/>
            <w:ind w:left="2002" w:right="0" w:hanging="570"/>
            <w:jc w:val="left"/>
          </w:pPr>
          <w:r>
            <w:rPr>
              <w:color w:val="231F20"/>
            </w:rPr>
            <w:t>DISEÑO DE</w:t>
          </w:r>
          <w:r>
            <w:rPr>
              <w:color w:val="231F20"/>
              <w:spacing w:val="14"/>
            </w:rPr>
            <w:t> </w:t>
          </w:r>
          <w:r>
            <w:rPr>
              <w:color w:val="231F20"/>
            </w:rPr>
            <w:t>LA</w:t>
          </w:r>
          <w:r>
            <w:rPr>
              <w:color w:val="231F20"/>
              <w:spacing w:val="7"/>
            </w:rPr>
            <w:t> </w:t>
          </w:r>
          <w:r>
            <w:rPr>
              <w:color w:val="231F20"/>
            </w:rPr>
            <w:t>INVESTIGACIÓN</w:t>
            <w:tab/>
            <w:t>29</w:t>
          </w:r>
        </w:p>
        <w:p>
          <w:pPr>
            <w:pStyle w:val="TOC2"/>
            <w:numPr>
              <w:ilvl w:val="1"/>
              <w:numId w:val="2"/>
            </w:numPr>
            <w:tabs>
              <w:tab w:pos="1929" w:val="left" w:leader="none"/>
              <w:tab w:pos="7711" w:val="left" w:leader="none"/>
            </w:tabs>
            <w:spacing w:line="240" w:lineRule="auto" w:before="111" w:after="0"/>
            <w:ind w:left="1928" w:right="0" w:hanging="496"/>
            <w:jc w:val="left"/>
          </w:pPr>
          <w:r>
            <w:rPr>
              <w:color w:val="231F20"/>
            </w:rPr>
            <w:t>LÍMITE</w:t>
          </w:r>
          <w:r>
            <w:rPr>
              <w:color w:val="231F20"/>
              <w:spacing w:val="6"/>
            </w:rPr>
            <w:t> </w:t>
          </w:r>
          <w:r>
            <w:rPr>
              <w:color w:val="231F20"/>
            </w:rPr>
            <w:t>DE</w:t>
          </w:r>
          <w:r>
            <w:rPr>
              <w:color w:val="231F20"/>
              <w:spacing w:val="6"/>
            </w:rPr>
            <w:t> </w:t>
          </w:r>
          <w:r>
            <w:rPr>
              <w:color w:val="231F20"/>
            </w:rPr>
            <w:t>ESPACIO</w:t>
            <w:tab/>
            <w:t>30</w:t>
          </w:r>
        </w:p>
        <w:p>
          <w:pPr>
            <w:pStyle w:val="TOC2"/>
            <w:tabs>
              <w:tab w:pos="7710" w:val="left" w:leader="none"/>
            </w:tabs>
            <w:spacing w:before="113"/>
            <w:ind w:left="1432" w:right="858" w:firstLine="0"/>
          </w:pPr>
          <w:r>
            <w:rPr>
              <w:color w:val="231F20"/>
            </w:rPr>
            <w:t>VIII.XI LÍMITE</w:t>
          </w:r>
          <w:r>
            <w:rPr>
              <w:color w:val="231F20"/>
              <w:spacing w:val="7"/>
            </w:rPr>
            <w:t> </w:t>
          </w:r>
          <w:r>
            <w:rPr>
              <w:color w:val="231F20"/>
            </w:rPr>
            <w:t>DE</w:t>
          </w:r>
          <w:r>
            <w:rPr>
              <w:color w:val="231F20"/>
              <w:spacing w:val="3"/>
            </w:rPr>
            <w:t> </w:t>
          </w:r>
          <w:r>
            <w:rPr>
              <w:color w:val="231F20"/>
            </w:rPr>
            <w:t>TIEMPO</w:t>
            <w:tab/>
            <w:t>30</w:t>
          </w:r>
        </w:p>
        <w:p>
          <w:pPr>
            <w:pStyle w:val="TOC2"/>
            <w:numPr>
              <w:ilvl w:val="1"/>
              <w:numId w:val="3"/>
            </w:numPr>
            <w:tabs>
              <w:tab w:pos="2030" w:val="left" w:leader="none"/>
              <w:tab w:pos="7711" w:val="left" w:leader="none"/>
            </w:tabs>
            <w:spacing w:line="240" w:lineRule="auto" w:before="111" w:after="0"/>
            <w:ind w:left="2029" w:right="0" w:hanging="597"/>
            <w:jc w:val="left"/>
          </w:pPr>
          <w:r>
            <w:rPr>
              <w:color w:val="231F20"/>
            </w:rPr>
            <w:t>IMPLICACIONES</w:t>
          </w:r>
          <w:r>
            <w:rPr>
              <w:color w:val="231F20"/>
              <w:spacing w:val="14"/>
            </w:rPr>
            <w:t> </w:t>
          </w:r>
          <w:r>
            <w:rPr>
              <w:color w:val="231F20"/>
            </w:rPr>
            <w:t>ÉTICAS</w:t>
            <w:tab/>
            <w:t>30</w:t>
          </w:r>
        </w:p>
        <w:p>
          <w:pPr>
            <w:pStyle w:val="TOC2"/>
            <w:numPr>
              <w:ilvl w:val="1"/>
              <w:numId w:val="3"/>
            </w:numPr>
            <w:tabs>
              <w:tab w:pos="2152" w:val="left" w:leader="none"/>
              <w:tab w:pos="7720" w:val="left" w:leader="none"/>
            </w:tabs>
            <w:spacing w:line="240" w:lineRule="auto" w:before="113" w:after="0"/>
            <w:ind w:left="2151" w:right="0" w:hanging="719"/>
            <w:jc w:val="left"/>
          </w:pPr>
          <w:r>
            <w:rPr>
              <w:color w:val="231F20"/>
            </w:rPr>
            <w:t>ORGANIZACIÓN</w:t>
            <w:tab/>
            <w:t>31</w:t>
          </w:r>
        </w:p>
        <w:p>
          <w:pPr>
            <w:pStyle w:val="TOC2"/>
            <w:numPr>
              <w:ilvl w:val="1"/>
              <w:numId w:val="3"/>
            </w:numPr>
            <w:tabs>
              <w:tab w:pos="2143" w:val="left" w:leader="none"/>
              <w:tab w:pos="7721" w:val="left" w:leader="none"/>
            </w:tabs>
            <w:spacing w:line="240" w:lineRule="auto" w:before="111" w:after="0"/>
            <w:ind w:left="2142" w:right="0" w:hanging="710"/>
            <w:jc w:val="left"/>
          </w:pPr>
          <w:r>
            <w:rPr>
              <w:color w:val="231F20"/>
            </w:rPr>
            <w:t>PLAN</w:t>
          </w:r>
          <w:r>
            <w:rPr>
              <w:color w:val="231F20"/>
              <w:spacing w:val="2"/>
            </w:rPr>
            <w:t> </w:t>
          </w:r>
          <w:r>
            <w:rPr>
              <w:color w:val="231F20"/>
            </w:rPr>
            <w:t>DE</w:t>
          </w:r>
          <w:r>
            <w:rPr>
              <w:color w:val="231F20"/>
              <w:spacing w:val="2"/>
            </w:rPr>
            <w:t> </w:t>
          </w:r>
          <w:r>
            <w:rPr>
              <w:color w:val="231F20"/>
            </w:rPr>
            <w:t>ANÁLISIS</w:t>
            <w:tab/>
            <w:t>31</w:t>
          </w:r>
        </w:p>
        <w:p>
          <w:pPr>
            <w:pStyle w:val="TOC1"/>
            <w:numPr>
              <w:ilvl w:val="0"/>
              <w:numId w:val="2"/>
            </w:numPr>
            <w:tabs>
              <w:tab w:pos="1149" w:val="left" w:leader="none"/>
              <w:tab w:pos="7729" w:val="left" w:leader="none"/>
            </w:tabs>
            <w:spacing w:line="240" w:lineRule="auto" w:before="114" w:after="0"/>
            <w:ind w:left="1148" w:right="0" w:hanging="283"/>
            <w:jc w:val="left"/>
          </w:pPr>
          <w:r>
            <w:rPr>
              <w:color w:val="231F20"/>
            </w:rPr>
            <w:t>RESULTADOS</w:t>
            <w:tab/>
            <w:t>32</w:t>
          </w:r>
        </w:p>
        <w:p>
          <w:pPr>
            <w:pStyle w:val="TOC1"/>
            <w:numPr>
              <w:ilvl w:val="0"/>
              <w:numId w:val="2"/>
            </w:numPr>
            <w:tabs>
              <w:tab w:pos="1175" w:val="left" w:leader="none"/>
              <w:tab w:pos="7715" w:val="left" w:leader="none"/>
            </w:tabs>
            <w:spacing w:line="240" w:lineRule="auto" w:before="111" w:after="0"/>
            <w:ind w:left="1175" w:right="0" w:hanging="310"/>
            <w:jc w:val="left"/>
          </w:pPr>
          <w:r>
            <w:rPr>
              <w:color w:val="231F20"/>
            </w:rPr>
            <w:t>DISCUSIÓN</w:t>
            <w:tab/>
            <w:t>41</w:t>
          </w:r>
        </w:p>
        <w:p>
          <w:pPr>
            <w:pStyle w:val="TOC1"/>
            <w:numPr>
              <w:ilvl w:val="0"/>
              <w:numId w:val="2"/>
            </w:numPr>
            <w:tabs>
              <w:tab w:pos="1250" w:val="left" w:leader="none"/>
              <w:tab w:pos="7730" w:val="left" w:leader="none"/>
            </w:tabs>
            <w:spacing w:line="240" w:lineRule="auto" w:before="113" w:after="0"/>
            <w:ind w:left="1249" w:right="0" w:hanging="384"/>
            <w:jc w:val="left"/>
          </w:pPr>
          <w:r>
            <w:rPr>
              <w:color w:val="231F20"/>
            </w:rPr>
            <w:t>CONCLUSIONES</w:t>
            <w:tab/>
            <w:t>44</w:t>
          </w:r>
        </w:p>
        <w:p>
          <w:pPr>
            <w:pStyle w:val="TOC1"/>
            <w:numPr>
              <w:ilvl w:val="0"/>
              <w:numId w:val="2"/>
            </w:numPr>
            <w:tabs>
              <w:tab w:pos="1325" w:val="left" w:leader="none"/>
              <w:tab w:pos="7707" w:val="left" w:leader="none"/>
            </w:tabs>
            <w:spacing w:line="240" w:lineRule="auto" w:before="111" w:after="0"/>
            <w:ind w:left="1324" w:right="0" w:hanging="459"/>
            <w:jc w:val="left"/>
          </w:pPr>
          <w:r>
            <w:rPr>
              <w:color w:val="231F20"/>
            </w:rPr>
            <w:t>BIBLIOGRAFÍA</w:t>
            <w:tab/>
            <w:t>46</w:t>
          </w:r>
        </w:p>
        <w:p>
          <w:pPr>
            <w:pStyle w:val="TOC1"/>
            <w:numPr>
              <w:ilvl w:val="0"/>
              <w:numId w:val="2"/>
            </w:numPr>
            <w:tabs>
              <w:tab w:pos="1314" w:val="left" w:leader="none"/>
              <w:tab w:pos="7730" w:val="left" w:leader="none"/>
            </w:tabs>
            <w:spacing w:line="240" w:lineRule="auto" w:before="111" w:after="0"/>
            <w:ind w:left="1313" w:right="0" w:hanging="448"/>
            <w:jc w:val="left"/>
          </w:pPr>
          <w:r>
            <w:rPr>
              <w:color w:val="231F20"/>
            </w:rPr>
            <w:t>ANEXOS</w:t>
            <w:tab/>
            <w:t>50</w:t>
          </w:r>
        </w:p>
      </w:sdtContent>
    </w:sdt>
    <w:p>
      <w:pPr>
        <w:spacing w:after="0" w:line="240" w:lineRule="auto"/>
        <w:jc w:val="left"/>
        <w:sectPr>
          <w:footerReference w:type="default" r:id="rId6"/>
          <w:pgSz w:w="12240" w:h="15840"/>
          <w:pgMar w:footer="2372" w:header="0" w:top="1500" w:bottom="2560" w:left="1720" w:right="1720"/>
          <w:pgNumType w:start="1"/>
        </w:sect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10"/>
        <w:rPr>
          <w:rFonts w:ascii="Times New Roman"/>
          <w:b/>
          <w:sz w:val="15"/>
        </w:rPr>
      </w:pPr>
    </w:p>
    <w:p>
      <w:pPr>
        <w:pStyle w:val="Heading1"/>
        <w:ind w:left="1423" w:right="1134"/>
        <w:jc w:val="center"/>
        <w:rPr>
          <w:rFonts w:ascii="Times New Roman"/>
        </w:rPr>
      </w:pPr>
      <w:bookmarkStart w:name="_TOC_250000" w:id="1"/>
      <w:bookmarkEnd w:id="1"/>
      <w:r>
        <w:rPr>
          <w:rFonts w:ascii="Times New Roman"/>
          <w:color w:val="231F20"/>
        </w:rPr>
        <w:t>III RESUMEN</w:t>
      </w:r>
    </w:p>
    <w:p>
      <w:pPr>
        <w:pStyle w:val="BodyText"/>
        <w:spacing w:before="6"/>
        <w:rPr>
          <w:rFonts w:ascii="Times New Roman"/>
          <w:b/>
          <w:sz w:val="26"/>
        </w:rPr>
      </w:pPr>
    </w:p>
    <w:p>
      <w:pPr>
        <w:spacing w:before="0"/>
        <w:ind w:left="865" w:right="0" w:firstLine="0"/>
        <w:jc w:val="both"/>
        <w:rPr>
          <w:b/>
          <w:sz w:val="19"/>
        </w:rPr>
      </w:pPr>
      <w:r>
        <w:rPr>
          <w:b/>
          <w:color w:val="231F20"/>
          <w:sz w:val="19"/>
        </w:rPr>
        <w:t>Antecedentes</w:t>
      </w:r>
    </w:p>
    <w:p>
      <w:pPr>
        <w:pStyle w:val="BodyText"/>
        <w:spacing w:line="278" w:lineRule="auto" w:before="111"/>
        <w:ind w:left="865" w:right="858"/>
        <w:jc w:val="both"/>
      </w:pPr>
      <w:r>
        <w:rPr>
          <w:color w:val="221A21"/>
        </w:rPr>
        <w:t>La peritonitis es la principal complicación de los pacientes sometidos a diálisis peritoneal. </w:t>
      </w:r>
      <w:r>
        <w:rPr>
          <w:color w:val="231F20"/>
        </w:rPr>
        <w:t>La mortalidad relacionada a infecciones en pacientes con diálisis peritoneal es resultado de peritonitis. Aunque menos del 4% de los episodios de peritonitis terminan en muerte, la peritonitis es un "factor que contribuye" a la muerte en 16% de los pacientes en diálisis</w:t>
      </w:r>
      <w:r>
        <w:rPr>
          <w:color w:val="231F20"/>
          <w:spacing w:val="32"/>
        </w:rPr>
        <w:t> </w:t>
      </w:r>
      <w:r>
        <w:rPr>
          <w:color w:val="231F20"/>
        </w:rPr>
        <w:t>peritoneal.</w:t>
      </w:r>
    </w:p>
    <w:p>
      <w:pPr>
        <w:pStyle w:val="BodyText"/>
        <w:spacing w:before="3"/>
        <w:rPr>
          <w:sz w:val="22"/>
        </w:rPr>
      </w:pPr>
    </w:p>
    <w:p>
      <w:pPr>
        <w:pStyle w:val="Heading1"/>
        <w:jc w:val="both"/>
      </w:pPr>
      <w:r>
        <w:rPr>
          <w:color w:val="231F20"/>
        </w:rPr>
        <w:t>Métodos</w:t>
      </w:r>
    </w:p>
    <w:p>
      <w:pPr>
        <w:pStyle w:val="BodyText"/>
        <w:spacing w:before="1"/>
        <w:rPr>
          <w:b/>
          <w:sz w:val="25"/>
        </w:rPr>
      </w:pPr>
    </w:p>
    <w:p>
      <w:pPr>
        <w:pStyle w:val="BodyText"/>
        <w:spacing w:line="278" w:lineRule="auto"/>
        <w:ind w:left="865" w:right="861"/>
        <w:jc w:val="both"/>
      </w:pPr>
      <w:r>
        <w:rPr>
          <w:color w:val="231F20"/>
        </w:rPr>
        <w:t>Este estudio es de tipo observacional y descriptivo, donde a través de los expedientes clínicos de pacientes hospitalizados del 1º de enero al 31 de  diciembre del 2011 se toma la frecuencia de peritonitis asociada a diálisis peritoneal, utilizando el muestreo no probabilístico de tipo</w:t>
      </w:r>
      <w:r>
        <w:rPr>
          <w:color w:val="231F20"/>
          <w:spacing w:val="40"/>
        </w:rPr>
        <w:t> </w:t>
      </w:r>
      <w:r>
        <w:rPr>
          <w:color w:val="231F20"/>
        </w:rPr>
        <w:t>consecutivo.</w:t>
      </w:r>
    </w:p>
    <w:p>
      <w:pPr>
        <w:pStyle w:val="BodyText"/>
        <w:spacing w:before="1"/>
        <w:rPr>
          <w:sz w:val="22"/>
        </w:rPr>
      </w:pPr>
    </w:p>
    <w:p>
      <w:pPr>
        <w:pStyle w:val="Heading1"/>
        <w:jc w:val="both"/>
      </w:pPr>
      <w:r>
        <w:rPr>
          <w:color w:val="231F20"/>
        </w:rPr>
        <w:t>Resultados:</w:t>
      </w:r>
    </w:p>
    <w:p>
      <w:pPr>
        <w:pStyle w:val="BodyText"/>
        <w:spacing w:before="2"/>
        <w:rPr>
          <w:b/>
          <w:sz w:val="25"/>
        </w:rPr>
      </w:pPr>
    </w:p>
    <w:p>
      <w:pPr>
        <w:pStyle w:val="BodyText"/>
        <w:spacing w:line="278" w:lineRule="auto" w:before="1"/>
        <w:ind w:left="865" w:right="856"/>
        <w:jc w:val="both"/>
      </w:pPr>
      <w:r>
        <w:rPr>
          <w:color w:val="231F20"/>
        </w:rPr>
        <w:t>Un total de 20 casos de peritonitis asociada a diálisis peritoneal se detectaron durante el año 2011, con un promedio mensual de 1.6 eventos. El 75% corresponde al género femenino y el 25% al género masculino. Se  obtuvo una   tasa de 26.31 peritonitis asociada a diálisis peritoneal por cada 100 pacientes con IRC en diálisis. El agente etiológico más común fue Staphylococcus aureus (15%), seguido de Pseudomona aeruginosa (10%). Los casos de peritonitis se relaciona- ron con disfunción de catéter, ya que el 70% de peritonitis asociada a diálisis peritoneal disfuncionarón. La estancia hospitalaria en estos pacientes se incremento al doble con un promedio de 12.85 días.La mortalidad fue de 1.35 muertes por cada 100 pacientes con IRC en diálisis durante el</w:t>
      </w:r>
      <w:r>
        <w:rPr>
          <w:color w:val="231F20"/>
          <w:spacing w:val="41"/>
        </w:rPr>
        <w:t> </w:t>
      </w:r>
      <w:r>
        <w:rPr>
          <w:color w:val="231F20"/>
        </w:rPr>
        <w:t>2011.</w:t>
      </w:r>
    </w:p>
    <w:p>
      <w:pPr>
        <w:pStyle w:val="BodyText"/>
        <w:spacing w:before="3"/>
        <w:rPr>
          <w:sz w:val="22"/>
        </w:rPr>
      </w:pPr>
    </w:p>
    <w:p>
      <w:pPr>
        <w:pStyle w:val="Heading1"/>
        <w:jc w:val="both"/>
      </w:pPr>
      <w:r>
        <w:rPr>
          <w:color w:val="231F20"/>
        </w:rPr>
        <w:t>Conclusiones.</w:t>
      </w:r>
    </w:p>
    <w:p>
      <w:pPr>
        <w:pStyle w:val="BodyText"/>
        <w:rPr>
          <w:b/>
          <w:sz w:val="25"/>
        </w:rPr>
      </w:pPr>
    </w:p>
    <w:p>
      <w:pPr>
        <w:pStyle w:val="BodyText"/>
        <w:spacing w:line="278" w:lineRule="auto" w:before="1"/>
        <w:ind w:left="865" w:right="859"/>
        <w:jc w:val="both"/>
      </w:pPr>
      <w:r>
        <w:rPr>
          <w:color w:val="231F20"/>
        </w:rPr>
        <w:t>En el Hospital General de Tlalnepantla durante el año 2011  hubo una frecuencia  de 20 casos de peritonitis asociada a diálisis peritoneal, los datos obtenidos demuestran que hay razones claras para hacer prevención de casos, lo que disminuiría los días de estancia hospitalaria, los gastos en insumos de pacientes con diálisis peritoneal, así como la optimización de recursos humanos para la atención hospitalaria, ya que los pacientes que estuvieron con peritonitis asociada  a diálisis, tuvieron el doble de días de hospitalización, mayor atención medica y de enfermería que otros pacientes sometidos a diálisis</w:t>
      </w:r>
      <w:r>
        <w:rPr>
          <w:color w:val="231F20"/>
          <w:spacing w:val="37"/>
        </w:rPr>
        <w:t> </w:t>
      </w:r>
      <w:r>
        <w:rPr>
          <w:color w:val="231F20"/>
        </w:rPr>
        <w:t>peritoneal.</w:t>
      </w:r>
    </w:p>
    <w:p>
      <w:pPr>
        <w:spacing w:after="0" w:line="278"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Heading1"/>
        <w:spacing w:before="77"/>
        <w:ind w:left="1421" w:right="1134"/>
        <w:jc w:val="center"/>
      </w:pPr>
      <w:r>
        <w:rPr>
          <w:color w:val="231F20"/>
        </w:rPr>
        <w:t>III SUMMARY</w:t>
      </w:r>
    </w:p>
    <w:p>
      <w:pPr>
        <w:pStyle w:val="BodyText"/>
        <w:spacing w:before="2"/>
        <w:rPr>
          <w:b/>
          <w:sz w:val="13"/>
        </w:rPr>
      </w:pPr>
    </w:p>
    <w:p>
      <w:pPr>
        <w:spacing w:before="77"/>
        <w:ind w:left="865" w:right="0" w:firstLine="0"/>
        <w:jc w:val="both"/>
        <w:rPr>
          <w:b/>
          <w:sz w:val="19"/>
        </w:rPr>
      </w:pPr>
      <w:r>
        <w:rPr>
          <w:b/>
          <w:color w:val="231F20"/>
          <w:sz w:val="19"/>
        </w:rPr>
        <w:t>Background</w:t>
      </w:r>
    </w:p>
    <w:p>
      <w:pPr>
        <w:pStyle w:val="BodyText"/>
        <w:rPr>
          <w:b/>
          <w:sz w:val="22"/>
        </w:rPr>
      </w:pPr>
    </w:p>
    <w:p>
      <w:pPr>
        <w:pStyle w:val="BodyText"/>
        <w:spacing w:line="242" w:lineRule="auto" w:before="1"/>
        <w:ind w:left="865" w:right="862"/>
        <w:jc w:val="both"/>
      </w:pPr>
      <w:r>
        <w:rPr>
          <w:color w:val="231F20"/>
        </w:rPr>
        <w:t>Peritonitis is a major complication of peritoneal dialysis patients. Mortality related to infections in peritoneal dialysis patients is a result of peritonitis. Although less than 4% of peritonitis episodes ending in death, peritonitis is a "contributing factor" to death in 16% of patients on peritoneal dialysis.</w:t>
      </w:r>
    </w:p>
    <w:p>
      <w:pPr>
        <w:pStyle w:val="BodyText"/>
        <w:spacing w:before="2"/>
        <w:rPr>
          <w:sz w:val="22"/>
        </w:rPr>
      </w:pPr>
    </w:p>
    <w:p>
      <w:pPr>
        <w:pStyle w:val="Heading1"/>
        <w:jc w:val="both"/>
      </w:pPr>
      <w:r>
        <w:rPr>
          <w:color w:val="231F20"/>
        </w:rPr>
        <w:t>Methods</w:t>
      </w:r>
    </w:p>
    <w:p>
      <w:pPr>
        <w:pStyle w:val="BodyText"/>
        <w:spacing w:before="2"/>
        <w:rPr>
          <w:b/>
          <w:sz w:val="25"/>
        </w:rPr>
      </w:pPr>
    </w:p>
    <w:p>
      <w:pPr>
        <w:pStyle w:val="BodyText"/>
        <w:spacing w:line="278" w:lineRule="auto" w:before="1"/>
        <w:ind w:left="865" w:right="863"/>
        <w:jc w:val="both"/>
      </w:pPr>
      <w:r>
        <w:rPr>
          <w:color w:val="231F20"/>
        </w:rPr>
        <w:t>This study is observational and descriptive, where through the dossiers clinical inpatients from 1 January to 31 December 2011 takes the frequency of peritonitis associated   with   peritoneal   dialysis,   using   non-probability   sampling   rate row</w:t>
      </w:r>
    </w:p>
    <w:p>
      <w:pPr>
        <w:pStyle w:val="BodyText"/>
        <w:spacing w:before="3"/>
        <w:rPr>
          <w:sz w:val="22"/>
        </w:rPr>
      </w:pPr>
    </w:p>
    <w:p>
      <w:pPr>
        <w:pStyle w:val="Heading1"/>
        <w:jc w:val="both"/>
      </w:pPr>
      <w:r>
        <w:rPr>
          <w:color w:val="231F20"/>
        </w:rPr>
        <w:t>Results.</w:t>
      </w:r>
    </w:p>
    <w:p>
      <w:pPr>
        <w:pStyle w:val="BodyText"/>
        <w:rPr>
          <w:b/>
          <w:sz w:val="25"/>
        </w:rPr>
      </w:pPr>
    </w:p>
    <w:p>
      <w:pPr>
        <w:pStyle w:val="BodyText"/>
        <w:tabs>
          <w:tab w:pos="2322" w:val="left" w:leader="none"/>
        </w:tabs>
        <w:spacing w:line="278" w:lineRule="auto" w:before="1"/>
        <w:ind w:left="865" w:right="857"/>
        <w:jc w:val="both"/>
      </w:pPr>
      <w:r>
        <w:rPr>
          <w:color w:val="231F20"/>
        </w:rPr>
        <w:t>A total of 20 cases of peritoneal dialysis-associated peritonitis were detected dur- ing the year 2011, with a monthly average of 1.6 events. Corresponds to 75% </w:t>
      </w:r>
      <w:r>
        <w:rPr>
          <w:color w:val="231F20"/>
          <w:spacing w:val="3"/>
        </w:rPr>
        <w:t>fe- </w:t>
      </w:r>
      <w:r>
        <w:rPr>
          <w:color w:val="231F20"/>
        </w:rPr>
        <w:t>male and 25% were males. </w:t>
      </w:r>
      <w:r>
        <w:rPr>
          <w:color w:val="231F20"/>
          <w:spacing w:val="3"/>
        </w:rPr>
        <w:t>We </w:t>
      </w:r>
      <w:r>
        <w:rPr>
          <w:color w:val="231F20"/>
        </w:rPr>
        <w:t>obtained a rate of 26.31 peritoneal dialysis-associated peritonitis in 100 patients with CKD on dialysis. The most common etiologic agent was Staphylococcus aureus (15%), followed by Pseudomonas aeruginosa (10%). The cases of peritonitis were associated with catheter</w:t>
        <w:tab/>
        <w:t>dysfunction, since 70% of peritoneal dialysis</w:t>
      </w:r>
      <w:r>
        <w:rPr>
          <w:color w:val="231F20"/>
          <w:spacing w:val="42"/>
        </w:rPr>
        <w:t> </w:t>
      </w:r>
      <w:r>
        <w:rPr>
          <w:color w:val="231F20"/>
        </w:rPr>
        <w:t>associated</w:t>
      </w:r>
      <w:r>
        <w:rPr>
          <w:color w:val="231F20"/>
          <w:spacing w:val="6"/>
        </w:rPr>
        <w:t> </w:t>
      </w:r>
      <w:r>
        <w:rPr>
          <w:color w:val="231F20"/>
        </w:rPr>
        <w:t>peritonitis</w:t>
      </w:r>
      <w:r>
        <w:rPr>
          <w:color w:val="231F20"/>
          <w:w w:val="101"/>
        </w:rPr>
        <w:t> </w:t>
      </w:r>
      <w:r>
        <w:rPr>
          <w:color w:val="231F20"/>
        </w:rPr>
        <w:t>functioned  incorrectly. The hospital stay in these patients was increased twofold with an    average of 12.85 days. The mortality was 1.35 deaths per 100 patients with CRF in</w:t>
      </w:r>
      <w:r>
        <w:rPr>
          <w:color w:val="231F20"/>
          <w:spacing w:val="10"/>
        </w:rPr>
        <w:t> </w:t>
      </w:r>
      <w:r>
        <w:rPr>
          <w:color w:val="231F20"/>
        </w:rPr>
        <w:t>2011.</w:t>
      </w:r>
    </w:p>
    <w:p>
      <w:pPr>
        <w:pStyle w:val="BodyText"/>
        <w:spacing w:before="3"/>
        <w:rPr>
          <w:sz w:val="22"/>
        </w:rPr>
      </w:pPr>
    </w:p>
    <w:p>
      <w:pPr>
        <w:pStyle w:val="Heading1"/>
        <w:jc w:val="both"/>
      </w:pPr>
      <w:r>
        <w:rPr>
          <w:color w:val="231F20"/>
        </w:rPr>
        <w:t>Conclusions.</w:t>
      </w:r>
    </w:p>
    <w:p>
      <w:pPr>
        <w:pStyle w:val="BodyText"/>
        <w:rPr>
          <w:b/>
          <w:sz w:val="25"/>
        </w:rPr>
      </w:pPr>
    </w:p>
    <w:p>
      <w:pPr>
        <w:pStyle w:val="BodyText"/>
        <w:spacing w:line="278" w:lineRule="auto" w:before="1"/>
        <w:ind w:left="865" w:right="860"/>
        <w:jc w:val="both"/>
      </w:pPr>
      <w:r>
        <w:rPr>
          <w:color w:val="231F20"/>
        </w:rPr>
        <w:t>In Tlalnepantla General Hospital in 2011 had a rate of 20 cases of peritonitis associated with peritoneal dialysis, the data obtained from-show there are clear reasons for preventing cases, which would decrease the length of hospital stay, input costs of peritoneal dialysis patients, and the optimization of human resources for hospital care, as patients who were dialysis-associated peritonitis, had twice as many days of hospitalization, increased medical and nursing care than other peritoneal dialysis patients.</w:t>
      </w:r>
    </w:p>
    <w:p>
      <w:pPr>
        <w:spacing w:after="0" w:line="278"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Heading1"/>
        <w:numPr>
          <w:ilvl w:val="0"/>
          <w:numId w:val="4"/>
        </w:numPr>
        <w:tabs>
          <w:tab w:pos="3854" w:val="left" w:leader="none"/>
        </w:tabs>
        <w:spacing w:line="240" w:lineRule="auto" w:before="77" w:after="0"/>
        <w:ind w:left="3853" w:right="0" w:hanging="269"/>
        <w:jc w:val="left"/>
      </w:pPr>
      <w:r>
        <w:rPr>
          <w:color w:val="231F20"/>
        </w:rPr>
        <w:t>MARCO</w:t>
      </w:r>
      <w:r>
        <w:rPr>
          <w:color w:val="231F20"/>
          <w:spacing w:val="11"/>
        </w:rPr>
        <w:t> </w:t>
      </w:r>
      <w:r>
        <w:rPr>
          <w:color w:val="231F20"/>
        </w:rPr>
        <w:t>TEÓRICO</w:t>
      </w:r>
    </w:p>
    <w:p>
      <w:pPr>
        <w:pStyle w:val="BodyText"/>
        <w:rPr>
          <w:b/>
          <w:sz w:val="18"/>
        </w:rPr>
      </w:pPr>
    </w:p>
    <w:p>
      <w:pPr>
        <w:pStyle w:val="BodyText"/>
        <w:spacing w:line="242" w:lineRule="auto" w:before="151"/>
        <w:ind w:left="865" w:right="860"/>
        <w:jc w:val="both"/>
      </w:pPr>
      <w:r>
        <w:rPr>
          <w:color w:val="231F20"/>
        </w:rPr>
        <w:t>La diálisis es un procedimiento que sustituye en parte la función de los riñones y permite la supervivencia de los pacientes con insuficiencia renal crónica (IRC). La misma se indica cuando la filtración glomerular es menor o igual a 15ml/min/1.73m2. (Enfermedad renal crónica grado V)</w:t>
      </w:r>
    </w:p>
    <w:p>
      <w:pPr>
        <w:pStyle w:val="BodyText"/>
        <w:rPr>
          <w:sz w:val="18"/>
        </w:rPr>
      </w:pPr>
    </w:p>
    <w:p>
      <w:pPr>
        <w:pStyle w:val="BodyText"/>
        <w:spacing w:line="242" w:lineRule="auto" w:before="129"/>
        <w:ind w:left="865" w:right="867"/>
        <w:jc w:val="both"/>
      </w:pPr>
      <w:r>
        <w:rPr>
          <w:color w:val="231F20"/>
        </w:rPr>
        <w:t>Las infecciones peritoneales representan el cuadro más relevante en estos pacientes, debido a su elevada morbilidad y mortalidad. Hay dos alteraciones fundamentales que explican la elevada incidencia de esta patología: la comunicación no natural con el exterior a partir de la introducción de un catéter y   la incorporación reiterativa de líquidos dentro de la</w:t>
      </w:r>
      <w:r>
        <w:rPr>
          <w:color w:val="231F20"/>
          <w:spacing w:val="26"/>
        </w:rPr>
        <w:t> </w:t>
      </w:r>
      <w:r>
        <w:rPr>
          <w:color w:val="231F20"/>
        </w:rPr>
        <w:t>cavidad.</w:t>
      </w:r>
    </w:p>
    <w:p>
      <w:pPr>
        <w:pStyle w:val="BodyText"/>
        <w:spacing w:before="1"/>
        <w:rPr>
          <w:sz w:val="26"/>
        </w:rPr>
      </w:pPr>
    </w:p>
    <w:p>
      <w:pPr>
        <w:pStyle w:val="BodyText"/>
        <w:spacing w:line="242" w:lineRule="auto"/>
        <w:ind w:left="865" w:right="863"/>
        <w:jc w:val="both"/>
      </w:pPr>
      <w:r>
        <w:rPr>
          <w:color w:val="221A21"/>
        </w:rPr>
        <w:t>La peritonitis es la principal complicación de los pacientes sometidos a diálisis peritoneal. La infección puede tener un gran impacto en el pronóstico a largo   plazo, disminuyendo el tiempo de vida útil de la membrana</w:t>
      </w:r>
      <w:r>
        <w:rPr>
          <w:color w:val="221A21"/>
          <w:spacing w:val="37"/>
        </w:rPr>
        <w:t> </w:t>
      </w:r>
      <w:r>
        <w:rPr>
          <w:color w:val="221A21"/>
        </w:rPr>
        <w:t>peritoneal.</w:t>
      </w:r>
    </w:p>
    <w:p>
      <w:pPr>
        <w:pStyle w:val="BodyText"/>
        <w:rPr>
          <w:sz w:val="18"/>
        </w:rPr>
      </w:pPr>
    </w:p>
    <w:p>
      <w:pPr>
        <w:pStyle w:val="BodyText"/>
        <w:spacing w:line="242" w:lineRule="auto" w:before="129"/>
        <w:ind w:left="865" w:right="860"/>
        <w:jc w:val="both"/>
      </w:pPr>
      <w:r>
        <w:rPr>
          <w:color w:val="231F20"/>
        </w:rPr>
        <w:t>Alrededor del 18% de la mortalidad relacionada a infecciones en pacientes con diálisis peritoneal es resultado de peritonitis. Aunque menos del 4% de los  episodios de peritonitis terminan en muerte, la peritonitis es un "factor que contribuye" a la muerte en 16% de los pacientes en diálisis</w:t>
      </w:r>
      <w:r>
        <w:rPr>
          <w:color w:val="231F20"/>
          <w:spacing w:val="43"/>
        </w:rPr>
        <w:t> </w:t>
      </w:r>
      <w:r>
        <w:rPr>
          <w:color w:val="231F20"/>
        </w:rPr>
        <w:t>peritoneal.</w:t>
      </w:r>
    </w:p>
    <w:p>
      <w:pPr>
        <w:pStyle w:val="BodyText"/>
        <w:rPr>
          <w:sz w:val="18"/>
        </w:rPr>
      </w:pPr>
    </w:p>
    <w:p>
      <w:pPr>
        <w:pStyle w:val="BodyText"/>
        <w:spacing w:line="242" w:lineRule="auto" w:before="129"/>
        <w:ind w:left="865" w:right="862"/>
        <w:jc w:val="both"/>
      </w:pPr>
      <w:r>
        <w:rPr>
          <w:color w:val="231F20"/>
        </w:rPr>
        <w:t>Además, la peritonitis severa y prolongada puede llevar al fracaso de la membrana peritoneal y por ende, fracaso a la diálisis peritoneal.</w:t>
      </w:r>
    </w:p>
    <w:p>
      <w:pPr>
        <w:pStyle w:val="BodyText"/>
        <w:rPr>
          <w:sz w:val="18"/>
        </w:rPr>
      </w:pPr>
    </w:p>
    <w:p>
      <w:pPr>
        <w:pStyle w:val="BodyText"/>
        <w:spacing w:line="220" w:lineRule="exact" w:before="131"/>
        <w:ind w:left="865" w:right="858"/>
        <w:jc w:val="both"/>
      </w:pPr>
      <w:r>
        <w:rPr>
          <w:color w:val="231F20"/>
        </w:rPr>
        <w:t>La peritonitis sigue siendo una causa importante de interrupción en diálisis peritoneal y el siguiente paso a hemodiálisis. Por lo tanto, la  comunidad  con diálisis peritoneal, sigue siendo el centro de atención en la prevención  y  tratamiento de infección relacionada a diálisis peritoneal </w:t>
      </w:r>
      <w:r>
        <w:rPr>
          <w:color w:val="231F20"/>
          <w:position w:val="9"/>
          <w:sz w:val="13"/>
        </w:rPr>
        <w:t>(1, 2, 3,</w:t>
      </w:r>
      <w:r>
        <w:rPr>
          <w:color w:val="231F20"/>
          <w:spacing w:val="8"/>
          <w:position w:val="9"/>
          <w:sz w:val="13"/>
        </w:rPr>
        <w:t> </w:t>
      </w:r>
      <w:r>
        <w:rPr>
          <w:color w:val="231F20"/>
          <w:position w:val="9"/>
          <w:sz w:val="13"/>
        </w:rPr>
        <w:t>4)</w:t>
      </w:r>
      <w:r>
        <w:rPr>
          <w:color w:val="231F20"/>
        </w:rPr>
        <w:t>.</w:t>
      </w:r>
    </w:p>
    <w:p>
      <w:pPr>
        <w:pStyle w:val="BodyText"/>
        <w:spacing w:before="1"/>
        <w:rPr>
          <w:sz w:val="29"/>
        </w:rPr>
      </w:pPr>
    </w:p>
    <w:p>
      <w:pPr>
        <w:pStyle w:val="BodyText"/>
        <w:spacing w:line="242" w:lineRule="auto"/>
        <w:ind w:left="865" w:right="862"/>
        <w:jc w:val="both"/>
      </w:pPr>
      <w:r>
        <w:rPr>
          <w:color w:val="231F20"/>
        </w:rPr>
        <w:t>El tratamiento de peritonitis debe aspirar a una rápida resolución de la inflamación  y preservar la función de la membrana</w:t>
      </w:r>
      <w:r>
        <w:rPr>
          <w:color w:val="231F20"/>
          <w:spacing w:val="30"/>
        </w:rPr>
        <w:t> </w:t>
      </w:r>
      <w:r>
        <w:rPr>
          <w:color w:val="231F20"/>
        </w:rPr>
        <w:t>peritoneal.</w:t>
      </w:r>
    </w:p>
    <w:p>
      <w:pPr>
        <w:pStyle w:val="BodyText"/>
        <w:spacing w:before="3"/>
        <w:rPr>
          <w:sz w:val="24"/>
        </w:rPr>
      </w:pPr>
    </w:p>
    <w:p>
      <w:pPr>
        <w:pStyle w:val="Heading1"/>
        <w:jc w:val="both"/>
      </w:pPr>
      <w:r>
        <w:rPr>
          <w:color w:val="231F20"/>
        </w:rPr>
        <w:t>Tasa de peritonitis</w:t>
      </w:r>
    </w:p>
    <w:p>
      <w:pPr>
        <w:pStyle w:val="BodyText"/>
        <w:spacing w:before="6"/>
        <w:rPr>
          <w:b/>
        </w:rPr>
      </w:pPr>
    </w:p>
    <w:p>
      <w:pPr>
        <w:pStyle w:val="BodyText"/>
        <w:spacing w:line="220" w:lineRule="exact" w:before="1"/>
        <w:ind w:left="865" w:right="866"/>
        <w:jc w:val="both"/>
      </w:pPr>
      <w:r>
        <w:rPr>
          <w:color w:val="231F20"/>
        </w:rPr>
        <w:t>Todos los programas de diálisis peritoneal deben monitorear regularmente la tasa de  infecciones, como mínimo, sobre una base anual </w:t>
      </w:r>
      <w:r>
        <w:rPr>
          <w:color w:val="231F20"/>
          <w:position w:val="9"/>
          <w:sz w:val="13"/>
        </w:rPr>
        <w:t>(4, 5, 6)</w:t>
      </w:r>
      <w:r>
        <w:rPr>
          <w:color w:val="231F20"/>
        </w:rPr>
        <w:t>.</w:t>
      </w:r>
    </w:p>
    <w:p>
      <w:pPr>
        <w:pStyle w:val="BodyText"/>
        <w:spacing w:before="1"/>
        <w:rPr>
          <w:sz w:val="26"/>
        </w:rPr>
      </w:pPr>
    </w:p>
    <w:p>
      <w:pPr>
        <w:pStyle w:val="BodyText"/>
        <w:spacing w:line="242" w:lineRule="auto"/>
        <w:ind w:left="865" w:right="858"/>
        <w:jc w:val="both"/>
      </w:pPr>
      <w:r>
        <w:rPr>
          <w:color w:val="231F20"/>
        </w:rPr>
        <w:t>Los programas deben monitorear cuidadosamente todas las infecciones relacionadas con diálisis peritoneal, tanto las infecciones del sitio de salida y las peritonitis propiamente dichas, incluyendo la causa presunta y los organismos cultivados, como parte de una mejora continua en la calidad del programa.</w:t>
      </w:r>
    </w:p>
    <w:p>
      <w:pPr>
        <w:spacing w:after="0" w:line="242"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line="242" w:lineRule="auto" w:before="77"/>
        <w:ind w:left="865" w:right="860"/>
        <w:jc w:val="both"/>
      </w:pPr>
      <w:r>
        <w:rPr>
          <w:color w:val="231F20"/>
        </w:rPr>
        <w:t>Los microorganismos causales, su sensibilidad a los antibióticos, y supuesta etiología deben ser revisados de manera regular por el equipo de diálisis  peritoneal, incluyendo tanto a médicos como a enfermeras, y en su caso, el asistente médico o de</w:t>
      </w:r>
      <w:r>
        <w:rPr>
          <w:color w:val="231F20"/>
          <w:spacing w:val="18"/>
        </w:rPr>
        <w:t> </w:t>
      </w:r>
      <w:r>
        <w:rPr>
          <w:color w:val="231F20"/>
        </w:rPr>
        <w:t>enfermería.</w:t>
      </w:r>
    </w:p>
    <w:p>
      <w:pPr>
        <w:pStyle w:val="BodyText"/>
        <w:rPr>
          <w:sz w:val="18"/>
        </w:rPr>
      </w:pPr>
    </w:p>
    <w:p>
      <w:pPr>
        <w:pStyle w:val="BodyText"/>
        <w:spacing w:line="242" w:lineRule="auto" w:before="129"/>
        <w:ind w:left="865" w:right="863"/>
        <w:jc w:val="both"/>
      </w:pPr>
      <w:r>
        <w:rPr>
          <w:color w:val="231F20"/>
        </w:rPr>
        <w:t>De esta manera, las intervenciones pueden ser llevadas a cabo si las tasas de infección están aumentando.</w:t>
      </w:r>
    </w:p>
    <w:p>
      <w:pPr>
        <w:pStyle w:val="BodyText"/>
        <w:rPr>
          <w:sz w:val="18"/>
        </w:rPr>
      </w:pPr>
    </w:p>
    <w:p>
      <w:pPr>
        <w:pStyle w:val="BodyText"/>
        <w:spacing w:before="129"/>
        <w:ind w:left="865"/>
        <w:jc w:val="both"/>
      </w:pPr>
      <w:r>
        <w:rPr>
          <w:color w:val="231F20"/>
        </w:rPr>
        <w:t>La Tabla 1 proporciona un método sencillo para calcular las tasas de infección:</w:t>
      </w:r>
    </w:p>
    <w:p>
      <w:pPr>
        <w:pStyle w:val="BodyText"/>
        <w:rPr>
          <w:sz w:val="18"/>
        </w:rPr>
      </w:pPr>
    </w:p>
    <w:p>
      <w:pPr>
        <w:pStyle w:val="BodyText"/>
        <w:spacing w:before="131"/>
        <w:ind w:left="1135" w:right="1134"/>
        <w:jc w:val="center"/>
      </w:pPr>
      <w:r>
        <w:rPr/>
        <w:pict>
          <v:shape style="position:absolute;margin-left:126.019012pt;margin-top:20.740091pt;width:369.7pt;height:135pt;mso-position-horizontal-relative:page;mso-position-vertical-relative:paragraph;z-index:1048;mso-wrap-distance-left:0;mso-wrap-distance-right:0" type="#_x0000_t202" filled="false" stroked="true" strokeweight=".38397pt" strokecolor="#231f20">
            <v:textbox inset="0,0,0,0">
              <w:txbxContent>
                <w:p>
                  <w:pPr>
                    <w:spacing w:line="242" w:lineRule="exact" w:before="0"/>
                    <w:ind w:left="117" w:right="0" w:firstLine="0"/>
                    <w:jc w:val="left"/>
                    <w:rPr>
                      <w:b/>
                      <w:sz w:val="13"/>
                    </w:rPr>
                  </w:pPr>
                  <w:r>
                    <w:rPr>
                      <w:b/>
                      <w:color w:val="231F20"/>
                      <w:sz w:val="19"/>
                    </w:rPr>
                    <w:t>Métodos para reportar infecciones relacionadas a diálisis peritoneal </w:t>
                  </w:r>
                  <w:r>
                    <w:rPr>
                      <w:b/>
                      <w:color w:val="231F20"/>
                      <w:position w:val="9"/>
                      <w:sz w:val="13"/>
                    </w:rPr>
                    <w:t>(6)</w:t>
                  </w:r>
                </w:p>
                <w:p>
                  <w:pPr>
                    <w:pStyle w:val="BodyText"/>
                    <w:spacing w:before="10"/>
                    <w:rPr>
                      <w:sz w:val="29"/>
                    </w:rPr>
                  </w:pPr>
                </w:p>
                <w:p>
                  <w:pPr>
                    <w:pStyle w:val="ListParagraph"/>
                    <w:numPr>
                      <w:ilvl w:val="0"/>
                      <w:numId w:val="5"/>
                    </w:numPr>
                    <w:tabs>
                      <w:tab w:pos="373" w:val="left" w:leader="none"/>
                    </w:tabs>
                    <w:spacing w:line="240" w:lineRule="auto" w:before="0" w:after="0"/>
                    <w:ind w:left="401" w:right="0" w:hanging="227"/>
                    <w:jc w:val="left"/>
                    <w:rPr>
                      <w:sz w:val="17"/>
                    </w:rPr>
                  </w:pPr>
                  <w:r>
                    <w:rPr>
                      <w:color w:val="231F20"/>
                      <w:w w:val="105"/>
                      <w:sz w:val="17"/>
                    </w:rPr>
                    <w:t>Como</w:t>
                  </w:r>
                  <w:r>
                    <w:rPr>
                      <w:color w:val="231F20"/>
                      <w:spacing w:val="-11"/>
                      <w:w w:val="105"/>
                      <w:sz w:val="17"/>
                    </w:rPr>
                    <w:t> </w:t>
                  </w:r>
                  <w:r>
                    <w:rPr>
                      <w:color w:val="231F20"/>
                      <w:w w:val="105"/>
                      <w:sz w:val="17"/>
                    </w:rPr>
                    <w:t>tasas</w:t>
                  </w:r>
                  <w:r>
                    <w:rPr>
                      <w:color w:val="231F20"/>
                      <w:spacing w:val="-11"/>
                      <w:w w:val="105"/>
                      <w:sz w:val="17"/>
                    </w:rPr>
                    <w:t> </w:t>
                  </w:r>
                  <w:r>
                    <w:rPr>
                      <w:color w:val="231F20"/>
                      <w:w w:val="105"/>
                      <w:sz w:val="17"/>
                    </w:rPr>
                    <w:t>(calculado</w:t>
                  </w:r>
                  <w:r>
                    <w:rPr>
                      <w:color w:val="231F20"/>
                      <w:spacing w:val="-10"/>
                      <w:w w:val="105"/>
                      <w:sz w:val="17"/>
                    </w:rPr>
                    <w:t> </w:t>
                  </w:r>
                  <w:r>
                    <w:rPr>
                      <w:color w:val="231F20"/>
                      <w:w w:val="105"/>
                      <w:sz w:val="17"/>
                    </w:rPr>
                    <w:t>para</w:t>
                  </w:r>
                  <w:r>
                    <w:rPr>
                      <w:color w:val="231F20"/>
                      <w:spacing w:val="-12"/>
                      <w:w w:val="105"/>
                      <w:sz w:val="17"/>
                    </w:rPr>
                    <w:t> </w:t>
                  </w:r>
                  <w:r>
                    <w:rPr>
                      <w:color w:val="231F20"/>
                      <w:w w:val="105"/>
                      <w:sz w:val="17"/>
                    </w:rPr>
                    <w:t>todas</w:t>
                  </w:r>
                  <w:r>
                    <w:rPr>
                      <w:color w:val="231F20"/>
                      <w:spacing w:val="-12"/>
                      <w:w w:val="105"/>
                      <w:sz w:val="17"/>
                    </w:rPr>
                    <w:t> </w:t>
                  </w:r>
                  <w:r>
                    <w:rPr>
                      <w:color w:val="231F20"/>
                      <w:w w:val="105"/>
                      <w:sz w:val="17"/>
                    </w:rPr>
                    <w:t>las</w:t>
                  </w:r>
                  <w:r>
                    <w:rPr>
                      <w:color w:val="231F20"/>
                      <w:spacing w:val="-10"/>
                      <w:w w:val="105"/>
                      <w:sz w:val="17"/>
                    </w:rPr>
                    <w:t> </w:t>
                  </w:r>
                  <w:r>
                    <w:rPr>
                      <w:color w:val="231F20"/>
                      <w:w w:val="105"/>
                      <w:sz w:val="17"/>
                    </w:rPr>
                    <w:t>infecciones</w:t>
                  </w:r>
                  <w:r>
                    <w:rPr>
                      <w:color w:val="231F20"/>
                      <w:spacing w:val="-10"/>
                      <w:w w:val="105"/>
                      <w:sz w:val="17"/>
                    </w:rPr>
                    <w:t> </w:t>
                  </w:r>
                  <w:r>
                    <w:rPr>
                      <w:color w:val="231F20"/>
                      <w:w w:val="105"/>
                      <w:sz w:val="17"/>
                    </w:rPr>
                    <w:t>y</w:t>
                  </w:r>
                  <w:r>
                    <w:rPr>
                      <w:color w:val="231F20"/>
                      <w:spacing w:val="-11"/>
                      <w:w w:val="105"/>
                      <w:sz w:val="17"/>
                    </w:rPr>
                    <w:t> </w:t>
                  </w:r>
                  <w:r>
                    <w:rPr>
                      <w:color w:val="231F20"/>
                      <w:w w:val="105"/>
                      <w:sz w:val="17"/>
                    </w:rPr>
                    <w:t>cada</w:t>
                  </w:r>
                  <w:r>
                    <w:rPr>
                      <w:color w:val="231F20"/>
                      <w:spacing w:val="-10"/>
                      <w:w w:val="105"/>
                      <w:sz w:val="17"/>
                    </w:rPr>
                    <w:t> </w:t>
                  </w:r>
                  <w:r>
                    <w:rPr>
                      <w:color w:val="231F20"/>
                      <w:w w:val="105"/>
                      <w:sz w:val="17"/>
                    </w:rPr>
                    <w:t>organismo):</w:t>
                  </w:r>
                </w:p>
                <w:p>
                  <w:pPr>
                    <w:pStyle w:val="ListParagraph"/>
                    <w:numPr>
                      <w:ilvl w:val="1"/>
                      <w:numId w:val="5"/>
                    </w:numPr>
                    <w:tabs>
                      <w:tab w:pos="809" w:val="left" w:leader="none"/>
                    </w:tabs>
                    <w:spacing w:line="240" w:lineRule="auto" w:before="63" w:after="0"/>
                    <w:ind w:left="683" w:right="0" w:firstLine="0"/>
                    <w:jc w:val="left"/>
                    <w:rPr>
                      <w:sz w:val="17"/>
                    </w:rPr>
                  </w:pPr>
                  <w:r>
                    <w:rPr>
                      <w:color w:val="231F20"/>
                      <w:w w:val="105"/>
                      <w:sz w:val="17"/>
                    </w:rPr>
                    <w:t>Los meses de diálisis peritoneal en situación de riesgo, dividido por el número </w:t>
                  </w:r>
                  <w:r>
                    <w:rPr>
                      <w:color w:val="231F20"/>
                      <w:spacing w:val="5"/>
                      <w:w w:val="105"/>
                      <w:sz w:val="17"/>
                    </w:rPr>
                    <w:t> </w:t>
                  </w:r>
                  <w:r>
                    <w:rPr>
                      <w:color w:val="231F20"/>
                      <w:w w:val="105"/>
                      <w:sz w:val="17"/>
                    </w:rPr>
                    <w:t>de</w:t>
                  </w:r>
                </w:p>
                <w:p>
                  <w:pPr>
                    <w:spacing w:before="8"/>
                    <w:ind w:left="683" w:right="0" w:firstLine="0"/>
                    <w:jc w:val="left"/>
                    <w:rPr>
                      <w:sz w:val="17"/>
                    </w:rPr>
                  </w:pPr>
                  <w:r>
                    <w:rPr>
                      <w:color w:val="231F20"/>
                      <w:w w:val="105"/>
                      <w:sz w:val="17"/>
                    </w:rPr>
                    <w:t>episodios, y se expresa como el intervalo en meses entre episodios</w:t>
                  </w:r>
                </w:p>
                <w:p>
                  <w:pPr>
                    <w:pStyle w:val="ListParagraph"/>
                    <w:numPr>
                      <w:ilvl w:val="1"/>
                      <w:numId w:val="5"/>
                    </w:numPr>
                    <w:tabs>
                      <w:tab w:pos="813" w:val="left" w:leader="none"/>
                    </w:tabs>
                    <w:spacing w:line="249" w:lineRule="auto" w:before="63" w:after="0"/>
                    <w:ind w:left="683" w:right="52" w:firstLine="0"/>
                    <w:jc w:val="left"/>
                    <w:rPr>
                      <w:sz w:val="17"/>
                    </w:rPr>
                  </w:pPr>
                  <w:r>
                    <w:rPr>
                      <w:color w:val="231F20"/>
                      <w:w w:val="105"/>
                      <w:sz w:val="17"/>
                    </w:rPr>
                    <w:t>Número de infecciones por organismo en un período de tiempo, dividido en años de</w:t>
                  </w:r>
                  <w:r>
                    <w:rPr>
                      <w:color w:val="231F20"/>
                      <w:spacing w:val="-10"/>
                      <w:w w:val="105"/>
                      <w:sz w:val="17"/>
                    </w:rPr>
                    <w:t> </w:t>
                  </w:r>
                  <w:r>
                    <w:rPr>
                      <w:color w:val="231F20"/>
                      <w:w w:val="105"/>
                      <w:sz w:val="17"/>
                    </w:rPr>
                    <w:t>diálisis</w:t>
                  </w:r>
                  <w:r>
                    <w:rPr>
                      <w:color w:val="231F20"/>
                      <w:spacing w:val="-10"/>
                      <w:w w:val="105"/>
                      <w:sz w:val="17"/>
                    </w:rPr>
                    <w:t> </w:t>
                  </w:r>
                  <w:r>
                    <w:rPr>
                      <w:color w:val="231F20"/>
                      <w:w w:val="105"/>
                      <w:sz w:val="17"/>
                    </w:rPr>
                    <w:t>en</w:t>
                  </w:r>
                  <w:r>
                    <w:rPr>
                      <w:color w:val="231F20"/>
                      <w:spacing w:val="-10"/>
                      <w:w w:val="105"/>
                      <w:sz w:val="17"/>
                    </w:rPr>
                    <w:t> </w:t>
                  </w:r>
                  <w:r>
                    <w:rPr>
                      <w:color w:val="231F20"/>
                      <w:w w:val="105"/>
                      <w:sz w:val="17"/>
                    </w:rPr>
                    <w:t>situación</w:t>
                  </w:r>
                  <w:r>
                    <w:rPr>
                      <w:color w:val="231F20"/>
                      <w:spacing w:val="-10"/>
                      <w:w w:val="105"/>
                      <w:sz w:val="17"/>
                    </w:rPr>
                    <w:t> </w:t>
                  </w:r>
                  <w:r>
                    <w:rPr>
                      <w:color w:val="231F20"/>
                      <w:w w:val="105"/>
                      <w:sz w:val="17"/>
                    </w:rPr>
                    <w:t>de</w:t>
                  </w:r>
                  <w:r>
                    <w:rPr>
                      <w:color w:val="231F20"/>
                      <w:spacing w:val="-10"/>
                      <w:w w:val="105"/>
                      <w:sz w:val="17"/>
                    </w:rPr>
                    <w:t> </w:t>
                  </w:r>
                  <w:r>
                    <w:rPr>
                      <w:color w:val="231F20"/>
                      <w:w w:val="105"/>
                      <w:sz w:val="17"/>
                    </w:rPr>
                    <w:t>riesgo,</w:t>
                  </w:r>
                  <w:r>
                    <w:rPr>
                      <w:color w:val="231F20"/>
                      <w:spacing w:val="-12"/>
                      <w:w w:val="105"/>
                      <w:sz w:val="17"/>
                    </w:rPr>
                    <w:t> </w:t>
                  </w:r>
                  <w:r>
                    <w:rPr>
                      <w:color w:val="231F20"/>
                      <w:w w:val="105"/>
                      <w:sz w:val="17"/>
                    </w:rPr>
                    <w:t>y</w:t>
                  </w:r>
                  <w:r>
                    <w:rPr>
                      <w:color w:val="231F20"/>
                      <w:spacing w:val="-11"/>
                      <w:w w:val="105"/>
                      <w:sz w:val="17"/>
                    </w:rPr>
                    <w:t> </w:t>
                  </w:r>
                  <w:r>
                    <w:rPr>
                      <w:color w:val="231F20"/>
                      <w:w w:val="105"/>
                      <w:sz w:val="17"/>
                    </w:rPr>
                    <w:t>se</w:t>
                  </w:r>
                  <w:r>
                    <w:rPr>
                      <w:color w:val="231F20"/>
                      <w:spacing w:val="-10"/>
                      <w:w w:val="105"/>
                      <w:sz w:val="17"/>
                    </w:rPr>
                    <w:t> </w:t>
                  </w:r>
                  <w:r>
                    <w:rPr>
                      <w:color w:val="231F20"/>
                      <w:w w:val="105"/>
                      <w:sz w:val="17"/>
                    </w:rPr>
                    <w:t>expresa</w:t>
                  </w:r>
                  <w:r>
                    <w:rPr>
                      <w:color w:val="231F20"/>
                      <w:spacing w:val="-11"/>
                      <w:w w:val="105"/>
                      <w:sz w:val="17"/>
                    </w:rPr>
                    <w:t> </w:t>
                  </w:r>
                  <w:r>
                    <w:rPr>
                      <w:color w:val="231F20"/>
                      <w:w w:val="105"/>
                      <w:sz w:val="17"/>
                    </w:rPr>
                    <w:t>como</w:t>
                  </w:r>
                  <w:r>
                    <w:rPr>
                      <w:color w:val="231F20"/>
                      <w:spacing w:val="-10"/>
                      <w:w w:val="105"/>
                      <w:sz w:val="17"/>
                    </w:rPr>
                    <w:t> </w:t>
                  </w:r>
                  <w:r>
                    <w:rPr>
                      <w:color w:val="231F20"/>
                      <w:w w:val="105"/>
                      <w:sz w:val="17"/>
                    </w:rPr>
                    <w:t>episodios</w:t>
                  </w:r>
                  <w:r>
                    <w:rPr>
                      <w:color w:val="231F20"/>
                      <w:spacing w:val="-10"/>
                      <w:w w:val="105"/>
                      <w:sz w:val="17"/>
                    </w:rPr>
                    <w:t> </w:t>
                  </w:r>
                  <w:r>
                    <w:rPr>
                      <w:color w:val="231F20"/>
                      <w:w w:val="105"/>
                      <w:sz w:val="17"/>
                    </w:rPr>
                    <w:t>por</w:t>
                  </w:r>
                  <w:r>
                    <w:rPr>
                      <w:color w:val="231F20"/>
                      <w:spacing w:val="-10"/>
                      <w:w w:val="105"/>
                      <w:sz w:val="17"/>
                    </w:rPr>
                    <w:t> </w:t>
                  </w:r>
                  <w:r>
                    <w:rPr>
                      <w:color w:val="231F20"/>
                      <w:w w:val="105"/>
                      <w:sz w:val="17"/>
                    </w:rPr>
                    <w:t>año</w:t>
                  </w:r>
                </w:p>
                <w:p>
                  <w:pPr>
                    <w:pStyle w:val="ListParagraph"/>
                    <w:numPr>
                      <w:ilvl w:val="0"/>
                      <w:numId w:val="5"/>
                    </w:numPr>
                    <w:tabs>
                      <w:tab w:pos="409" w:val="left" w:leader="none"/>
                    </w:tabs>
                    <w:spacing w:line="247" w:lineRule="auto" w:before="56" w:after="0"/>
                    <w:ind w:left="401" w:right="55" w:hanging="227"/>
                    <w:jc w:val="left"/>
                    <w:rPr>
                      <w:sz w:val="17"/>
                    </w:rPr>
                  </w:pPr>
                  <w:r>
                    <w:rPr>
                      <w:color w:val="231F20"/>
                      <w:w w:val="105"/>
                      <w:sz w:val="17"/>
                    </w:rPr>
                    <w:t>Como porcentaje de pacientes quienes están libres de peritonitis por un período de tiempo.</w:t>
                  </w:r>
                </w:p>
                <w:p>
                  <w:pPr>
                    <w:pStyle w:val="ListParagraph"/>
                    <w:numPr>
                      <w:ilvl w:val="0"/>
                      <w:numId w:val="5"/>
                    </w:numPr>
                    <w:tabs>
                      <w:tab w:pos="376" w:val="left" w:leader="none"/>
                    </w:tabs>
                    <w:spacing w:line="247" w:lineRule="auto" w:before="60" w:after="0"/>
                    <w:ind w:left="401" w:right="52" w:hanging="227"/>
                    <w:jc w:val="left"/>
                    <w:rPr>
                      <w:sz w:val="17"/>
                    </w:rPr>
                  </w:pPr>
                  <w:r>
                    <w:rPr>
                      <w:color w:val="231F20"/>
                      <w:w w:val="105"/>
                      <w:sz w:val="17"/>
                    </w:rPr>
                    <w:t>Como</w:t>
                  </w:r>
                  <w:r>
                    <w:rPr>
                      <w:color w:val="231F20"/>
                      <w:spacing w:val="-4"/>
                      <w:w w:val="105"/>
                      <w:sz w:val="17"/>
                    </w:rPr>
                    <w:t> </w:t>
                  </w:r>
                  <w:r>
                    <w:rPr>
                      <w:color w:val="231F20"/>
                      <w:w w:val="105"/>
                      <w:sz w:val="17"/>
                    </w:rPr>
                    <w:t>la</w:t>
                  </w:r>
                  <w:r>
                    <w:rPr>
                      <w:color w:val="231F20"/>
                      <w:spacing w:val="-4"/>
                      <w:w w:val="105"/>
                      <w:sz w:val="17"/>
                    </w:rPr>
                    <w:t> </w:t>
                  </w:r>
                  <w:r>
                    <w:rPr>
                      <w:color w:val="231F20"/>
                      <w:w w:val="105"/>
                      <w:sz w:val="17"/>
                    </w:rPr>
                    <w:t>tasa</w:t>
                  </w:r>
                  <w:r>
                    <w:rPr>
                      <w:color w:val="231F20"/>
                      <w:spacing w:val="-4"/>
                      <w:w w:val="105"/>
                      <w:sz w:val="17"/>
                    </w:rPr>
                    <w:t> </w:t>
                  </w:r>
                  <w:r>
                    <w:rPr>
                      <w:color w:val="231F20"/>
                      <w:w w:val="105"/>
                      <w:sz w:val="17"/>
                    </w:rPr>
                    <w:t>de</w:t>
                  </w:r>
                  <w:r>
                    <w:rPr>
                      <w:color w:val="231F20"/>
                      <w:spacing w:val="-4"/>
                      <w:w w:val="105"/>
                      <w:sz w:val="17"/>
                    </w:rPr>
                    <w:t> </w:t>
                  </w:r>
                  <w:r>
                    <w:rPr>
                      <w:color w:val="231F20"/>
                      <w:w w:val="105"/>
                      <w:sz w:val="17"/>
                    </w:rPr>
                    <w:t>peritonitis</w:t>
                  </w:r>
                  <w:r>
                    <w:rPr>
                      <w:color w:val="231F20"/>
                      <w:spacing w:val="-4"/>
                      <w:w w:val="105"/>
                      <w:sz w:val="17"/>
                    </w:rPr>
                    <w:t> </w:t>
                  </w:r>
                  <w:r>
                    <w:rPr>
                      <w:color w:val="231F20"/>
                      <w:w w:val="105"/>
                      <w:sz w:val="17"/>
                    </w:rPr>
                    <w:t>promedio</w:t>
                  </w:r>
                  <w:r>
                    <w:rPr>
                      <w:color w:val="231F20"/>
                      <w:spacing w:val="-4"/>
                      <w:w w:val="105"/>
                      <w:sz w:val="17"/>
                    </w:rPr>
                    <w:t> </w:t>
                  </w:r>
                  <w:r>
                    <w:rPr>
                      <w:color w:val="231F20"/>
                      <w:w w:val="105"/>
                      <w:sz w:val="17"/>
                    </w:rPr>
                    <w:t>(cálculo</w:t>
                  </w:r>
                  <w:r>
                    <w:rPr>
                      <w:color w:val="231F20"/>
                      <w:spacing w:val="-4"/>
                      <w:w w:val="105"/>
                      <w:sz w:val="17"/>
                    </w:rPr>
                    <w:t> </w:t>
                  </w:r>
                  <w:r>
                    <w:rPr>
                      <w:color w:val="231F20"/>
                      <w:w w:val="105"/>
                      <w:sz w:val="17"/>
                    </w:rPr>
                    <w:t>de</w:t>
                  </w:r>
                  <w:r>
                    <w:rPr>
                      <w:color w:val="231F20"/>
                      <w:spacing w:val="-5"/>
                      <w:w w:val="105"/>
                      <w:sz w:val="17"/>
                    </w:rPr>
                    <w:t> </w:t>
                  </w:r>
                  <w:r>
                    <w:rPr>
                      <w:color w:val="231F20"/>
                      <w:w w:val="105"/>
                      <w:sz w:val="17"/>
                    </w:rPr>
                    <w:t>tasa</w:t>
                  </w:r>
                  <w:r>
                    <w:rPr>
                      <w:color w:val="231F20"/>
                      <w:spacing w:val="-5"/>
                      <w:w w:val="105"/>
                      <w:sz w:val="17"/>
                    </w:rPr>
                    <w:t> </w:t>
                  </w:r>
                  <w:r>
                    <w:rPr>
                      <w:color w:val="231F20"/>
                      <w:w w:val="105"/>
                      <w:sz w:val="17"/>
                    </w:rPr>
                    <w:t>de</w:t>
                  </w:r>
                  <w:r>
                    <w:rPr>
                      <w:color w:val="231F20"/>
                      <w:spacing w:val="-5"/>
                      <w:w w:val="105"/>
                      <w:sz w:val="17"/>
                    </w:rPr>
                    <w:t> </w:t>
                  </w:r>
                  <w:r>
                    <w:rPr>
                      <w:color w:val="231F20"/>
                      <w:w w:val="105"/>
                      <w:sz w:val="17"/>
                    </w:rPr>
                    <w:t>peritonitis</w:t>
                  </w:r>
                  <w:r>
                    <w:rPr>
                      <w:color w:val="231F20"/>
                      <w:spacing w:val="-4"/>
                      <w:w w:val="105"/>
                      <w:sz w:val="17"/>
                    </w:rPr>
                    <w:t> </w:t>
                  </w:r>
                  <w:r>
                    <w:rPr>
                      <w:color w:val="231F20"/>
                      <w:w w:val="105"/>
                      <w:sz w:val="17"/>
                    </w:rPr>
                    <w:t>para</w:t>
                  </w:r>
                  <w:r>
                    <w:rPr>
                      <w:color w:val="231F20"/>
                      <w:spacing w:val="-4"/>
                      <w:w w:val="105"/>
                      <w:sz w:val="17"/>
                    </w:rPr>
                    <w:t> </w:t>
                  </w:r>
                  <w:r>
                    <w:rPr>
                      <w:color w:val="231F20"/>
                      <w:w w:val="105"/>
                      <w:sz w:val="17"/>
                    </w:rPr>
                    <w:t>cada</w:t>
                  </w:r>
                  <w:r>
                    <w:rPr>
                      <w:color w:val="231F20"/>
                      <w:spacing w:val="-4"/>
                      <w:w w:val="105"/>
                      <w:sz w:val="17"/>
                    </w:rPr>
                    <w:t> </w:t>
                  </w:r>
                  <w:r>
                    <w:rPr>
                      <w:color w:val="231F20"/>
                      <w:w w:val="105"/>
                      <w:sz w:val="17"/>
                    </w:rPr>
                    <w:t>paciente</w:t>
                  </w:r>
                  <w:r>
                    <w:rPr>
                      <w:color w:val="231F20"/>
                      <w:spacing w:val="-4"/>
                      <w:w w:val="105"/>
                      <w:sz w:val="17"/>
                    </w:rPr>
                    <w:t> </w:t>
                  </w:r>
                  <w:r>
                    <w:rPr>
                      <w:color w:val="231F20"/>
                      <w:w w:val="105"/>
                      <w:sz w:val="17"/>
                    </w:rPr>
                    <w:t>y luego</w:t>
                  </w:r>
                  <w:r>
                    <w:rPr>
                      <w:color w:val="231F20"/>
                      <w:spacing w:val="-11"/>
                      <w:w w:val="105"/>
                      <w:sz w:val="17"/>
                    </w:rPr>
                    <w:t> </w:t>
                  </w:r>
                  <w:r>
                    <w:rPr>
                      <w:color w:val="231F20"/>
                      <w:w w:val="105"/>
                      <w:sz w:val="17"/>
                    </w:rPr>
                    <w:t>obtener</w:t>
                  </w:r>
                  <w:r>
                    <w:rPr>
                      <w:color w:val="231F20"/>
                      <w:spacing w:val="-12"/>
                      <w:w w:val="105"/>
                      <w:sz w:val="17"/>
                    </w:rPr>
                    <w:t> </w:t>
                  </w:r>
                  <w:r>
                    <w:rPr>
                      <w:color w:val="231F20"/>
                      <w:w w:val="105"/>
                      <w:sz w:val="17"/>
                    </w:rPr>
                    <w:t>la</w:t>
                  </w:r>
                  <w:r>
                    <w:rPr>
                      <w:color w:val="231F20"/>
                      <w:spacing w:val="-12"/>
                      <w:w w:val="105"/>
                      <w:sz w:val="17"/>
                    </w:rPr>
                    <w:t> </w:t>
                  </w:r>
                  <w:r>
                    <w:rPr>
                      <w:color w:val="231F20"/>
                      <w:w w:val="105"/>
                      <w:sz w:val="17"/>
                    </w:rPr>
                    <w:t>mediana</w:t>
                  </w:r>
                  <w:r>
                    <w:rPr>
                      <w:color w:val="231F20"/>
                      <w:spacing w:val="-11"/>
                      <w:w w:val="105"/>
                      <w:sz w:val="17"/>
                    </w:rPr>
                    <w:t> </w:t>
                  </w:r>
                  <w:r>
                    <w:rPr>
                      <w:color w:val="231F20"/>
                      <w:w w:val="105"/>
                      <w:sz w:val="17"/>
                    </w:rPr>
                    <w:t>de</w:t>
                  </w:r>
                  <w:r>
                    <w:rPr>
                      <w:color w:val="231F20"/>
                      <w:spacing w:val="-11"/>
                      <w:w w:val="105"/>
                      <w:sz w:val="17"/>
                    </w:rPr>
                    <w:t> </w:t>
                  </w:r>
                  <w:r>
                    <w:rPr>
                      <w:color w:val="231F20"/>
                      <w:w w:val="105"/>
                      <w:sz w:val="17"/>
                    </w:rPr>
                    <w:t>esas</w:t>
                  </w:r>
                  <w:r>
                    <w:rPr>
                      <w:color w:val="231F20"/>
                      <w:spacing w:val="-14"/>
                      <w:w w:val="105"/>
                      <w:sz w:val="17"/>
                    </w:rPr>
                    <w:t> </w:t>
                  </w:r>
                  <w:r>
                    <w:rPr>
                      <w:color w:val="231F20"/>
                      <w:w w:val="105"/>
                      <w:sz w:val="17"/>
                    </w:rPr>
                    <w:t>tasas)</w:t>
                  </w:r>
                </w:p>
              </w:txbxContent>
            </v:textbox>
            <w10:wrap type="topAndBottom"/>
          </v:shape>
        </w:pict>
      </w:r>
      <w:r>
        <w:rPr>
          <w:color w:val="231F20"/>
        </w:rPr>
        <w:t>Tabla 1</w:t>
      </w:r>
    </w:p>
    <w:p>
      <w:pPr>
        <w:pStyle w:val="BodyText"/>
        <w:spacing w:before="9"/>
        <w:rPr>
          <w:sz w:val="16"/>
        </w:rPr>
      </w:pPr>
    </w:p>
    <w:p>
      <w:pPr>
        <w:pStyle w:val="BodyText"/>
        <w:spacing w:line="242" w:lineRule="auto" w:before="78"/>
        <w:ind w:left="865" w:right="867"/>
        <w:jc w:val="both"/>
      </w:pPr>
      <w:r>
        <w:rPr>
          <w:color w:val="231F20"/>
        </w:rPr>
        <w:t>Las tasas de infecciones para los microorganismos también deben ser calculados  y comparados con la</w:t>
      </w:r>
      <w:r>
        <w:rPr>
          <w:color w:val="231F20"/>
          <w:spacing w:val="22"/>
        </w:rPr>
        <w:t> </w:t>
      </w:r>
      <w:r>
        <w:rPr>
          <w:color w:val="231F20"/>
        </w:rPr>
        <w:t>literatura.</w:t>
      </w:r>
    </w:p>
    <w:p>
      <w:pPr>
        <w:pStyle w:val="BodyText"/>
        <w:rPr>
          <w:sz w:val="18"/>
        </w:rPr>
      </w:pPr>
    </w:p>
    <w:p>
      <w:pPr>
        <w:pStyle w:val="BodyText"/>
        <w:spacing w:before="129"/>
        <w:ind w:left="865"/>
        <w:jc w:val="both"/>
      </w:pPr>
      <w:r>
        <w:rPr>
          <w:color w:val="231F20"/>
        </w:rPr>
        <w:t>La tasa de peritonitis del centro hospitalario no debe ser mayor de 1 episodio  cada</w:t>
      </w:r>
    </w:p>
    <w:p>
      <w:pPr>
        <w:pStyle w:val="BodyText"/>
        <w:spacing w:line="242" w:lineRule="auto" w:before="2"/>
        <w:ind w:left="865" w:right="868"/>
        <w:jc w:val="both"/>
      </w:pPr>
      <w:r>
        <w:rPr>
          <w:color w:val="231F20"/>
        </w:rPr>
        <w:t>18 meses (0.67/riesgo anual), aunque la tasa alcanzada dependerá en cierta medida del paciente en la población.</w:t>
      </w:r>
    </w:p>
    <w:p>
      <w:pPr>
        <w:pStyle w:val="BodyText"/>
        <w:rPr>
          <w:sz w:val="18"/>
        </w:rPr>
      </w:pPr>
    </w:p>
    <w:p>
      <w:pPr>
        <w:pStyle w:val="BodyText"/>
        <w:spacing w:line="220" w:lineRule="exact" w:before="131"/>
        <w:ind w:left="865" w:right="864"/>
        <w:jc w:val="both"/>
      </w:pPr>
      <w:r>
        <w:rPr>
          <w:color w:val="231F20"/>
        </w:rPr>
        <w:t>Sin embargo, las tasas globales han sido tan bajo como un episodio cada 41 a 52 meses (0,29 - 0.23/riesgo anual). El objetivo de este reporte es para que los  centros hospitalarios deban esforzarse para lograrlo</w:t>
      </w:r>
      <w:r>
        <w:rPr>
          <w:color w:val="231F20"/>
          <w:spacing w:val="25"/>
        </w:rPr>
        <w:t> </w:t>
      </w:r>
      <w:r>
        <w:rPr>
          <w:color w:val="231F20"/>
          <w:position w:val="9"/>
          <w:sz w:val="13"/>
        </w:rPr>
        <w:t>(7,8)</w:t>
      </w:r>
      <w:r>
        <w:rPr>
          <w:color w:val="231F20"/>
        </w:rPr>
        <w:t>.</w:t>
      </w:r>
    </w:p>
    <w:p>
      <w:pPr>
        <w:spacing w:after="0" w:line="220" w:lineRule="exact"/>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Heading1"/>
        <w:spacing w:before="77"/>
        <w:jc w:val="both"/>
      </w:pPr>
      <w:r>
        <w:rPr>
          <w:color w:val="231F20"/>
        </w:rPr>
        <w:t>Fisiopatología de peritonitis asociada a diálisis peritoneal</w:t>
      </w:r>
    </w:p>
    <w:p>
      <w:pPr>
        <w:pStyle w:val="BodyText"/>
        <w:rPr>
          <w:b/>
          <w:sz w:val="18"/>
        </w:rPr>
      </w:pPr>
    </w:p>
    <w:p>
      <w:pPr>
        <w:pStyle w:val="BodyText"/>
        <w:spacing w:line="242" w:lineRule="auto" w:before="131"/>
        <w:ind w:left="865" w:right="865"/>
        <w:jc w:val="both"/>
      </w:pPr>
      <w:r>
        <w:rPr>
          <w:color w:val="231F20"/>
        </w:rPr>
        <w:t>Peritonitis significa inflamación del peritoneo o parte de él, debido a estímulos mecánicos, químicos o infecciosos, siendo el más importante el de origen bacteriano. Se han descrito 4 vías de infección: intraluminal (la más frecuente), periluminal, transmural y hematógena, siendo esta última menos frecuente.</w:t>
      </w:r>
    </w:p>
    <w:p>
      <w:pPr>
        <w:pStyle w:val="BodyText"/>
        <w:rPr>
          <w:sz w:val="18"/>
        </w:rPr>
      </w:pPr>
    </w:p>
    <w:p>
      <w:pPr>
        <w:spacing w:line="244" w:lineRule="auto" w:before="127"/>
        <w:ind w:left="865" w:right="860" w:firstLine="0"/>
        <w:jc w:val="both"/>
        <w:rPr>
          <w:sz w:val="19"/>
        </w:rPr>
      </w:pPr>
      <w:r>
        <w:rPr>
          <w:color w:val="231F20"/>
          <w:sz w:val="19"/>
        </w:rPr>
        <w:t>En términos generales, </w:t>
      </w:r>
      <w:r>
        <w:rPr>
          <w:i/>
          <w:color w:val="231F20"/>
          <w:sz w:val="19"/>
        </w:rPr>
        <w:t>S. epidermidis </w:t>
      </w:r>
      <w:r>
        <w:rPr>
          <w:color w:val="231F20"/>
          <w:sz w:val="19"/>
        </w:rPr>
        <w:t>utiliza la vía intraluminal, </w:t>
      </w:r>
      <w:r>
        <w:rPr>
          <w:i/>
          <w:color w:val="231F20"/>
          <w:sz w:val="19"/>
        </w:rPr>
        <w:t>S. aureus</w:t>
      </w:r>
      <w:r>
        <w:rPr>
          <w:color w:val="231F20"/>
          <w:sz w:val="19"/>
        </w:rPr>
        <w:t>, </w:t>
      </w:r>
      <w:r>
        <w:rPr>
          <w:i/>
          <w:color w:val="231F20"/>
          <w:sz w:val="19"/>
        </w:rPr>
        <w:t>S. </w:t>
      </w:r>
      <w:r>
        <w:rPr>
          <w:i/>
          <w:color w:val="231F20"/>
          <w:sz w:val="19"/>
        </w:rPr>
        <w:t>epidermidis </w:t>
      </w:r>
      <w:r>
        <w:rPr>
          <w:color w:val="231F20"/>
          <w:sz w:val="19"/>
        </w:rPr>
        <w:t>y </w:t>
      </w:r>
      <w:r>
        <w:rPr>
          <w:i/>
          <w:color w:val="231F20"/>
          <w:sz w:val="19"/>
        </w:rPr>
        <w:t>Pseudomonas </w:t>
      </w:r>
      <w:r>
        <w:rPr>
          <w:color w:val="231F20"/>
          <w:sz w:val="19"/>
        </w:rPr>
        <w:t>la vía periluminal, y el resto de microorganismos gram negativos y anaerobios utilizan la vía transmural.</w:t>
      </w:r>
    </w:p>
    <w:p>
      <w:pPr>
        <w:pStyle w:val="BodyText"/>
        <w:rPr>
          <w:sz w:val="18"/>
        </w:rPr>
      </w:pPr>
    </w:p>
    <w:p>
      <w:pPr>
        <w:pStyle w:val="BodyText"/>
        <w:spacing w:line="242" w:lineRule="auto" w:before="127"/>
        <w:ind w:left="865" w:right="868"/>
        <w:jc w:val="both"/>
      </w:pPr>
      <w:r>
        <w:rPr>
          <w:color w:val="231F20"/>
        </w:rPr>
        <w:t>La peritonitis infecciosa, dependiendo de su origen, suele clasificarse como primaria, secundaria y terciaria.</w:t>
      </w:r>
    </w:p>
    <w:p>
      <w:pPr>
        <w:pStyle w:val="BodyText"/>
        <w:rPr>
          <w:sz w:val="18"/>
        </w:rPr>
      </w:pPr>
    </w:p>
    <w:p>
      <w:pPr>
        <w:pStyle w:val="BodyText"/>
        <w:spacing w:line="242" w:lineRule="auto" w:before="129"/>
        <w:ind w:left="865" w:right="860"/>
        <w:jc w:val="both"/>
      </w:pPr>
      <w:r>
        <w:rPr>
          <w:color w:val="231F20"/>
        </w:rPr>
        <w:t>La peritonitis primaria es poco frecuente (1-2%) y se observa básicamente en pacientes con ascitis que presentan una infección peritoneal sin una causa evidente. Una vez que se produce contaminación bacteriana en el peritoneo, se desencadena de forma inmediata una reacción inflamatoria local, con participación vascular, aumento de la capacidad de absorción peritoneal y de su permeabilidad.</w:t>
      </w:r>
    </w:p>
    <w:p>
      <w:pPr>
        <w:pStyle w:val="BodyText"/>
        <w:rPr>
          <w:sz w:val="18"/>
        </w:rPr>
      </w:pPr>
    </w:p>
    <w:p>
      <w:pPr>
        <w:pStyle w:val="BodyText"/>
        <w:spacing w:line="242" w:lineRule="auto" w:before="129"/>
        <w:ind w:left="865" w:right="860"/>
        <w:jc w:val="both"/>
      </w:pPr>
      <w:r>
        <w:rPr>
          <w:color w:val="231F20"/>
        </w:rPr>
        <w:t>La motilidad intestinal disminuye y la luz intestinal se distiende con gas y líquido. A nivel peritoneal, se exuda líquido con contenido alto en proteínas, así como granulocitos que fagocitan y lisan los microorganismos. Las células mesoteliales segregan lisozima que tiene acción bactericida y los macrófagos producen citocinas, factor de necrosis tumoral (FNT), interleucinas (IL)1 y 6 e interferón gamma</w:t>
      </w:r>
      <w:r>
        <w:rPr>
          <w:color w:val="231F20"/>
          <w:spacing w:val="14"/>
        </w:rPr>
        <w:t> </w:t>
      </w:r>
      <w:r>
        <w:rPr>
          <w:color w:val="231F20"/>
        </w:rPr>
        <w:t>(IFN-gamma).</w:t>
      </w:r>
    </w:p>
    <w:p>
      <w:pPr>
        <w:pStyle w:val="BodyText"/>
        <w:rPr>
          <w:sz w:val="18"/>
        </w:rPr>
      </w:pPr>
    </w:p>
    <w:p>
      <w:pPr>
        <w:pStyle w:val="BodyText"/>
        <w:spacing w:line="242" w:lineRule="auto" w:before="129"/>
        <w:ind w:left="865" w:right="862"/>
        <w:jc w:val="both"/>
      </w:pPr>
      <w:r>
        <w:rPr>
          <w:color w:val="231F20"/>
        </w:rPr>
        <w:t>El exudado peritoneal contiene fibrinógeno, lo que favorece la formación de placas de fibrina en las superficies inflamadas del peritoneo, con adherencias de las asas intestinales y el epiplón que tienden a delimitar anatómicamente la infección.</w:t>
      </w:r>
    </w:p>
    <w:p>
      <w:pPr>
        <w:pStyle w:val="BodyText"/>
        <w:rPr>
          <w:sz w:val="18"/>
        </w:rPr>
      </w:pPr>
    </w:p>
    <w:p>
      <w:pPr>
        <w:pStyle w:val="BodyText"/>
        <w:spacing w:line="242" w:lineRule="auto" w:before="129"/>
        <w:ind w:left="865" w:right="872"/>
        <w:jc w:val="both"/>
      </w:pPr>
      <w:r>
        <w:rPr>
          <w:color w:val="231F20"/>
        </w:rPr>
        <w:t>Cuando los mecanismos de defensas locales y sistémicas no pueden localizar la infección, ésta progresa a una peritonitis difusa</w:t>
      </w:r>
    </w:p>
    <w:p>
      <w:pPr>
        <w:pStyle w:val="BodyText"/>
        <w:rPr>
          <w:sz w:val="18"/>
        </w:rPr>
      </w:pPr>
    </w:p>
    <w:p>
      <w:pPr>
        <w:pStyle w:val="Heading1"/>
        <w:spacing w:before="129"/>
        <w:jc w:val="both"/>
      </w:pPr>
      <w:r>
        <w:rPr>
          <w:color w:val="231F20"/>
        </w:rPr>
        <w:t>Cuadro clínico de peritonitis</w:t>
      </w:r>
    </w:p>
    <w:p>
      <w:pPr>
        <w:pStyle w:val="BodyText"/>
        <w:rPr>
          <w:b/>
          <w:sz w:val="18"/>
        </w:rPr>
      </w:pPr>
    </w:p>
    <w:p>
      <w:pPr>
        <w:pStyle w:val="BodyText"/>
        <w:spacing w:line="220" w:lineRule="exact" w:before="133"/>
        <w:ind w:left="865" w:right="861"/>
        <w:jc w:val="both"/>
        <w:rPr>
          <w:sz w:val="17"/>
        </w:rPr>
      </w:pPr>
      <w:r>
        <w:rPr>
          <w:color w:val="231F20"/>
        </w:rPr>
        <w:t>Los pacientes de diálisis peritoneal que se presentan con líquido de drenaje turbio, deben sospecharse que tiene peritonitis. Esto es confirmado por la obtención de recuento celular del líquido, su cuenta diferencial y el cultivo </w:t>
      </w:r>
      <w:r>
        <w:rPr>
          <w:color w:val="231F20"/>
          <w:position w:val="8"/>
          <w:sz w:val="11"/>
        </w:rPr>
        <w:t>(9, 10, 11,  12)</w:t>
      </w:r>
      <w:r>
        <w:rPr>
          <w:color w:val="231F20"/>
          <w:sz w:val="17"/>
        </w:rPr>
        <w:t>.</w:t>
      </w:r>
    </w:p>
    <w:p>
      <w:pPr>
        <w:spacing w:after="0" w:line="220" w:lineRule="exact"/>
        <w:jc w:val="both"/>
        <w:rPr>
          <w:sz w:val="17"/>
        </w:rPr>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line="242" w:lineRule="auto" w:before="77"/>
        <w:ind w:left="865" w:right="862"/>
        <w:jc w:val="both"/>
      </w:pPr>
      <w:r>
        <w:rPr>
          <w:color w:val="231F20"/>
        </w:rPr>
        <w:t>Es importante iniciar el tratamiento antibiótico empírico para la peritonitis asociada  a diálisis peritoneal a la brevedad</w:t>
      </w:r>
      <w:r>
        <w:rPr>
          <w:color w:val="231F20"/>
          <w:spacing w:val="28"/>
        </w:rPr>
        <w:t> </w:t>
      </w:r>
      <w:r>
        <w:rPr>
          <w:color w:val="231F20"/>
        </w:rPr>
        <w:t>posible.</w:t>
      </w:r>
    </w:p>
    <w:p>
      <w:pPr>
        <w:pStyle w:val="BodyText"/>
        <w:rPr>
          <w:sz w:val="18"/>
        </w:rPr>
      </w:pPr>
    </w:p>
    <w:p>
      <w:pPr>
        <w:pStyle w:val="BodyText"/>
        <w:spacing w:line="242" w:lineRule="auto" w:before="129"/>
        <w:ind w:left="865" w:right="864"/>
        <w:jc w:val="both"/>
      </w:pPr>
      <w:r>
        <w:rPr>
          <w:color w:val="231F20"/>
        </w:rPr>
        <w:t>Hay consecuencias potencialmente graves dentro de la historia natural de la enfermedad en la peritonitis (recaída, disfunción de catéter, transferencia permanente a hemodiálisis, y muerte), que es más probable que ocurra si el tratamiento no se inicia inmediatamente.</w:t>
      </w:r>
    </w:p>
    <w:p>
      <w:pPr>
        <w:pStyle w:val="BodyText"/>
        <w:rPr>
          <w:sz w:val="18"/>
        </w:rPr>
      </w:pPr>
    </w:p>
    <w:p>
      <w:pPr>
        <w:pStyle w:val="BodyText"/>
        <w:spacing w:line="242" w:lineRule="auto" w:before="129"/>
        <w:ind w:left="865" w:right="862"/>
        <w:jc w:val="both"/>
      </w:pPr>
      <w:r>
        <w:rPr>
          <w:color w:val="231F20"/>
        </w:rPr>
        <w:t>Los pacientes con peritonitis por lo general se presentan con  liquido  turbio  drenado en la diálisis peritoneal, aunado a dolor abdominal, sin embargo, la peritonitis debería siempre ser un diagnóstico diferencial en el paciente con diálisis peritoneal que tiene dolor abdominal, incluso si el liquido es claro, como un pequeño porcentaje de pacientes que presentan esta</w:t>
      </w:r>
      <w:r>
        <w:rPr>
          <w:color w:val="231F20"/>
          <w:spacing w:val="35"/>
        </w:rPr>
        <w:t> </w:t>
      </w:r>
      <w:r>
        <w:rPr>
          <w:color w:val="231F20"/>
        </w:rPr>
        <w:t>condición.</w:t>
      </w:r>
    </w:p>
    <w:p>
      <w:pPr>
        <w:pStyle w:val="BodyText"/>
        <w:rPr>
          <w:sz w:val="18"/>
        </w:rPr>
      </w:pPr>
    </w:p>
    <w:p>
      <w:pPr>
        <w:pStyle w:val="BodyText"/>
        <w:spacing w:line="242" w:lineRule="auto" w:before="129"/>
        <w:ind w:left="865" w:right="861"/>
        <w:jc w:val="both"/>
      </w:pPr>
      <w:r>
        <w:rPr>
          <w:color w:val="231F20"/>
        </w:rPr>
        <w:t>Otras causas, tales como estreñimiento, cólicos biliares o renales, úlcera péptica, pancreatitis aguda y perforación intestinal, también debe ser investigado en el paciente con diálisis peritoneal y dolor abdominal con líquido claro.</w:t>
      </w:r>
    </w:p>
    <w:p>
      <w:pPr>
        <w:pStyle w:val="BodyText"/>
        <w:rPr>
          <w:sz w:val="18"/>
        </w:rPr>
      </w:pPr>
    </w:p>
    <w:p>
      <w:pPr>
        <w:pStyle w:val="BodyText"/>
        <w:spacing w:line="242" w:lineRule="auto" w:before="129"/>
        <w:ind w:left="865" w:right="863"/>
        <w:jc w:val="both"/>
      </w:pPr>
      <w:r>
        <w:rPr>
          <w:color w:val="231F20"/>
        </w:rPr>
        <w:t>Por el contrario, mientras que los pacientes con peritonitis tienen mayor frecuencia de dolor abdominal intenso, algunos episodios se asocian con dolor leve o no lo hay.</w:t>
      </w:r>
    </w:p>
    <w:p>
      <w:pPr>
        <w:pStyle w:val="BodyText"/>
        <w:rPr>
          <w:sz w:val="18"/>
        </w:rPr>
      </w:pPr>
    </w:p>
    <w:p>
      <w:pPr>
        <w:pStyle w:val="BodyText"/>
        <w:spacing w:line="242" w:lineRule="auto" w:before="129"/>
        <w:ind w:left="865" w:right="862"/>
        <w:jc w:val="both"/>
      </w:pPr>
      <w:r>
        <w:rPr>
          <w:color w:val="231F20"/>
        </w:rPr>
        <w:t>El grado de dolor algunas veces está relacionado con organismos específicos (por ejemplo: menos con Estafilococos coagulasa negativo y mayor con estreptococos, bacilos gram-negativos y S. aureus), y puede ayudar a guiar al médico en la decisión de admitir o tratar en forma ambulatoria. Los pacientes con dolor mínimo   a menudo pueden ser tratados en forma ambulatoria con tratamiento intra peritoneal y analgésicos</w:t>
      </w:r>
      <w:r>
        <w:rPr>
          <w:color w:val="231F20"/>
          <w:spacing w:val="17"/>
        </w:rPr>
        <w:t> </w:t>
      </w:r>
      <w:r>
        <w:rPr>
          <w:color w:val="231F20"/>
        </w:rPr>
        <w:t>orales.</w:t>
      </w:r>
    </w:p>
    <w:p>
      <w:pPr>
        <w:pStyle w:val="BodyText"/>
        <w:rPr>
          <w:sz w:val="18"/>
        </w:rPr>
      </w:pPr>
    </w:p>
    <w:p>
      <w:pPr>
        <w:pStyle w:val="BodyText"/>
        <w:spacing w:line="242" w:lineRule="auto" w:before="129"/>
        <w:ind w:left="865" w:right="870"/>
        <w:jc w:val="both"/>
      </w:pPr>
      <w:r>
        <w:rPr>
          <w:color w:val="231F20"/>
        </w:rPr>
        <w:t>Aquellos que requieren por vía intravenosa (IV) narcóticos siempre requerirán hospitalización para su manejo.</w:t>
      </w:r>
    </w:p>
    <w:p>
      <w:pPr>
        <w:pStyle w:val="BodyText"/>
        <w:rPr>
          <w:sz w:val="18"/>
        </w:rPr>
      </w:pPr>
    </w:p>
    <w:p>
      <w:pPr>
        <w:pStyle w:val="BodyText"/>
        <w:spacing w:line="220" w:lineRule="exact" w:before="131"/>
        <w:ind w:left="865" w:right="862"/>
        <w:jc w:val="both"/>
      </w:pPr>
      <w:r>
        <w:rPr>
          <w:color w:val="231F20"/>
        </w:rPr>
        <w:t>El líquido turbio por lo general representa peritonitis infecciosa, pero hay otras causas </w:t>
      </w:r>
      <w:r>
        <w:rPr>
          <w:color w:val="231F20"/>
          <w:position w:val="9"/>
          <w:sz w:val="13"/>
        </w:rPr>
        <w:t>(12)</w:t>
      </w:r>
      <w:r>
        <w:rPr>
          <w:color w:val="231F20"/>
        </w:rPr>
        <w:t>.</w:t>
      </w:r>
    </w:p>
    <w:p>
      <w:pPr>
        <w:pStyle w:val="BodyText"/>
        <w:spacing w:before="1"/>
        <w:rPr>
          <w:sz w:val="29"/>
        </w:rPr>
      </w:pPr>
    </w:p>
    <w:p>
      <w:pPr>
        <w:pStyle w:val="BodyText"/>
        <w:ind w:left="865"/>
        <w:jc w:val="both"/>
      </w:pPr>
      <w:r>
        <w:rPr>
          <w:color w:val="231F20"/>
        </w:rPr>
        <w:t>El diagnóstico diferencial  se muestra en la Tabla 2.</w:t>
      </w:r>
    </w:p>
    <w:p>
      <w:pPr>
        <w:spacing w:after="0"/>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Heading1"/>
        <w:spacing w:before="77"/>
        <w:ind w:left="1698" w:right="1134"/>
        <w:jc w:val="center"/>
      </w:pPr>
      <w:r>
        <w:rPr>
          <w:color w:val="231F20"/>
        </w:rPr>
        <w:t>TABLA 2</w:t>
      </w:r>
    </w:p>
    <w:p>
      <w:pPr>
        <w:pStyle w:val="BodyText"/>
        <w:spacing w:before="5"/>
        <w:rPr>
          <w:b/>
          <w:sz w:val="24"/>
        </w:rPr>
      </w:pPr>
    </w:p>
    <w:p>
      <w:pPr>
        <w:spacing w:before="0"/>
        <w:ind w:left="1703" w:right="1134" w:firstLine="0"/>
        <w:jc w:val="center"/>
        <w:rPr>
          <w:b/>
          <w:sz w:val="19"/>
        </w:rPr>
      </w:pPr>
      <w:r>
        <w:rPr>
          <w:b/>
          <w:color w:val="231F20"/>
          <w:sz w:val="19"/>
        </w:rPr>
        <w:t>Diagnóstico diferencial de líquido turbio en Diálisis</w:t>
      </w:r>
      <w:r>
        <w:rPr>
          <w:b/>
          <w:color w:val="231F20"/>
          <w:spacing w:val="50"/>
          <w:sz w:val="19"/>
        </w:rPr>
        <w:t> </w:t>
      </w:r>
      <w:r>
        <w:rPr>
          <w:b/>
          <w:color w:val="231F20"/>
          <w:sz w:val="19"/>
        </w:rPr>
        <w:t>Peritoneal</w:t>
      </w:r>
    </w:p>
    <w:p>
      <w:pPr>
        <w:pStyle w:val="BodyText"/>
        <w:spacing w:before="1"/>
        <w:rPr>
          <w:b/>
          <w:sz w:val="21"/>
        </w:rPr>
      </w:pPr>
      <w:r>
        <w:rPr/>
        <w:pict>
          <v:shape style="position:absolute;margin-left:190.81601pt;margin-top:14.30499pt;width:230.45pt;height:108.8pt;mso-position-horizontal-relative:page;mso-position-vertical-relative:paragraph;z-index:1072;mso-wrap-distance-left:0;mso-wrap-distance-right:0" type="#_x0000_t202" filled="false" stroked="true" strokeweight=".384pt" strokecolor="#231f20">
            <v:textbox inset="0,0,0,0">
              <w:txbxContent>
                <w:p>
                  <w:pPr>
                    <w:pStyle w:val="BodyText"/>
                    <w:spacing w:before="2"/>
                    <w:rPr>
                      <w:b/>
                    </w:rPr>
                  </w:pPr>
                </w:p>
                <w:p>
                  <w:pPr>
                    <w:pStyle w:val="ListParagraph"/>
                    <w:numPr>
                      <w:ilvl w:val="0"/>
                      <w:numId w:val="6"/>
                    </w:numPr>
                    <w:tabs>
                      <w:tab w:pos="640" w:val="left" w:leader="none"/>
                    </w:tabs>
                    <w:spacing w:line="240" w:lineRule="auto" w:before="0" w:after="0"/>
                    <w:ind w:left="639" w:right="0" w:hanging="121"/>
                    <w:jc w:val="left"/>
                    <w:rPr>
                      <w:sz w:val="19"/>
                    </w:rPr>
                  </w:pPr>
                  <w:r>
                    <w:rPr>
                      <w:color w:val="231F20"/>
                      <w:sz w:val="19"/>
                    </w:rPr>
                    <w:t>Peritonitis infecciosa con cultivo</w:t>
                  </w:r>
                  <w:r>
                    <w:rPr>
                      <w:color w:val="231F20"/>
                      <w:spacing w:val="23"/>
                      <w:sz w:val="19"/>
                    </w:rPr>
                    <w:t> </w:t>
                  </w:r>
                  <w:r>
                    <w:rPr>
                      <w:color w:val="231F20"/>
                      <w:sz w:val="19"/>
                    </w:rPr>
                    <w:t>positivo</w:t>
                  </w:r>
                </w:p>
                <w:p>
                  <w:pPr>
                    <w:pStyle w:val="ListParagraph"/>
                    <w:numPr>
                      <w:ilvl w:val="0"/>
                      <w:numId w:val="6"/>
                    </w:numPr>
                    <w:tabs>
                      <w:tab w:pos="640" w:val="left" w:leader="none"/>
                    </w:tabs>
                    <w:spacing w:line="240" w:lineRule="auto" w:before="2" w:after="0"/>
                    <w:ind w:left="639" w:right="0" w:hanging="121"/>
                    <w:jc w:val="left"/>
                    <w:rPr>
                      <w:sz w:val="19"/>
                    </w:rPr>
                  </w:pPr>
                  <w:r>
                    <w:rPr>
                      <w:color w:val="231F20"/>
                      <w:sz w:val="19"/>
                    </w:rPr>
                    <w:t>Peritonitis infecciosa con cultivos</w:t>
                  </w:r>
                  <w:r>
                    <w:rPr>
                      <w:color w:val="231F20"/>
                      <w:spacing w:val="28"/>
                      <w:sz w:val="19"/>
                    </w:rPr>
                    <w:t> </w:t>
                  </w:r>
                  <w:r>
                    <w:rPr>
                      <w:color w:val="231F20"/>
                      <w:sz w:val="19"/>
                    </w:rPr>
                    <w:t>estériles</w:t>
                  </w:r>
                </w:p>
                <w:p>
                  <w:pPr>
                    <w:pStyle w:val="ListParagraph"/>
                    <w:numPr>
                      <w:ilvl w:val="0"/>
                      <w:numId w:val="6"/>
                    </w:numPr>
                    <w:tabs>
                      <w:tab w:pos="640" w:val="left" w:leader="none"/>
                    </w:tabs>
                    <w:spacing w:line="240" w:lineRule="auto" w:before="2" w:after="0"/>
                    <w:ind w:left="639" w:right="0" w:hanging="121"/>
                    <w:jc w:val="left"/>
                    <w:rPr>
                      <w:sz w:val="19"/>
                    </w:rPr>
                  </w:pPr>
                  <w:r>
                    <w:rPr>
                      <w:color w:val="231F20"/>
                      <w:sz w:val="19"/>
                    </w:rPr>
                    <w:t>Peritonitis</w:t>
                  </w:r>
                  <w:r>
                    <w:rPr>
                      <w:color w:val="231F20"/>
                      <w:spacing w:val="12"/>
                      <w:sz w:val="19"/>
                    </w:rPr>
                    <w:t> </w:t>
                  </w:r>
                  <w:r>
                    <w:rPr>
                      <w:color w:val="231F20"/>
                      <w:sz w:val="19"/>
                    </w:rPr>
                    <w:t>química</w:t>
                  </w:r>
                </w:p>
                <w:p>
                  <w:pPr>
                    <w:pStyle w:val="ListParagraph"/>
                    <w:numPr>
                      <w:ilvl w:val="0"/>
                      <w:numId w:val="6"/>
                    </w:numPr>
                    <w:tabs>
                      <w:tab w:pos="640" w:val="left" w:leader="none"/>
                    </w:tabs>
                    <w:spacing w:line="240" w:lineRule="auto" w:before="2" w:after="0"/>
                    <w:ind w:left="639" w:right="0" w:hanging="121"/>
                    <w:jc w:val="left"/>
                    <w:rPr>
                      <w:sz w:val="19"/>
                    </w:rPr>
                  </w:pPr>
                  <w:r>
                    <w:rPr>
                      <w:color w:val="231F20"/>
                      <w:sz w:val="19"/>
                    </w:rPr>
                    <w:t>Eosinofilia del líquido</w:t>
                  </w:r>
                </w:p>
                <w:p>
                  <w:pPr>
                    <w:pStyle w:val="ListParagraph"/>
                    <w:numPr>
                      <w:ilvl w:val="0"/>
                      <w:numId w:val="6"/>
                    </w:numPr>
                    <w:tabs>
                      <w:tab w:pos="640" w:val="left" w:leader="none"/>
                    </w:tabs>
                    <w:spacing w:line="240" w:lineRule="auto" w:before="0" w:after="0"/>
                    <w:ind w:left="639" w:right="0" w:hanging="121"/>
                    <w:jc w:val="left"/>
                    <w:rPr>
                      <w:sz w:val="19"/>
                    </w:rPr>
                  </w:pPr>
                  <w:r>
                    <w:rPr>
                      <w:color w:val="231F20"/>
                      <w:sz w:val="19"/>
                    </w:rPr>
                    <w:t>Hemoperitoneo</w:t>
                  </w:r>
                </w:p>
                <w:p>
                  <w:pPr>
                    <w:pStyle w:val="ListParagraph"/>
                    <w:numPr>
                      <w:ilvl w:val="0"/>
                      <w:numId w:val="6"/>
                    </w:numPr>
                    <w:tabs>
                      <w:tab w:pos="640" w:val="left" w:leader="none"/>
                    </w:tabs>
                    <w:spacing w:line="240" w:lineRule="auto" w:before="2" w:after="0"/>
                    <w:ind w:left="639" w:right="0" w:hanging="121"/>
                    <w:jc w:val="left"/>
                    <w:rPr>
                      <w:sz w:val="19"/>
                    </w:rPr>
                  </w:pPr>
                  <w:r>
                    <w:rPr>
                      <w:color w:val="231F20"/>
                      <w:sz w:val="19"/>
                    </w:rPr>
                    <w:t>Tumores malignos</w:t>
                  </w:r>
                  <w:r>
                    <w:rPr>
                      <w:color w:val="231F20"/>
                      <w:spacing w:val="17"/>
                      <w:sz w:val="19"/>
                    </w:rPr>
                    <w:t> </w:t>
                  </w:r>
                  <w:r>
                    <w:rPr>
                      <w:color w:val="231F20"/>
                      <w:sz w:val="19"/>
                    </w:rPr>
                    <w:t>(raro)</w:t>
                  </w:r>
                </w:p>
                <w:p>
                  <w:pPr>
                    <w:pStyle w:val="ListParagraph"/>
                    <w:numPr>
                      <w:ilvl w:val="0"/>
                      <w:numId w:val="6"/>
                    </w:numPr>
                    <w:tabs>
                      <w:tab w:pos="640" w:val="left" w:leader="none"/>
                    </w:tabs>
                    <w:spacing w:line="240" w:lineRule="auto" w:before="2" w:after="0"/>
                    <w:ind w:left="639" w:right="0" w:hanging="121"/>
                    <w:jc w:val="left"/>
                    <w:rPr>
                      <w:sz w:val="19"/>
                    </w:rPr>
                  </w:pPr>
                  <w:r>
                    <w:rPr>
                      <w:color w:val="231F20"/>
                      <w:sz w:val="19"/>
                    </w:rPr>
                    <w:t>Líquido quiloso</w:t>
                  </w:r>
                  <w:r>
                    <w:rPr>
                      <w:color w:val="231F20"/>
                      <w:spacing w:val="14"/>
                      <w:sz w:val="19"/>
                    </w:rPr>
                    <w:t> </w:t>
                  </w:r>
                  <w:r>
                    <w:rPr>
                      <w:color w:val="231F20"/>
                      <w:sz w:val="19"/>
                    </w:rPr>
                    <w:t>(raro)</w:t>
                  </w:r>
                </w:p>
                <w:p>
                  <w:pPr>
                    <w:pStyle w:val="ListParagraph"/>
                    <w:numPr>
                      <w:ilvl w:val="0"/>
                      <w:numId w:val="6"/>
                    </w:numPr>
                    <w:tabs>
                      <w:tab w:pos="640" w:val="left" w:leader="none"/>
                    </w:tabs>
                    <w:spacing w:line="240" w:lineRule="auto" w:before="2" w:after="0"/>
                    <w:ind w:left="639" w:right="0" w:hanging="121"/>
                    <w:jc w:val="left"/>
                    <w:rPr>
                      <w:sz w:val="19"/>
                    </w:rPr>
                  </w:pPr>
                  <w:r>
                    <w:rPr>
                      <w:color w:val="231F20"/>
                      <w:sz w:val="19"/>
                    </w:rPr>
                    <w:t>Muestras tomadas de abdomen</w:t>
                  </w:r>
                  <w:r>
                    <w:rPr>
                      <w:color w:val="231F20"/>
                      <w:spacing w:val="20"/>
                      <w:sz w:val="19"/>
                    </w:rPr>
                    <w:t> </w:t>
                  </w:r>
                  <w:r>
                    <w:rPr>
                      <w:color w:val="231F20"/>
                      <w:sz w:val="19"/>
                    </w:rPr>
                    <w:t>"seco"</w:t>
                  </w:r>
                </w:p>
              </w:txbxContent>
            </v:textbox>
            <w10:wrap type="topAndBottom"/>
          </v:shape>
        </w:pict>
      </w:r>
    </w:p>
    <w:p>
      <w:pPr>
        <w:pStyle w:val="BodyText"/>
        <w:spacing w:before="9"/>
        <w:rPr>
          <w:b/>
          <w:sz w:val="14"/>
        </w:rPr>
      </w:pPr>
    </w:p>
    <w:p>
      <w:pPr>
        <w:pStyle w:val="BodyText"/>
        <w:spacing w:line="242" w:lineRule="auto" w:before="77"/>
        <w:ind w:left="865" w:right="863"/>
        <w:jc w:val="both"/>
      </w:pPr>
      <w:r>
        <w:rPr>
          <w:color w:val="231F20"/>
        </w:rPr>
        <w:t>El abdomen debe ser drenado y el líquido cuidadosamente inspeccionado, enviándose a laboratorio para recuento celular con cuenta diferencial, tinción de Gram y cultivo.</w:t>
      </w:r>
    </w:p>
    <w:p>
      <w:pPr>
        <w:pStyle w:val="BodyText"/>
        <w:rPr>
          <w:sz w:val="18"/>
        </w:rPr>
      </w:pPr>
    </w:p>
    <w:p>
      <w:pPr>
        <w:pStyle w:val="BodyText"/>
        <w:spacing w:line="242" w:lineRule="auto" w:before="129"/>
        <w:ind w:left="865" w:right="862"/>
        <w:jc w:val="both"/>
      </w:pPr>
      <w:r>
        <w:rPr>
          <w:color w:val="231F20"/>
        </w:rPr>
        <w:t>Un recuento celular con más de 100 leucocitos /mL (después de al menos 2 horas de líquido de recambio intraperitoneal), con al menos 50% de polimorfonucleares, indica la presencia de inflamación, y el diagnóstico de peritonitis es la causa más probable.</w:t>
      </w:r>
    </w:p>
    <w:p>
      <w:pPr>
        <w:pStyle w:val="BodyText"/>
        <w:rPr>
          <w:sz w:val="18"/>
        </w:rPr>
      </w:pPr>
    </w:p>
    <w:p>
      <w:pPr>
        <w:pStyle w:val="BodyText"/>
        <w:spacing w:line="242" w:lineRule="auto" w:before="129"/>
        <w:ind w:left="865" w:right="865"/>
        <w:jc w:val="both"/>
      </w:pPr>
      <w:r>
        <w:rPr>
          <w:color w:val="231F20"/>
        </w:rPr>
        <w:t>El peritoneo normal tiene muy pocas células polimorfonucleares, por lo tanto, una proporción por encima del 50%, es una fuerte evidencia de peritonitis, aunque el recuento absoluto de leucocitos no alcance las 100 células/ml.</w:t>
      </w:r>
    </w:p>
    <w:p>
      <w:pPr>
        <w:pStyle w:val="BodyText"/>
        <w:rPr>
          <w:sz w:val="18"/>
        </w:rPr>
      </w:pPr>
    </w:p>
    <w:p>
      <w:pPr>
        <w:pStyle w:val="BodyText"/>
        <w:spacing w:line="242" w:lineRule="auto" w:before="129"/>
        <w:ind w:left="865" w:right="864"/>
        <w:jc w:val="both"/>
      </w:pPr>
      <w:r>
        <w:rPr>
          <w:color w:val="231F20"/>
        </w:rPr>
        <w:t>En los casos dudosos, o en pacientes con síntomas sistémicos o abdominales, en los que el líquido peritoneal es claro, un 2º intercambio se realiza con un tiempo de permanencia de al menos 2 horas para confirmar.</w:t>
      </w:r>
    </w:p>
    <w:p>
      <w:pPr>
        <w:pStyle w:val="BodyText"/>
        <w:rPr>
          <w:sz w:val="18"/>
        </w:rPr>
      </w:pPr>
    </w:p>
    <w:p>
      <w:pPr>
        <w:pStyle w:val="BodyText"/>
        <w:spacing w:line="242" w:lineRule="auto" w:before="129"/>
        <w:ind w:left="865" w:right="865"/>
        <w:jc w:val="both"/>
      </w:pPr>
      <w:r>
        <w:rPr>
          <w:color w:val="231F20"/>
        </w:rPr>
        <w:t>A pesar de que la tinción de Gram es a menudo negativa en la presencia de peritonitis, esta prueba se debe realizar, ya que puede orientar hacia la presencia de levaduras, permitiendo así la pronta terapia anti fúngica y retiro oportuno del catéter.</w:t>
      </w:r>
    </w:p>
    <w:p>
      <w:pPr>
        <w:pStyle w:val="BodyText"/>
        <w:rPr>
          <w:sz w:val="18"/>
        </w:rPr>
      </w:pPr>
    </w:p>
    <w:p>
      <w:pPr>
        <w:pStyle w:val="BodyText"/>
        <w:spacing w:line="242" w:lineRule="auto" w:before="129"/>
        <w:ind w:left="865" w:right="862"/>
        <w:jc w:val="both"/>
      </w:pPr>
      <w:r>
        <w:rPr>
          <w:color w:val="231F20"/>
        </w:rPr>
        <w:t>El paciente siempre debe ser interrogado para ubicar situaciones de riesgo, para hallar una ruptura en la técnica de limpieza o cuidados y en particular, si la contaminación o la desconexión se produjeron recientemente. Información sobre últimos episodios de infecciones del sitio de salida y el último (si existe) episodio   de peritonitis debe ser</w:t>
      </w:r>
      <w:r>
        <w:rPr>
          <w:color w:val="231F20"/>
          <w:spacing w:val="19"/>
        </w:rPr>
        <w:t> </w:t>
      </w:r>
      <w:r>
        <w:rPr>
          <w:color w:val="231F20"/>
        </w:rPr>
        <w:t>obtenido.</w:t>
      </w:r>
    </w:p>
    <w:p>
      <w:pPr>
        <w:spacing w:after="0" w:line="242"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line="242" w:lineRule="auto" w:before="77"/>
        <w:ind w:left="865" w:right="863"/>
        <w:jc w:val="both"/>
      </w:pPr>
      <w:r>
        <w:rPr>
          <w:color w:val="231F20"/>
        </w:rPr>
        <w:t>El paciente debe ser interrogado acerca de algún procedimiento endoscópico o ginecológico reciente, así como la presencia de estreñimiento o diarrea.</w:t>
      </w:r>
    </w:p>
    <w:p>
      <w:pPr>
        <w:pStyle w:val="BodyText"/>
        <w:rPr>
          <w:sz w:val="18"/>
        </w:rPr>
      </w:pPr>
    </w:p>
    <w:p>
      <w:pPr>
        <w:pStyle w:val="BodyText"/>
        <w:spacing w:line="242" w:lineRule="auto" w:before="129"/>
        <w:ind w:left="865" w:right="861"/>
        <w:jc w:val="both"/>
      </w:pPr>
      <w:r>
        <w:rPr>
          <w:color w:val="231F20"/>
        </w:rPr>
        <w:t>En la peritonitis, el dolor abdominal suele ser generalizado y se asocia a menudo con rebote. Dolor localizado o hipersensibilidad debe plantear la sospecha de una patología quirúrgica como apendicitis aguda.</w:t>
      </w:r>
    </w:p>
    <w:p>
      <w:pPr>
        <w:pStyle w:val="BodyText"/>
        <w:rPr>
          <w:sz w:val="18"/>
        </w:rPr>
      </w:pPr>
    </w:p>
    <w:p>
      <w:pPr>
        <w:pStyle w:val="BodyText"/>
        <w:spacing w:line="242" w:lineRule="auto" w:before="129"/>
        <w:ind w:left="865" w:right="862"/>
        <w:jc w:val="both"/>
      </w:pPr>
      <w:r>
        <w:rPr>
          <w:color w:val="231F20"/>
        </w:rPr>
        <w:t>El examen físico del paciente con peritonitis, siempre debe incluir una cuidadosa inspección del sitio de salida del catéter y del túnel. Cualquier drenaje del sitio de salida debe ser cultivado junto con el líquido. Si el sitio de salida crece el mismo organismo, como el líquido peritoneal, entonces es muy probable que el origen de  la peritonitis sea el</w:t>
      </w:r>
      <w:r>
        <w:rPr>
          <w:color w:val="231F20"/>
          <w:spacing w:val="16"/>
        </w:rPr>
        <w:t> </w:t>
      </w:r>
      <w:r>
        <w:rPr>
          <w:color w:val="231F20"/>
        </w:rPr>
        <w:t>catéter.</w:t>
      </w:r>
    </w:p>
    <w:p>
      <w:pPr>
        <w:pStyle w:val="BodyText"/>
        <w:rPr>
          <w:sz w:val="18"/>
        </w:rPr>
      </w:pPr>
    </w:p>
    <w:p>
      <w:pPr>
        <w:pStyle w:val="Heading1"/>
        <w:spacing w:before="129"/>
        <w:jc w:val="both"/>
      </w:pPr>
      <w:r>
        <w:rPr>
          <w:color w:val="231F20"/>
        </w:rPr>
        <w:t>Método de toma cultivos en líquido peritoneal</w:t>
      </w:r>
    </w:p>
    <w:p>
      <w:pPr>
        <w:pStyle w:val="BodyText"/>
        <w:rPr>
          <w:b/>
          <w:sz w:val="18"/>
        </w:rPr>
      </w:pPr>
    </w:p>
    <w:p>
      <w:pPr>
        <w:pStyle w:val="BodyText"/>
        <w:spacing w:line="242" w:lineRule="auto" w:before="131"/>
        <w:ind w:left="865" w:right="868"/>
        <w:jc w:val="both"/>
      </w:pPr>
      <w:r>
        <w:rPr>
          <w:color w:val="221A21"/>
        </w:rPr>
        <w:t>El estudio microbiológico muestra una menor sensibilidad que la clínica y el recuento celular.</w:t>
      </w:r>
    </w:p>
    <w:p>
      <w:pPr>
        <w:pStyle w:val="BodyText"/>
        <w:rPr>
          <w:sz w:val="18"/>
        </w:rPr>
      </w:pPr>
    </w:p>
    <w:p>
      <w:pPr>
        <w:pStyle w:val="BodyText"/>
        <w:spacing w:line="242" w:lineRule="auto" w:before="127"/>
        <w:ind w:left="865" w:right="861"/>
        <w:jc w:val="both"/>
      </w:pPr>
      <w:r>
        <w:rPr>
          <w:i/>
          <w:color w:val="221A21"/>
        </w:rPr>
        <w:t>Tinción de Gram:  </w:t>
      </w:r>
      <w:r>
        <w:rPr>
          <w:color w:val="221A21"/>
        </w:rPr>
        <w:t>El uso del examen directo o Gram es controvertido, pues no  tiene buen rendimiento, si es negativo no significa que no haya peritonitis. Una terapia empírica no debiera basarse en este examen. Sí puede ser predictor de infección por hongos lo cual significa iniciar de inmediato tratamiento anti</w:t>
      </w:r>
      <w:r>
        <w:rPr>
          <w:color w:val="221A21"/>
          <w:spacing w:val="47"/>
        </w:rPr>
        <w:t> </w:t>
      </w:r>
      <w:r>
        <w:rPr>
          <w:color w:val="221A21"/>
        </w:rPr>
        <w:t>fúngico.</w:t>
      </w:r>
    </w:p>
    <w:p>
      <w:pPr>
        <w:pStyle w:val="BodyText"/>
        <w:rPr>
          <w:sz w:val="18"/>
        </w:rPr>
      </w:pPr>
    </w:p>
    <w:p>
      <w:pPr>
        <w:pStyle w:val="BodyText"/>
        <w:spacing w:line="244" w:lineRule="auto" w:before="127"/>
        <w:ind w:left="865" w:right="865"/>
        <w:jc w:val="both"/>
      </w:pPr>
      <w:r>
        <w:rPr>
          <w:i/>
          <w:color w:val="221A21"/>
        </w:rPr>
        <w:t>Cultivo: </w:t>
      </w:r>
      <w:r>
        <w:rPr>
          <w:color w:val="221A21"/>
        </w:rPr>
        <w:t>Un cultivo negativo no excluye el diagnóstico de peritonitis. Dependiendo  de la técnica de siembra se puede tener un 5-20% de cultivos negativos. En niños, el 20% de los episodios de peritonitis pueden tener cultivo</w:t>
      </w:r>
      <w:r>
        <w:rPr>
          <w:color w:val="221A21"/>
          <w:spacing w:val="33"/>
        </w:rPr>
        <w:t> </w:t>
      </w:r>
      <w:r>
        <w:rPr>
          <w:color w:val="221A21"/>
        </w:rPr>
        <w:t>negativo.</w:t>
      </w:r>
    </w:p>
    <w:p>
      <w:pPr>
        <w:pStyle w:val="BodyText"/>
        <w:rPr>
          <w:sz w:val="18"/>
        </w:rPr>
      </w:pPr>
    </w:p>
    <w:p>
      <w:pPr>
        <w:spacing w:before="125"/>
        <w:ind w:left="865" w:right="0" w:firstLine="0"/>
        <w:jc w:val="both"/>
        <w:rPr>
          <w:i/>
          <w:sz w:val="19"/>
        </w:rPr>
      </w:pPr>
      <w:r>
        <w:rPr>
          <w:i/>
          <w:color w:val="221A21"/>
          <w:sz w:val="19"/>
        </w:rPr>
        <w:t>Manejo de la muestra de líquido peritoneal:</w:t>
      </w:r>
    </w:p>
    <w:p>
      <w:pPr>
        <w:pStyle w:val="BodyText"/>
        <w:rPr>
          <w:i/>
          <w:sz w:val="18"/>
        </w:rPr>
      </w:pPr>
    </w:p>
    <w:p>
      <w:pPr>
        <w:pStyle w:val="BodyText"/>
        <w:spacing w:line="242" w:lineRule="auto" w:before="133"/>
        <w:ind w:left="865" w:right="862"/>
        <w:jc w:val="both"/>
      </w:pPr>
      <w:r>
        <w:rPr>
          <w:color w:val="221A21"/>
        </w:rPr>
        <w:t>La técnica de cultivo utiliza botella de hemocultivo, donde luego de haber centrifugado 50 ml del líquido peritoneal se siembra el sedimento, lo cual tiene un bajo número de cultivos negativos.</w:t>
      </w:r>
    </w:p>
    <w:p>
      <w:pPr>
        <w:pStyle w:val="BodyText"/>
        <w:rPr>
          <w:sz w:val="18"/>
        </w:rPr>
      </w:pPr>
    </w:p>
    <w:p>
      <w:pPr>
        <w:pStyle w:val="Heading1"/>
        <w:spacing w:before="129"/>
        <w:jc w:val="both"/>
      </w:pPr>
      <w:r>
        <w:rPr>
          <w:color w:val="221A21"/>
        </w:rPr>
        <w:t>Recolección y transporte</w:t>
      </w:r>
    </w:p>
    <w:p>
      <w:pPr>
        <w:pStyle w:val="BodyText"/>
        <w:rPr>
          <w:b/>
          <w:sz w:val="18"/>
        </w:rPr>
      </w:pPr>
    </w:p>
    <w:p>
      <w:pPr>
        <w:pStyle w:val="BodyText"/>
        <w:spacing w:line="242" w:lineRule="auto" w:before="131"/>
        <w:ind w:left="865" w:right="859"/>
        <w:jc w:val="both"/>
      </w:pPr>
      <w:r>
        <w:rPr>
          <w:color w:val="221A21"/>
        </w:rPr>
        <w:t>La muestra debe ser obtenida de la primera bolsa con líquido turbio observado, donde hay mayor probabilidad de cultivo positivo. Drenar el abdomen y enviar la bolsa completa del líquido al laboratorio es otra opción.</w:t>
      </w:r>
    </w:p>
    <w:p>
      <w:pPr>
        <w:spacing w:after="0" w:line="242"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before="77"/>
        <w:ind w:left="865" w:right="863"/>
        <w:jc w:val="both"/>
        <w:rPr>
          <w:sz w:val="17"/>
        </w:rPr>
      </w:pPr>
      <w:r>
        <w:rPr>
          <w:color w:val="231F20"/>
        </w:rPr>
        <w:t>La Técnica estándar es el uso de frascos de hemocultivo (el cultivo del sedimento después de centrifugación de 50 ml de líquido peritoneal), que mejora aún más la recuperación de microorganismos </w:t>
      </w:r>
      <w:r>
        <w:rPr>
          <w:color w:val="231F20"/>
          <w:position w:val="8"/>
          <w:sz w:val="11"/>
        </w:rPr>
        <w:t>(13, 14, 15)</w:t>
      </w:r>
      <w:r>
        <w:rPr>
          <w:color w:val="231F20"/>
          <w:sz w:val="17"/>
        </w:rPr>
        <w:t>.</w:t>
      </w:r>
    </w:p>
    <w:p>
      <w:pPr>
        <w:pStyle w:val="BodyText"/>
        <w:spacing w:before="4"/>
        <w:rPr>
          <w:sz w:val="29"/>
        </w:rPr>
      </w:pPr>
    </w:p>
    <w:p>
      <w:pPr>
        <w:pStyle w:val="BodyText"/>
        <w:spacing w:line="242" w:lineRule="auto" w:before="1"/>
        <w:ind w:left="865" w:right="864"/>
        <w:jc w:val="both"/>
      </w:pPr>
      <w:r>
        <w:rPr>
          <w:color w:val="231F20"/>
        </w:rPr>
        <w:t>La identificación del organismo y posterior sensibilidad a los antibióticos no sólo ayudarán a guiar la selección antimicrobiana, sino que además puede indicar la posible fuente de infección.</w:t>
      </w:r>
    </w:p>
    <w:p>
      <w:pPr>
        <w:pStyle w:val="BodyText"/>
        <w:rPr>
          <w:sz w:val="18"/>
        </w:rPr>
      </w:pPr>
    </w:p>
    <w:p>
      <w:pPr>
        <w:pStyle w:val="BodyText"/>
        <w:spacing w:line="242" w:lineRule="auto" w:before="129"/>
        <w:ind w:left="865" w:right="864"/>
        <w:jc w:val="both"/>
      </w:pPr>
      <w:r>
        <w:rPr>
          <w:color w:val="231F20"/>
        </w:rPr>
        <w:t>La técnica de cultivo óptimo es la combinación de cultivo de sedimento de 50 ml   de líquido peritoneal y la inoculación de 5 a 10 mL de líquido peritoneal en 2 hemocultivos. Las muestras deben llegar dentro de 6 horas al laboratorio. Si la entrega inmediata no fuera posible, las botellas de cultivo inoculado se incubaran   a 37°</w:t>
      </w:r>
      <w:r>
        <w:rPr>
          <w:color w:val="231F20"/>
          <w:spacing w:val="5"/>
        </w:rPr>
        <w:t> </w:t>
      </w:r>
      <w:r>
        <w:rPr>
          <w:color w:val="231F20"/>
        </w:rPr>
        <w:t>C.</w:t>
      </w:r>
    </w:p>
    <w:p>
      <w:pPr>
        <w:pStyle w:val="BodyText"/>
        <w:rPr>
          <w:sz w:val="18"/>
        </w:rPr>
      </w:pPr>
    </w:p>
    <w:p>
      <w:pPr>
        <w:pStyle w:val="BodyText"/>
        <w:spacing w:line="242" w:lineRule="auto" w:before="129"/>
        <w:ind w:left="865" w:right="861"/>
        <w:jc w:val="both"/>
      </w:pPr>
      <w:r>
        <w:rPr>
          <w:color w:val="231F20"/>
        </w:rPr>
        <w:t>Una vez que el causante microorganismo se ha establecido, se  tomaran posteriores cultivos para el monitoreo, sólo con inoculación de liquido peritoneal en frascos de hemocultivo.</w:t>
      </w:r>
    </w:p>
    <w:p>
      <w:pPr>
        <w:pStyle w:val="BodyText"/>
        <w:spacing w:before="2"/>
        <w:rPr>
          <w:sz w:val="24"/>
        </w:rPr>
      </w:pPr>
    </w:p>
    <w:p>
      <w:pPr>
        <w:pStyle w:val="BodyText"/>
        <w:spacing w:line="242" w:lineRule="auto"/>
        <w:ind w:left="865" w:right="860"/>
        <w:jc w:val="both"/>
      </w:pPr>
      <w:r>
        <w:rPr>
          <w:color w:val="231F20"/>
        </w:rPr>
        <w:t>La velocidad con que el diagnóstico bacteriológico se puede establecer, es muy importante. Los métodos de concentración no sólo facilitan la correcta  identificación microbiana, sino que también reducen el tiempo necesario para exámenes bacteriológicos por cultivos de medios</w:t>
      </w:r>
      <w:r>
        <w:rPr>
          <w:color w:val="231F20"/>
          <w:spacing w:val="32"/>
        </w:rPr>
        <w:t> </w:t>
      </w:r>
      <w:r>
        <w:rPr>
          <w:color w:val="231F20"/>
        </w:rPr>
        <w:t>sólidos.</w:t>
      </w:r>
    </w:p>
    <w:p>
      <w:pPr>
        <w:pStyle w:val="BodyText"/>
        <w:rPr>
          <w:sz w:val="18"/>
        </w:rPr>
      </w:pPr>
    </w:p>
    <w:p>
      <w:pPr>
        <w:pStyle w:val="Heading1"/>
        <w:spacing w:before="129"/>
        <w:jc w:val="both"/>
      </w:pPr>
      <w:r>
        <w:rPr>
          <w:color w:val="231F20"/>
        </w:rPr>
        <w:t>Otras técnicas de diagnóstico</w:t>
      </w:r>
    </w:p>
    <w:p>
      <w:pPr>
        <w:pStyle w:val="BodyText"/>
        <w:rPr>
          <w:b/>
          <w:sz w:val="18"/>
        </w:rPr>
      </w:pPr>
    </w:p>
    <w:p>
      <w:pPr>
        <w:pStyle w:val="BodyText"/>
        <w:spacing w:line="242" w:lineRule="auto" w:before="131"/>
        <w:ind w:left="865" w:right="860"/>
        <w:jc w:val="both"/>
      </w:pPr>
      <w:r>
        <w:rPr>
          <w:color w:val="231F20"/>
        </w:rPr>
        <w:t>No hay suficiente evidencia para recomendar el uso de nuevas técnicas [como esterasa de leucocitos, reacción en cadena de polimerasa (PCR) de alta  resolución, PCR cuantitativo de ADN bacteriano] para el diagnóstico de   </w:t>
      </w:r>
      <w:r>
        <w:rPr>
          <w:color w:val="231F20"/>
          <w:spacing w:val="10"/>
        </w:rPr>
        <w:t> </w:t>
      </w:r>
      <w:r>
        <w:rPr>
          <w:color w:val="231F20"/>
        </w:rPr>
        <w:t>peritonitis</w:t>
      </w:r>
    </w:p>
    <w:p>
      <w:pPr>
        <w:spacing w:line="108" w:lineRule="exact" w:before="0"/>
        <w:ind w:left="865" w:right="0" w:firstLine="0"/>
        <w:jc w:val="both"/>
        <w:rPr>
          <w:sz w:val="11"/>
        </w:rPr>
      </w:pPr>
      <w:r>
        <w:rPr>
          <w:color w:val="231F20"/>
          <w:sz w:val="11"/>
        </w:rPr>
        <w:t>(16, 17, 18).</w:t>
      </w:r>
    </w:p>
    <w:p>
      <w:pPr>
        <w:pStyle w:val="BodyText"/>
        <w:rPr>
          <w:sz w:val="10"/>
        </w:rPr>
      </w:pPr>
    </w:p>
    <w:p>
      <w:pPr>
        <w:pStyle w:val="BodyText"/>
        <w:rPr>
          <w:sz w:val="10"/>
        </w:rPr>
      </w:pPr>
    </w:p>
    <w:p>
      <w:pPr>
        <w:pStyle w:val="BodyText"/>
        <w:rPr>
          <w:sz w:val="10"/>
        </w:rPr>
      </w:pPr>
    </w:p>
    <w:p>
      <w:pPr>
        <w:pStyle w:val="BodyText"/>
        <w:spacing w:before="8"/>
        <w:rPr>
          <w:sz w:val="10"/>
        </w:rPr>
      </w:pPr>
    </w:p>
    <w:p>
      <w:pPr>
        <w:pStyle w:val="Heading1"/>
        <w:ind w:left="1135" w:right="1134"/>
        <w:jc w:val="center"/>
      </w:pPr>
      <w:r>
        <w:rPr>
          <w:color w:val="231F20"/>
        </w:rPr>
        <w:t>Terminología para peritonitis</w:t>
      </w:r>
    </w:p>
    <w:p>
      <w:pPr>
        <w:pStyle w:val="BodyText"/>
        <w:spacing w:before="4"/>
        <w:rPr>
          <w:b/>
          <w:sz w:val="24"/>
        </w:rPr>
      </w:pPr>
    </w:p>
    <w:p>
      <w:pPr>
        <w:spacing w:before="0"/>
        <w:ind w:left="865" w:right="0" w:firstLine="0"/>
        <w:jc w:val="both"/>
        <w:rPr>
          <w:b/>
          <w:sz w:val="19"/>
        </w:rPr>
      </w:pPr>
      <w:r>
        <w:rPr>
          <w:b/>
          <w:color w:val="231F20"/>
          <w:sz w:val="19"/>
        </w:rPr>
        <w:t>Peritonitis refractaria</w:t>
      </w:r>
    </w:p>
    <w:p>
      <w:pPr>
        <w:pStyle w:val="BodyText"/>
        <w:rPr>
          <w:b/>
          <w:sz w:val="18"/>
        </w:rPr>
      </w:pPr>
    </w:p>
    <w:p>
      <w:pPr>
        <w:pStyle w:val="BodyText"/>
        <w:spacing w:line="220" w:lineRule="exact" w:before="134"/>
        <w:ind w:left="865" w:right="867"/>
        <w:jc w:val="both"/>
        <w:rPr>
          <w:b/>
        </w:rPr>
      </w:pPr>
      <w:r>
        <w:rPr>
          <w:color w:val="231F20"/>
        </w:rPr>
        <w:t>Definida como el fracaso del tratamiento al cabo de 5 días de antibióticos apropiados, y debe ser considerado retirar el catéter para proteger la membrana peritoneal ante un uso futuro </w:t>
      </w:r>
      <w:r>
        <w:rPr>
          <w:color w:val="231F20"/>
          <w:position w:val="9"/>
          <w:sz w:val="13"/>
        </w:rPr>
        <w:t>(19, 20)</w:t>
      </w:r>
      <w:r>
        <w:rPr>
          <w:b/>
          <w:color w:val="231F20"/>
        </w:rPr>
        <w:t>.</w:t>
      </w:r>
    </w:p>
    <w:p>
      <w:pPr>
        <w:pStyle w:val="BodyText"/>
        <w:spacing w:before="1"/>
        <w:rPr>
          <w:b/>
          <w:sz w:val="29"/>
        </w:rPr>
      </w:pPr>
    </w:p>
    <w:p>
      <w:pPr>
        <w:pStyle w:val="BodyText"/>
        <w:spacing w:line="242" w:lineRule="auto"/>
        <w:ind w:left="865" w:right="870"/>
        <w:jc w:val="both"/>
      </w:pPr>
      <w:r>
        <w:rPr>
          <w:color w:val="231F20"/>
        </w:rPr>
        <w:t>Si el organismo es el mismo que el anterior episodio, una fuerte consideración  debe darse a  reemplazar el</w:t>
      </w:r>
      <w:r>
        <w:rPr>
          <w:color w:val="231F20"/>
          <w:spacing w:val="23"/>
        </w:rPr>
        <w:t> </w:t>
      </w:r>
      <w:r>
        <w:rPr>
          <w:color w:val="231F20"/>
        </w:rPr>
        <w:t>catéter.</w:t>
      </w:r>
    </w:p>
    <w:p>
      <w:pPr>
        <w:spacing w:after="0" w:line="242"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line="242" w:lineRule="auto" w:before="77"/>
        <w:ind w:left="865" w:right="861"/>
        <w:jc w:val="both"/>
      </w:pPr>
      <w:r>
        <w:rPr>
          <w:color w:val="231F20"/>
        </w:rPr>
        <w:t>El objetivo principal en el manejo de peritonitis siempre será el tratamiento óptimo de los pacientes y la protección del peritoneo. Idealmente, los intentos deben hacerse desde el laboratorio para identificar el microorganismo causal a nivel de especie exacta (por ejemplo, S. epidermidis, S. hominis, o una especie diferente).</w:t>
      </w:r>
    </w:p>
    <w:p>
      <w:pPr>
        <w:pStyle w:val="BodyText"/>
        <w:rPr>
          <w:sz w:val="18"/>
        </w:rPr>
      </w:pPr>
    </w:p>
    <w:p>
      <w:pPr>
        <w:pStyle w:val="BodyText"/>
        <w:spacing w:line="242" w:lineRule="auto" w:before="129"/>
        <w:ind w:left="865" w:right="861"/>
        <w:jc w:val="both"/>
      </w:pPr>
      <w:r>
        <w:rPr>
          <w:color w:val="231F20"/>
        </w:rPr>
        <w:t>Los intentos prolongados de tratamiento en peritonitis refractaria se han asociado con hospitalización prolongada, disfunción de membrana peritoneal, mayor riesgo de peritonitis fúngica, y en algunos casos, la muerte.</w:t>
      </w:r>
    </w:p>
    <w:p>
      <w:pPr>
        <w:pStyle w:val="BodyText"/>
        <w:rPr>
          <w:sz w:val="18"/>
        </w:rPr>
      </w:pPr>
    </w:p>
    <w:p>
      <w:pPr>
        <w:pStyle w:val="Heading1"/>
        <w:spacing w:before="129"/>
        <w:jc w:val="both"/>
      </w:pPr>
      <w:r>
        <w:rPr>
          <w:color w:val="231F20"/>
        </w:rPr>
        <w:t>Muerte relacionada a peritonitis por diálisis</w:t>
      </w:r>
    </w:p>
    <w:p>
      <w:pPr>
        <w:pStyle w:val="BodyText"/>
        <w:rPr>
          <w:b/>
          <w:sz w:val="18"/>
        </w:rPr>
      </w:pPr>
    </w:p>
    <w:p>
      <w:pPr>
        <w:pStyle w:val="BodyText"/>
        <w:spacing w:line="242" w:lineRule="auto" w:before="132"/>
        <w:ind w:left="865" w:right="863"/>
        <w:jc w:val="both"/>
      </w:pPr>
      <w:r>
        <w:rPr>
          <w:color w:val="231F20"/>
        </w:rPr>
        <w:t>Definido como la muerte de un paciente con peritonitis activa, o ingresados con peritonitis, dentro de 2 semanas después del inicio del  episodio de peritonitis.  Debe ser un evento muy poco frecuente, el riesgo de muerte es mayor con peritonitis asociada a bacilos Gram negativos y</w:t>
      </w:r>
      <w:r>
        <w:rPr>
          <w:color w:val="231F20"/>
          <w:spacing w:val="33"/>
        </w:rPr>
        <w:t> </w:t>
      </w:r>
      <w:r>
        <w:rPr>
          <w:color w:val="231F20"/>
        </w:rPr>
        <w:t>hongos.</w:t>
      </w:r>
    </w:p>
    <w:p>
      <w:pPr>
        <w:pStyle w:val="BodyText"/>
        <w:rPr>
          <w:sz w:val="18"/>
        </w:rPr>
      </w:pPr>
    </w:p>
    <w:p>
      <w:pPr>
        <w:pStyle w:val="Heading1"/>
        <w:spacing w:before="129"/>
        <w:jc w:val="both"/>
      </w:pPr>
      <w:r>
        <w:rPr>
          <w:color w:val="231F20"/>
        </w:rPr>
        <w:t>Peritonitis recurrente</w:t>
      </w:r>
    </w:p>
    <w:p>
      <w:pPr>
        <w:pStyle w:val="BodyText"/>
        <w:rPr>
          <w:b/>
          <w:sz w:val="18"/>
        </w:rPr>
      </w:pPr>
    </w:p>
    <w:p>
      <w:pPr>
        <w:pStyle w:val="BodyText"/>
        <w:spacing w:line="242" w:lineRule="auto" w:before="131"/>
        <w:ind w:left="865" w:right="861"/>
        <w:jc w:val="both"/>
      </w:pPr>
      <w:r>
        <w:rPr>
          <w:color w:val="231F20"/>
        </w:rPr>
        <w:t>Un episodio de peritonitis recurrente se produce dentro de las 4 semanas después de la finalización del tratamiento de un episodio anterior, pero con un diferente micro</w:t>
      </w:r>
      <w:r>
        <w:rPr>
          <w:color w:val="231F20"/>
          <w:spacing w:val="11"/>
        </w:rPr>
        <w:t> </w:t>
      </w:r>
      <w:r>
        <w:rPr>
          <w:color w:val="231F20"/>
        </w:rPr>
        <w:t>organismo.</w:t>
      </w:r>
    </w:p>
    <w:p>
      <w:pPr>
        <w:pStyle w:val="BodyText"/>
        <w:rPr>
          <w:sz w:val="18"/>
        </w:rPr>
      </w:pPr>
    </w:p>
    <w:p>
      <w:pPr>
        <w:pStyle w:val="BodyText"/>
        <w:spacing w:line="242" w:lineRule="auto" w:before="129"/>
        <w:ind w:left="865" w:right="863"/>
        <w:jc w:val="both"/>
      </w:pPr>
      <w:r>
        <w:rPr>
          <w:color w:val="231F20"/>
        </w:rPr>
        <w:t>Un episodio recurrente que se produce dentro de las 4 semanas de la finalización del tratamiento de un episodio anterior con el mismo organismo después de estar estéril.</w:t>
      </w:r>
    </w:p>
    <w:p>
      <w:pPr>
        <w:pStyle w:val="BodyText"/>
        <w:rPr>
          <w:sz w:val="18"/>
        </w:rPr>
      </w:pPr>
    </w:p>
    <w:p>
      <w:pPr>
        <w:pStyle w:val="Heading1"/>
        <w:spacing w:before="129"/>
        <w:jc w:val="both"/>
      </w:pPr>
      <w:r>
        <w:rPr>
          <w:color w:val="231F20"/>
        </w:rPr>
        <w:t>Peritonitis polimicrobiana</w:t>
      </w:r>
    </w:p>
    <w:p>
      <w:pPr>
        <w:pStyle w:val="BodyText"/>
        <w:rPr>
          <w:b/>
          <w:sz w:val="18"/>
        </w:rPr>
      </w:pPr>
    </w:p>
    <w:p>
      <w:pPr>
        <w:pStyle w:val="BodyText"/>
        <w:spacing w:line="220" w:lineRule="exact" w:before="133"/>
        <w:ind w:left="865" w:right="870"/>
        <w:jc w:val="both"/>
        <w:rPr>
          <w:sz w:val="17"/>
        </w:rPr>
      </w:pPr>
      <w:r>
        <w:rPr>
          <w:color w:val="231F20"/>
        </w:rPr>
        <w:t>Si hay varios organismos entéricos se cultivan, sobre todo en asociación con bacterias anaerobias, el riesgo de la muerte es mayor y debe obtenerse una evaluación quirúrgica </w:t>
      </w:r>
      <w:r>
        <w:rPr>
          <w:color w:val="231F20"/>
          <w:position w:val="8"/>
          <w:sz w:val="11"/>
        </w:rPr>
        <w:t>(21, 22, 23)</w:t>
      </w:r>
      <w:r>
        <w:rPr>
          <w:color w:val="231F20"/>
          <w:sz w:val="17"/>
        </w:rPr>
        <w:t>.</w:t>
      </w:r>
    </w:p>
    <w:p>
      <w:pPr>
        <w:pStyle w:val="BodyText"/>
        <w:spacing w:before="1"/>
        <w:rPr>
          <w:sz w:val="29"/>
        </w:rPr>
      </w:pPr>
    </w:p>
    <w:p>
      <w:pPr>
        <w:pStyle w:val="BodyText"/>
        <w:spacing w:line="222" w:lineRule="exact"/>
        <w:ind w:left="865" w:right="862"/>
        <w:jc w:val="both"/>
        <w:rPr>
          <w:sz w:val="11"/>
        </w:rPr>
      </w:pPr>
      <w:r>
        <w:rPr>
          <w:color w:val="231F20"/>
        </w:rPr>
        <w:t>Otra opción de definición es la peritonitis debido a múltiples organismos gram-positivos, que por lo general responden al tratamiento con antibióticos </w:t>
      </w:r>
      <w:r>
        <w:rPr>
          <w:color w:val="231F20"/>
          <w:position w:val="8"/>
          <w:sz w:val="11"/>
        </w:rPr>
        <w:t>(24,  25)</w:t>
      </w:r>
    </w:p>
    <w:p>
      <w:pPr>
        <w:pStyle w:val="BodyText"/>
        <w:rPr>
          <w:sz w:val="29"/>
        </w:rPr>
      </w:pPr>
    </w:p>
    <w:p>
      <w:pPr>
        <w:pStyle w:val="BodyText"/>
        <w:ind w:left="865" w:right="863"/>
        <w:jc w:val="both"/>
        <w:rPr>
          <w:sz w:val="17"/>
        </w:rPr>
      </w:pPr>
      <w:r>
        <w:rPr>
          <w:color w:val="231F20"/>
        </w:rPr>
        <w:t>En casos de múltiples organismos entéricos, existe la posibilidad de que se trate  de una patología intra-abdominal como diverticulitis, colecistitis,  isquemia  intestinal, apendicitis, etc. La asociación de hipotensión, sepsis, acidosis láctica,  y/o elevación amilasa en líquido peritoneal debe aumentar la sospecha inmediata de  peritonitis de resolución quirúrgica</w:t>
      </w:r>
      <w:r>
        <w:rPr>
          <w:color w:val="231F20"/>
          <w:spacing w:val="24"/>
        </w:rPr>
        <w:t> </w:t>
      </w:r>
      <w:r>
        <w:rPr>
          <w:color w:val="231F20"/>
          <w:position w:val="8"/>
          <w:sz w:val="11"/>
        </w:rPr>
        <w:t>(26)</w:t>
      </w:r>
      <w:r>
        <w:rPr>
          <w:color w:val="231F20"/>
          <w:sz w:val="17"/>
        </w:rPr>
        <w:t>.</w:t>
      </w:r>
    </w:p>
    <w:p>
      <w:pPr>
        <w:spacing w:after="0"/>
        <w:jc w:val="both"/>
        <w:rPr>
          <w:sz w:val="17"/>
        </w:rPr>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BodyText"/>
        <w:spacing w:line="242" w:lineRule="auto" w:before="77"/>
        <w:ind w:left="865" w:right="865"/>
        <w:jc w:val="both"/>
      </w:pPr>
      <w:r>
        <w:rPr>
          <w:color w:val="231F20"/>
        </w:rPr>
        <w:t>Una tinción de Gram del líquido peritoneal puede llevar al reconocimiento de una población mixta de bacterias, sugerente de origen intestinal. En este escenario, donde los intestinos se sientan como la fuente, el tratamiento de elección es metronidazol en combinación con ampicilina y ceftazidima o un aminoglucósido.</w:t>
      </w:r>
    </w:p>
    <w:p>
      <w:pPr>
        <w:pStyle w:val="BodyText"/>
        <w:rPr>
          <w:sz w:val="18"/>
        </w:rPr>
      </w:pPr>
    </w:p>
    <w:p>
      <w:pPr>
        <w:pStyle w:val="BodyText"/>
        <w:spacing w:line="242" w:lineRule="auto" w:before="129"/>
        <w:ind w:left="865" w:right="860"/>
        <w:jc w:val="both"/>
      </w:pPr>
      <w:r>
        <w:rPr>
          <w:color w:val="231F20"/>
        </w:rPr>
        <w:t>Puede ser necesario eliminar el catéter, en particular, si la laparotomía indica patología intra-abdominal y, en ese caso, los antibióticos se deben continuar a través de vía endovenosa.</w:t>
      </w:r>
    </w:p>
    <w:p>
      <w:pPr>
        <w:pStyle w:val="BodyText"/>
        <w:rPr>
          <w:sz w:val="18"/>
        </w:rPr>
      </w:pPr>
    </w:p>
    <w:p>
      <w:pPr>
        <w:pStyle w:val="BodyText"/>
        <w:spacing w:line="223" w:lineRule="auto" w:before="141"/>
        <w:ind w:left="865" w:right="861"/>
        <w:jc w:val="both"/>
      </w:pPr>
      <w:r>
        <w:rPr>
          <w:color w:val="231F20"/>
        </w:rPr>
        <w:t>La Peritonitis poli microbiana a múltiples bacterias gram-positivas es más común que los organismos entéricos y tiene un mejor pronostico </w:t>
      </w:r>
      <w:r>
        <w:rPr>
          <w:color w:val="231F20"/>
          <w:position w:val="9"/>
          <w:sz w:val="13"/>
        </w:rPr>
        <w:t>(27)</w:t>
      </w:r>
      <w:r>
        <w:rPr>
          <w:b/>
          <w:color w:val="231F20"/>
        </w:rPr>
        <w:t>. </w:t>
      </w:r>
      <w:r>
        <w:rPr>
          <w:color w:val="231F20"/>
        </w:rPr>
        <w:t>La fuente de contaminación  es  más  probable  que  sea  infección  del  catéter;  por  lo  tanto</w:t>
      </w:r>
      <w:r>
        <w:rPr>
          <w:color w:val="231F20"/>
          <w:spacing w:val="52"/>
        </w:rPr>
        <w:t> </w:t>
      </w:r>
      <w:r>
        <w:rPr>
          <w:color w:val="231F20"/>
        </w:rPr>
        <w:t>la</w:t>
      </w:r>
    </w:p>
    <w:p>
      <w:pPr>
        <w:pStyle w:val="BodyText"/>
        <w:spacing w:line="242" w:lineRule="auto" w:before="5"/>
        <w:ind w:left="865" w:right="863"/>
        <w:jc w:val="both"/>
      </w:pPr>
      <w:r>
        <w:rPr>
          <w:color w:val="231F20"/>
        </w:rPr>
        <w:t>técnica del paciente debe ser revisada y el sitio de salida cuidadosamente examinados.</w:t>
      </w:r>
    </w:p>
    <w:p>
      <w:pPr>
        <w:pStyle w:val="BodyText"/>
        <w:rPr>
          <w:sz w:val="18"/>
        </w:rPr>
      </w:pPr>
    </w:p>
    <w:p>
      <w:pPr>
        <w:pStyle w:val="Heading1"/>
        <w:spacing w:before="129"/>
        <w:jc w:val="both"/>
      </w:pPr>
      <w:r>
        <w:rPr>
          <w:color w:val="231F20"/>
        </w:rPr>
        <w:t>Peritonitis fúngica</w:t>
      </w:r>
    </w:p>
    <w:p>
      <w:pPr>
        <w:pStyle w:val="BodyText"/>
        <w:rPr>
          <w:b/>
          <w:sz w:val="18"/>
        </w:rPr>
      </w:pPr>
    </w:p>
    <w:p>
      <w:pPr>
        <w:pStyle w:val="BodyText"/>
        <w:spacing w:before="131"/>
        <w:ind w:left="865" w:right="868"/>
        <w:jc w:val="both"/>
        <w:rPr>
          <w:sz w:val="17"/>
        </w:rPr>
      </w:pPr>
      <w:r>
        <w:rPr>
          <w:color w:val="231F20"/>
        </w:rPr>
        <w:t>La peritonitis fúngica es una complicación grave y debe ser sospechada fuertemente después del tratamiento antibiótico reciente para una peritonitis bacteriana. La extracción del catéter está indicada inmediatamente después de la identificación del hongo por microscopía o cultivo </w:t>
      </w:r>
      <w:r>
        <w:rPr>
          <w:color w:val="231F20"/>
          <w:position w:val="8"/>
          <w:sz w:val="11"/>
        </w:rPr>
        <w:t>(28, 29,  30)</w:t>
      </w:r>
      <w:r>
        <w:rPr>
          <w:color w:val="231F20"/>
          <w:sz w:val="17"/>
        </w:rPr>
        <w:t>.</w:t>
      </w:r>
    </w:p>
    <w:p>
      <w:pPr>
        <w:pStyle w:val="BodyText"/>
        <w:spacing w:before="5"/>
        <w:rPr>
          <w:sz w:val="29"/>
        </w:rPr>
      </w:pPr>
    </w:p>
    <w:p>
      <w:pPr>
        <w:pStyle w:val="Heading1"/>
        <w:jc w:val="both"/>
      </w:pPr>
      <w:r>
        <w:rPr>
          <w:color w:val="231F20"/>
        </w:rPr>
        <w:t>Peritonitis por Mycobacteriae</w:t>
      </w:r>
    </w:p>
    <w:p>
      <w:pPr>
        <w:pStyle w:val="BodyText"/>
        <w:rPr>
          <w:b/>
          <w:sz w:val="18"/>
        </w:rPr>
      </w:pPr>
    </w:p>
    <w:p>
      <w:pPr>
        <w:pStyle w:val="BodyText"/>
        <w:spacing w:line="242" w:lineRule="auto" w:before="131"/>
        <w:ind w:left="865" w:right="859"/>
        <w:jc w:val="both"/>
      </w:pPr>
      <w:r>
        <w:rPr>
          <w:color w:val="221A21"/>
        </w:rPr>
        <w:t>Puede ser causada por Mycobacterium tuberculosis o micobacterias no tuberculosas, como M. fortuitum, M. avium, M. abscessus, y M. chelonae. La incidencia de peritonitis tuberculosa es mayor en Asia que en otras partes del mundo. Es importante diferenciar pacientes con tuberculosis miliar, porque la peritonitis es parte de la enfermedad diseminada, de aquellos con peritonitis tuberculosa aislada, sin infección extra peritoneal.</w:t>
      </w:r>
    </w:p>
    <w:p>
      <w:pPr>
        <w:pStyle w:val="BodyText"/>
        <w:rPr>
          <w:sz w:val="18"/>
        </w:rPr>
      </w:pPr>
    </w:p>
    <w:p>
      <w:pPr>
        <w:pStyle w:val="BodyText"/>
        <w:spacing w:line="242" w:lineRule="auto" w:before="129"/>
        <w:ind w:left="865" w:right="865"/>
        <w:jc w:val="both"/>
      </w:pPr>
      <w:r>
        <w:rPr>
          <w:color w:val="221A21"/>
        </w:rPr>
        <w:t>Los síntomas clásicos son fiebre, dolor abdominal, drenaje de líquido turbio y  puede ocurrir con mico bacterias; el diagnóstico debe ser considerado en cualquier paciente con ausencia de mejoría, síntomas persistentes a pesar de tratamiento antibiótico, peritonitis bacteriana con resultados negativos por</w:t>
      </w:r>
      <w:r>
        <w:rPr>
          <w:color w:val="221A21"/>
          <w:spacing w:val="33"/>
        </w:rPr>
        <w:t> </w:t>
      </w:r>
      <w:r>
        <w:rPr>
          <w:color w:val="221A21"/>
        </w:rPr>
        <w:t>cultivos.</w:t>
      </w:r>
    </w:p>
    <w:p>
      <w:pPr>
        <w:pStyle w:val="BodyText"/>
        <w:rPr>
          <w:sz w:val="18"/>
        </w:rPr>
      </w:pPr>
    </w:p>
    <w:p>
      <w:pPr>
        <w:pStyle w:val="BodyText"/>
        <w:spacing w:line="242" w:lineRule="auto" w:before="129"/>
        <w:ind w:left="865" w:right="867"/>
        <w:jc w:val="both"/>
      </w:pPr>
      <w:r>
        <w:rPr>
          <w:color w:val="221A21"/>
        </w:rPr>
        <w:t>El recuento de células no puede ser utilizado para diferenciar peritonitis por micobacterias de otras formas, aunque la peritonitis tuberculosa crónica se asocia frecuentemente con linfocitosis en el líquido peritoneal.</w:t>
      </w:r>
    </w:p>
    <w:p>
      <w:pPr>
        <w:spacing w:after="0" w:line="242"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line="242" w:lineRule="auto" w:before="77"/>
        <w:ind w:left="865" w:right="867"/>
        <w:jc w:val="both"/>
      </w:pPr>
      <w:r>
        <w:rPr>
          <w:color w:val="221A21"/>
        </w:rPr>
        <w:t>La mayoría de los casos de peritonitis aguda por micobacterias tienen un predominio de leucocitos polimorfo nucleares, similar a la peritonitis</w:t>
      </w:r>
      <w:r>
        <w:rPr>
          <w:color w:val="221A21"/>
          <w:spacing w:val="50"/>
        </w:rPr>
        <w:t> </w:t>
      </w:r>
      <w:r>
        <w:rPr>
          <w:color w:val="221A21"/>
        </w:rPr>
        <w:t>bacteriana.</w:t>
      </w:r>
    </w:p>
    <w:p>
      <w:pPr>
        <w:pStyle w:val="BodyText"/>
        <w:rPr>
          <w:sz w:val="18"/>
        </w:rPr>
      </w:pPr>
    </w:p>
    <w:p>
      <w:pPr>
        <w:pStyle w:val="BodyText"/>
        <w:spacing w:line="242" w:lineRule="auto" w:before="129"/>
        <w:ind w:left="865" w:right="858"/>
        <w:jc w:val="both"/>
      </w:pPr>
      <w:r>
        <w:rPr>
          <w:color w:val="221A21"/>
        </w:rPr>
        <w:t>Los frotis del líquido peritoneal debe ser examinada con tinción de Ziehl-Neelsen y haber "baciloscopia negativa", que es la forma de presentación comúnmente.</w:t>
      </w:r>
    </w:p>
    <w:p>
      <w:pPr>
        <w:pStyle w:val="BodyText"/>
        <w:rPr>
          <w:sz w:val="18"/>
        </w:rPr>
      </w:pPr>
    </w:p>
    <w:p>
      <w:pPr>
        <w:pStyle w:val="BodyText"/>
        <w:spacing w:line="242" w:lineRule="auto" w:before="129"/>
        <w:ind w:left="865" w:right="864"/>
        <w:jc w:val="both"/>
      </w:pPr>
      <w:r>
        <w:rPr>
          <w:color w:val="221A21"/>
        </w:rPr>
        <w:t>Alternativamente, el ADN micobacteriano por PCR puede ser realizado en el dializado para mejorar la sensibilidad, aunque falsos positivos no son</w:t>
      </w:r>
      <w:r>
        <w:rPr>
          <w:color w:val="221A21"/>
          <w:spacing w:val="52"/>
        </w:rPr>
        <w:t> </w:t>
      </w:r>
      <w:r>
        <w:rPr>
          <w:color w:val="221A21"/>
        </w:rPr>
        <w:t>infrecuentes.</w:t>
      </w:r>
    </w:p>
    <w:p>
      <w:pPr>
        <w:pStyle w:val="BodyText"/>
        <w:rPr>
          <w:sz w:val="18"/>
        </w:rPr>
      </w:pPr>
    </w:p>
    <w:p>
      <w:pPr>
        <w:pStyle w:val="BodyText"/>
        <w:spacing w:line="242" w:lineRule="auto" w:before="129"/>
        <w:ind w:left="865" w:right="863"/>
        <w:jc w:val="both"/>
      </w:pPr>
      <w:r>
        <w:rPr>
          <w:color w:val="221A21"/>
        </w:rPr>
        <w:t>Un diagnóstico específico se puede hacer cultivando el sedimento, después de centrifugar un gran volumen del dializado (50-100 ml), utilizando una combinación de medio sólido (Löwenstein-Jensen) con medios de crecimiento de fluidos (Septi-Chek, BACTEC, etc.). El tiempo de detección para el crecimiento de micobacterias se disminuye considerablemente en un medio líquido.</w:t>
      </w:r>
    </w:p>
    <w:p>
      <w:pPr>
        <w:pStyle w:val="BodyText"/>
        <w:rPr>
          <w:sz w:val="18"/>
        </w:rPr>
      </w:pPr>
    </w:p>
    <w:p>
      <w:pPr>
        <w:pStyle w:val="BodyText"/>
        <w:spacing w:line="242" w:lineRule="auto" w:before="129"/>
        <w:ind w:left="865" w:right="861"/>
        <w:jc w:val="both"/>
      </w:pPr>
      <w:r>
        <w:rPr>
          <w:color w:val="221A21"/>
        </w:rPr>
        <w:t>La laparotomía exploradora o una laparoscopia con biopsia de peritoneo o epiplón, debe ser considerado en pacientes quienes el diagnóstico se está sospechando.</w:t>
      </w:r>
    </w:p>
    <w:p>
      <w:pPr>
        <w:pStyle w:val="BodyText"/>
        <w:rPr>
          <w:sz w:val="18"/>
        </w:rPr>
      </w:pPr>
    </w:p>
    <w:p>
      <w:pPr>
        <w:pStyle w:val="BodyText"/>
        <w:spacing w:line="242" w:lineRule="auto" w:before="129"/>
        <w:ind w:left="865" w:right="861"/>
        <w:jc w:val="both"/>
      </w:pPr>
      <w:r>
        <w:rPr>
          <w:color w:val="221A21"/>
        </w:rPr>
        <w:t>Cuando una tinción de Ziehl-Neelsen revela la presencia bacilos alcohol acido resistentes, y si está disponible una prueba molecular (por ejemplo, PCR), debe   ser aplicado directamente sobre la laminilla para el diagnóstico específico de M. tuberculosis</w:t>
      </w:r>
    </w:p>
    <w:p>
      <w:pPr>
        <w:pStyle w:val="BodyText"/>
        <w:rPr>
          <w:sz w:val="18"/>
        </w:rPr>
      </w:pPr>
    </w:p>
    <w:p>
      <w:pPr>
        <w:pStyle w:val="BodyText"/>
        <w:rPr>
          <w:sz w:val="18"/>
        </w:rPr>
      </w:pPr>
    </w:p>
    <w:p>
      <w:pPr>
        <w:pStyle w:val="BodyText"/>
        <w:spacing w:before="5"/>
        <w:rPr>
          <w:sz w:val="17"/>
        </w:rPr>
      </w:pPr>
    </w:p>
    <w:p>
      <w:pPr>
        <w:pStyle w:val="Heading2"/>
        <w:rPr>
          <w:i/>
        </w:rPr>
      </w:pPr>
      <w:r>
        <w:rPr>
          <w:i/>
          <w:color w:val="221A21"/>
        </w:rPr>
        <w:t>Recomendaciones según nivel de evidencia (tabla 3 y 4)</w:t>
      </w:r>
    </w:p>
    <w:p>
      <w:pPr>
        <w:pStyle w:val="BodyText"/>
        <w:rPr>
          <w:b/>
          <w:i/>
          <w:sz w:val="18"/>
        </w:rPr>
      </w:pPr>
    </w:p>
    <w:p>
      <w:pPr>
        <w:pStyle w:val="BodyText"/>
        <w:spacing w:before="131"/>
        <w:ind w:left="865" w:right="861"/>
        <w:jc w:val="both"/>
      </w:pPr>
      <w:r>
        <w:rPr>
          <w:color w:val="221A21"/>
        </w:rPr>
        <w:t>La publicación reciente de Guías internacionales en Diálisis Peritoneal (adultos y niños), por la Sociedad Internacional de Diálisis Peritoneal y el Grupo de Revisión Cochrane </w:t>
      </w:r>
      <w:r>
        <w:rPr>
          <w:color w:val="221A21"/>
          <w:position w:val="8"/>
          <w:sz w:val="11"/>
        </w:rPr>
        <w:t>(31, 32, 33, 34) </w:t>
      </w:r>
      <w:r>
        <w:rPr>
          <w:color w:val="221A21"/>
        </w:rPr>
        <w:t>han hecho posible un mejor análisis de la información disponible.</w:t>
      </w:r>
    </w:p>
    <w:p>
      <w:pPr>
        <w:pStyle w:val="BodyText"/>
        <w:rPr>
          <w:sz w:val="18"/>
        </w:rPr>
      </w:pPr>
    </w:p>
    <w:p>
      <w:pPr>
        <w:pStyle w:val="BodyText"/>
        <w:spacing w:line="242" w:lineRule="auto" w:before="131"/>
        <w:ind w:left="865" w:right="862"/>
        <w:jc w:val="both"/>
      </w:pPr>
      <w:r>
        <w:rPr>
          <w:color w:val="221A21"/>
        </w:rPr>
        <w:t>La Guía está organizada en aspectos referidos al diagnostico, tratamiento, prevención y deberán ser entendidas como una recomendación, basada en la  mejor información disponible y corresponderá a cada centro evaluar caso a caso la adecuación a la situación clínica</w:t>
      </w:r>
      <w:r>
        <w:rPr>
          <w:color w:val="221A21"/>
          <w:spacing w:val="22"/>
        </w:rPr>
        <w:t> </w:t>
      </w:r>
      <w:r>
        <w:rPr>
          <w:color w:val="221A21"/>
        </w:rPr>
        <w:t>determinada.</w:t>
      </w:r>
    </w:p>
    <w:p>
      <w:pPr>
        <w:spacing w:after="0" w:line="242"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Heading1"/>
        <w:spacing w:line="242" w:lineRule="auto" w:before="78"/>
        <w:ind w:left="3450" w:right="3432" w:firstLine="618"/>
      </w:pPr>
      <w:r>
        <w:rPr>
          <w:color w:val="221A21"/>
        </w:rPr>
        <w:t>Tabla 3 Grados de Evidencia</w:t>
      </w:r>
    </w:p>
    <w:p>
      <w:pPr>
        <w:pStyle w:val="BodyText"/>
        <w:spacing w:before="2"/>
        <w:rPr>
          <w:b/>
          <w:sz w:val="12"/>
        </w:rPr>
      </w:pPr>
    </w:p>
    <w:tbl>
      <w:tblPr>
        <w:tblW w:w="0" w:type="auto"/>
        <w:jc w:val="left"/>
        <w:tblInd w:w="1687"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881"/>
        <w:gridCol w:w="4538"/>
      </w:tblGrid>
      <w:tr>
        <w:trPr>
          <w:trHeight w:val="228" w:hRule="exact"/>
        </w:trPr>
        <w:tc>
          <w:tcPr>
            <w:tcW w:w="881" w:type="dxa"/>
          </w:tcPr>
          <w:p>
            <w:pPr>
              <w:pStyle w:val="TableParagraph"/>
              <w:spacing w:line="217" w:lineRule="exact"/>
              <w:ind w:left="137" w:right="137"/>
              <w:rPr>
                <w:b/>
                <w:sz w:val="19"/>
              </w:rPr>
            </w:pPr>
            <w:r>
              <w:rPr>
                <w:b/>
                <w:color w:val="231F20"/>
                <w:sz w:val="19"/>
              </w:rPr>
              <w:t>Grado</w:t>
            </w:r>
          </w:p>
        </w:tc>
        <w:tc>
          <w:tcPr>
            <w:tcW w:w="4538" w:type="dxa"/>
          </w:tcPr>
          <w:p>
            <w:pPr>
              <w:pStyle w:val="TableParagraph"/>
              <w:spacing w:line="217" w:lineRule="exact"/>
              <w:ind w:left="1457" w:right="29"/>
              <w:jc w:val="left"/>
              <w:rPr>
                <w:b/>
                <w:sz w:val="19"/>
              </w:rPr>
            </w:pPr>
            <w:r>
              <w:rPr>
                <w:b/>
                <w:color w:val="231F20"/>
                <w:sz w:val="19"/>
              </w:rPr>
              <w:t>Tipo de evidencia</w:t>
            </w:r>
          </w:p>
        </w:tc>
      </w:tr>
      <w:tr>
        <w:trPr>
          <w:trHeight w:val="288" w:hRule="exact"/>
        </w:trPr>
        <w:tc>
          <w:tcPr>
            <w:tcW w:w="881" w:type="dxa"/>
            <w:tcBorders>
              <w:bottom w:val="nil"/>
            </w:tcBorders>
          </w:tcPr>
          <w:p>
            <w:pPr>
              <w:pStyle w:val="TableParagraph"/>
              <w:spacing w:line="184" w:lineRule="exact"/>
              <w:ind w:left="136" w:right="137"/>
              <w:rPr>
                <w:sz w:val="16"/>
              </w:rPr>
            </w:pPr>
            <w:r>
              <w:rPr>
                <w:color w:val="231F20"/>
                <w:sz w:val="16"/>
              </w:rPr>
              <w:t>Ia</w:t>
            </w:r>
          </w:p>
        </w:tc>
        <w:tc>
          <w:tcPr>
            <w:tcW w:w="4538" w:type="dxa"/>
            <w:tcBorders>
              <w:bottom w:val="nil"/>
            </w:tcBorders>
          </w:tcPr>
          <w:p>
            <w:pPr>
              <w:pStyle w:val="TableParagraph"/>
              <w:spacing w:line="184" w:lineRule="exact"/>
              <w:ind w:left="83" w:right="29"/>
              <w:jc w:val="left"/>
              <w:rPr>
                <w:sz w:val="16"/>
              </w:rPr>
            </w:pPr>
            <w:r>
              <w:rPr>
                <w:color w:val="231F20"/>
                <w:sz w:val="16"/>
              </w:rPr>
              <w:t>Meta análisis de estudios controlados aleatorizados</w:t>
            </w:r>
          </w:p>
        </w:tc>
      </w:tr>
      <w:tr>
        <w:trPr>
          <w:trHeight w:val="368" w:hRule="exact"/>
        </w:trPr>
        <w:tc>
          <w:tcPr>
            <w:tcW w:w="881" w:type="dxa"/>
            <w:tcBorders>
              <w:top w:val="nil"/>
              <w:bottom w:val="nil"/>
            </w:tcBorders>
          </w:tcPr>
          <w:p>
            <w:pPr>
              <w:pStyle w:val="TableParagraph"/>
              <w:spacing w:before="82"/>
              <w:ind w:left="136" w:right="137"/>
              <w:rPr>
                <w:sz w:val="16"/>
              </w:rPr>
            </w:pPr>
            <w:r>
              <w:rPr>
                <w:color w:val="231F20"/>
                <w:sz w:val="16"/>
              </w:rPr>
              <w:t>Ib</w:t>
            </w:r>
          </w:p>
        </w:tc>
        <w:tc>
          <w:tcPr>
            <w:tcW w:w="4538" w:type="dxa"/>
            <w:tcBorders>
              <w:top w:val="nil"/>
              <w:bottom w:val="nil"/>
            </w:tcBorders>
          </w:tcPr>
          <w:p>
            <w:pPr>
              <w:pStyle w:val="TableParagraph"/>
              <w:spacing w:before="82"/>
              <w:ind w:left="83" w:right="29"/>
              <w:jc w:val="left"/>
              <w:rPr>
                <w:sz w:val="16"/>
              </w:rPr>
            </w:pPr>
            <w:r>
              <w:rPr>
                <w:color w:val="231F20"/>
                <w:sz w:val="16"/>
              </w:rPr>
              <w:t>Al menos 1 estudio controlado aleatorizado</w:t>
            </w:r>
          </w:p>
        </w:tc>
      </w:tr>
      <w:tr>
        <w:trPr>
          <w:trHeight w:val="369" w:hRule="exact"/>
        </w:trPr>
        <w:tc>
          <w:tcPr>
            <w:tcW w:w="881" w:type="dxa"/>
            <w:tcBorders>
              <w:top w:val="nil"/>
              <w:bottom w:val="nil"/>
            </w:tcBorders>
          </w:tcPr>
          <w:p>
            <w:pPr>
              <w:pStyle w:val="TableParagraph"/>
              <w:spacing w:before="83"/>
              <w:ind w:left="136" w:right="137"/>
              <w:rPr>
                <w:sz w:val="16"/>
              </w:rPr>
            </w:pPr>
            <w:r>
              <w:rPr>
                <w:color w:val="231F20"/>
                <w:sz w:val="16"/>
              </w:rPr>
              <w:t>IIa</w:t>
            </w:r>
          </w:p>
        </w:tc>
        <w:tc>
          <w:tcPr>
            <w:tcW w:w="4538" w:type="dxa"/>
            <w:tcBorders>
              <w:top w:val="nil"/>
              <w:bottom w:val="nil"/>
            </w:tcBorders>
          </w:tcPr>
          <w:p>
            <w:pPr>
              <w:pStyle w:val="TableParagraph"/>
              <w:spacing w:before="83"/>
              <w:ind w:left="83" w:right="29"/>
              <w:jc w:val="left"/>
              <w:rPr>
                <w:sz w:val="16"/>
              </w:rPr>
            </w:pPr>
            <w:r>
              <w:rPr>
                <w:color w:val="231F20"/>
                <w:sz w:val="16"/>
              </w:rPr>
              <w:t>Al menos 1 estudio controlado no aleatorizado</w:t>
            </w:r>
          </w:p>
        </w:tc>
      </w:tr>
      <w:tr>
        <w:trPr>
          <w:trHeight w:val="368" w:hRule="exact"/>
        </w:trPr>
        <w:tc>
          <w:tcPr>
            <w:tcW w:w="881" w:type="dxa"/>
            <w:tcBorders>
              <w:top w:val="nil"/>
              <w:bottom w:val="nil"/>
            </w:tcBorders>
          </w:tcPr>
          <w:p>
            <w:pPr>
              <w:pStyle w:val="TableParagraph"/>
              <w:spacing w:before="83"/>
              <w:ind w:left="136" w:right="137"/>
              <w:rPr>
                <w:sz w:val="16"/>
              </w:rPr>
            </w:pPr>
            <w:r>
              <w:rPr>
                <w:color w:val="231F20"/>
                <w:sz w:val="16"/>
              </w:rPr>
              <w:t>IIb</w:t>
            </w:r>
          </w:p>
        </w:tc>
        <w:tc>
          <w:tcPr>
            <w:tcW w:w="4538" w:type="dxa"/>
            <w:tcBorders>
              <w:top w:val="nil"/>
              <w:bottom w:val="nil"/>
            </w:tcBorders>
          </w:tcPr>
          <w:p>
            <w:pPr>
              <w:pStyle w:val="TableParagraph"/>
              <w:spacing w:before="83"/>
              <w:ind w:left="83" w:right="29"/>
              <w:jc w:val="left"/>
              <w:rPr>
                <w:sz w:val="16"/>
              </w:rPr>
            </w:pPr>
            <w:r>
              <w:rPr>
                <w:color w:val="231F20"/>
                <w:sz w:val="16"/>
              </w:rPr>
              <w:t>Al menos 1 estudio cuasi-experimental</w:t>
            </w:r>
          </w:p>
        </w:tc>
      </w:tr>
      <w:tr>
        <w:trPr>
          <w:trHeight w:val="276" w:hRule="exact"/>
        </w:trPr>
        <w:tc>
          <w:tcPr>
            <w:tcW w:w="881" w:type="dxa"/>
            <w:tcBorders>
              <w:top w:val="nil"/>
              <w:bottom w:val="nil"/>
            </w:tcBorders>
          </w:tcPr>
          <w:p>
            <w:pPr>
              <w:pStyle w:val="TableParagraph"/>
              <w:spacing w:before="82"/>
              <w:ind w:left="137" w:right="137"/>
              <w:rPr>
                <w:sz w:val="16"/>
              </w:rPr>
            </w:pPr>
            <w:r>
              <w:rPr>
                <w:color w:val="231F20"/>
                <w:sz w:val="16"/>
              </w:rPr>
              <w:t>III</w:t>
            </w:r>
          </w:p>
        </w:tc>
        <w:tc>
          <w:tcPr>
            <w:tcW w:w="4538" w:type="dxa"/>
            <w:tcBorders>
              <w:top w:val="nil"/>
              <w:bottom w:val="nil"/>
            </w:tcBorders>
          </w:tcPr>
          <w:p>
            <w:pPr>
              <w:pStyle w:val="TableParagraph"/>
              <w:spacing w:before="82"/>
              <w:ind w:left="83" w:right="29"/>
              <w:jc w:val="left"/>
              <w:rPr>
                <w:sz w:val="16"/>
              </w:rPr>
            </w:pPr>
            <w:r>
              <w:rPr>
                <w:color w:val="231F20"/>
                <w:sz w:val="16"/>
              </w:rPr>
              <w:t>Estudios descriptivos no experimentales, como estudios de</w:t>
            </w:r>
          </w:p>
        </w:tc>
      </w:tr>
      <w:tr>
        <w:trPr>
          <w:trHeight w:val="277" w:hRule="exact"/>
        </w:trPr>
        <w:tc>
          <w:tcPr>
            <w:tcW w:w="881" w:type="dxa"/>
            <w:tcBorders>
              <w:top w:val="nil"/>
              <w:bottom w:val="nil"/>
            </w:tcBorders>
          </w:tcPr>
          <w:p>
            <w:pPr/>
          </w:p>
        </w:tc>
        <w:tc>
          <w:tcPr>
            <w:tcW w:w="4538" w:type="dxa"/>
            <w:tcBorders>
              <w:top w:val="nil"/>
              <w:bottom w:val="nil"/>
            </w:tcBorders>
          </w:tcPr>
          <w:p>
            <w:pPr>
              <w:pStyle w:val="TableParagraph"/>
              <w:spacing w:line="176" w:lineRule="exact"/>
              <w:ind w:left="83" w:right="29"/>
              <w:jc w:val="left"/>
              <w:rPr>
                <w:sz w:val="16"/>
              </w:rPr>
            </w:pPr>
            <w:r>
              <w:rPr>
                <w:color w:val="231F20"/>
                <w:sz w:val="16"/>
              </w:rPr>
              <w:t>correlación o de casos y controles</w:t>
            </w:r>
          </w:p>
        </w:tc>
      </w:tr>
      <w:tr>
        <w:trPr>
          <w:trHeight w:val="274" w:hRule="exact"/>
        </w:trPr>
        <w:tc>
          <w:tcPr>
            <w:tcW w:w="881" w:type="dxa"/>
            <w:tcBorders>
              <w:top w:val="nil"/>
            </w:tcBorders>
          </w:tcPr>
          <w:p>
            <w:pPr>
              <w:pStyle w:val="TableParagraph"/>
              <w:spacing w:before="83"/>
              <w:ind w:left="136" w:right="137"/>
              <w:rPr>
                <w:sz w:val="16"/>
              </w:rPr>
            </w:pPr>
            <w:r>
              <w:rPr>
                <w:color w:val="231F20"/>
                <w:sz w:val="16"/>
              </w:rPr>
              <w:t>IV</w:t>
            </w:r>
          </w:p>
        </w:tc>
        <w:tc>
          <w:tcPr>
            <w:tcW w:w="4538" w:type="dxa"/>
            <w:tcBorders>
              <w:top w:val="nil"/>
            </w:tcBorders>
          </w:tcPr>
          <w:p>
            <w:pPr>
              <w:pStyle w:val="TableParagraph"/>
              <w:spacing w:before="83"/>
              <w:ind w:left="83" w:right="29"/>
              <w:jc w:val="left"/>
              <w:rPr>
                <w:sz w:val="16"/>
              </w:rPr>
            </w:pPr>
            <w:r>
              <w:rPr>
                <w:color w:val="231F20"/>
                <w:sz w:val="16"/>
              </w:rPr>
              <w:t>Opinión de expertos, comités, experiencias clínicas</w:t>
            </w:r>
          </w:p>
        </w:tc>
      </w:tr>
    </w:tbl>
    <w:p>
      <w:pPr>
        <w:pStyle w:val="BodyText"/>
        <w:rPr>
          <w:b/>
          <w:sz w:val="20"/>
        </w:rPr>
      </w:pPr>
    </w:p>
    <w:p>
      <w:pPr>
        <w:pStyle w:val="BodyText"/>
        <w:spacing w:before="3"/>
        <w:rPr>
          <w:b/>
          <w:sz w:val="18"/>
        </w:rPr>
      </w:pPr>
    </w:p>
    <w:p>
      <w:pPr>
        <w:spacing w:before="0"/>
        <w:ind w:left="1134" w:right="1134" w:firstLine="0"/>
        <w:jc w:val="center"/>
        <w:rPr>
          <w:b/>
          <w:sz w:val="19"/>
        </w:rPr>
      </w:pPr>
      <w:r>
        <w:rPr>
          <w:b/>
          <w:color w:val="221A21"/>
          <w:sz w:val="19"/>
        </w:rPr>
        <w:t>Tabla 4</w:t>
      </w:r>
    </w:p>
    <w:p>
      <w:pPr>
        <w:spacing w:before="2"/>
        <w:ind w:left="1134" w:right="1134" w:firstLine="0"/>
        <w:jc w:val="center"/>
        <w:rPr>
          <w:b/>
          <w:sz w:val="19"/>
        </w:rPr>
      </w:pPr>
      <w:r>
        <w:rPr>
          <w:b/>
          <w:color w:val="221A21"/>
          <w:sz w:val="19"/>
        </w:rPr>
        <w:t>Niveles de Recomendación</w:t>
      </w:r>
    </w:p>
    <w:p>
      <w:pPr>
        <w:pStyle w:val="BodyText"/>
        <w:spacing w:before="2"/>
        <w:rPr>
          <w:b/>
          <w:sz w:val="12"/>
        </w:rPr>
      </w:pPr>
    </w:p>
    <w:tbl>
      <w:tblPr>
        <w:tblW w:w="0" w:type="auto"/>
        <w:jc w:val="left"/>
        <w:tblInd w:w="1687"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881"/>
        <w:gridCol w:w="4538"/>
      </w:tblGrid>
      <w:tr>
        <w:trPr>
          <w:trHeight w:val="230" w:hRule="exact"/>
        </w:trPr>
        <w:tc>
          <w:tcPr>
            <w:tcW w:w="881" w:type="dxa"/>
          </w:tcPr>
          <w:p>
            <w:pPr>
              <w:pStyle w:val="TableParagraph"/>
              <w:ind w:left="153"/>
              <w:jc w:val="left"/>
              <w:rPr>
                <w:b/>
                <w:sz w:val="19"/>
              </w:rPr>
            </w:pPr>
            <w:r>
              <w:rPr>
                <w:b/>
                <w:color w:val="231F20"/>
                <w:sz w:val="19"/>
              </w:rPr>
              <w:t>Grado</w:t>
            </w:r>
          </w:p>
        </w:tc>
        <w:tc>
          <w:tcPr>
            <w:tcW w:w="4538" w:type="dxa"/>
          </w:tcPr>
          <w:p>
            <w:pPr>
              <w:pStyle w:val="TableParagraph"/>
              <w:ind w:left="701" w:right="29"/>
              <w:jc w:val="left"/>
              <w:rPr>
                <w:b/>
                <w:sz w:val="19"/>
              </w:rPr>
            </w:pPr>
            <w:r>
              <w:rPr>
                <w:b/>
                <w:color w:val="231F20"/>
                <w:sz w:val="19"/>
              </w:rPr>
              <w:t>Fortaleza de las recomendaciones</w:t>
            </w:r>
          </w:p>
        </w:tc>
      </w:tr>
      <w:tr>
        <w:trPr>
          <w:trHeight w:val="1847" w:hRule="exact"/>
        </w:trPr>
        <w:tc>
          <w:tcPr>
            <w:tcW w:w="881" w:type="dxa"/>
          </w:tcPr>
          <w:p>
            <w:pPr>
              <w:pStyle w:val="TableParagraph"/>
              <w:spacing w:line="480" w:lineRule="auto"/>
              <w:ind w:left="378" w:right="378" w:firstLine="3"/>
              <w:jc w:val="both"/>
              <w:rPr>
                <w:sz w:val="16"/>
              </w:rPr>
            </w:pPr>
            <w:r>
              <w:rPr>
                <w:color w:val="231F20"/>
                <w:sz w:val="16"/>
              </w:rPr>
              <w:t>A B C</w:t>
            </w:r>
          </w:p>
          <w:p>
            <w:pPr>
              <w:pStyle w:val="TableParagraph"/>
              <w:spacing w:before="6"/>
              <w:jc w:val="left"/>
              <w:rPr>
                <w:b/>
                <w:sz w:val="16"/>
              </w:rPr>
            </w:pPr>
          </w:p>
          <w:p>
            <w:pPr>
              <w:pStyle w:val="TableParagraph"/>
              <w:rPr>
                <w:sz w:val="16"/>
              </w:rPr>
            </w:pPr>
            <w:r>
              <w:rPr>
                <w:color w:val="231F20"/>
                <w:w w:val="99"/>
                <w:sz w:val="16"/>
              </w:rPr>
              <w:t>D</w:t>
            </w:r>
          </w:p>
        </w:tc>
        <w:tc>
          <w:tcPr>
            <w:tcW w:w="4538" w:type="dxa"/>
          </w:tcPr>
          <w:p>
            <w:pPr>
              <w:pStyle w:val="TableParagraph"/>
              <w:spacing w:line="477" w:lineRule="auto"/>
              <w:ind w:left="83" w:right="29"/>
              <w:jc w:val="left"/>
              <w:rPr>
                <w:sz w:val="16"/>
              </w:rPr>
            </w:pPr>
            <w:r>
              <w:rPr>
                <w:color w:val="231F20"/>
                <w:sz w:val="16"/>
              </w:rPr>
              <w:t>Directamente basada en categoría I de evidencia Directamente basada en categoría II de evidencia</w:t>
            </w:r>
          </w:p>
          <w:p>
            <w:pPr>
              <w:pStyle w:val="TableParagraph"/>
              <w:spacing w:before="8"/>
              <w:ind w:left="83" w:right="29"/>
              <w:jc w:val="left"/>
              <w:rPr>
                <w:sz w:val="16"/>
              </w:rPr>
            </w:pPr>
            <w:r>
              <w:rPr>
                <w:color w:val="231F20"/>
                <w:sz w:val="16"/>
              </w:rPr>
              <w:t>Directamente basada en categoría III de evidencia, o extrapoladas de categorías I o II</w:t>
            </w:r>
          </w:p>
          <w:p>
            <w:pPr>
              <w:pStyle w:val="TableParagraph"/>
              <w:jc w:val="left"/>
              <w:rPr>
                <w:b/>
                <w:sz w:val="16"/>
              </w:rPr>
            </w:pPr>
          </w:p>
          <w:p>
            <w:pPr>
              <w:pStyle w:val="TableParagraph"/>
              <w:ind w:left="83" w:right="29"/>
              <w:jc w:val="left"/>
              <w:rPr>
                <w:sz w:val="16"/>
              </w:rPr>
            </w:pPr>
            <w:r>
              <w:rPr>
                <w:color w:val="231F20"/>
                <w:sz w:val="16"/>
              </w:rPr>
              <w:t>Directamente basada en categoría IV de evidencia, o extrapoladas de categorías I, II o III</w:t>
            </w:r>
          </w:p>
        </w:tc>
      </w:tr>
    </w:tbl>
    <w:p>
      <w:pPr>
        <w:pStyle w:val="BodyText"/>
        <w:spacing w:before="3"/>
        <w:rPr>
          <w:b/>
          <w:sz w:val="17"/>
        </w:rPr>
      </w:pPr>
    </w:p>
    <w:p>
      <w:pPr>
        <w:spacing w:before="78"/>
        <w:ind w:left="865" w:right="0" w:firstLine="0"/>
        <w:jc w:val="both"/>
        <w:rPr>
          <w:b/>
          <w:sz w:val="19"/>
        </w:rPr>
      </w:pPr>
      <w:r>
        <w:rPr>
          <w:b/>
          <w:color w:val="231F20"/>
          <w:sz w:val="19"/>
        </w:rPr>
        <w:t>Prevención de nuevos episodios de peritonitis</w:t>
      </w:r>
    </w:p>
    <w:p>
      <w:pPr>
        <w:pStyle w:val="BodyText"/>
        <w:rPr>
          <w:b/>
          <w:sz w:val="18"/>
        </w:rPr>
      </w:pPr>
    </w:p>
    <w:p>
      <w:pPr>
        <w:pStyle w:val="BodyText"/>
        <w:spacing w:line="242" w:lineRule="auto" w:before="131"/>
        <w:ind w:left="865" w:right="863"/>
        <w:jc w:val="both"/>
      </w:pPr>
      <w:r>
        <w:rPr>
          <w:color w:val="231F20"/>
        </w:rPr>
        <w:t>La frecuencia de recaídas en peritonitis también debe ser examinada. Para cada episodio de peritonitis, debe analizarse el origen para determinar la etiología y, siempre que sea posible, una intervención dirigida en contra de cualquier factor de riesgo reversible para prevenir otro episodio.</w:t>
      </w:r>
    </w:p>
    <w:p>
      <w:pPr>
        <w:pStyle w:val="BodyText"/>
        <w:rPr>
          <w:sz w:val="18"/>
        </w:rPr>
      </w:pPr>
    </w:p>
    <w:p>
      <w:pPr>
        <w:pStyle w:val="BodyText"/>
        <w:spacing w:line="242" w:lineRule="auto" w:before="129"/>
        <w:ind w:left="865" w:right="862"/>
        <w:jc w:val="both"/>
      </w:pPr>
      <w:r>
        <w:rPr>
          <w:color w:val="231F20"/>
        </w:rPr>
        <w:t>Por ejemplo, las infecciones por gram positivos se han asociado principalmente  con la contaminación por contacto o infecciones de catéter, las infecciones por S. aureus han sido asociados con la contaminación táctil o infecciones del catéter; las infecciones por un grupo de gram-negativos ha sido asociado con contaminación, infección del sitio de salida, o la migración transmural (estreñimiento o</w:t>
      </w:r>
      <w:r>
        <w:rPr>
          <w:color w:val="231F20"/>
          <w:spacing w:val="49"/>
        </w:rPr>
        <w:t> </w:t>
      </w:r>
      <w:r>
        <w:rPr>
          <w:color w:val="231F20"/>
        </w:rPr>
        <w:t>colitis).</w:t>
      </w:r>
    </w:p>
    <w:p>
      <w:pPr>
        <w:spacing w:after="0" w:line="242"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line="242" w:lineRule="auto" w:before="77"/>
        <w:ind w:left="865" w:right="862"/>
        <w:jc w:val="both"/>
      </w:pPr>
      <w:r>
        <w:rPr>
          <w:color w:val="231F20"/>
        </w:rPr>
        <w:t>El uso previo de antibióticos por parte del paciente también puede estar asociado con cultivos negativos en una peritonitis. La identificación de etiología puede implicar una revisión de la técnica de cuidados del catéter por el paciente.</w:t>
      </w:r>
    </w:p>
    <w:p>
      <w:pPr>
        <w:pStyle w:val="BodyText"/>
        <w:spacing w:line="220" w:lineRule="exact" w:before="60"/>
        <w:ind w:left="865" w:right="859"/>
        <w:jc w:val="both"/>
      </w:pPr>
      <w:r>
        <w:rPr>
          <w:color w:val="231F20"/>
        </w:rPr>
        <w:t>También hay </w:t>
      </w:r>
      <w:r>
        <w:rPr>
          <w:color w:val="221A21"/>
        </w:rPr>
        <w:t>medidas de prevención relacionadas con el catéter de </w:t>
      </w:r>
      <w:r>
        <w:rPr>
          <w:color w:val="231F20"/>
        </w:rPr>
        <w:t>diálisis peritoneal</w:t>
      </w:r>
      <w:r>
        <w:rPr>
          <w:color w:val="221A21"/>
        </w:rPr>
        <w:t>, las cuales hay revisiones en la literatura del Grupo Cochrane (2004, 2008)</w:t>
      </w:r>
      <w:r>
        <w:rPr>
          <w:color w:val="221A21"/>
          <w:position w:val="9"/>
          <w:sz w:val="13"/>
        </w:rPr>
        <w:t>(31) </w:t>
      </w:r>
      <w:r>
        <w:rPr>
          <w:color w:val="221A21"/>
        </w:rPr>
        <w:t>y un metanálisis relacionado (Stripolli</w:t>
      </w:r>
      <w:r>
        <w:rPr>
          <w:color w:val="221A21"/>
          <w:sz w:val="17"/>
        </w:rPr>
        <w:t>)</w:t>
      </w:r>
      <w:r>
        <w:rPr>
          <w:color w:val="221A21"/>
          <w:position w:val="8"/>
          <w:sz w:val="11"/>
        </w:rPr>
        <w:t>(31)</w:t>
      </w:r>
      <w:r>
        <w:rPr>
          <w:color w:val="221A21"/>
        </w:rPr>
        <w:t>, que estudió diferentes intervenciones, tales como el diseño de éste, la técnica de inserción, los sistemas de conexión y la modalidad de </w:t>
      </w:r>
      <w:r>
        <w:rPr>
          <w:color w:val="231F20"/>
        </w:rPr>
        <w:t>diálisis peritoneal </w:t>
      </w:r>
      <w:r>
        <w:rPr>
          <w:color w:val="221A21"/>
        </w:rPr>
        <w:t>usada.</w:t>
      </w:r>
    </w:p>
    <w:p>
      <w:pPr>
        <w:pStyle w:val="BodyText"/>
        <w:rPr>
          <w:sz w:val="18"/>
        </w:rPr>
      </w:pPr>
    </w:p>
    <w:p>
      <w:pPr>
        <w:pStyle w:val="BodyText"/>
        <w:spacing w:line="280" w:lineRule="auto" w:before="129"/>
        <w:ind w:left="865" w:right="860"/>
        <w:jc w:val="both"/>
      </w:pPr>
      <w:r>
        <w:rPr>
          <w:color w:val="221A21"/>
        </w:rPr>
        <w:t>Si bien el número de pacientes involucrados fue alto (1</w:t>
      </w:r>
      <w:r>
        <w:rPr>
          <w:color w:val="231F20"/>
        </w:rPr>
        <w:t>.</w:t>
      </w:r>
      <w:r>
        <w:rPr>
          <w:color w:val="221A21"/>
        </w:rPr>
        <w:t>089 y 2</w:t>
      </w:r>
      <w:r>
        <w:rPr>
          <w:color w:val="231F20"/>
        </w:rPr>
        <w:t>.</w:t>
      </w:r>
      <w:r>
        <w:rPr>
          <w:color w:val="221A21"/>
        </w:rPr>
        <w:t>822 respectivamente) la calidad de los estudios analizados fue subóptima.</w:t>
      </w:r>
    </w:p>
    <w:p>
      <w:pPr>
        <w:pStyle w:val="BodyText"/>
        <w:spacing w:before="6"/>
        <w:rPr>
          <w:sz w:val="21"/>
        </w:rPr>
      </w:pPr>
    </w:p>
    <w:p>
      <w:pPr>
        <w:pStyle w:val="BodyText"/>
        <w:spacing w:line="278" w:lineRule="auto"/>
        <w:ind w:left="865" w:right="859"/>
        <w:jc w:val="both"/>
      </w:pPr>
      <w:r>
        <w:rPr>
          <w:color w:val="221A21"/>
        </w:rPr>
        <w:t>La Guía Australiana CARI </w:t>
      </w:r>
      <w:r>
        <w:rPr>
          <w:color w:val="221A21"/>
          <w:position w:val="8"/>
          <w:sz w:val="11"/>
        </w:rPr>
        <w:t>(32) </w:t>
      </w:r>
      <w:r>
        <w:rPr>
          <w:color w:val="221A21"/>
        </w:rPr>
        <w:t>aunque de publicación anterior a estos metanálisis, comparte las conclusiones fundamentales y sus recomendaciones son las siguientes:</w:t>
      </w:r>
    </w:p>
    <w:p>
      <w:pPr>
        <w:pStyle w:val="BodyText"/>
        <w:spacing w:before="8"/>
        <w:rPr>
          <w:sz w:val="21"/>
        </w:rPr>
      </w:pPr>
    </w:p>
    <w:p>
      <w:pPr>
        <w:spacing w:before="0"/>
        <w:ind w:left="865" w:right="0" w:firstLine="0"/>
        <w:jc w:val="both"/>
        <w:rPr>
          <w:sz w:val="11"/>
        </w:rPr>
      </w:pPr>
      <w:r>
        <w:rPr>
          <w:b/>
          <w:i/>
          <w:color w:val="221A21"/>
          <w:sz w:val="19"/>
        </w:rPr>
        <w:t>Técnica de inserción </w:t>
      </w:r>
      <w:r>
        <w:rPr>
          <w:color w:val="221A21"/>
          <w:position w:val="8"/>
          <w:sz w:val="11"/>
        </w:rPr>
        <w:t>(31, 32)</w:t>
      </w:r>
    </w:p>
    <w:p>
      <w:pPr>
        <w:pStyle w:val="BodyText"/>
        <w:spacing w:before="10"/>
        <w:rPr>
          <w:sz w:val="24"/>
        </w:rPr>
      </w:pPr>
    </w:p>
    <w:p>
      <w:pPr>
        <w:spacing w:line="280" w:lineRule="auto" w:before="0"/>
        <w:ind w:left="865" w:right="864" w:firstLine="0"/>
        <w:jc w:val="both"/>
        <w:rPr>
          <w:i/>
          <w:sz w:val="19"/>
        </w:rPr>
      </w:pPr>
      <w:r>
        <w:rPr>
          <w:i/>
          <w:color w:val="221A21"/>
          <w:sz w:val="19"/>
        </w:rPr>
        <w:t>No existe técnica de inserción que haya probado consistentemente ser superior a </w:t>
      </w:r>
      <w:r>
        <w:rPr>
          <w:i/>
          <w:color w:val="221A21"/>
          <w:sz w:val="19"/>
        </w:rPr>
        <w:t>otra en la prevención de peritonitis (evidencia nivel II)</w:t>
      </w:r>
    </w:p>
    <w:p>
      <w:pPr>
        <w:pStyle w:val="BodyText"/>
        <w:spacing w:before="1"/>
        <w:rPr>
          <w:i/>
          <w:sz w:val="22"/>
        </w:rPr>
      </w:pPr>
    </w:p>
    <w:p>
      <w:pPr>
        <w:pStyle w:val="BodyText"/>
        <w:spacing w:line="278" w:lineRule="auto"/>
        <w:ind w:left="865" w:right="865"/>
        <w:jc w:val="both"/>
      </w:pPr>
      <w:r>
        <w:rPr>
          <w:color w:val="221A21"/>
        </w:rPr>
        <w:t>Existen dos estudios aleatorios que comparan la incisión medial versus la incisión lateral, que no muestran diferencias en la incidencia de peritonitis. Sólo un estudio aleatorio compara la inserción quirúrgica abierta vs laparoscópica que no muestra diferencias en peritonitis y otro estudio que compara cirugía abierta vs inserción   por peritoneoscopía, que muestra reducción en la peritonitis precoz a las dos semanas en el grupo de</w:t>
      </w:r>
      <w:r>
        <w:rPr>
          <w:color w:val="221A21"/>
          <w:spacing w:val="20"/>
        </w:rPr>
        <w:t> </w:t>
      </w:r>
      <w:r>
        <w:rPr>
          <w:color w:val="221A21"/>
        </w:rPr>
        <w:t>peritoneoscopía.</w:t>
      </w:r>
    </w:p>
    <w:p>
      <w:pPr>
        <w:pStyle w:val="BodyText"/>
        <w:spacing w:before="3"/>
        <w:rPr>
          <w:sz w:val="22"/>
        </w:rPr>
      </w:pPr>
    </w:p>
    <w:p>
      <w:pPr>
        <w:pStyle w:val="BodyText"/>
        <w:spacing w:line="278" w:lineRule="auto"/>
        <w:ind w:left="865" w:right="863"/>
        <w:jc w:val="both"/>
      </w:pPr>
      <w:r>
        <w:rPr>
          <w:color w:val="221A21"/>
        </w:rPr>
        <w:t>Hay 4 estudios aleatorios que comparan dejar el catéter en un bolsillo subcutáneo (y exteriorizarlo a los 15 días) vs la técnica tradicional (exteriorización inmediata). Un estudio muestra menos peritonitis en el grupo del bolsillo subcutáneo, 2 no muestran diferencias y el tercero no muestra diferencias en la incidencia de peritonitis, pero la probabilidad acumulada a los 18 meses de desarrollar peritonitis es menor en el grupo bolsillo</w:t>
      </w:r>
      <w:r>
        <w:rPr>
          <w:color w:val="221A21"/>
          <w:spacing w:val="20"/>
        </w:rPr>
        <w:t> </w:t>
      </w:r>
      <w:r>
        <w:rPr>
          <w:color w:val="221A21"/>
        </w:rPr>
        <w:t>subcutáneo.</w:t>
      </w:r>
    </w:p>
    <w:p>
      <w:pPr>
        <w:pStyle w:val="BodyText"/>
        <w:spacing w:before="9"/>
        <w:rPr>
          <w:sz w:val="21"/>
        </w:rPr>
      </w:pPr>
    </w:p>
    <w:p>
      <w:pPr>
        <w:pStyle w:val="Heading2"/>
        <w:spacing w:before="1"/>
        <w:rPr>
          <w:b w:val="0"/>
          <w:i w:val="0"/>
          <w:sz w:val="11"/>
        </w:rPr>
      </w:pPr>
      <w:r>
        <w:rPr>
          <w:i/>
          <w:color w:val="221A21"/>
        </w:rPr>
        <w:t>Tipo o diseño del catéter de DP </w:t>
      </w:r>
      <w:r>
        <w:rPr>
          <w:b w:val="0"/>
          <w:i w:val="0"/>
          <w:color w:val="221A21"/>
          <w:position w:val="8"/>
          <w:sz w:val="11"/>
        </w:rPr>
        <w:t>(31,32)</w:t>
      </w:r>
    </w:p>
    <w:p>
      <w:pPr>
        <w:pStyle w:val="BodyText"/>
        <w:spacing w:before="10"/>
        <w:rPr>
          <w:sz w:val="24"/>
        </w:rPr>
      </w:pPr>
    </w:p>
    <w:p>
      <w:pPr>
        <w:spacing w:line="278" w:lineRule="auto" w:before="0"/>
        <w:ind w:left="865" w:right="866" w:firstLine="0"/>
        <w:jc w:val="both"/>
        <w:rPr>
          <w:i/>
          <w:sz w:val="19"/>
        </w:rPr>
      </w:pPr>
      <w:r>
        <w:rPr>
          <w:i/>
          <w:color w:val="221A21"/>
          <w:sz w:val="19"/>
        </w:rPr>
        <w:t>Para prevenir peritonitis, ningún catéter ha probado ser superior al catéter </w:t>
      </w:r>
      <w:r>
        <w:rPr>
          <w:i/>
          <w:color w:val="221A21"/>
          <w:sz w:val="19"/>
        </w:rPr>
        <w:t>Tenckhoff estándar de doble cojinete (Evidencia Nivel</w:t>
      </w:r>
      <w:r>
        <w:rPr>
          <w:i/>
          <w:color w:val="221A21"/>
          <w:spacing w:val="35"/>
          <w:sz w:val="19"/>
        </w:rPr>
        <w:t> </w:t>
      </w:r>
      <w:r>
        <w:rPr>
          <w:i/>
          <w:color w:val="221A21"/>
          <w:sz w:val="19"/>
        </w:rPr>
        <w:t>II)</w:t>
      </w:r>
    </w:p>
    <w:p>
      <w:pPr>
        <w:spacing w:after="0" w:line="278" w:lineRule="auto"/>
        <w:jc w:val="both"/>
        <w:rPr>
          <w:sz w:val="19"/>
        </w:rPr>
        <w:sectPr>
          <w:pgSz w:w="12240" w:h="15840"/>
          <w:pgMar w:header="0" w:footer="2372" w:top="1500" w:bottom="2560" w:left="1720" w:right="17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rPr>
      </w:pPr>
    </w:p>
    <w:p>
      <w:pPr>
        <w:pStyle w:val="BodyText"/>
        <w:spacing w:line="278" w:lineRule="auto" w:before="77"/>
        <w:ind w:left="865" w:right="860"/>
        <w:jc w:val="both"/>
      </w:pPr>
      <w:r>
        <w:rPr>
          <w:color w:val="221A21"/>
        </w:rPr>
        <w:t>Hay 7 estudios aleatorizados que comparan los diferentes tipos de catéteres: manguito-cojinete simple o doble, Tenckhoff recto y enroscado, Toronto-Western,   y cuello de cisne recto y enroscado, los cuales mostraron que NO hay diferencias significativas en la incidencia de</w:t>
      </w:r>
      <w:r>
        <w:rPr>
          <w:color w:val="221A21"/>
          <w:spacing w:val="24"/>
        </w:rPr>
        <w:t> </w:t>
      </w:r>
      <w:r>
        <w:rPr>
          <w:color w:val="221A21"/>
        </w:rPr>
        <w:t>peritonitis.</w:t>
      </w:r>
    </w:p>
    <w:p>
      <w:pPr>
        <w:pStyle w:val="BodyText"/>
        <w:rPr>
          <w:sz w:val="18"/>
        </w:rPr>
      </w:pPr>
    </w:p>
    <w:p>
      <w:pPr>
        <w:pStyle w:val="BodyText"/>
        <w:spacing w:line="242" w:lineRule="auto" w:before="128"/>
        <w:ind w:left="865" w:right="861"/>
        <w:jc w:val="both"/>
      </w:pPr>
      <w:r>
        <w:rPr>
          <w:color w:val="221A21"/>
        </w:rPr>
        <w:t>Información proveniente de estudios no aleatorios sugiere una menor tasa de peritonitis asociada a infección del orificio de salida/túnel, al orientar el orificio de salida del catéter de </w:t>
      </w:r>
      <w:r>
        <w:rPr>
          <w:color w:val="231F20"/>
        </w:rPr>
        <w:t>diálisis </w:t>
      </w:r>
      <w:r>
        <w:rPr>
          <w:color w:val="221A21"/>
        </w:rPr>
        <w:t>hacia abajo, en lugar de una orientación horizontal o hacia arriba.</w:t>
      </w:r>
    </w:p>
    <w:p>
      <w:pPr>
        <w:pStyle w:val="BodyText"/>
        <w:spacing w:before="3"/>
        <w:rPr>
          <w:sz w:val="26"/>
        </w:rPr>
      </w:pPr>
    </w:p>
    <w:p>
      <w:pPr>
        <w:pStyle w:val="Heading2"/>
        <w:rPr>
          <w:b w:val="0"/>
          <w:i w:val="0"/>
          <w:sz w:val="13"/>
        </w:rPr>
      </w:pPr>
      <w:r>
        <w:rPr>
          <w:i/>
          <w:color w:val="221A21"/>
        </w:rPr>
        <w:t>Medidas de prevención relacionadas con la administración de antibióticos  </w:t>
      </w:r>
      <w:r>
        <w:rPr>
          <w:b w:val="0"/>
          <w:i w:val="0"/>
          <w:color w:val="221A21"/>
          <w:position w:val="9"/>
          <w:sz w:val="13"/>
        </w:rPr>
        <w:t>(33)</w:t>
      </w:r>
    </w:p>
    <w:p>
      <w:pPr>
        <w:pStyle w:val="BodyText"/>
        <w:spacing w:before="5"/>
        <w:rPr>
          <w:sz w:val="29"/>
        </w:rPr>
      </w:pPr>
    </w:p>
    <w:p>
      <w:pPr>
        <w:pStyle w:val="BodyText"/>
        <w:spacing w:line="242" w:lineRule="auto"/>
        <w:ind w:left="865" w:right="859"/>
        <w:jc w:val="both"/>
      </w:pPr>
      <w:r>
        <w:rPr>
          <w:color w:val="221A21"/>
        </w:rPr>
        <w:t>Para reducir la incidencia de peritonitis, se debería usar profilaxis antibiótica con una cefalosporina de primera generación en el momento de inserción del catéter  de diálisis peritoneal (Evidencia Nivel</w:t>
      </w:r>
      <w:r>
        <w:rPr>
          <w:color w:val="221A21"/>
          <w:spacing w:val="22"/>
        </w:rPr>
        <w:t> </w:t>
      </w:r>
      <w:r>
        <w:rPr>
          <w:color w:val="221A21"/>
        </w:rPr>
        <w:t>II).</w:t>
      </w:r>
    </w:p>
    <w:p>
      <w:pPr>
        <w:pStyle w:val="BodyText"/>
        <w:rPr>
          <w:sz w:val="18"/>
        </w:rPr>
      </w:pPr>
    </w:p>
    <w:p>
      <w:pPr>
        <w:pStyle w:val="BodyText"/>
        <w:spacing w:line="242" w:lineRule="auto" w:before="129"/>
        <w:ind w:left="865" w:right="868"/>
        <w:jc w:val="both"/>
      </w:pPr>
      <w:r>
        <w:rPr>
          <w:color w:val="221A21"/>
        </w:rPr>
        <w:t>Si bien la Vancomicina profiláctica también ha demostrado ser efectiva (Nivel II),   su uso rutinario no se recomienda por el potencial desarrollo de microorganismos resistentes.</w:t>
      </w:r>
    </w:p>
    <w:p>
      <w:pPr>
        <w:pStyle w:val="BodyText"/>
        <w:rPr>
          <w:sz w:val="18"/>
        </w:rPr>
      </w:pPr>
    </w:p>
    <w:p>
      <w:pPr>
        <w:pStyle w:val="BodyText"/>
        <w:spacing w:line="220" w:lineRule="exact" w:before="131"/>
        <w:ind w:left="865" w:right="869"/>
        <w:jc w:val="both"/>
      </w:pPr>
      <w:r>
        <w:rPr>
          <w:color w:val="221A21"/>
        </w:rPr>
        <w:t>La profilaxis intravenosa preoperatoria reduce la peritonitis temprana pero no la infección del sitio de salida/túnel </w:t>
      </w:r>
      <w:r>
        <w:rPr>
          <w:color w:val="221A21"/>
          <w:position w:val="9"/>
          <w:sz w:val="13"/>
        </w:rPr>
        <w:t>(33)</w:t>
      </w:r>
      <w:r>
        <w:rPr>
          <w:color w:val="221A21"/>
        </w:rPr>
        <w:t>.</w:t>
      </w:r>
    </w:p>
    <w:p>
      <w:pPr>
        <w:pStyle w:val="BodyText"/>
        <w:spacing w:before="2"/>
        <w:rPr>
          <w:sz w:val="26"/>
        </w:rPr>
      </w:pPr>
    </w:p>
    <w:p>
      <w:pPr>
        <w:pStyle w:val="BodyText"/>
        <w:tabs>
          <w:tab w:pos="1866" w:val="left" w:leader="none"/>
        </w:tabs>
        <w:spacing w:line="242" w:lineRule="auto"/>
        <w:ind w:left="865" w:right="860"/>
        <w:jc w:val="both"/>
      </w:pPr>
      <w:r>
        <w:rPr>
          <w:color w:val="221A21"/>
        </w:rPr>
        <w:t>Existen 4 estudios aleatorizados </w:t>
      </w:r>
      <w:r>
        <w:rPr>
          <w:color w:val="221A21"/>
          <w:position w:val="9"/>
          <w:sz w:val="13"/>
        </w:rPr>
        <w:t>(34) </w:t>
      </w:r>
      <w:r>
        <w:rPr>
          <w:color w:val="221A21"/>
        </w:rPr>
        <w:t>que evalúan si  la  administración  de antibióticos profilácticos antes de la inserción del catéter de </w:t>
      </w:r>
      <w:r>
        <w:rPr>
          <w:color w:val="231F20"/>
        </w:rPr>
        <w:t>diálisis peritoneal</w:t>
      </w:r>
      <w:r>
        <w:rPr>
          <w:color w:val="221A21"/>
        </w:rPr>
        <w:t>, reduce la incidencia de peritonitis, 3 de ellos muestran una reducción significativa con</w:t>
        <w:tab/>
        <w:t>periodos cortos de seguimiento de menos de cuatro semanas.  </w:t>
      </w:r>
      <w:r>
        <w:rPr>
          <w:color w:val="221A21"/>
          <w:spacing w:val="6"/>
        </w:rPr>
        <w:t> </w:t>
      </w:r>
      <w:r>
        <w:rPr>
          <w:color w:val="221A21"/>
        </w:rPr>
        <w:t>Uno</w:t>
      </w:r>
      <w:r>
        <w:rPr>
          <w:color w:val="221A21"/>
          <w:spacing w:val="12"/>
        </w:rPr>
        <w:t> </w:t>
      </w:r>
      <w:r>
        <w:rPr>
          <w:color w:val="221A21"/>
        </w:rPr>
        <w:t>de</w:t>
      </w:r>
      <w:r>
        <w:rPr>
          <w:color w:val="221A21"/>
          <w:w w:val="101"/>
        </w:rPr>
        <w:t> </w:t>
      </w:r>
      <w:r>
        <w:rPr>
          <w:color w:val="221A21"/>
        </w:rPr>
        <w:t>ellos muestra ventajas de Vancomicina sobre</w:t>
      </w:r>
      <w:r>
        <w:rPr>
          <w:color w:val="221A21"/>
          <w:spacing w:val="36"/>
        </w:rPr>
        <w:t> </w:t>
      </w:r>
      <w:r>
        <w:rPr>
          <w:color w:val="221A21"/>
        </w:rPr>
        <w:t>Cefazolina.</w:t>
      </w:r>
    </w:p>
    <w:p>
      <w:pPr>
        <w:pStyle w:val="BodyText"/>
        <w:spacing w:before="3"/>
        <w:rPr>
          <w:sz w:val="26"/>
        </w:rPr>
      </w:pPr>
    </w:p>
    <w:p>
      <w:pPr>
        <w:pStyle w:val="Heading2"/>
        <w:rPr>
          <w:i/>
          <w:sz w:val="13"/>
        </w:rPr>
      </w:pPr>
      <w:r>
        <w:rPr>
          <w:i/>
          <w:color w:val="221A21"/>
        </w:rPr>
        <w:t>Uso profiláctico de mupirocina </w:t>
      </w:r>
      <w:r>
        <w:rPr>
          <w:i/>
          <w:color w:val="221A21"/>
          <w:position w:val="9"/>
          <w:sz w:val="13"/>
        </w:rPr>
        <w:t>(34)</w:t>
      </w:r>
    </w:p>
    <w:p>
      <w:pPr>
        <w:pStyle w:val="BodyText"/>
        <w:spacing w:before="4"/>
        <w:rPr>
          <w:b/>
          <w:i/>
          <w:sz w:val="29"/>
        </w:rPr>
      </w:pPr>
    </w:p>
    <w:p>
      <w:pPr>
        <w:pStyle w:val="BodyText"/>
        <w:spacing w:line="242" w:lineRule="auto" w:before="1"/>
        <w:ind w:left="865" w:right="862"/>
        <w:jc w:val="both"/>
      </w:pPr>
      <w:r>
        <w:rPr>
          <w:color w:val="221A21"/>
        </w:rPr>
        <w:t>La terapia profiláctica usando ungüento de mupirocina, especialmente para los portadores nasales de Staphylococcus aureus, se recomienda para reducir el  riesgo de infección del Orificio de salida/túnel por </w:t>
      </w:r>
      <w:r>
        <w:rPr>
          <w:i/>
          <w:color w:val="221A21"/>
        </w:rPr>
        <w:t>S. aureus </w:t>
      </w:r>
      <w:r>
        <w:rPr>
          <w:color w:val="221A21"/>
        </w:rPr>
        <w:t>(Evidencia Nivel II). La mupirocina nasal reduce la infección del sitio de salida/túnel pero no de   </w:t>
      </w:r>
      <w:r>
        <w:rPr>
          <w:color w:val="221A21"/>
          <w:spacing w:val="4"/>
        </w:rPr>
        <w:t> </w:t>
      </w:r>
      <w:r>
        <w:rPr>
          <w:color w:val="221A21"/>
        </w:rPr>
        <w:t>peritonitis</w:t>
      </w:r>
    </w:p>
    <w:p>
      <w:pPr>
        <w:spacing w:line="220" w:lineRule="exact" w:before="0"/>
        <w:ind w:left="865" w:right="0" w:firstLine="0"/>
        <w:jc w:val="both"/>
        <w:rPr>
          <w:sz w:val="19"/>
        </w:rPr>
      </w:pPr>
      <w:r>
        <w:rPr>
          <w:color w:val="221A21"/>
          <w:sz w:val="13"/>
        </w:rPr>
        <w:t>(34)</w:t>
      </w:r>
      <w:r>
        <w:rPr>
          <w:color w:val="221A21"/>
          <w:position w:val="-8"/>
          <w:sz w:val="19"/>
        </w:rPr>
        <w:t>.</w:t>
      </w:r>
    </w:p>
    <w:p>
      <w:pPr>
        <w:spacing w:after="0" w:line="220" w:lineRule="exact"/>
        <w:jc w:val="both"/>
        <w:rPr>
          <w:sz w:val="19"/>
        </w:rPr>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Heading1"/>
        <w:spacing w:before="77"/>
        <w:jc w:val="both"/>
      </w:pPr>
      <w:r>
        <w:rPr>
          <w:color w:val="221A21"/>
        </w:rPr>
        <w:t>Recomendaciones (basadas en evidencia nivel III y IV)</w:t>
      </w:r>
    </w:p>
    <w:p>
      <w:pPr>
        <w:pStyle w:val="BodyText"/>
        <w:rPr>
          <w:b/>
          <w:sz w:val="18"/>
        </w:rPr>
      </w:pPr>
    </w:p>
    <w:p>
      <w:pPr>
        <w:pStyle w:val="BodyText"/>
        <w:spacing w:line="242" w:lineRule="auto" w:before="131"/>
        <w:ind w:left="865" w:right="866"/>
        <w:jc w:val="both"/>
      </w:pPr>
      <w:r>
        <w:rPr>
          <w:color w:val="221A21"/>
        </w:rPr>
        <w:t>El uso diario de mupirocina no parece conducir a niveles significativos de resistencia en el corto plazo, pero éstos niveles aumentan con períodos de uso  más prolongados y después de 4 años puede llegar a ser un problema </w:t>
      </w:r>
      <w:r>
        <w:rPr>
          <w:color w:val="221A21"/>
          <w:spacing w:val="5"/>
        </w:rPr>
        <w:t> </w:t>
      </w:r>
      <w:r>
        <w:rPr>
          <w:color w:val="221A21"/>
        </w:rPr>
        <w:t>significativo</w:t>
      </w:r>
    </w:p>
    <w:p>
      <w:pPr>
        <w:spacing w:line="220" w:lineRule="exact" w:before="0"/>
        <w:ind w:left="865" w:right="0" w:firstLine="0"/>
        <w:jc w:val="both"/>
        <w:rPr>
          <w:sz w:val="19"/>
        </w:rPr>
      </w:pPr>
      <w:r>
        <w:rPr>
          <w:color w:val="221A21"/>
          <w:sz w:val="13"/>
        </w:rPr>
        <w:t>(34)</w:t>
      </w:r>
      <w:r>
        <w:rPr>
          <w:color w:val="221A21"/>
          <w:position w:val="-8"/>
          <w:sz w:val="19"/>
        </w:rPr>
        <w:t>.</w:t>
      </w:r>
    </w:p>
    <w:p>
      <w:pPr>
        <w:pStyle w:val="BodyText"/>
        <w:spacing w:before="3"/>
        <w:rPr>
          <w:sz w:val="29"/>
        </w:rPr>
      </w:pPr>
    </w:p>
    <w:p>
      <w:pPr>
        <w:pStyle w:val="BodyText"/>
        <w:spacing w:line="242" w:lineRule="auto"/>
        <w:ind w:left="865" w:right="863"/>
        <w:jc w:val="both"/>
      </w:pPr>
      <w:r>
        <w:rPr>
          <w:color w:val="221A21"/>
        </w:rPr>
        <w:t>Se recomienda la terapia profiláctica con ungüento de mupirocina en el Orificio de salida, especialmente para los portadores de </w:t>
      </w:r>
      <w:r>
        <w:rPr>
          <w:i/>
          <w:color w:val="221A21"/>
        </w:rPr>
        <w:t>S. aureus, </w:t>
      </w:r>
      <w:r>
        <w:rPr>
          <w:color w:val="221A21"/>
        </w:rPr>
        <w:t>para reducir el riesgo de infecciones por </w:t>
      </w:r>
      <w:r>
        <w:rPr>
          <w:i/>
          <w:color w:val="221A21"/>
        </w:rPr>
        <w:t>S. aureus </w:t>
      </w:r>
      <w:r>
        <w:rPr>
          <w:color w:val="221A21"/>
        </w:rPr>
        <w:t>en Orificio de salida/túnel y peritonitis.</w:t>
      </w:r>
    </w:p>
    <w:p>
      <w:pPr>
        <w:pStyle w:val="BodyText"/>
        <w:rPr>
          <w:sz w:val="18"/>
        </w:rPr>
      </w:pPr>
    </w:p>
    <w:p>
      <w:pPr>
        <w:pStyle w:val="Heading2"/>
        <w:spacing w:line="242" w:lineRule="auto" w:before="131"/>
        <w:ind w:right="857"/>
      </w:pPr>
      <w:r>
        <w:rPr>
          <w:i/>
          <w:color w:val="221A21"/>
        </w:rPr>
        <w:t>Medidas de prevención relacionadas con los sistemas de conexión y moda- </w:t>
      </w:r>
      <w:r>
        <w:rPr>
          <w:color w:val="221A21"/>
        </w:rPr>
        <w:t>lidad de diálisis</w:t>
      </w:r>
    </w:p>
    <w:p>
      <w:pPr>
        <w:pStyle w:val="BodyText"/>
        <w:rPr>
          <w:b/>
          <w:i/>
          <w:sz w:val="18"/>
        </w:rPr>
      </w:pPr>
    </w:p>
    <w:p>
      <w:pPr>
        <w:pStyle w:val="BodyText"/>
        <w:spacing w:line="242" w:lineRule="auto" w:before="129"/>
        <w:ind w:left="865" w:right="860"/>
        <w:jc w:val="both"/>
      </w:pPr>
      <w:r>
        <w:rPr>
          <w:color w:val="221A21"/>
        </w:rPr>
        <w:t>Los sistemas de conexión-desconexión (doble-bolsa, conexión en Y) son  superiores a los sistemas que implican puncionar las bolsas de </w:t>
      </w:r>
      <w:r>
        <w:rPr>
          <w:color w:val="231F20"/>
        </w:rPr>
        <w:t>diálisis peritoneal</w:t>
      </w:r>
      <w:r>
        <w:rPr>
          <w:color w:val="221A21"/>
        </w:rPr>
        <w:t>. (Evidencia Nivel</w:t>
      </w:r>
      <w:r>
        <w:rPr>
          <w:color w:val="221A21"/>
          <w:spacing w:val="11"/>
        </w:rPr>
        <w:t> </w:t>
      </w:r>
      <w:r>
        <w:rPr>
          <w:color w:val="221A21"/>
        </w:rPr>
        <w:t>I).</w:t>
      </w:r>
    </w:p>
    <w:p>
      <w:pPr>
        <w:pStyle w:val="BodyText"/>
        <w:rPr>
          <w:sz w:val="18"/>
        </w:rPr>
      </w:pPr>
    </w:p>
    <w:p>
      <w:pPr>
        <w:pStyle w:val="BodyText"/>
        <w:spacing w:line="242" w:lineRule="auto" w:before="129"/>
        <w:ind w:left="865" w:right="868"/>
        <w:jc w:val="both"/>
      </w:pPr>
      <w:r>
        <w:rPr>
          <w:color w:val="221A21"/>
        </w:rPr>
        <w:t>La modalidad de diálisis automatizada (DPA) no ha demostrado ser superior a la modalidad manual (DPCA), a pesar del mayor número de conexiones que esta última implica. Los datos de una menor incidencia de peritonitis en DPA provienen de estudios no aleatorios.</w:t>
      </w:r>
    </w:p>
    <w:p>
      <w:pPr>
        <w:pStyle w:val="BodyText"/>
        <w:rPr>
          <w:sz w:val="18"/>
        </w:rPr>
      </w:pPr>
    </w:p>
    <w:p>
      <w:pPr>
        <w:pStyle w:val="BodyText"/>
        <w:spacing w:line="242" w:lineRule="auto" w:before="129"/>
        <w:ind w:left="865" w:right="864"/>
        <w:jc w:val="both"/>
      </w:pPr>
      <w:r>
        <w:rPr>
          <w:color w:val="221A21"/>
        </w:rPr>
        <w:t>Las soluciones con icodextran no han demostrado ser superiores a la glucosa para disminuir peritonitis, cuando se usan en baños prolongados en DPCA (Evidencia Nivel II).</w:t>
      </w:r>
    </w:p>
    <w:p>
      <w:pPr>
        <w:pStyle w:val="BodyText"/>
        <w:rPr>
          <w:sz w:val="18"/>
        </w:rPr>
      </w:pPr>
    </w:p>
    <w:p>
      <w:pPr>
        <w:pStyle w:val="Heading2"/>
        <w:spacing w:before="129"/>
        <w:rPr>
          <w:i/>
        </w:rPr>
      </w:pPr>
      <w:r>
        <w:rPr>
          <w:i/>
          <w:color w:val="221A21"/>
        </w:rPr>
        <w:t>Medidas relacionadas con estrategias educativas y registro de</w:t>
      </w:r>
      <w:r>
        <w:rPr>
          <w:i/>
          <w:color w:val="221A21"/>
          <w:spacing w:val="51"/>
        </w:rPr>
        <w:t> </w:t>
      </w:r>
      <w:r>
        <w:rPr>
          <w:i/>
          <w:color w:val="221A21"/>
        </w:rPr>
        <w:t>episodios</w:t>
      </w:r>
    </w:p>
    <w:p>
      <w:pPr>
        <w:pStyle w:val="BodyText"/>
        <w:rPr>
          <w:b/>
          <w:i/>
          <w:sz w:val="18"/>
        </w:rPr>
      </w:pPr>
    </w:p>
    <w:p>
      <w:pPr>
        <w:pStyle w:val="BodyText"/>
        <w:spacing w:line="242" w:lineRule="auto" w:before="131"/>
        <w:ind w:left="865" w:right="859"/>
        <w:jc w:val="both"/>
      </w:pPr>
      <w:r>
        <w:rPr>
          <w:color w:val="221A21"/>
        </w:rPr>
        <w:t>El tiempo empleado en la educación previa al inicio de </w:t>
      </w:r>
      <w:r>
        <w:rPr>
          <w:color w:val="231F20"/>
        </w:rPr>
        <w:t>diálisis peritoneal, </w:t>
      </w:r>
      <w:r>
        <w:rPr>
          <w:color w:val="221A21"/>
        </w:rPr>
        <w:t>debe ser inversamente proporcional a la tasa de infecciones, por lo que deben dedicarse esfuerzos especiales para contar con profesionales capacitados que realicen esta tarea.</w:t>
      </w:r>
    </w:p>
    <w:p>
      <w:pPr>
        <w:pStyle w:val="BodyText"/>
        <w:rPr>
          <w:sz w:val="18"/>
        </w:rPr>
      </w:pPr>
    </w:p>
    <w:p>
      <w:pPr>
        <w:pStyle w:val="BodyText"/>
        <w:spacing w:line="242" w:lineRule="auto" w:before="129"/>
        <w:ind w:left="865" w:right="860"/>
        <w:jc w:val="both"/>
      </w:pPr>
      <w:r>
        <w:rPr>
          <w:color w:val="221A21"/>
        </w:rPr>
        <w:t>Después de cada episodio de peritonitis se debe re-educar y entrenar a los cuidadores encargados de la </w:t>
      </w:r>
      <w:r>
        <w:rPr>
          <w:color w:val="231F20"/>
        </w:rPr>
        <w:t>diálisis peritoneal</w:t>
      </w:r>
      <w:r>
        <w:rPr>
          <w:color w:val="221A21"/>
        </w:rPr>
        <w:t>.</w:t>
      </w:r>
    </w:p>
    <w:p>
      <w:pPr>
        <w:pStyle w:val="BodyText"/>
        <w:rPr>
          <w:sz w:val="18"/>
        </w:rPr>
      </w:pPr>
    </w:p>
    <w:p>
      <w:pPr>
        <w:pStyle w:val="BodyText"/>
        <w:spacing w:line="242" w:lineRule="auto" w:before="129"/>
        <w:ind w:left="865" w:right="862"/>
        <w:jc w:val="both"/>
      </w:pPr>
      <w:r>
        <w:rPr>
          <w:color w:val="221A21"/>
        </w:rPr>
        <w:t>Los programas de </w:t>
      </w:r>
      <w:r>
        <w:rPr>
          <w:color w:val="231F20"/>
        </w:rPr>
        <w:t>diálisis peritoneal </w:t>
      </w:r>
      <w:r>
        <w:rPr>
          <w:color w:val="221A21"/>
        </w:rPr>
        <w:t>deberán llevar registro y calculo de tasas de todas las infecciones asociadas a </w:t>
      </w:r>
      <w:r>
        <w:rPr>
          <w:color w:val="231F20"/>
        </w:rPr>
        <w:t>diálisis peritoneal, </w:t>
      </w:r>
      <w:r>
        <w:rPr>
          <w:color w:val="221A21"/>
        </w:rPr>
        <w:t>incluyendo peritonitis,  infección de Orificio de  Salida/ túnel, asimismo tasas individuales por paciente y  por</w:t>
      </w:r>
      <w:r>
        <w:rPr>
          <w:color w:val="221A21"/>
          <w:spacing w:val="7"/>
        </w:rPr>
        <w:t> </w:t>
      </w:r>
      <w:r>
        <w:rPr>
          <w:color w:val="221A21"/>
        </w:rPr>
        <w:t>germen.</w:t>
      </w:r>
    </w:p>
    <w:p>
      <w:pPr>
        <w:spacing w:after="0" w:line="242"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spacing w:before="77"/>
        <w:jc w:val="both"/>
      </w:pPr>
      <w:r>
        <w:rPr>
          <w:color w:val="221A21"/>
        </w:rPr>
        <w:t>Infecciones del orificio de salida y túnel subcutáneo</w:t>
      </w:r>
    </w:p>
    <w:p>
      <w:pPr>
        <w:pStyle w:val="BodyText"/>
        <w:rPr>
          <w:b/>
          <w:sz w:val="18"/>
        </w:rPr>
      </w:pPr>
    </w:p>
    <w:p>
      <w:pPr>
        <w:pStyle w:val="BodyText"/>
        <w:spacing w:before="131"/>
        <w:ind w:left="865"/>
        <w:jc w:val="both"/>
      </w:pPr>
      <w:r>
        <w:rPr>
          <w:color w:val="221A21"/>
        </w:rPr>
        <w:t>La infección se sospecha por la presencia de secreción purulenta en el orificio de</w:t>
      </w:r>
    </w:p>
    <w:p>
      <w:pPr>
        <w:pStyle w:val="BodyText"/>
        <w:spacing w:before="2"/>
        <w:ind w:left="865"/>
        <w:jc w:val="both"/>
      </w:pPr>
      <w:r>
        <w:rPr>
          <w:color w:val="221A21"/>
        </w:rPr>
        <w:t>salida, ya sea en forma espontánea o al “exprimir” el túnel.</w:t>
      </w:r>
    </w:p>
    <w:p>
      <w:pPr>
        <w:pStyle w:val="BodyText"/>
        <w:rPr>
          <w:sz w:val="18"/>
        </w:rPr>
      </w:pPr>
    </w:p>
    <w:p>
      <w:pPr>
        <w:pStyle w:val="BodyText"/>
        <w:spacing w:line="242" w:lineRule="auto" w:before="131"/>
        <w:ind w:left="865" w:right="868"/>
        <w:jc w:val="both"/>
      </w:pPr>
      <w:r>
        <w:rPr>
          <w:color w:val="221A21"/>
        </w:rPr>
        <w:t>El edema, la sensibilidad y/o eritema importante o persistente sin secreción  también pueden indicar</w:t>
      </w:r>
      <w:r>
        <w:rPr>
          <w:color w:val="221A21"/>
          <w:spacing w:val="18"/>
        </w:rPr>
        <w:t> </w:t>
      </w:r>
      <w:r>
        <w:rPr>
          <w:color w:val="221A21"/>
        </w:rPr>
        <w:t>infección.</w:t>
      </w:r>
    </w:p>
    <w:p>
      <w:pPr>
        <w:pStyle w:val="BodyText"/>
        <w:rPr>
          <w:sz w:val="18"/>
        </w:rPr>
      </w:pPr>
    </w:p>
    <w:p>
      <w:pPr>
        <w:pStyle w:val="BodyText"/>
        <w:spacing w:line="242" w:lineRule="auto" w:before="129"/>
        <w:ind w:left="865" w:right="861"/>
        <w:jc w:val="both"/>
      </w:pPr>
      <w:r>
        <w:rPr>
          <w:color w:val="221A21"/>
        </w:rPr>
        <w:t>La infección del túnel subcutáneo generalmente ocurre en presencia de infección del orificio de salida, y se sospecha por eritema, dolor o edema sobre el trayecto  de</w:t>
      </w:r>
      <w:r>
        <w:rPr>
          <w:color w:val="221A21"/>
          <w:spacing w:val="4"/>
        </w:rPr>
        <w:t> </w:t>
      </w:r>
      <w:r>
        <w:rPr>
          <w:color w:val="221A21"/>
        </w:rPr>
        <w:t>éste.</w:t>
      </w:r>
    </w:p>
    <w:p>
      <w:pPr>
        <w:pStyle w:val="BodyText"/>
        <w:rPr>
          <w:sz w:val="18"/>
        </w:rPr>
      </w:pPr>
    </w:p>
    <w:p>
      <w:pPr>
        <w:pStyle w:val="BodyText"/>
        <w:spacing w:line="242" w:lineRule="auto" w:before="129"/>
        <w:ind w:left="865" w:right="863"/>
        <w:jc w:val="both"/>
      </w:pPr>
      <w:r>
        <w:rPr>
          <w:color w:val="221A21"/>
        </w:rPr>
        <w:t>La Ecografía es útil en precisar su diagnóstico. Los gérmenes más frecuentemente involucrados son </w:t>
      </w:r>
      <w:r>
        <w:rPr>
          <w:i/>
          <w:color w:val="221A21"/>
        </w:rPr>
        <w:t>Staphylococcus aureus</w:t>
      </w:r>
      <w:r>
        <w:rPr>
          <w:color w:val="221A21"/>
        </w:rPr>
        <w:t>, seguido por Enterococos y bacterias Gram negativas.</w:t>
      </w:r>
    </w:p>
    <w:p>
      <w:pPr>
        <w:pStyle w:val="BodyText"/>
        <w:rPr>
          <w:sz w:val="18"/>
        </w:rPr>
      </w:pPr>
    </w:p>
    <w:p>
      <w:pPr>
        <w:pStyle w:val="BodyText"/>
        <w:spacing w:line="242" w:lineRule="auto" w:before="129"/>
        <w:ind w:left="865" w:right="870"/>
        <w:jc w:val="both"/>
      </w:pPr>
      <w:r>
        <w:rPr>
          <w:color w:val="221A21"/>
        </w:rPr>
        <w:t>Un cultivo negativo no la descarta; por otro lado, un cultivo positivo en ausencia de signos inflamatorios indica colonización, no infección.</w:t>
      </w:r>
    </w:p>
    <w:p>
      <w:pPr>
        <w:pStyle w:val="BodyText"/>
        <w:rPr>
          <w:sz w:val="18"/>
        </w:rPr>
      </w:pPr>
    </w:p>
    <w:p>
      <w:pPr>
        <w:pStyle w:val="Heading1"/>
        <w:spacing w:before="129"/>
        <w:ind w:left="1133" w:right="1134"/>
        <w:jc w:val="center"/>
      </w:pPr>
      <w:r>
        <w:rPr>
          <w:color w:val="231F20"/>
        </w:rPr>
        <w:t>Tabla 5</w:t>
      </w:r>
    </w:p>
    <w:p>
      <w:pPr>
        <w:spacing w:before="60"/>
        <w:ind w:left="1134" w:right="1134" w:firstLine="0"/>
        <w:jc w:val="center"/>
        <w:rPr>
          <w:b/>
          <w:sz w:val="19"/>
        </w:rPr>
      </w:pPr>
      <w:r>
        <w:rPr>
          <w:b/>
          <w:color w:val="231F20"/>
          <w:sz w:val="19"/>
        </w:rPr>
        <w:t>Score para diagnóstico de infección del oficio de salida</w:t>
      </w:r>
    </w:p>
    <w:p>
      <w:pPr>
        <w:pStyle w:val="BodyText"/>
        <w:spacing w:before="6"/>
        <w:rPr>
          <w:b/>
          <w:sz w:val="29"/>
        </w:rPr>
      </w:pPr>
    </w:p>
    <w:tbl>
      <w:tblPr>
        <w:tblW w:w="0" w:type="auto"/>
        <w:jc w:val="left"/>
        <w:tblInd w:w="775"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1728"/>
        <w:gridCol w:w="1730"/>
        <w:gridCol w:w="1728"/>
        <w:gridCol w:w="1730"/>
      </w:tblGrid>
      <w:tr>
        <w:trPr>
          <w:trHeight w:val="344" w:hRule="exact"/>
        </w:trPr>
        <w:tc>
          <w:tcPr>
            <w:tcW w:w="1728" w:type="dxa"/>
          </w:tcPr>
          <w:p>
            <w:pPr>
              <w:pStyle w:val="TableParagraph"/>
              <w:spacing w:before="56"/>
              <w:ind w:left="154" w:right="154"/>
              <w:rPr>
                <w:b/>
                <w:sz w:val="19"/>
              </w:rPr>
            </w:pPr>
            <w:r>
              <w:rPr>
                <w:b/>
                <w:color w:val="231F20"/>
                <w:sz w:val="19"/>
              </w:rPr>
              <w:t>Características</w:t>
            </w:r>
          </w:p>
        </w:tc>
        <w:tc>
          <w:tcPr>
            <w:tcW w:w="1730" w:type="dxa"/>
          </w:tcPr>
          <w:p>
            <w:pPr>
              <w:pStyle w:val="TableParagraph"/>
              <w:spacing w:before="56"/>
              <w:rPr>
                <w:b/>
                <w:sz w:val="19"/>
              </w:rPr>
            </w:pPr>
            <w:r>
              <w:rPr>
                <w:b/>
                <w:color w:val="231F20"/>
                <w:w w:val="101"/>
                <w:sz w:val="19"/>
              </w:rPr>
              <w:t>0</w:t>
            </w:r>
          </w:p>
        </w:tc>
        <w:tc>
          <w:tcPr>
            <w:tcW w:w="1728" w:type="dxa"/>
          </w:tcPr>
          <w:p>
            <w:pPr>
              <w:pStyle w:val="TableParagraph"/>
              <w:spacing w:before="56"/>
              <w:rPr>
                <w:b/>
                <w:sz w:val="19"/>
              </w:rPr>
            </w:pPr>
            <w:r>
              <w:rPr>
                <w:b/>
                <w:color w:val="231F20"/>
                <w:w w:val="101"/>
                <w:sz w:val="19"/>
              </w:rPr>
              <w:t>1</w:t>
            </w:r>
          </w:p>
        </w:tc>
        <w:tc>
          <w:tcPr>
            <w:tcW w:w="1730" w:type="dxa"/>
          </w:tcPr>
          <w:p>
            <w:pPr>
              <w:pStyle w:val="TableParagraph"/>
              <w:spacing w:before="56"/>
              <w:ind w:right="1"/>
              <w:rPr>
                <w:b/>
                <w:sz w:val="19"/>
              </w:rPr>
            </w:pPr>
            <w:r>
              <w:rPr>
                <w:b/>
                <w:color w:val="231F20"/>
                <w:w w:val="101"/>
                <w:sz w:val="19"/>
              </w:rPr>
              <w:t>2</w:t>
            </w:r>
          </w:p>
        </w:tc>
      </w:tr>
      <w:tr>
        <w:trPr>
          <w:trHeight w:val="417" w:hRule="exact"/>
        </w:trPr>
        <w:tc>
          <w:tcPr>
            <w:tcW w:w="1728" w:type="dxa"/>
            <w:tcBorders>
              <w:bottom w:val="nil"/>
            </w:tcBorders>
          </w:tcPr>
          <w:p>
            <w:pPr>
              <w:pStyle w:val="TableParagraph"/>
              <w:jc w:val="left"/>
              <w:rPr>
                <w:b/>
                <w:sz w:val="18"/>
              </w:rPr>
            </w:pPr>
          </w:p>
          <w:p>
            <w:pPr>
              <w:pStyle w:val="TableParagraph"/>
              <w:ind w:left="155" w:right="154"/>
              <w:rPr>
                <w:sz w:val="17"/>
              </w:rPr>
            </w:pPr>
            <w:r>
              <w:rPr>
                <w:color w:val="231F20"/>
                <w:w w:val="105"/>
                <w:sz w:val="17"/>
              </w:rPr>
              <w:t>Edema</w:t>
            </w:r>
          </w:p>
        </w:tc>
        <w:tc>
          <w:tcPr>
            <w:tcW w:w="1730" w:type="dxa"/>
            <w:tcBorders>
              <w:bottom w:val="nil"/>
            </w:tcBorders>
          </w:tcPr>
          <w:p>
            <w:pPr>
              <w:pStyle w:val="TableParagraph"/>
              <w:jc w:val="left"/>
              <w:rPr>
                <w:b/>
                <w:sz w:val="18"/>
              </w:rPr>
            </w:pPr>
          </w:p>
          <w:p>
            <w:pPr>
              <w:pStyle w:val="TableParagraph"/>
              <w:ind w:left="726" w:right="727"/>
              <w:rPr>
                <w:sz w:val="17"/>
              </w:rPr>
            </w:pPr>
            <w:r>
              <w:rPr>
                <w:color w:val="231F20"/>
                <w:w w:val="105"/>
                <w:sz w:val="17"/>
              </w:rPr>
              <w:t>No</w:t>
            </w:r>
          </w:p>
        </w:tc>
        <w:tc>
          <w:tcPr>
            <w:tcW w:w="1728" w:type="dxa"/>
            <w:tcBorders>
              <w:bottom w:val="nil"/>
            </w:tcBorders>
          </w:tcPr>
          <w:p>
            <w:pPr>
              <w:pStyle w:val="TableParagraph"/>
              <w:jc w:val="left"/>
              <w:rPr>
                <w:b/>
                <w:sz w:val="18"/>
              </w:rPr>
            </w:pPr>
          </w:p>
          <w:p>
            <w:pPr>
              <w:pStyle w:val="TableParagraph"/>
              <w:ind w:left="132" w:right="133"/>
              <w:rPr>
                <w:sz w:val="17"/>
              </w:rPr>
            </w:pPr>
            <w:r>
              <w:rPr>
                <w:color w:val="231F20"/>
                <w:w w:val="105"/>
                <w:sz w:val="17"/>
              </w:rPr>
              <w:t>&lt;0.5 cm o solo en</w:t>
            </w:r>
          </w:p>
        </w:tc>
        <w:tc>
          <w:tcPr>
            <w:tcW w:w="1730" w:type="dxa"/>
            <w:tcBorders>
              <w:bottom w:val="nil"/>
            </w:tcBorders>
          </w:tcPr>
          <w:p>
            <w:pPr>
              <w:pStyle w:val="TableParagraph"/>
              <w:jc w:val="left"/>
              <w:rPr>
                <w:b/>
                <w:sz w:val="18"/>
              </w:rPr>
            </w:pPr>
          </w:p>
          <w:p>
            <w:pPr>
              <w:pStyle w:val="TableParagraph"/>
              <w:ind w:left="193" w:right="195"/>
              <w:rPr>
                <w:sz w:val="17"/>
              </w:rPr>
            </w:pPr>
            <w:r>
              <w:rPr>
                <w:color w:val="231F20"/>
                <w:w w:val="105"/>
                <w:sz w:val="17"/>
              </w:rPr>
              <w:t>&gt;0.5 cm, incluye</w:t>
            </w:r>
          </w:p>
        </w:tc>
      </w:tr>
      <w:tr>
        <w:trPr>
          <w:trHeight w:val="203" w:hRule="exact"/>
        </w:trPr>
        <w:tc>
          <w:tcPr>
            <w:tcW w:w="1728" w:type="dxa"/>
            <w:tcBorders>
              <w:top w:val="nil"/>
              <w:bottom w:val="nil"/>
            </w:tcBorders>
          </w:tcPr>
          <w:p>
            <w:pPr/>
          </w:p>
        </w:tc>
        <w:tc>
          <w:tcPr>
            <w:tcW w:w="1730" w:type="dxa"/>
            <w:tcBorders>
              <w:top w:val="nil"/>
              <w:bottom w:val="nil"/>
            </w:tcBorders>
          </w:tcPr>
          <w:p>
            <w:pPr/>
          </w:p>
        </w:tc>
        <w:tc>
          <w:tcPr>
            <w:tcW w:w="1728" w:type="dxa"/>
            <w:tcBorders>
              <w:top w:val="nil"/>
              <w:bottom w:val="nil"/>
            </w:tcBorders>
          </w:tcPr>
          <w:p>
            <w:pPr>
              <w:pStyle w:val="TableParagraph"/>
              <w:spacing w:line="192" w:lineRule="exact"/>
              <w:ind w:left="132" w:right="129"/>
              <w:rPr>
                <w:sz w:val="17"/>
              </w:rPr>
            </w:pPr>
            <w:r>
              <w:rPr>
                <w:color w:val="231F20"/>
                <w:w w:val="105"/>
                <w:sz w:val="17"/>
              </w:rPr>
              <w:t>OS</w:t>
            </w:r>
          </w:p>
        </w:tc>
        <w:tc>
          <w:tcPr>
            <w:tcW w:w="1730" w:type="dxa"/>
            <w:tcBorders>
              <w:top w:val="nil"/>
              <w:bottom w:val="nil"/>
            </w:tcBorders>
          </w:tcPr>
          <w:p>
            <w:pPr>
              <w:pStyle w:val="TableParagraph"/>
              <w:spacing w:line="192" w:lineRule="exact"/>
              <w:ind w:left="193" w:right="194"/>
              <w:rPr>
                <w:sz w:val="17"/>
              </w:rPr>
            </w:pPr>
            <w:r>
              <w:rPr>
                <w:color w:val="231F20"/>
                <w:w w:val="105"/>
                <w:sz w:val="17"/>
              </w:rPr>
              <w:t>parte del túnel</w:t>
            </w:r>
          </w:p>
        </w:tc>
      </w:tr>
      <w:tr>
        <w:trPr>
          <w:trHeight w:val="304" w:hRule="exact"/>
        </w:trPr>
        <w:tc>
          <w:tcPr>
            <w:tcW w:w="1728" w:type="dxa"/>
            <w:tcBorders>
              <w:top w:val="nil"/>
              <w:bottom w:val="nil"/>
            </w:tcBorders>
          </w:tcPr>
          <w:p>
            <w:pPr>
              <w:pStyle w:val="TableParagraph"/>
              <w:spacing w:line="193" w:lineRule="exact"/>
              <w:ind w:left="154" w:right="154"/>
              <w:rPr>
                <w:sz w:val="17"/>
              </w:rPr>
            </w:pPr>
            <w:r>
              <w:rPr>
                <w:color w:val="231F20"/>
                <w:w w:val="105"/>
                <w:sz w:val="17"/>
              </w:rPr>
              <w:t>Costar</w:t>
            </w:r>
          </w:p>
        </w:tc>
        <w:tc>
          <w:tcPr>
            <w:tcW w:w="1730" w:type="dxa"/>
            <w:tcBorders>
              <w:top w:val="nil"/>
              <w:bottom w:val="nil"/>
            </w:tcBorders>
          </w:tcPr>
          <w:p>
            <w:pPr>
              <w:pStyle w:val="TableParagraph"/>
              <w:spacing w:line="193" w:lineRule="exact"/>
              <w:ind w:left="726" w:right="727"/>
              <w:rPr>
                <w:sz w:val="17"/>
              </w:rPr>
            </w:pPr>
            <w:r>
              <w:rPr>
                <w:color w:val="231F20"/>
                <w:w w:val="105"/>
                <w:sz w:val="17"/>
              </w:rPr>
              <w:t>No</w:t>
            </w:r>
          </w:p>
        </w:tc>
        <w:tc>
          <w:tcPr>
            <w:tcW w:w="1728" w:type="dxa"/>
            <w:tcBorders>
              <w:top w:val="nil"/>
              <w:bottom w:val="nil"/>
            </w:tcBorders>
          </w:tcPr>
          <w:p>
            <w:pPr>
              <w:pStyle w:val="TableParagraph"/>
              <w:spacing w:line="193" w:lineRule="exact"/>
              <w:ind w:left="132" w:right="132"/>
              <w:rPr>
                <w:sz w:val="17"/>
              </w:rPr>
            </w:pPr>
            <w:r>
              <w:rPr>
                <w:color w:val="231F20"/>
                <w:w w:val="105"/>
                <w:sz w:val="17"/>
              </w:rPr>
              <w:t>&lt;0.5 cm</w:t>
            </w:r>
          </w:p>
        </w:tc>
        <w:tc>
          <w:tcPr>
            <w:tcW w:w="1730" w:type="dxa"/>
            <w:tcBorders>
              <w:top w:val="nil"/>
              <w:bottom w:val="nil"/>
            </w:tcBorders>
          </w:tcPr>
          <w:p>
            <w:pPr>
              <w:pStyle w:val="TableParagraph"/>
              <w:spacing w:line="193" w:lineRule="exact"/>
              <w:ind w:left="193" w:right="194"/>
              <w:rPr>
                <w:sz w:val="17"/>
              </w:rPr>
            </w:pPr>
            <w:r>
              <w:rPr>
                <w:color w:val="231F20"/>
                <w:w w:val="105"/>
                <w:sz w:val="17"/>
              </w:rPr>
              <w:t>&gt; 0.5 cm</w:t>
            </w:r>
          </w:p>
        </w:tc>
      </w:tr>
      <w:tr>
        <w:trPr>
          <w:trHeight w:val="404" w:hRule="exact"/>
        </w:trPr>
        <w:tc>
          <w:tcPr>
            <w:tcW w:w="1728" w:type="dxa"/>
            <w:tcBorders>
              <w:top w:val="nil"/>
              <w:bottom w:val="nil"/>
            </w:tcBorders>
          </w:tcPr>
          <w:p>
            <w:pPr>
              <w:pStyle w:val="TableParagraph"/>
              <w:spacing w:before="98"/>
              <w:ind w:left="154" w:right="154"/>
              <w:rPr>
                <w:sz w:val="17"/>
              </w:rPr>
            </w:pPr>
            <w:r>
              <w:rPr>
                <w:color w:val="231F20"/>
                <w:w w:val="105"/>
                <w:sz w:val="17"/>
              </w:rPr>
              <w:t>Eritema</w:t>
            </w:r>
          </w:p>
        </w:tc>
        <w:tc>
          <w:tcPr>
            <w:tcW w:w="1730" w:type="dxa"/>
            <w:tcBorders>
              <w:top w:val="nil"/>
              <w:bottom w:val="nil"/>
            </w:tcBorders>
          </w:tcPr>
          <w:p>
            <w:pPr>
              <w:pStyle w:val="TableParagraph"/>
              <w:spacing w:before="98"/>
              <w:ind w:left="726" w:right="727"/>
              <w:rPr>
                <w:sz w:val="17"/>
              </w:rPr>
            </w:pPr>
            <w:r>
              <w:rPr>
                <w:color w:val="231F20"/>
                <w:w w:val="105"/>
                <w:sz w:val="17"/>
              </w:rPr>
              <w:t>No</w:t>
            </w:r>
          </w:p>
        </w:tc>
        <w:tc>
          <w:tcPr>
            <w:tcW w:w="1728" w:type="dxa"/>
            <w:tcBorders>
              <w:top w:val="nil"/>
              <w:bottom w:val="nil"/>
            </w:tcBorders>
          </w:tcPr>
          <w:p>
            <w:pPr>
              <w:pStyle w:val="TableParagraph"/>
              <w:spacing w:before="98"/>
              <w:ind w:left="132" w:right="132"/>
              <w:rPr>
                <w:sz w:val="17"/>
              </w:rPr>
            </w:pPr>
            <w:r>
              <w:rPr>
                <w:color w:val="231F20"/>
                <w:w w:val="105"/>
                <w:sz w:val="17"/>
              </w:rPr>
              <w:t>&lt;0.5 cm</w:t>
            </w:r>
          </w:p>
        </w:tc>
        <w:tc>
          <w:tcPr>
            <w:tcW w:w="1730" w:type="dxa"/>
            <w:tcBorders>
              <w:top w:val="nil"/>
              <w:bottom w:val="nil"/>
            </w:tcBorders>
          </w:tcPr>
          <w:p>
            <w:pPr>
              <w:pStyle w:val="TableParagraph"/>
              <w:spacing w:before="98"/>
              <w:ind w:left="193" w:right="194"/>
              <w:rPr>
                <w:sz w:val="17"/>
              </w:rPr>
            </w:pPr>
            <w:r>
              <w:rPr>
                <w:color w:val="231F20"/>
                <w:w w:val="105"/>
                <w:sz w:val="17"/>
              </w:rPr>
              <w:t>&gt; 0.5 cm</w:t>
            </w:r>
          </w:p>
        </w:tc>
      </w:tr>
      <w:tr>
        <w:trPr>
          <w:trHeight w:val="412" w:hRule="exact"/>
        </w:trPr>
        <w:tc>
          <w:tcPr>
            <w:tcW w:w="1728" w:type="dxa"/>
            <w:tcBorders>
              <w:top w:val="nil"/>
              <w:bottom w:val="nil"/>
            </w:tcBorders>
          </w:tcPr>
          <w:p>
            <w:pPr>
              <w:pStyle w:val="TableParagraph"/>
              <w:spacing w:before="91"/>
              <w:ind w:left="156" w:right="154"/>
              <w:rPr>
                <w:sz w:val="17"/>
              </w:rPr>
            </w:pPr>
            <w:r>
              <w:rPr>
                <w:color w:val="231F20"/>
                <w:sz w:val="17"/>
              </w:rPr>
              <w:t>Dolor </w:t>
            </w:r>
            <w:r>
              <w:rPr>
                <w:color w:val="231F20"/>
                <w:sz w:val="19"/>
              </w:rPr>
              <w:t>a la </w:t>
            </w:r>
            <w:r>
              <w:rPr>
                <w:color w:val="231F20"/>
                <w:sz w:val="17"/>
              </w:rPr>
              <w:t>presión</w:t>
            </w:r>
          </w:p>
        </w:tc>
        <w:tc>
          <w:tcPr>
            <w:tcW w:w="1730" w:type="dxa"/>
            <w:tcBorders>
              <w:top w:val="nil"/>
              <w:bottom w:val="nil"/>
            </w:tcBorders>
          </w:tcPr>
          <w:p>
            <w:pPr>
              <w:pStyle w:val="TableParagraph"/>
              <w:spacing w:before="97"/>
              <w:ind w:left="726" w:right="727"/>
              <w:rPr>
                <w:sz w:val="17"/>
              </w:rPr>
            </w:pPr>
            <w:r>
              <w:rPr>
                <w:color w:val="231F20"/>
                <w:w w:val="105"/>
                <w:sz w:val="17"/>
              </w:rPr>
              <w:t>No</w:t>
            </w:r>
          </w:p>
        </w:tc>
        <w:tc>
          <w:tcPr>
            <w:tcW w:w="1728" w:type="dxa"/>
            <w:tcBorders>
              <w:top w:val="nil"/>
              <w:bottom w:val="nil"/>
            </w:tcBorders>
          </w:tcPr>
          <w:p>
            <w:pPr>
              <w:pStyle w:val="TableParagraph"/>
              <w:spacing w:before="97"/>
              <w:ind w:left="132" w:right="133"/>
              <w:rPr>
                <w:sz w:val="17"/>
              </w:rPr>
            </w:pPr>
            <w:r>
              <w:rPr>
                <w:color w:val="231F20"/>
                <w:w w:val="105"/>
                <w:sz w:val="17"/>
              </w:rPr>
              <w:t>Leve</w:t>
            </w:r>
          </w:p>
        </w:tc>
        <w:tc>
          <w:tcPr>
            <w:tcW w:w="1730" w:type="dxa"/>
            <w:tcBorders>
              <w:top w:val="nil"/>
              <w:bottom w:val="nil"/>
            </w:tcBorders>
          </w:tcPr>
          <w:p>
            <w:pPr>
              <w:pStyle w:val="TableParagraph"/>
              <w:spacing w:before="97"/>
              <w:ind w:left="193" w:right="193"/>
              <w:rPr>
                <w:sz w:val="17"/>
              </w:rPr>
            </w:pPr>
            <w:r>
              <w:rPr>
                <w:color w:val="231F20"/>
                <w:w w:val="105"/>
                <w:sz w:val="17"/>
              </w:rPr>
              <w:t>Importante</w:t>
            </w:r>
          </w:p>
        </w:tc>
      </w:tr>
      <w:tr>
        <w:trPr>
          <w:trHeight w:val="495" w:hRule="exact"/>
        </w:trPr>
        <w:tc>
          <w:tcPr>
            <w:tcW w:w="1728" w:type="dxa"/>
            <w:tcBorders>
              <w:top w:val="nil"/>
            </w:tcBorders>
          </w:tcPr>
          <w:p>
            <w:pPr>
              <w:pStyle w:val="TableParagraph"/>
              <w:spacing w:before="109"/>
              <w:ind w:left="154" w:right="154"/>
              <w:rPr>
                <w:sz w:val="17"/>
              </w:rPr>
            </w:pPr>
            <w:r>
              <w:rPr>
                <w:color w:val="231F20"/>
                <w:w w:val="105"/>
                <w:sz w:val="17"/>
              </w:rPr>
              <w:t>Secreción</w:t>
            </w:r>
          </w:p>
        </w:tc>
        <w:tc>
          <w:tcPr>
            <w:tcW w:w="1730" w:type="dxa"/>
            <w:tcBorders>
              <w:top w:val="nil"/>
            </w:tcBorders>
          </w:tcPr>
          <w:p>
            <w:pPr>
              <w:pStyle w:val="TableParagraph"/>
              <w:spacing w:before="89"/>
              <w:ind w:left="726" w:right="727"/>
              <w:rPr>
                <w:sz w:val="17"/>
              </w:rPr>
            </w:pPr>
            <w:r>
              <w:rPr>
                <w:color w:val="231F20"/>
                <w:w w:val="105"/>
                <w:sz w:val="17"/>
              </w:rPr>
              <w:t>No</w:t>
            </w:r>
          </w:p>
        </w:tc>
        <w:tc>
          <w:tcPr>
            <w:tcW w:w="1728" w:type="dxa"/>
            <w:tcBorders>
              <w:top w:val="nil"/>
            </w:tcBorders>
          </w:tcPr>
          <w:p>
            <w:pPr>
              <w:pStyle w:val="TableParagraph"/>
              <w:spacing w:before="89"/>
              <w:ind w:left="132" w:right="130"/>
              <w:rPr>
                <w:sz w:val="17"/>
              </w:rPr>
            </w:pPr>
            <w:r>
              <w:rPr>
                <w:color w:val="231F20"/>
                <w:w w:val="105"/>
                <w:sz w:val="17"/>
              </w:rPr>
              <w:t>Serosa</w:t>
            </w:r>
          </w:p>
        </w:tc>
        <w:tc>
          <w:tcPr>
            <w:tcW w:w="1730" w:type="dxa"/>
            <w:tcBorders>
              <w:top w:val="nil"/>
            </w:tcBorders>
          </w:tcPr>
          <w:p>
            <w:pPr>
              <w:pStyle w:val="TableParagraph"/>
              <w:spacing w:before="89"/>
              <w:ind w:left="193" w:right="193"/>
              <w:rPr>
                <w:sz w:val="17"/>
              </w:rPr>
            </w:pPr>
            <w:r>
              <w:rPr>
                <w:color w:val="231F20"/>
                <w:w w:val="105"/>
                <w:sz w:val="17"/>
              </w:rPr>
              <w:t>Purulenta</w:t>
            </w:r>
          </w:p>
        </w:tc>
      </w:tr>
    </w:tbl>
    <w:p>
      <w:pPr>
        <w:pStyle w:val="BodyText"/>
        <w:spacing w:before="5"/>
        <w:rPr>
          <w:b/>
          <w:sz w:val="20"/>
        </w:rPr>
      </w:pPr>
    </w:p>
    <w:p>
      <w:pPr>
        <w:spacing w:before="79"/>
        <w:ind w:left="0" w:right="864" w:firstLine="0"/>
        <w:jc w:val="right"/>
        <w:rPr>
          <w:b/>
          <w:sz w:val="16"/>
        </w:rPr>
      </w:pPr>
      <w:r>
        <w:rPr>
          <w:b/>
          <w:color w:val="221A21"/>
          <w:sz w:val="16"/>
        </w:rPr>
        <w:t>OS: orificio de salida</w:t>
      </w:r>
    </w:p>
    <w:p>
      <w:pPr>
        <w:spacing w:before="0"/>
        <w:ind w:left="0" w:right="864" w:firstLine="0"/>
        <w:jc w:val="right"/>
        <w:rPr>
          <w:b/>
          <w:i/>
          <w:sz w:val="16"/>
        </w:rPr>
      </w:pPr>
      <w:r>
        <w:rPr>
          <w:b/>
          <w:i/>
          <w:color w:val="221A21"/>
          <w:sz w:val="16"/>
          <w:u w:val="single" w:color="221A21"/>
        </w:rPr>
        <w:t>&gt;</w:t>
      </w:r>
      <w:r>
        <w:rPr>
          <w:b/>
          <w:i/>
          <w:color w:val="221A21"/>
          <w:sz w:val="16"/>
        </w:rPr>
        <w:t>4 puntos existe infección del orificio de salida</w:t>
      </w:r>
    </w:p>
    <w:p>
      <w:pPr>
        <w:spacing w:after="0"/>
        <w:jc w:val="right"/>
        <w:rPr>
          <w:sz w:val="16"/>
        </w:rPr>
        <w:sectPr>
          <w:pgSz w:w="12240" w:h="15840"/>
          <w:pgMar w:header="0" w:footer="2372" w:top="1500" w:bottom="2560" w:left="1720" w:right="1720"/>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4"/>
        <w:rPr>
          <w:b/>
          <w:i/>
          <w:sz w:val="27"/>
        </w:rPr>
      </w:pPr>
    </w:p>
    <w:p>
      <w:pPr>
        <w:pStyle w:val="Heading2"/>
        <w:spacing w:before="78"/>
        <w:rPr>
          <w:i/>
        </w:rPr>
      </w:pPr>
      <w:r>
        <w:rPr>
          <w:i/>
          <w:color w:val="221A21"/>
        </w:rPr>
        <w:t>Estrategias adicionales de prevención (Evidencia Nivel IV)</w:t>
      </w:r>
    </w:p>
    <w:p>
      <w:pPr>
        <w:pStyle w:val="BodyText"/>
        <w:rPr>
          <w:b/>
          <w:i/>
          <w:sz w:val="18"/>
        </w:rPr>
      </w:pPr>
    </w:p>
    <w:p>
      <w:pPr>
        <w:pStyle w:val="BodyText"/>
        <w:spacing w:line="242" w:lineRule="auto" w:before="131"/>
        <w:ind w:left="865" w:right="868"/>
        <w:jc w:val="both"/>
      </w:pPr>
      <w:r>
        <w:rPr>
          <w:color w:val="221A21"/>
        </w:rPr>
        <w:t>Otras medidas para la prevención de peritonitis asociada a diálisis peritoneal, con bajo nivel de evidencia pero que deberán de tomarse en cuenta para evitar infección peritoneal son los</w:t>
      </w:r>
      <w:r>
        <w:rPr>
          <w:color w:val="221A21"/>
          <w:spacing w:val="22"/>
        </w:rPr>
        <w:t> </w:t>
      </w:r>
      <w:r>
        <w:rPr>
          <w:color w:val="221A21"/>
        </w:rPr>
        <w:t>siguientes:</w:t>
      </w:r>
    </w:p>
    <w:p>
      <w:pPr>
        <w:pStyle w:val="BodyText"/>
        <w:rPr>
          <w:sz w:val="18"/>
        </w:rPr>
      </w:pPr>
    </w:p>
    <w:p>
      <w:pPr>
        <w:pStyle w:val="ListParagraph"/>
        <w:numPr>
          <w:ilvl w:val="0"/>
          <w:numId w:val="7"/>
        </w:numPr>
        <w:tabs>
          <w:tab w:pos="1080" w:val="left" w:leader="none"/>
        </w:tabs>
        <w:spacing w:line="240" w:lineRule="auto" w:before="127" w:after="0"/>
        <w:ind w:left="1079" w:right="0" w:hanging="214"/>
        <w:jc w:val="both"/>
        <w:rPr>
          <w:i/>
          <w:sz w:val="19"/>
        </w:rPr>
      </w:pPr>
      <w:r>
        <w:rPr>
          <w:color w:val="221A21"/>
          <w:sz w:val="19"/>
        </w:rPr>
        <w:t>Detectar y tratar a los portadores de </w:t>
      </w:r>
      <w:r>
        <w:rPr>
          <w:i/>
          <w:color w:val="221A21"/>
          <w:sz w:val="19"/>
        </w:rPr>
        <w:t>S.</w:t>
      </w:r>
      <w:r>
        <w:rPr>
          <w:i/>
          <w:color w:val="221A21"/>
          <w:spacing w:val="30"/>
          <w:sz w:val="19"/>
        </w:rPr>
        <w:t> </w:t>
      </w:r>
      <w:r>
        <w:rPr>
          <w:i/>
          <w:color w:val="221A21"/>
          <w:sz w:val="19"/>
        </w:rPr>
        <w:t>aureus.</w:t>
      </w:r>
    </w:p>
    <w:p>
      <w:pPr>
        <w:pStyle w:val="ListParagraph"/>
        <w:numPr>
          <w:ilvl w:val="0"/>
          <w:numId w:val="7"/>
        </w:numPr>
        <w:tabs>
          <w:tab w:pos="1080" w:val="left" w:leader="none"/>
        </w:tabs>
        <w:spacing w:line="240" w:lineRule="auto" w:before="62" w:after="0"/>
        <w:ind w:left="1079" w:right="0" w:hanging="214"/>
        <w:jc w:val="both"/>
        <w:rPr>
          <w:sz w:val="19"/>
        </w:rPr>
      </w:pPr>
      <w:r>
        <w:rPr>
          <w:color w:val="221A21"/>
          <w:sz w:val="19"/>
        </w:rPr>
        <w:t>Evitar manipulación innecesaria del</w:t>
      </w:r>
      <w:r>
        <w:rPr>
          <w:color w:val="221A21"/>
          <w:spacing w:val="27"/>
          <w:sz w:val="19"/>
        </w:rPr>
        <w:t> </w:t>
      </w:r>
      <w:r>
        <w:rPr>
          <w:color w:val="221A21"/>
          <w:sz w:val="19"/>
        </w:rPr>
        <w:t>catéter.</w:t>
      </w:r>
    </w:p>
    <w:p>
      <w:pPr>
        <w:pStyle w:val="ListParagraph"/>
        <w:numPr>
          <w:ilvl w:val="0"/>
          <w:numId w:val="7"/>
        </w:numPr>
        <w:tabs>
          <w:tab w:pos="1080" w:val="left" w:leader="none"/>
        </w:tabs>
        <w:spacing w:line="240" w:lineRule="auto" w:before="60" w:after="0"/>
        <w:ind w:left="1079" w:right="0" w:hanging="214"/>
        <w:jc w:val="both"/>
        <w:rPr>
          <w:sz w:val="19"/>
        </w:rPr>
      </w:pPr>
      <w:r>
        <w:rPr>
          <w:color w:val="221A21"/>
          <w:sz w:val="19"/>
        </w:rPr>
        <w:t>Mantener el orificio de salida seco y</w:t>
      </w:r>
      <w:r>
        <w:rPr>
          <w:color w:val="221A21"/>
          <w:spacing w:val="25"/>
          <w:sz w:val="19"/>
        </w:rPr>
        <w:t> </w:t>
      </w:r>
      <w:r>
        <w:rPr>
          <w:color w:val="221A21"/>
          <w:sz w:val="19"/>
        </w:rPr>
        <w:t>limpio.</w:t>
      </w:r>
    </w:p>
    <w:p>
      <w:pPr>
        <w:pStyle w:val="ListParagraph"/>
        <w:numPr>
          <w:ilvl w:val="0"/>
          <w:numId w:val="7"/>
        </w:numPr>
        <w:tabs>
          <w:tab w:pos="1080" w:val="left" w:leader="none"/>
        </w:tabs>
        <w:spacing w:line="240" w:lineRule="auto" w:before="60" w:after="0"/>
        <w:ind w:left="1079" w:right="0" w:hanging="214"/>
        <w:jc w:val="both"/>
        <w:rPr>
          <w:sz w:val="19"/>
        </w:rPr>
      </w:pPr>
      <w:r>
        <w:rPr>
          <w:color w:val="221A21"/>
          <w:sz w:val="19"/>
        </w:rPr>
        <w:t>Utilizar técnica estéril para su</w:t>
      </w:r>
      <w:r>
        <w:rPr>
          <w:color w:val="221A21"/>
          <w:spacing w:val="23"/>
          <w:sz w:val="19"/>
        </w:rPr>
        <w:t> </w:t>
      </w:r>
      <w:r>
        <w:rPr>
          <w:color w:val="221A21"/>
          <w:sz w:val="19"/>
        </w:rPr>
        <w:t>curación.</w:t>
      </w:r>
    </w:p>
    <w:p>
      <w:pPr>
        <w:pStyle w:val="ListParagraph"/>
        <w:numPr>
          <w:ilvl w:val="0"/>
          <w:numId w:val="7"/>
        </w:numPr>
        <w:tabs>
          <w:tab w:pos="1080" w:val="left" w:leader="none"/>
        </w:tabs>
        <w:spacing w:line="240" w:lineRule="auto" w:before="60" w:after="0"/>
        <w:ind w:left="1080" w:right="0" w:hanging="215"/>
        <w:jc w:val="both"/>
        <w:rPr>
          <w:sz w:val="19"/>
        </w:rPr>
      </w:pPr>
      <w:r>
        <w:rPr>
          <w:color w:val="221A21"/>
          <w:sz w:val="19"/>
        </w:rPr>
        <w:t>Frecuencia de</w:t>
      </w:r>
      <w:r>
        <w:rPr>
          <w:color w:val="221A21"/>
          <w:spacing w:val="14"/>
          <w:sz w:val="19"/>
        </w:rPr>
        <w:t> </w:t>
      </w:r>
      <w:r>
        <w:rPr>
          <w:color w:val="221A21"/>
          <w:sz w:val="19"/>
        </w:rPr>
        <w:t>curación.</w:t>
      </w:r>
    </w:p>
    <w:p>
      <w:pPr>
        <w:pStyle w:val="ListParagraph"/>
        <w:numPr>
          <w:ilvl w:val="0"/>
          <w:numId w:val="7"/>
        </w:numPr>
        <w:tabs>
          <w:tab w:pos="1080" w:val="left" w:leader="none"/>
        </w:tabs>
        <w:spacing w:line="240" w:lineRule="auto" w:before="60" w:after="0"/>
        <w:ind w:left="1079" w:right="0" w:hanging="214"/>
        <w:jc w:val="both"/>
        <w:rPr>
          <w:sz w:val="19"/>
        </w:rPr>
      </w:pPr>
      <w:r>
        <w:rPr>
          <w:color w:val="221A21"/>
          <w:sz w:val="19"/>
        </w:rPr>
        <w:t>Desinfección con agente no irritante</w:t>
      </w:r>
      <w:r>
        <w:rPr>
          <w:color w:val="221A21"/>
          <w:spacing w:val="26"/>
          <w:sz w:val="19"/>
        </w:rPr>
        <w:t> </w:t>
      </w:r>
      <w:r>
        <w:rPr>
          <w:color w:val="221A21"/>
          <w:sz w:val="19"/>
        </w:rPr>
        <w:t>(clorhexidina).</w:t>
      </w:r>
    </w:p>
    <w:p>
      <w:pPr>
        <w:pStyle w:val="ListParagraph"/>
        <w:numPr>
          <w:ilvl w:val="0"/>
          <w:numId w:val="7"/>
        </w:numPr>
        <w:tabs>
          <w:tab w:pos="1080" w:val="left" w:leader="none"/>
        </w:tabs>
        <w:spacing w:line="240" w:lineRule="auto" w:before="60" w:after="0"/>
        <w:ind w:left="1079" w:right="0" w:hanging="214"/>
        <w:jc w:val="both"/>
        <w:rPr>
          <w:sz w:val="19"/>
        </w:rPr>
      </w:pPr>
      <w:r>
        <w:rPr>
          <w:color w:val="221A21"/>
          <w:sz w:val="19"/>
        </w:rPr>
        <w:t>Cubrir con apósitos no oclusivos y</w:t>
      </w:r>
      <w:r>
        <w:rPr>
          <w:color w:val="221A21"/>
          <w:spacing w:val="26"/>
          <w:sz w:val="19"/>
        </w:rPr>
        <w:t> </w:t>
      </w:r>
      <w:r>
        <w:rPr>
          <w:color w:val="221A21"/>
          <w:sz w:val="19"/>
        </w:rPr>
        <w:t>absorbentes.</w:t>
      </w:r>
    </w:p>
    <w:p>
      <w:pPr>
        <w:pStyle w:val="ListParagraph"/>
        <w:numPr>
          <w:ilvl w:val="0"/>
          <w:numId w:val="7"/>
        </w:numPr>
        <w:tabs>
          <w:tab w:pos="1080" w:val="left" w:leader="none"/>
        </w:tabs>
        <w:spacing w:line="240" w:lineRule="auto" w:before="60" w:after="0"/>
        <w:ind w:left="1080" w:right="0" w:hanging="215"/>
        <w:jc w:val="both"/>
        <w:rPr>
          <w:sz w:val="19"/>
        </w:rPr>
      </w:pPr>
      <w:r>
        <w:rPr>
          <w:color w:val="221A21"/>
          <w:sz w:val="19"/>
        </w:rPr>
        <w:t>Evitar baños por</w:t>
      </w:r>
      <w:r>
        <w:rPr>
          <w:color w:val="221A21"/>
          <w:spacing w:val="15"/>
          <w:sz w:val="19"/>
        </w:rPr>
        <w:t> </w:t>
      </w:r>
      <w:r>
        <w:rPr>
          <w:color w:val="221A21"/>
          <w:sz w:val="19"/>
        </w:rPr>
        <w:t>sumersión.</w:t>
      </w:r>
    </w:p>
    <w:p>
      <w:pPr>
        <w:spacing w:after="0" w:line="240" w:lineRule="auto"/>
        <w:jc w:val="both"/>
        <w:rPr>
          <w:sz w:val="19"/>
        </w:rPr>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Heading1"/>
        <w:numPr>
          <w:ilvl w:val="0"/>
          <w:numId w:val="4"/>
        </w:numPr>
        <w:tabs>
          <w:tab w:pos="3095" w:val="left" w:leader="none"/>
        </w:tabs>
        <w:spacing w:line="240" w:lineRule="auto" w:before="77" w:after="0"/>
        <w:ind w:left="3094" w:right="0" w:hanging="289"/>
        <w:jc w:val="left"/>
      </w:pPr>
      <w:r>
        <w:rPr>
          <w:color w:val="231F20"/>
        </w:rPr>
        <w:t>PLANTEAMIENTO DEL</w:t>
      </w:r>
      <w:r>
        <w:rPr>
          <w:color w:val="231F20"/>
          <w:spacing w:val="26"/>
        </w:rPr>
        <w:t> </w:t>
      </w:r>
      <w:r>
        <w:rPr>
          <w:color w:val="231F20"/>
        </w:rPr>
        <w:t>PROBLEMA</w:t>
      </w:r>
    </w:p>
    <w:p>
      <w:pPr>
        <w:pStyle w:val="BodyText"/>
        <w:rPr>
          <w:b/>
          <w:sz w:val="18"/>
        </w:rPr>
      </w:pPr>
    </w:p>
    <w:p>
      <w:pPr>
        <w:pStyle w:val="BodyText"/>
        <w:spacing w:before="3"/>
        <w:rPr>
          <w:b/>
          <w:sz w:val="18"/>
        </w:rPr>
      </w:pPr>
    </w:p>
    <w:p>
      <w:pPr>
        <w:pStyle w:val="BodyText"/>
        <w:spacing w:line="278" w:lineRule="auto"/>
        <w:ind w:left="865" w:right="869"/>
        <w:jc w:val="both"/>
      </w:pPr>
      <w:r>
        <w:rPr>
          <w:color w:val="231F20"/>
        </w:rPr>
        <w:t>La Enfermedad Renal Crónica es una enfermedad irreversible en ambos riñones, en la que el organismo pierde la capacidad de filtrar sustancias tóxicas de  la sangre.</w:t>
      </w:r>
    </w:p>
    <w:p>
      <w:pPr>
        <w:pStyle w:val="BodyText"/>
        <w:spacing w:before="1"/>
        <w:rPr>
          <w:sz w:val="22"/>
        </w:rPr>
      </w:pPr>
    </w:p>
    <w:p>
      <w:pPr>
        <w:pStyle w:val="BodyText"/>
        <w:spacing w:line="280" w:lineRule="auto"/>
        <w:ind w:left="865" w:right="890"/>
        <w:jc w:val="both"/>
      </w:pPr>
      <w:r>
        <w:rPr>
          <w:color w:val="231F20"/>
        </w:rPr>
        <w:t>Las personas que la sufren requieren tratamiento de sustitución de la función renal (Diálisis o trasplante) para conservar la vida.</w:t>
      </w:r>
    </w:p>
    <w:p>
      <w:pPr>
        <w:pStyle w:val="BodyText"/>
        <w:spacing w:before="10"/>
        <w:rPr>
          <w:sz w:val="21"/>
        </w:rPr>
      </w:pPr>
    </w:p>
    <w:p>
      <w:pPr>
        <w:pStyle w:val="BodyText"/>
        <w:spacing w:line="278" w:lineRule="auto" w:before="1"/>
        <w:ind w:left="865" w:right="864"/>
        <w:jc w:val="both"/>
      </w:pPr>
      <w:r>
        <w:rPr>
          <w:color w:val="231F20"/>
        </w:rPr>
        <w:t>La Enfermedad Renal Crónica es un problema de salud pública a nivel mundial, el número de pacientes se viene incrementando tanto en países desarrollados como sub desarrollados. En consecuencia, cada vez es mayor la necesidad de recurrir a procedimientos de diálisis o hemodiálisis o en su defecto de trasplante renal y por lo tanto se incrementa progresivamente el costo de</w:t>
      </w:r>
      <w:r>
        <w:rPr>
          <w:color w:val="231F20"/>
          <w:spacing w:val="33"/>
        </w:rPr>
        <w:t> </w:t>
      </w:r>
      <w:r>
        <w:rPr>
          <w:color w:val="231F20"/>
        </w:rPr>
        <w:t>atención.</w:t>
      </w:r>
    </w:p>
    <w:p>
      <w:pPr>
        <w:pStyle w:val="BodyText"/>
        <w:spacing w:before="1"/>
        <w:rPr>
          <w:sz w:val="22"/>
        </w:rPr>
      </w:pPr>
    </w:p>
    <w:p>
      <w:pPr>
        <w:pStyle w:val="BodyText"/>
        <w:spacing w:line="278" w:lineRule="auto"/>
        <w:ind w:left="865" w:right="868"/>
        <w:jc w:val="both"/>
      </w:pPr>
      <w:r>
        <w:rPr>
          <w:color w:val="231F20"/>
        </w:rPr>
        <w:t>Un punto importante que se observa en esta enfermedad es la edad de los pacientes que son admitidos a programa de diálisis, la cual también se ha incrementado.</w:t>
      </w:r>
    </w:p>
    <w:p>
      <w:pPr>
        <w:pStyle w:val="BodyText"/>
        <w:spacing w:before="1"/>
        <w:rPr>
          <w:sz w:val="22"/>
        </w:rPr>
      </w:pPr>
    </w:p>
    <w:p>
      <w:pPr>
        <w:pStyle w:val="BodyText"/>
        <w:spacing w:line="280" w:lineRule="auto"/>
        <w:ind w:left="865" w:right="867"/>
        <w:jc w:val="both"/>
      </w:pPr>
      <w:r>
        <w:rPr>
          <w:color w:val="231F20"/>
        </w:rPr>
        <w:t>La necesidad de tratamiento con diálisis crónica siempre es una circunstancia anormal en la vida  de una persona.</w:t>
      </w:r>
    </w:p>
    <w:p>
      <w:pPr>
        <w:pStyle w:val="BodyText"/>
        <w:spacing w:before="11"/>
        <w:rPr>
          <w:sz w:val="21"/>
        </w:rPr>
      </w:pPr>
    </w:p>
    <w:p>
      <w:pPr>
        <w:pStyle w:val="BodyText"/>
        <w:spacing w:line="278" w:lineRule="auto"/>
        <w:ind w:left="865" w:right="868"/>
        <w:jc w:val="both"/>
      </w:pPr>
      <w:r>
        <w:rPr>
          <w:color w:val="231F20"/>
        </w:rPr>
        <w:t>Si el paciente es subsidiario de recibir un trasplante renal, este tratamiento puede ser temporal, aunque de duración desconocida. Cuando el trasplante está contraindicado por razones diversas, la diálisis se convierte en la única opción terapéutica.</w:t>
      </w:r>
    </w:p>
    <w:p>
      <w:pPr>
        <w:pStyle w:val="BodyText"/>
        <w:spacing w:before="1"/>
        <w:rPr>
          <w:sz w:val="22"/>
        </w:rPr>
      </w:pPr>
    </w:p>
    <w:p>
      <w:pPr>
        <w:pStyle w:val="BodyText"/>
        <w:spacing w:line="278" w:lineRule="auto"/>
        <w:ind w:left="865" w:right="864"/>
        <w:jc w:val="both"/>
      </w:pPr>
      <w:r>
        <w:rPr>
          <w:color w:val="231F20"/>
        </w:rPr>
        <w:t>La búsqueda de los métodos más adecuados para intentar alcanzar un grado óptimo de rehabilitación e integración social de los  pacientes  con  enfermedad renal crónica terminal (ERCT) es un reto a conseguir. Las dos opciones son hemodiálisis o diálisis peritoneal.</w:t>
      </w:r>
    </w:p>
    <w:p>
      <w:pPr>
        <w:pStyle w:val="BodyText"/>
        <w:spacing w:before="3"/>
        <w:rPr>
          <w:sz w:val="22"/>
        </w:rPr>
      </w:pPr>
    </w:p>
    <w:p>
      <w:pPr>
        <w:pStyle w:val="BodyText"/>
        <w:spacing w:line="278" w:lineRule="auto" w:before="1"/>
        <w:ind w:left="865" w:right="866"/>
        <w:jc w:val="both"/>
      </w:pPr>
      <w:r>
        <w:rPr>
          <w:color w:val="231F20"/>
        </w:rPr>
        <w:t>La infección peritoneal asociada a diálisis, es la complicación más grave y  frecuente de la diálisis peritoneal y la causa más común de interrupción de la técnica.</w:t>
      </w:r>
    </w:p>
    <w:p>
      <w:pPr>
        <w:pStyle w:val="BodyText"/>
        <w:spacing w:before="3"/>
        <w:rPr>
          <w:sz w:val="22"/>
        </w:rPr>
      </w:pPr>
    </w:p>
    <w:p>
      <w:pPr>
        <w:pStyle w:val="BodyText"/>
        <w:spacing w:line="278" w:lineRule="auto"/>
        <w:ind w:left="865" w:right="862"/>
        <w:jc w:val="both"/>
      </w:pPr>
      <w:r>
        <w:rPr>
          <w:color w:val="231F20"/>
        </w:rPr>
        <w:t>Las vías de entrada son varias: catéter.-por una mala desinfección de la zona, con arrastre de gérmenes al peritoneo por la incisión; líquido de diálisis.-si los tapones no están bien desinfectados o mal manipulados; tubo de drenaje.-en forma ascendente por lo que nunca debe levantarse si no está pinzado.</w:t>
      </w:r>
    </w:p>
    <w:p>
      <w:pPr>
        <w:spacing w:after="0" w:line="278"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line="242" w:lineRule="auto" w:before="77"/>
        <w:ind w:left="865" w:right="860"/>
        <w:jc w:val="both"/>
      </w:pPr>
      <w:r>
        <w:rPr>
          <w:color w:val="231F20"/>
        </w:rPr>
        <w:t>En el servicio de medicina interna del Hospital General de Tlalnepantla, la frecuencia de peritonitis asociada diálisis peritoneal no se ha estimado en por lo menos los últimos 5 años, siendo este subgrupo de pacientes uno de los más altos porcentajes de ingresos y reingresos en nuestro hospital.</w:t>
      </w:r>
    </w:p>
    <w:p>
      <w:pPr>
        <w:pStyle w:val="BodyText"/>
        <w:rPr>
          <w:sz w:val="18"/>
        </w:rPr>
      </w:pPr>
    </w:p>
    <w:p>
      <w:pPr>
        <w:pStyle w:val="BodyText"/>
        <w:spacing w:line="242" w:lineRule="auto" w:before="131"/>
        <w:ind w:left="865" w:right="864"/>
        <w:jc w:val="both"/>
      </w:pPr>
      <w:r>
        <w:rPr>
          <w:color w:val="231F20"/>
        </w:rPr>
        <w:t>Por tal razón, es necesario realizar la valoración epidemiológica para establecer y correlacionar la mortalidad en pacientes con diálisis peritoneal, estimar el fracaso de membrana peritoneal y por ende a diálisis peritoneal posterior a</w:t>
      </w:r>
      <w:r>
        <w:rPr>
          <w:color w:val="231F20"/>
          <w:spacing w:val="49"/>
        </w:rPr>
        <w:t> </w:t>
      </w:r>
      <w:r>
        <w:rPr>
          <w:color w:val="231F20"/>
        </w:rPr>
        <w:t>peritonitis.</w:t>
      </w:r>
    </w:p>
    <w:p>
      <w:pPr>
        <w:pStyle w:val="BodyText"/>
        <w:rPr>
          <w:sz w:val="18"/>
        </w:rPr>
      </w:pPr>
    </w:p>
    <w:p>
      <w:pPr>
        <w:pStyle w:val="BodyText"/>
        <w:spacing w:line="242" w:lineRule="auto" w:before="131"/>
        <w:ind w:left="865" w:right="863"/>
        <w:jc w:val="both"/>
      </w:pPr>
      <w:r>
        <w:rPr>
          <w:color w:val="231F20"/>
        </w:rPr>
        <w:t>En el Hospital General de Tlalnepantla se reciben pacientes con singulares características, como son complicaciones crónicas y terminales de enfermedades degenerativas, en especial pacientes diabéticos, hipertensos o con alguna nefropatía, los cuales tienen el común denominador de estar en estadios  avanzados de su patogenia con enfermedad renal</w:t>
      </w:r>
      <w:r>
        <w:rPr>
          <w:color w:val="231F20"/>
          <w:spacing w:val="37"/>
        </w:rPr>
        <w:t> </w:t>
      </w:r>
      <w:r>
        <w:rPr>
          <w:color w:val="231F20"/>
        </w:rPr>
        <w:t>crónica.</w:t>
      </w:r>
    </w:p>
    <w:p>
      <w:pPr>
        <w:pStyle w:val="BodyText"/>
        <w:rPr>
          <w:sz w:val="18"/>
        </w:rPr>
      </w:pPr>
    </w:p>
    <w:p>
      <w:pPr>
        <w:pStyle w:val="BodyText"/>
        <w:spacing w:line="242" w:lineRule="auto" w:before="131"/>
        <w:ind w:left="865" w:right="859"/>
        <w:jc w:val="both"/>
      </w:pPr>
      <w:r>
        <w:rPr>
          <w:color w:val="231F20"/>
        </w:rPr>
        <w:t>Muchos de estos pacientes a su ingreso requieren iniciar a la brevedad de diálisis, sin embargo nuestro hospital no tiene un programa de atención para enfermos renales requirentes de diálisis y mucho menos una sala acondicionada para  ello.</w:t>
      </w:r>
    </w:p>
    <w:p>
      <w:pPr>
        <w:pStyle w:val="BodyText"/>
        <w:rPr>
          <w:sz w:val="18"/>
        </w:rPr>
      </w:pPr>
    </w:p>
    <w:p>
      <w:pPr>
        <w:pStyle w:val="BodyText"/>
        <w:spacing w:line="242" w:lineRule="auto" w:before="131"/>
        <w:ind w:left="865" w:right="864"/>
        <w:jc w:val="both"/>
      </w:pPr>
      <w:r>
        <w:rPr>
          <w:color w:val="231F20"/>
        </w:rPr>
        <w:t>La improvisación de salas para llevar a cabo diálisis peritoneal, así como la falta   de personal capacitado para su atención, favorece la tasa de infecciones relacionadas a diálisis</w:t>
      </w:r>
      <w:r>
        <w:rPr>
          <w:color w:val="231F20"/>
          <w:spacing w:val="21"/>
        </w:rPr>
        <w:t> </w:t>
      </w:r>
      <w:r>
        <w:rPr>
          <w:color w:val="231F20"/>
        </w:rPr>
        <w:t>peritoneal.</w:t>
      </w:r>
    </w:p>
    <w:p>
      <w:pPr>
        <w:pStyle w:val="BodyText"/>
        <w:rPr>
          <w:sz w:val="18"/>
        </w:rPr>
      </w:pPr>
    </w:p>
    <w:p>
      <w:pPr>
        <w:pStyle w:val="BodyText"/>
        <w:spacing w:line="242" w:lineRule="auto" w:before="131"/>
        <w:ind w:left="865" w:right="859"/>
        <w:jc w:val="both"/>
      </w:pPr>
      <w:r>
        <w:rPr>
          <w:color w:val="231F20"/>
        </w:rPr>
        <w:t>En el Hospital General de Tlalnepantla  se cuenta con lo indispensable para llevar  a cabo el diagnostico temprano de peritonitis asociada a diálisis peritoneal, así como su tratamiento y prevención, sin embargo se desconoce la frecuencia de   este problema y su fundamental relevancia para los cuidados del usuario, además de las acciones de prevención a realizar por el personal</w:t>
      </w:r>
      <w:r>
        <w:rPr>
          <w:color w:val="231F20"/>
          <w:spacing w:val="38"/>
        </w:rPr>
        <w:t> </w:t>
      </w:r>
      <w:r>
        <w:rPr>
          <w:color w:val="231F20"/>
        </w:rPr>
        <w:t>hospitalario.</w:t>
      </w:r>
    </w:p>
    <w:p>
      <w:pPr>
        <w:pStyle w:val="BodyText"/>
        <w:rPr>
          <w:sz w:val="18"/>
        </w:rPr>
      </w:pPr>
    </w:p>
    <w:p>
      <w:pPr>
        <w:pStyle w:val="BodyText"/>
        <w:spacing w:line="242" w:lineRule="auto" w:before="131"/>
        <w:ind w:left="865" w:right="859"/>
        <w:jc w:val="both"/>
      </w:pPr>
      <w:r>
        <w:rPr>
          <w:color w:val="231F20"/>
        </w:rPr>
        <w:t>Es por esta razón que surge la inquietud de saber la frecuencia de peritonitis asociada a diálisis peritoneal en el servicio de medicina Interna del Hospital  General de Tlalnepantla y su magnitud ante los recursos humanos y técnicos que son capaces de ocuparse, por lo que realizamos la siguiente</w:t>
      </w:r>
      <w:r>
        <w:rPr>
          <w:color w:val="231F20"/>
          <w:spacing w:val="37"/>
        </w:rPr>
        <w:t> </w:t>
      </w:r>
      <w:r>
        <w:rPr>
          <w:color w:val="231F20"/>
        </w:rPr>
        <w:t>pregunta:</w:t>
      </w:r>
    </w:p>
    <w:p>
      <w:pPr>
        <w:pStyle w:val="BodyText"/>
        <w:rPr>
          <w:sz w:val="18"/>
        </w:rPr>
      </w:pPr>
    </w:p>
    <w:p>
      <w:pPr>
        <w:pStyle w:val="Heading1"/>
        <w:spacing w:line="242" w:lineRule="auto" w:before="131"/>
        <w:ind w:left="982" w:right="978" w:hanging="4"/>
        <w:jc w:val="center"/>
      </w:pPr>
      <w:r>
        <w:rPr>
          <w:color w:val="231F20"/>
          <w:u w:val="single" w:color="231F20"/>
        </w:rPr>
        <w:t>¿</w:t>
      </w:r>
      <w:r>
        <w:rPr>
          <w:color w:val="231F20"/>
        </w:rPr>
        <w:t>Cuál es la frecuencia de peritonitis asociada a diálisis peritoneal en el servicio de medicina interna del Hospital General de Tlalnepantla en el año 2011?</w:t>
      </w:r>
    </w:p>
    <w:p>
      <w:pPr>
        <w:spacing w:after="0" w:line="242" w:lineRule="auto"/>
        <w:jc w:val="center"/>
        <w:sectPr>
          <w:pgSz w:w="12240" w:h="15840"/>
          <w:pgMar w:header="0" w:footer="2372" w:top="1500" w:bottom="2560" w:left="172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8"/>
        </w:rPr>
      </w:pPr>
    </w:p>
    <w:p>
      <w:pPr>
        <w:pStyle w:val="ListParagraph"/>
        <w:numPr>
          <w:ilvl w:val="0"/>
          <w:numId w:val="4"/>
        </w:numPr>
        <w:tabs>
          <w:tab w:pos="3955" w:val="left" w:leader="none"/>
        </w:tabs>
        <w:spacing w:line="240" w:lineRule="auto" w:before="77" w:after="0"/>
        <w:ind w:left="3954" w:right="0" w:hanging="237"/>
        <w:jc w:val="left"/>
        <w:rPr>
          <w:b/>
          <w:sz w:val="19"/>
        </w:rPr>
      </w:pPr>
      <w:r>
        <w:rPr>
          <w:b/>
          <w:color w:val="231F20"/>
          <w:sz w:val="19"/>
        </w:rPr>
        <w:t>JUSTIFICACIÓN</w:t>
      </w:r>
    </w:p>
    <w:p>
      <w:pPr>
        <w:pStyle w:val="BodyText"/>
        <w:rPr>
          <w:b/>
          <w:sz w:val="18"/>
        </w:rPr>
      </w:pPr>
    </w:p>
    <w:p>
      <w:pPr>
        <w:pStyle w:val="BodyText"/>
        <w:spacing w:before="1"/>
        <w:rPr>
          <w:b/>
          <w:sz w:val="21"/>
        </w:rPr>
      </w:pPr>
    </w:p>
    <w:p>
      <w:pPr>
        <w:pStyle w:val="BodyText"/>
        <w:spacing w:line="242" w:lineRule="auto"/>
        <w:ind w:left="865" w:right="863"/>
        <w:jc w:val="both"/>
      </w:pPr>
      <w:r>
        <w:rPr>
          <w:color w:val="231F20"/>
        </w:rPr>
        <w:t>La peritonitis es la principal complicación de los pacientes sometidos a diálisis peritoneal. La infección puede tener un gran impacto en el pronóstico a largo plazo de estos mismos, disminuyendo así, el tiempo de vida útil de la membrana peritoneal.</w:t>
      </w:r>
    </w:p>
    <w:p>
      <w:pPr>
        <w:pStyle w:val="BodyText"/>
        <w:rPr>
          <w:sz w:val="18"/>
        </w:rPr>
      </w:pPr>
    </w:p>
    <w:p>
      <w:pPr>
        <w:pStyle w:val="BodyText"/>
        <w:spacing w:line="242" w:lineRule="auto" w:before="129"/>
        <w:ind w:left="865" w:right="860"/>
        <w:jc w:val="both"/>
      </w:pPr>
      <w:r>
        <w:rPr>
          <w:color w:val="231F20"/>
        </w:rPr>
        <w:t>Además, la peritonitis severa y prolongada puede llevar al fracaso de membrana peritoneal y por ende, fracaso en la diálisis peritoneal. La peritonitis sigue siendo una causa importante de interrupción en pacientes con diálisis peritoneal y el siguiente paso a hemodiálisis.</w:t>
      </w:r>
    </w:p>
    <w:p>
      <w:pPr>
        <w:pStyle w:val="BodyText"/>
        <w:rPr>
          <w:sz w:val="18"/>
        </w:rPr>
      </w:pPr>
    </w:p>
    <w:p>
      <w:pPr>
        <w:pStyle w:val="BodyText"/>
        <w:spacing w:line="242" w:lineRule="auto" w:before="129"/>
        <w:ind w:left="865" w:right="862"/>
        <w:jc w:val="both"/>
      </w:pPr>
      <w:r>
        <w:rPr>
          <w:color w:val="231F20"/>
        </w:rPr>
        <w:t>Por lo tanto, la comunidad con diálisis peritoneal sigue siendo el centro  de  atención en la prevención y tratamiento de la infección relacionada a diálisis peritoneal.</w:t>
      </w:r>
    </w:p>
    <w:p>
      <w:pPr>
        <w:pStyle w:val="BodyText"/>
        <w:rPr>
          <w:sz w:val="18"/>
        </w:rPr>
      </w:pPr>
    </w:p>
    <w:p>
      <w:pPr>
        <w:pStyle w:val="BodyText"/>
        <w:spacing w:line="242" w:lineRule="auto" w:before="129"/>
        <w:ind w:left="865" w:right="863"/>
        <w:jc w:val="both"/>
      </w:pPr>
      <w:r>
        <w:rPr>
          <w:color w:val="231F20"/>
        </w:rPr>
        <w:t>Todos los programas de diálisis peritoneal deben monitorear regularmente  las tasas de infecciones (las infecciones del sitio de salida y las  peritonitis  propiamente dichas), como mínimo, sobre una base anual, como parte de una mejora continua de la calidad de los programas de</w:t>
      </w:r>
      <w:r>
        <w:rPr>
          <w:color w:val="231F20"/>
          <w:spacing w:val="38"/>
        </w:rPr>
        <w:t> </w:t>
      </w:r>
      <w:r>
        <w:rPr>
          <w:color w:val="231F20"/>
        </w:rPr>
        <w:t>salud.</w:t>
      </w:r>
    </w:p>
    <w:p>
      <w:pPr>
        <w:pStyle w:val="BodyText"/>
        <w:rPr>
          <w:sz w:val="18"/>
        </w:rPr>
      </w:pPr>
    </w:p>
    <w:p>
      <w:pPr>
        <w:pStyle w:val="BodyText"/>
        <w:spacing w:line="242" w:lineRule="auto" w:before="129"/>
        <w:ind w:left="865" w:right="861"/>
        <w:jc w:val="both"/>
      </w:pPr>
      <w:r>
        <w:rPr>
          <w:color w:val="231F20"/>
        </w:rPr>
        <w:t>De esta manera, las intervenciones pueden ser llevadas a cabo si se conocen las tasas de infección y recordando siempre que el objetivo principal de la  identificación de peritonitis será el tratamiento óptimo de los pacientes y la protección del peritoneo, mediante fomento, prevención y promoción de los cuidados para      pacientes en diálisis</w:t>
      </w:r>
      <w:r>
        <w:rPr>
          <w:color w:val="231F20"/>
          <w:spacing w:val="28"/>
        </w:rPr>
        <w:t> </w:t>
      </w:r>
      <w:r>
        <w:rPr>
          <w:color w:val="231F20"/>
        </w:rPr>
        <w:t>peritoneal.</w:t>
      </w:r>
    </w:p>
    <w:p>
      <w:pPr>
        <w:pStyle w:val="BodyText"/>
        <w:rPr>
          <w:sz w:val="18"/>
        </w:rPr>
      </w:pPr>
    </w:p>
    <w:p>
      <w:pPr>
        <w:pStyle w:val="BodyText"/>
        <w:spacing w:line="242" w:lineRule="auto" w:before="129"/>
        <w:ind w:left="865" w:right="861"/>
        <w:jc w:val="both"/>
      </w:pPr>
      <w:r>
        <w:rPr>
          <w:color w:val="231F20"/>
        </w:rPr>
        <w:t>La frecuencia de peritonitis asociada a diálisis peritoneal en el servicio de medicina interna del Hospital General de Tlalnepantla no se ha estimado en por lo menos  los últimos 5 años, siendo este subgrupo de pacientes uno de los más altos porcentajes de ingresos y reingresos en nuestro hospital, por tal razón es  necesario realizar esta valoración epidemiológica para establecer y correlacionar   la mortalidad en pacientes con diálisis peritoneal y peritonitis, estimar el fracaso de membrana peritoneal y por ende a diálisis, posterior a peritonitis, y por supuesto, debe saberse la frecuencia de peritonitis asociada a diálisis peritoneal para tomar medidas preventivas que permitan disminuir costos por reingresos hospitalarios a breve plazo, evitar sobre estancia hospitalaria, evitar multirresistencia a los antimicrobianos con toma pertinente de cultivos para documentar sensibilidad especifica al microorganismo y evitar el paso siguiente a falla de membrana peritoneal, la</w:t>
      </w:r>
      <w:r>
        <w:rPr>
          <w:color w:val="231F20"/>
          <w:spacing w:val="11"/>
        </w:rPr>
        <w:t> </w:t>
      </w:r>
      <w:r>
        <w:rPr>
          <w:color w:val="231F20"/>
        </w:rPr>
        <w:t>hemodiálisis.</w:t>
      </w:r>
    </w:p>
    <w:p>
      <w:pPr>
        <w:spacing w:after="0" w:line="242"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Heading1"/>
        <w:numPr>
          <w:ilvl w:val="0"/>
          <w:numId w:val="4"/>
        </w:numPr>
        <w:tabs>
          <w:tab w:pos="4429" w:val="left" w:leader="none"/>
        </w:tabs>
        <w:spacing w:line="240" w:lineRule="auto" w:before="77" w:after="0"/>
        <w:ind w:left="4428" w:right="0" w:hanging="289"/>
        <w:jc w:val="left"/>
      </w:pPr>
      <w:r>
        <w:rPr>
          <w:color w:val="231F20"/>
        </w:rPr>
        <w:t>OBJETIVOS</w:t>
      </w:r>
    </w:p>
    <w:p>
      <w:pPr>
        <w:pStyle w:val="BodyText"/>
        <w:rPr>
          <w:b/>
          <w:sz w:val="20"/>
        </w:rPr>
      </w:pPr>
    </w:p>
    <w:p>
      <w:pPr>
        <w:pStyle w:val="BodyText"/>
        <w:spacing w:before="10"/>
        <w:rPr>
          <w:b/>
          <w:sz w:val="21"/>
        </w:rPr>
      </w:pPr>
    </w:p>
    <w:p>
      <w:pPr>
        <w:pStyle w:val="ListParagraph"/>
        <w:numPr>
          <w:ilvl w:val="1"/>
          <w:numId w:val="8"/>
        </w:numPr>
        <w:tabs>
          <w:tab w:pos="1263" w:val="left" w:leader="none"/>
        </w:tabs>
        <w:spacing w:line="240" w:lineRule="auto" w:before="77" w:after="0"/>
        <w:ind w:left="1262" w:right="0" w:hanging="397"/>
        <w:jc w:val="left"/>
        <w:rPr>
          <w:b/>
          <w:sz w:val="19"/>
        </w:rPr>
      </w:pPr>
      <w:r>
        <w:rPr>
          <w:b/>
          <w:color w:val="231F20"/>
          <w:sz w:val="19"/>
        </w:rPr>
        <w:t>GENERAL</w:t>
      </w:r>
    </w:p>
    <w:p>
      <w:pPr>
        <w:pStyle w:val="BodyText"/>
        <w:spacing w:before="8"/>
        <w:rPr>
          <w:b/>
          <w:sz w:val="14"/>
        </w:rPr>
      </w:pPr>
    </w:p>
    <w:p>
      <w:pPr>
        <w:pStyle w:val="BodyText"/>
        <w:spacing w:line="278" w:lineRule="auto"/>
        <w:ind w:left="865" w:right="952"/>
      </w:pPr>
      <w:r>
        <w:rPr>
          <w:color w:val="231F20"/>
        </w:rPr>
        <w:t>Determinar la frecuencia de peritonitis asociada a diálisis peritoneal en el Servicio de medicina interna del Hospital General de Tlalnepantla en el año 2011.</w:t>
      </w:r>
    </w:p>
    <w:p>
      <w:pPr>
        <w:pStyle w:val="BodyText"/>
        <w:rPr>
          <w:sz w:val="18"/>
        </w:rPr>
      </w:pPr>
    </w:p>
    <w:p>
      <w:pPr>
        <w:pStyle w:val="BodyText"/>
        <w:spacing w:before="11"/>
        <w:rPr>
          <w:sz w:val="20"/>
        </w:rPr>
      </w:pPr>
    </w:p>
    <w:p>
      <w:pPr>
        <w:pStyle w:val="Heading1"/>
        <w:numPr>
          <w:ilvl w:val="1"/>
          <w:numId w:val="8"/>
        </w:numPr>
        <w:tabs>
          <w:tab w:pos="1260" w:val="left" w:leader="none"/>
        </w:tabs>
        <w:spacing w:line="240" w:lineRule="auto" w:before="0" w:after="0"/>
        <w:ind w:left="1260" w:right="0" w:hanging="395"/>
        <w:jc w:val="left"/>
      </w:pPr>
      <w:r>
        <w:rPr>
          <w:color w:val="231F20"/>
        </w:rPr>
        <w:t>PARTICULARES</w:t>
      </w:r>
    </w:p>
    <w:p>
      <w:pPr>
        <w:pStyle w:val="BodyText"/>
        <w:spacing w:before="10"/>
        <w:rPr>
          <w:b/>
          <w:sz w:val="14"/>
        </w:rPr>
      </w:pPr>
    </w:p>
    <w:p>
      <w:pPr>
        <w:pStyle w:val="ListParagraph"/>
        <w:numPr>
          <w:ilvl w:val="0"/>
          <w:numId w:val="9"/>
        </w:numPr>
        <w:tabs>
          <w:tab w:pos="1154" w:val="left" w:leader="none"/>
        </w:tabs>
        <w:spacing w:line="278" w:lineRule="auto" w:before="0" w:after="0"/>
        <w:ind w:left="1153" w:right="865" w:hanging="288"/>
        <w:jc w:val="both"/>
        <w:rPr>
          <w:sz w:val="19"/>
        </w:rPr>
      </w:pPr>
      <w:r>
        <w:rPr>
          <w:color w:val="231F20"/>
          <w:sz w:val="19"/>
        </w:rPr>
        <w:t>Demostrar la importancia de tener una base de datos anual para peritonitis asociada a diálisis peritoneal, mediante recopilación de datos que permitan conocer el gérmen más frecuentemente</w:t>
      </w:r>
      <w:r>
        <w:rPr>
          <w:color w:val="231F20"/>
          <w:spacing w:val="27"/>
          <w:sz w:val="19"/>
        </w:rPr>
        <w:t> </w:t>
      </w:r>
      <w:r>
        <w:rPr>
          <w:color w:val="231F20"/>
          <w:sz w:val="19"/>
        </w:rPr>
        <w:t>asociado.</w:t>
      </w:r>
    </w:p>
    <w:p>
      <w:pPr>
        <w:pStyle w:val="BodyText"/>
        <w:spacing w:before="1"/>
        <w:rPr>
          <w:sz w:val="22"/>
        </w:rPr>
      </w:pPr>
    </w:p>
    <w:p>
      <w:pPr>
        <w:pStyle w:val="ListParagraph"/>
        <w:numPr>
          <w:ilvl w:val="0"/>
          <w:numId w:val="9"/>
        </w:numPr>
        <w:tabs>
          <w:tab w:pos="1153" w:val="left" w:leader="none"/>
        </w:tabs>
        <w:spacing w:line="240" w:lineRule="auto" w:before="0" w:after="0"/>
        <w:ind w:left="1153" w:right="0" w:hanging="288"/>
        <w:jc w:val="left"/>
        <w:rPr>
          <w:sz w:val="19"/>
        </w:rPr>
      </w:pPr>
      <w:r>
        <w:rPr>
          <w:color w:val="231F20"/>
          <w:sz w:val="19"/>
        </w:rPr>
        <w:t>Conocer la tasa de peritonitis por paciente en</w:t>
      </w:r>
      <w:r>
        <w:rPr>
          <w:color w:val="231F20"/>
          <w:spacing w:val="37"/>
          <w:sz w:val="19"/>
        </w:rPr>
        <w:t> </w:t>
      </w:r>
      <w:r>
        <w:rPr>
          <w:color w:val="231F20"/>
          <w:sz w:val="19"/>
        </w:rPr>
        <w:t>diálisis.</w:t>
      </w:r>
    </w:p>
    <w:p>
      <w:pPr>
        <w:pStyle w:val="BodyText"/>
        <w:spacing w:before="2"/>
        <w:rPr>
          <w:sz w:val="25"/>
        </w:rPr>
      </w:pPr>
    </w:p>
    <w:p>
      <w:pPr>
        <w:pStyle w:val="ListParagraph"/>
        <w:numPr>
          <w:ilvl w:val="0"/>
          <w:numId w:val="9"/>
        </w:numPr>
        <w:tabs>
          <w:tab w:pos="1154" w:val="left" w:leader="none"/>
        </w:tabs>
        <w:spacing w:line="240" w:lineRule="auto" w:before="1" w:after="0"/>
        <w:ind w:left="1153" w:right="0" w:hanging="288"/>
        <w:jc w:val="left"/>
        <w:rPr>
          <w:sz w:val="19"/>
        </w:rPr>
      </w:pPr>
      <w:r>
        <w:rPr>
          <w:color w:val="231F20"/>
          <w:sz w:val="19"/>
        </w:rPr>
        <w:t>Conocer la tasa de disfunción de catéter por</w:t>
      </w:r>
      <w:r>
        <w:rPr>
          <w:color w:val="231F20"/>
          <w:spacing w:val="33"/>
          <w:sz w:val="19"/>
        </w:rPr>
        <w:t> </w:t>
      </w:r>
      <w:r>
        <w:rPr>
          <w:color w:val="231F20"/>
          <w:sz w:val="19"/>
        </w:rPr>
        <w:t>peritonitis.</w:t>
      </w:r>
    </w:p>
    <w:p>
      <w:pPr>
        <w:pStyle w:val="BodyText"/>
        <w:rPr>
          <w:sz w:val="25"/>
        </w:rPr>
      </w:pPr>
    </w:p>
    <w:p>
      <w:pPr>
        <w:pStyle w:val="ListParagraph"/>
        <w:numPr>
          <w:ilvl w:val="0"/>
          <w:numId w:val="9"/>
        </w:numPr>
        <w:tabs>
          <w:tab w:pos="1154" w:val="left" w:leader="none"/>
        </w:tabs>
        <w:spacing w:line="278" w:lineRule="auto" w:before="1" w:after="0"/>
        <w:ind w:left="1153" w:right="859" w:hanging="288"/>
        <w:jc w:val="left"/>
        <w:rPr>
          <w:sz w:val="19"/>
        </w:rPr>
      </w:pPr>
      <w:r>
        <w:rPr>
          <w:color w:val="231F20"/>
          <w:sz w:val="19"/>
        </w:rPr>
        <w:t>Determinar los días de sobre estancia hospitalaria ante caso de peritonitis asociada a diálisis</w:t>
      </w:r>
      <w:r>
        <w:rPr>
          <w:color w:val="231F20"/>
          <w:spacing w:val="18"/>
          <w:sz w:val="19"/>
        </w:rPr>
        <w:t> </w:t>
      </w:r>
      <w:r>
        <w:rPr>
          <w:color w:val="231F20"/>
          <w:sz w:val="19"/>
        </w:rPr>
        <w:t>peritoneal.</w:t>
      </w:r>
    </w:p>
    <w:p>
      <w:pPr>
        <w:pStyle w:val="BodyText"/>
        <w:spacing w:before="3"/>
        <w:rPr>
          <w:sz w:val="22"/>
        </w:rPr>
      </w:pPr>
    </w:p>
    <w:p>
      <w:pPr>
        <w:pStyle w:val="ListParagraph"/>
        <w:numPr>
          <w:ilvl w:val="0"/>
          <w:numId w:val="9"/>
        </w:numPr>
        <w:tabs>
          <w:tab w:pos="1154" w:val="left" w:leader="none"/>
        </w:tabs>
        <w:spacing w:line="276" w:lineRule="auto" w:before="0" w:after="0"/>
        <w:ind w:left="1153" w:right="860" w:hanging="288"/>
        <w:jc w:val="left"/>
        <w:rPr>
          <w:sz w:val="19"/>
        </w:rPr>
      </w:pPr>
      <w:r>
        <w:rPr>
          <w:color w:val="231F20"/>
          <w:sz w:val="19"/>
        </w:rPr>
        <w:t>Determinar la relación que existe de peritonitis asociada a diálisis peritoneal   con la mortalidad en estos</w:t>
      </w:r>
      <w:r>
        <w:rPr>
          <w:color w:val="231F20"/>
          <w:spacing w:val="22"/>
          <w:sz w:val="19"/>
        </w:rPr>
        <w:t> </w:t>
      </w:r>
      <w:r>
        <w:rPr>
          <w:color w:val="231F20"/>
          <w:sz w:val="19"/>
        </w:rPr>
        <w:t>pacientes.</w:t>
      </w:r>
    </w:p>
    <w:p>
      <w:pPr>
        <w:pStyle w:val="BodyText"/>
        <w:rPr>
          <w:sz w:val="18"/>
        </w:rPr>
      </w:pPr>
    </w:p>
    <w:p>
      <w:pPr>
        <w:pStyle w:val="BodyText"/>
        <w:spacing w:before="9"/>
        <w:rPr>
          <w:sz w:val="22"/>
        </w:rPr>
      </w:pPr>
    </w:p>
    <w:p>
      <w:pPr>
        <w:pStyle w:val="Heading1"/>
        <w:ind w:left="1134" w:right="1134"/>
        <w:jc w:val="center"/>
      </w:pPr>
      <w:r>
        <w:rPr>
          <w:color w:val="231F20"/>
        </w:rPr>
        <w:t>VII: HIPÓTESIS</w:t>
      </w:r>
    </w:p>
    <w:p>
      <w:pPr>
        <w:pStyle w:val="BodyText"/>
        <w:spacing w:before="6"/>
        <w:rPr>
          <w:b/>
        </w:rPr>
      </w:pPr>
    </w:p>
    <w:p>
      <w:pPr>
        <w:pStyle w:val="BodyText"/>
        <w:spacing w:line="278" w:lineRule="auto"/>
        <w:ind w:left="865" w:right="861" w:firstLine="566"/>
        <w:jc w:val="both"/>
      </w:pPr>
      <w:r>
        <w:rPr>
          <w:color w:val="231F20"/>
        </w:rPr>
        <w:t>Este estudio al ser de tipo observacional y descriptivo, NO tiene hipótesis, sin embargo se resaltará en este estudio que la peritonitis asociada a diálisis peritoneal es una causa importante de interrupción de diálisis, así como de sobre estancia hospitalaria y alta mortalidad en este grupo de</w:t>
      </w:r>
      <w:r>
        <w:rPr>
          <w:color w:val="231F20"/>
          <w:spacing w:val="35"/>
        </w:rPr>
        <w:t> </w:t>
      </w:r>
      <w:r>
        <w:rPr>
          <w:color w:val="231F20"/>
        </w:rPr>
        <w:t>pacientes.</w:t>
      </w:r>
    </w:p>
    <w:p>
      <w:pPr>
        <w:spacing w:after="0" w:line="278"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Heading1"/>
        <w:spacing w:before="77"/>
        <w:ind w:left="3534" w:right="858"/>
      </w:pPr>
      <w:r>
        <w:rPr>
          <w:color w:val="231F20"/>
        </w:rPr>
        <w:t>VIII. MATERIAL Y MÉTODOS</w:t>
      </w:r>
    </w:p>
    <w:p>
      <w:pPr>
        <w:pStyle w:val="BodyText"/>
        <w:spacing w:before="8"/>
        <w:rPr>
          <w:b/>
        </w:rPr>
      </w:pPr>
    </w:p>
    <w:p>
      <w:pPr>
        <w:spacing w:before="77"/>
        <w:ind w:left="865" w:right="0" w:firstLine="0"/>
        <w:jc w:val="both"/>
        <w:rPr>
          <w:b/>
          <w:sz w:val="19"/>
        </w:rPr>
      </w:pPr>
      <w:r>
        <w:rPr>
          <w:b/>
          <w:color w:val="231F20"/>
          <w:sz w:val="19"/>
        </w:rPr>
        <w:t>Diseño del estudio</w:t>
      </w:r>
    </w:p>
    <w:p>
      <w:pPr>
        <w:pStyle w:val="BodyText"/>
        <w:rPr>
          <w:b/>
          <w:sz w:val="18"/>
        </w:rPr>
      </w:pPr>
    </w:p>
    <w:p>
      <w:pPr>
        <w:pStyle w:val="BodyText"/>
        <w:spacing w:before="1"/>
        <w:rPr>
          <w:b/>
          <w:sz w:val="18"/>
        </w:rPr>
      </w:pPr>
    </w:p>
    <w:p>
      <w:pPr>
        <w:pStyle w:val="BodyText"/>
        <w:ind w:left="865"/>
        <w:jc w:val="both"/>
      </w:pPr>
      <w:r>
        <w:rPr>
          <w:color w:val="231F20"/>
        </w:rPr>
        <w:t>El presente estudio es de tipo Observacional y descriptivo.</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24"/>
        </w:rPr>
      </w:pPr>
    </w:p>
    <w:p>
      <w:pPr>
        <w:pStyle w:val="Heading1"/>
        <w:jc w:val="both"/>
      </w:pPr>
      <w:r>
        <w:rPr>
          <w:color w:val="231F20"/>
        </w:rPr>
        <w:t>Operacionalización de variables</w:t>
      </w:r>
    </w:p>
    <w:p>
      <w:pPr>
        <w:pStyle w:val="BodyText"/>
        <w:rPr>
          <w:b/>
          <w:sz w:val="18"/>
        </w:rPr>
      </w:pPr>
    </w:p>
    <w:p>
      <w:pPr>
        <w:pStyle w:val="BodyText"/>
        <w:spacing w:before="7"/>
        <w:rPr>
          <w:b/>
          <w:sz w:val="20"/>
        </w:rPr>
      </w:pPr>
    </w:p>
    <w:p>
      <w:pPr>
        <w:pStyle w:val="BodyText"/>
        <w:spacing w:line="364" w:lineRule="auto"/>
        <w:ind w:left="865" w:right="859"/>
        <w:jc w:val="both"/>
      </w:pPr>
      <w:r>
        <w:rPr>
          <w:color w:val="231F20"/>
        </w:rPr>
        <w:t>En este caso no se manipulan variables debido a que se toman datos directo de expedientes, por tal razón definimos a las siguientes variables según sus concep- tos operacionales y conceptuales.</w:t>
      </w:r>
    </w:p>
    <w:p>
      <w:pPr>
        <w:pStyle w:val="BodyText"/>
        <w:rPr>
          <w:sz w:val="18"/>
        </w:rPr>
      </w:pPr>
    </w:p>
    <w:p>
      <w:pPr>
        <w:pStyle w:val="BodyText"/>
        <w:spacing w:before="4"/>
        <w:rPr>
          <w:sz w:val="20"/>
        </w:rPr>
      </w:pPr>
    </w:p>
    <w:p>
      <w:pPr>
        <w:pStyle w:val="Heading1"/>
        <w:jc w:val="both"/>
      </w:pPr>
      <w:r>
        <w:rPr>
          <w:color w:val="231F20"/>
        </w:rPr>
        <w:t>Variable dependiente</w:t>
      </w:r>
    </w:p>
    <w:p>
      <w:pPr>
        <w:pStyle w:val="BodyText"/>
        <w:rPr>
          <w:b/>
          <w:sz w:val="20"/>
        </w:rPr>
      </w:pPr>
    </w:p>
    <w:p>
      <w:pPr>
        <w:pStyle w:val="BodyText"/>
        <w:rPr>
          <w:b/>
          <w:sz w:val="20"/>
        </w:rPr>
      </w:pPr>
    </w:p>
    <w:p>
      <w:pPr>
        <w:pStyle w:val="BodyText"/>
        <w:spacing w:before="10" w:after="1"/>
        <w:rPr>
          <w:b/>
          <w:sz w:val="17"/>
        </w:rPr>
      </w:pPr>
    </w:p>
    <w:tbl>
      <w:tblPr>
        <w:tblW w:w="0" w:type="auto"/>
        <w:jc w:val="left"/>
        <w:tblInd w:w="423"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1711"/>
        <w:gridCol w:w="3768"/>
        <w:gridCol w:w="1103"/>
        <w:gridCol w:w="1365"/>
      </w:tblGrid>
      <w:tr>
        <w:trPr>
          <w:trHeight w:val="634" w:hRule="exact"/>
        </w:trPr>
        <w:tc>
          <w:tcPr>
            <w:tcW w:w="1711" w:type="dxa"/>
          </w:tcPr>
          <w:p>
            <w:pPr>
              <w:pStyle w:val="TableParagraph"/>
              <w:spacing w:before="2"/>
              <w:ind w:left="459"/>
              <w:jc w:val="left"/>
              <w:rPr>
                <w:b/>
                <w:sz w:val="17"/>
              </w:rPr>
            </w:pPr>
            <w:r>
              <w:rPr>
                <w:b/>
                <w:color w:val="231F20"/>
                <w:w w:val="105"/>
                <w:sz w:val="17"/>
              </w:rPr>
              <w:t>NOMBRE</w:t>
            </w:r>
          </w:p>
        </w:tc>
        <w:tc>
          <w:tcPr>
            <w:tcW w:w="3768" w:type="dxa"/>
          </w:tcPr>
          <w:p>
            <w:pPr>
              <w:pStyle w:val="TableParagraph"/>
              <w:spacing w:line="249" w:lineRule="auto" w:before="2"/>
              <w:ind w:left="593" w:firstLine="777"/>
              <w:jc w:val="left"/>
              <w:rPr>
                <w:b/>
                <w:sz w:val="17"/>
              </w:rPr>
            </w:pPr>
            <w:r>
              <w:rPr>
                <w:b/>
                <w:color w:val="231F20"/>
                <w:w w:val="105"/>
                <w:sz w:val="17"/>
              </w:rPr>
              <w:t>DEFINICIÓN </w:t>
            </w:r>
            <w:r>
              <w:rPr>
                <w:b/>
                <w:color w:val="231F20"/>
                <w:sz w:val="17"/>
              </w:rPr>
              <w:t>CONCEPTUAL/OPERACIONAL</w:t>
            </w:r>
          </w:p>
        </w:tc>
        <w:tc>
          <w:tcPr>
            <w:tcW w:w="1103" w:type="dxa"/>
          </w:tcPr>
          <w:p>
            <w:pPr>
              <w:pStyle w:val="TableParagraph"/>
              <w:spacing w:line="249" w:lineRule="auto" w:before="2"/>
              <w:ind w:left="94" w:firstLine="97"/>
              <w:jc w:val="left"/>
              <w:rPr>
                <w:b/>
                <w:sz w:val="17"/>
              </w:rPr>
            </w:pPr>
            <w:r>
              <w:rPr>
                <w:b/>
                <w:color w:val="231F20"/>
                <w:w w:val="105"/>
                <w:sz w:val="17"/>
              </w:rPr>
              <w:t>TIPO DE </w:t>
            </w:r>
            <w:r>
              <w:rPr>
                <w:b/>
                <w:color w:val="231F20"/>
                <w:sz w:val="17"/>
              </w:rPr>
              <w:t>VARIABLE</w:t>
            </w:r>
          </w:p>
        </w:tc>
        <w:tc>
          <w:tcPr>
            <w:tcW w:w="1365" w:type="dxa"/>
          </w:tcPr>
          <w:p>
            <w:pPr>
              <w:pStyle w:val="TableParagraph"/>
              <w:spacing w:line="249" w:lineRule="auto" w:before="2"/>
              <w:ind w:left="238" w:hanging="48"/>
              <w:jc w:val="left"/>
              <w:rPr>
                <w:b/>
                <w:sz w:val="17"/>
              </w:rPr>
            </w:pPr>
            <w:r>
              <w:rPr>
                <w:b/>
                <w:color w:val="231F20"/>
                <w:w w:val="105"/>
                <w:sz w:val="17"/>
              </w:rPr>
              <w:t>UNIDAD DE MEDICIÓN</w:t>
            </w:r>
          </w:p>
        </w:tc>
      </w:tr>
      <w:tr>
        <w:trPr>
          <w:trHeight w:val="2658" w:hRule="exact"/>
        </w:trPr>
        <w:tc>
          <w:tcPr>
            <w:tcW w:w="1711" w:type="dxa"/>
          </w:tcPr>
          <w:p>
            <w:pPr>
              <w:pStyle w:val="TableParagraph"/>
              <w:spacing w:line="249" w:lineRule="auto" w:before="3"/>
              <w:ind w:left="101" w:hanging="16"/>
              <w:jc w:val="left"/>
              <w:rPr>
                <w:sz w:val="17"/>
              </w:rPr>
            </w:pPr>
            <w:r>
              <w:rPr>
                <w:color w:val="231F20"/>
                <w:w w:val="105"/>
                <w:sz w:val="17"/>
              </w:rPr>
              <w:t>Peritonitis asociada a diálisis peritoneal</w:t>
            </w:r>
          </w:p>
        </w:tc>
        <w:tc>
          <w:tcPr>
            <w:tcW w:w="3768" w:type="dxa"/>
          </w:tcPr>
          <w:p>
            <w:pPr>
              <w:pStyle w:val="TableParagraph"/>
              <w:spacing w:line="249" w:lineRule="auto" w:before="3"/>
              <w:ind w:left="82" w:right="78"/>
              <w:jc w:val="both"/>
              <w:rPr>
                <w:sz w:val="17"/>
              </w:rPr>
            </w:pPr>
            <w:r>
              <w:rPr>
                <w:i/>
                <w:color w:val="221A21"/>
                <w:w w:val="105"/>
                <w:sz w:val="17"/>
                <w:u w:val="single" w:color="221A21"/>
              </w:rPr>
              <w:t>Conceptua</w:t>
            </w:r>
            <w:r>
              <w:rPr>
                <w:i/>
                <w:color w:val="221A21"/>
                <w:w w:val="105"/>
                <w:sz w:val="17"/>
              </w:rPr>
              <w:t>l: </w:t>
            </w:r>
            <w:r>
              <w:rPr>
                <w:color w:val="221A21"/>
                <w:w w:val="105"/>
                <w:sz w:val="17"/>
              </w:rPr>
              <w:t>Complicación de los pacientes sometidos a diálisis peritoneal con u</w:t>
            </w:r>
            <w:r>
              <w:rPr>
                <w:color w:val="231F20"/>
                <w:w w:val="105"/>
                <w:sz w:val="17"/>
              </w:rPr>
              <w:t>n recuento celular </w:t>
            </w:r>
            <w:r>
              <w:rPr>
                <w:color w:val="231F20"/>
                <w:w w:val="105"/>
                <w:sz w:val="17"/>
                <w:u w:val="single" w:color="231F20"/>
              </w:rPr>
              <w:t>&gt;</w:t>
            </w:r>
            <w:r>
              <w:rPr>
                <w:color w:val="231F20"/>
                <w:w w:val="105"/>
                <w:sz w:val="17"/>
              </w:rPr>
              <w:t>100 leucocitos/ml, con al menos 50% de leucocitos polimorfonucleares y/o síntomas de respuesta inflamatoria sistémica + dolor abdominal.</w:t>
            </w:r>
          </w:p>
          <w:p>
            <w:pPr>
              <w:pStyle w:val="TableParagraph"/>
              <w:spacing w:line="247" w:lineRule="auto"/>
              <w:ind w:left="82" w:right="80"/>
              <w:jc w:val="both"/>
              <w:rPr>
                <w:sz w:val="17"/>
              </w:rPr>
            </w:pPr>
            <w:r>
              <w:rPr>
                <w:i/>
                <w:color w:val="231F20"/>
                <w:w w:val="105"/>
                <w:sz w:val="17"/>
                <w:u w:val="single" w:color="231F20"/>
              </w:rPr>
              <w:t>Operacional: </w:t>
            </w:r>
            <w:r>
              <w:rPr>
                <w:color w:val="231F20"/>
                <w:w w:val="105"/>
                <w:sz w:val="17"/>
              </w:rPr>
              <w:t>paciente en diálisis peritoneal con </w:t>
            </w:r>
            <w:r>
              <w:rPr>
                <w:color w:val="231F20"/>
                <w:w w:val="105"/>
                <w:sz w:val="17"/>
                <w:u w:val="single" w:color="231F20"/>
              </w:rPr>
              <w:t>&gt;</w:t>
            </w:r>
            <w:r>
              <w:rPr>
                <w:color w:val="231F20"/>
                <w:w w:val="105"/>
                <w:sz w:val="17"/>
              </w:rPr>
              <w:t>2 condiciones siguientes: dolor abdominal, síntomas de respuesta inflamatoria sistémica, líquido de recambio turbio,  citológico  </w:t>
            </w:r>
            <w:r>
              <w:rPr>
                <w:color w:val="231F20"/>
                <w:w w:val="105"/>
                <w:sz w:val="17"/>
                <w:u w:val="single" w:color="231F20"/>
              </w:rPr>
              <w:t>&gt;</w:t>
            </w:r>
            <w:r>
              <w:rPr>
                <w:color w:val="231F20"/>
                <w:w w:val="105"/>
                <w:sz w:val="17"/>
              </w:rPr>
              <w:t>100  leucocitos/ml  o  con</w:t>
            </w:r>
          </w:p>
          <w:p>
            <w:pPr>
              <w:pStyle w:val="TableParagraph"/>
              <w:spacing w:before="2"/>
              <w:ind w:left="82"/>
              <w:jc w:val="both"/>
              <w:rPr>
                <w:sz w:val="17"/>
              </w:rPr>
            </w:pPr>
            <w:r>
              <w:rPr>
                <w:color w:val="231F20"/>
                <w:sz w:val="17"/>
                <w:u w:val="single" w:color="231F20"/>
              </w:rPr>
              <w:t>&gt;</w:t>
            </w:r>
            <w:r>
              <w:rPr>
                <w:color w:val="231F20"/>
                <w:sz w:val="17"/>
              </w:rPr>
              <w:t>50%  leucocitos polimorfonucleares/ml.</w:t>
            </w:r>
          </w:p>
        </w:tc>
        <w:tc>
          <w:tcPr>
            <w:tcW w:w="1103" w:type="dxa"/>
          </w:tcPr>
          <w:p>
            <w:pPr>
              <w:pStyle w:val="TableParagraph"/>
              <w:spacing w:line="249" w:lineRule="auto" w:before="3"/>
              <w:ind w:left="124" w:right="124" w:hanging="3"/>
              <w:rPr>
                <w:sz w:val="17"/>
              </w:rPr>
            </w:pPr>
            <w:r>
              <w:rPr>
                <w:color w:val="231F20"/>
                <w:w w:val="105"/>
                <w:sz w:val="17"/>
              </w:rPr>
              <w:t>Variable cualitativa </w:t>
            </w:r>
            <w:r>
              <w:rPr>
                <w:color w:val="231F20"/>
                <w:sz w:val="17"/>
              </w:rPr>
              <w:t>dicotómica</w:t>
            </w:r>
          </w:p>
        </w:tc>
        <w:tc>
          <w:tcPr>
            <w:tcW w:w="1365" w:type="dxa"/>
          </w:tcPr>
          <w:p>
            <w:pPr>
              <w:pStyle w:val="TableParagraph"/>
              <w:spacing w:line="249" w:lineRule="auto" w:before="3"/>
              <w:ind w:left="566" w:right="564" w:hanging="4"/>
              <w:rPr>
                <w:sz w:val="17"/>
              </w:rPr>
            </w:pPr>
            <w:r>
              <w:rPr>
                <w:color w:val="231F20"/>
                <w:w w:val="105"/>
                <w:sz w:val="17"/>
              </w:rPr>
              <w:t>Si </w:t>
            </w:r>
            <w:r>
              <w:rPr>
                <w:color w:val="231F20"/>
                <w:sz w:val="17"/>
              </w:rPr>
              <w:t>No</w:t>
            </w:r>
          </w:p>
        </w:tc>
      </w:tr>
    </w:tbl>
    <w:p>
      <w:pPr>
        <w:spacing w:after="0" w:line="249" w:lineRule="auto"/>
        <w:rPr>
          <w:sz w:val="17"/>
        </w:rPr>
        <w:sectPr>
          <w:pgSz w:w="12240" w:h="15840"/>
          <w:pgMar w:header="0" w:footer="2372" w:top="1500" w:bottom="2560" w:left="172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8"/>
        </w:rPr>
      </w:pPr>
    </w:p>
    <w:p>
      <w:pPr>
        <w:spacing w:before="77"/>
        <w:ind w:left="865" w:right="858" w:firstLine="0"/>
        <w:jc w:val="left"/>
        <w:rPr>
          <w:b/>
          <w:sz w:val="19"/>
        </w:rPr>
      </w:pPr>
      <w:r>
        <w:rPr>
          <w:b/>
          <w:color w:val="231F20"/>
          <w:sz w:val="19"/>
        </w:rPr>
        <w:t>Variable independiente</w:t>
      </w:r>
    </w:p>
    <w:p>
      <w:pPr>
        <w:pStyle w:val="BodyText"/>
        <w:spacing w:before="6"/>
        <w:rPr>
          <w:b/>
        </w:rPr>
      </w:pPr>
    </w:p>
    <w:tbl>
      <w:tblPr>
        <w:tblW w:w="0" w:type="auto"/>
        <w:jc w:val="left"/>
        <w:tblInd w:w="4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1"/>
        <w:gridCol w:w="3768"/>
        <w:gridCol w:w="1103"/>
        <w:gridCol w:w="1365"/>
      </w:tblGrid>
      <w:tr>
        <w:trPr>
          <w:trHeight w:val="634" w:hRule="exact"/>
        </w:trPr>
        <w:tc>
          <w:tcPr>
            <w:tcW w:w="1711" w:type="dxa"/>
            <w:tcBorders>
              <w:top w:val="single" w:sz="3" w:space="0" w:color="231F20"/>
              <w:left w:val="single" w:sz="3" w:space="0" w:color="231F20"/>
              <w:bottom w:val="single" w:sz="3" w:space="0" w:color="231F20"/>
              <w:right w:val="single" w:sz="3" w:space="0" w:color="231F20"/>
            </w:tcBorders>
          </w:tcPr>
          <w:p>
            <w:pPr>
              <w:pStyle w:val="TableParagraph"/>
              <w:spacing w:before="3"/>
              <w:ind w:left="116" w:right="116"/>
              <w:rPr>
                <w:b/>
                <w:sz w:val="17"/>
              </w:rPr>
            </w:pPr>
            <w:r>
              <w:rPr>
                <w:b/>
                <w:color w:val="231F20"/>
                <w:w w:val="105"/>
                <w:sz w:val="17"/>
              </w:rPr>
              <w:t>NOMBRE</w:t>
            </w:r>
          </w:p>
        </w:tc>
        <w:tc>
          <w:tcPr>
            <w:tcW w:w="3768" w:type="dxa"/>
            <w:tcBorders>
              <w:top w:val="single" w:sz="3" w:space="0" w:color="231F20"/>
              <w:left w:val="single" w:sz="3" w:space="0" w:color="231F20"/>
              <w:bottom w:val="single" w:sz="3" w:space="0" w:color="231F20"/>
              <w:right w:val="single" w:sz="3" w:space="0" w:color="231F20"/>
            </w:tcBorders>
          </w:tcPr>
          <w:p>
            <w:pPr>
              <w:pStyle w:val="TableParagraph"/>
              <w:spacing w:line="247" w:lineRule="auto" w:before="3"/>
              <w:ind w:left="1229" w:hanging="517"/>
              <w:jc w:val="left"/>
              <w:rPr>
                <w:b/>
                <w:sz w:val="17"/>
              </w:rPr>
            </w:pPr>
            <w:r>
              <w:rPr>
                <w:b/>
                <w:color w:val="231F20"/>
                <w:sz w:val="17"/>
              </w:rPr>
              <w:t>DEFINICIÓN CONCEPTUAL/ </w:t>
            </w:r>
            <w:r>
              <w:rPr>
                <w:b/>
                <w:color w:val="231F20"/>
                <w:w w:val="105"/>
                <w:sz w:val="17"/>
              </w:rPr>
              <w:t>OPERACIONAL</w:t>
            </w:r>
          </w:p>
        </w:tc>
        <w:tc>
          <w:tcPr>
            <w:tcW w:w="1103" w:type="dxa"/>
            <w:tcBorders>
              <w:top w:val="single" w:sz="3" w:space="0" w:color="231F20"/>
              <w:left w:val="single" w:sz="3" w:space="0" w:color="231F20"/>
              <w:bottom w:val="single" w:sz="3" w:space="0" w:color="231F20"/>
              <w:right w:val="single" w:sz="3" w:space="0" w:color="231F20"/>
            </w:tcBorders>
          </w:tcPr>
          <w:p>
            <w:pPr>
              <w:pStyle w:val="TableParagraph"/>
              <w:spacing w:line="247" w:lineRule="auto" w:before="3"/>
              <w:ind w:left="94" w:firstLine="97"/>
              <w:jc w:val="left"/>
              <w:rPr>
                <w:b/>
                <w:sz w:val="17"/>
              </w:rPr>
            </w:pPr>
            <w:r>
              <w:rPr>
                <w:b/>
                <w:color w:val="231F20"/>
                <w:w w:val="105"/>
                <w:sz w:val="17"/>
              </w:rPr>
              <w:t>TIPO DE </w:t>
            </w:r>
            <w:r>
              <w:rPr>
                <w:b/>
                <w:color w:val="231F20"/>
                <w:sz w:val="17"/>
              </w:rPr>
              <w:t>VARIABLE</w:t>
            </w:r>
          </w:p>
        </w:tc>
        <w:tc>
          <w:tcPr>
            <w:tcW w:w="1365" w:type="dxa"/>
            <w:tcBorders>
              <w:top w:val="single" w:sz="3" w:space="0" w:color="231F20"/>
              <w:left w:val="single" w:sz="3" w:space="0" w:color="231F20"/>
              <w:bottom w:val="single" w:sz="3" w:space="0" w:color="231F20"/>
              <w:right w:val="single" w:sz="3" w:space="0" w:color="231F20"/>
            </w:tcBorders>
          </w:tcPr>
          <w:p>
            <w:pPr>
              <w:pStyle w:val="TableParagraph"/>
              <w:spacing w:line="247" w:lineRule="auto" w:before="3"/>
              <w:ind w:left="238" w:hanging="48"/>
              <w:jc w:val="left"/>
              <w:rPr>
                <w:b/>
                <w:sz w:val="17"/>
              </w:rPr>
            </w:pPr>
            <w:r>
              <w:rPr>
                <w:b/>
                <w:color w:val="231F20"/>
                <w:w w:val="105"/>
                <w:sz w:val="17"/>
              </w:rPr>
              <w:t>UNIDAD DE MEDICIÓN</w:t>
            </w:r>
          </w:p>
        </w:tc>
      </w:tr>
      <w:tr>
        <w:trPr>
          <w:trHeight w:val="215" w:hRule="exact"/>
        </w:trPr>
        <w:tc>
          <w:tcPr>
            <w:tcW w:w="1711" w:type="dxa"/>
            <w:tcBorders>
              <w:top w:val="single" w:sz="3" w:space="0" w:color="231F20"/>
              <w:left w:val="single" w:sz="3" w:space="0" w:color="231F20"/>
              <w:right w:val="single" w:sz="3" w:space="0" w:color="231F20"/>
            </w:tcBorders>
          </w:tcPr>
          <w:p>
            <w:pPr>
              <w:pStyle w:val="TableParagraph"/>
              <w:spacing w:before="5"/>
              <w:ind w:left="116" w:right="117"/>
              <w:rPr>
                <w:sz w:val="17"/>
              </w:rPr>
            </w:pPr>
            <w:r>
              <w:rPr>
                <w:color w:val="231F20"/>
                <w:w w:val="105"/>
                <w:sz w:val="17"/>
              </w:rPr>
              <w:t>Insuficiencia renal</w:t>
            </w:r>
          </w:p>
        </w:tc>
        <w:tc>
          <w:tcPr>
            <w:tcW w:w="3768" w:type="dxa"/>
            <w:tcBorders>
              <w:top w:val="single" w:sz="3" w:space="0" w:color="231F20"/>
              <w:left w:val="single" w:sz="3" w:space="0" w:color="231F20"/>
              <w:right w:val="single" w:sz="3" w:space="0" w:color="231F20"/>
            </w:tcBorders>
          </w:tcPr>
          <w:p>
            <w:pPr>
              <w:pStyle w:val="TableParagraph"/>
              <w:spacing w:before="5"/>
              <w:ind w:left="82"/>
              <w:jc w:val="left"/>
              <w:rPr>
                <w:sz w:val="17"/>
              </w:rPr>
            </w:pPr>
            <w:r>
              <w:rPr>
                <w:i/>
                <w:color w:val="231F20"/>
                <w:w w:val="105"/>
                <w:sz w:val="17"/>
                <w:u w:val="single" w:color="231F20"/>
              </w:rPr>
              <w:t>Conceptual: </w:t>
            </w:r>
            <w:r>
              <w:rPr>
                <w:color w:val="231F20"/>
                <w:w w:val="105"/>
                <w:sz w:val="17"/>
              </w:rPr>
              <w:t>Paciente con signos y síntomas</w:t>
            </w:r>
          </w:p>
        </w:tc>
        <w:tc>
          <w:tcPr>
            <w:tcW w:w="1103" w:type="dxa"/>
            <w:tcBorders>
              <w:top w:val="single" w:sz="3" w:space="0" w:color="231F20"/>
              <w:left w:val="single" w:sz="3" w:space="0" w:color="231F20"/>
              <w:right w:val="single" w:sz="3" w:space="0" w:color="231F20"/>
            </w:tcBorders>
          </w:tcPr>
          <w:p>
            <w:pPr>
              <w:pStyle w:val="TableParagraph"/>
              <w:spacing w:before="5"/>
              <w:ind w:left="99" w:right="101"/>
              <w:rPr>
                <w:sz w:val="17"/>
              </w:rPr>
            </w:pPr>
            <w:r>
              <w:rPr>
                <w:color w:val="231F20"/>
                <w:w w:val="105"/>
                <w:sz w:val="17"/>
              </w:rPr>
              <w:t>Variable</w:t>
            </w:r>
          </w:p>
        </w:tc>
        <w:tc>
          <w:tcPr>
            <w:tcW w:w="1365" w:type="dxa"/>
            <w:tcBorders>
              <w:top w:val="single" w:sz="3" w:space="0" w:color="231F20"/>
              <w:left w:val="single" w:sz="3" w:space="0" w:color="231F20"/>
              <w:right w:val="single" w:sz="3" w:space="0" w:color="231F20"/>
            </w:tcBorders>
          </w:tcPr>
          <w:p>
            <w:pPr>
              <w:pStyle w:val="TableParagraph"/>
              <w:spacing w:before="5"/>
              <w:ind w:left="543" w:right="544"/>
              <w:rPr>
                <w:sz w:val="17"/>
              </w:rPr>
            </w:pPr>
            <w:r>
              <w:rPr>
                <w:color w:val="231F20"/>
                <w:w w:val="105"/>
                <w:sz w:val="17"/>
              </w:rPr>
              <w:t>Si</w:t>
            </w:r>
          </w:p>
        </w:tc>
      </w:tr>
      <w:tr>
        <w:trPr>
          <w:trHeight w:val="202" w:hRule="exact"/>
        </w:trPr>
        <w:tc>
          <w:tcPr>
            <w:tcW w:w="1711" w:type="dxa"/>
            <w:tcBorders>
              <w:left w:val="single" w:sz="3" w:space="0" w:color="231F20"/>
              <w:right w:val="single" w:sz="3" w:space="0" w:color="231F20"/>
            </w:tcBorders>
          </w:tcPr>
          <w:p>
            <w:pPr>
              <w:pStyle w:val="TableParagraph"/>
              <w:spacing w:line="192" w:lineRule="exact"/>
              <w:ind w:left="116" w:right="117"/>
              <w:rPr>
                <w:sz w:val="17"/>
              </w:rPr>
            </w:pPr>
            <w:r>
              <w:rPr>
                <w:color w:val="231F20"/>
                <w:w w:val="105"/>
                <w:sz w:val="17"/>
              </w:rPr>
              <w:t>crónica en</w:t>
            </w:r>
          </w:p>
        </w:tc>
        <w:tc>
          <w:tcPr>
            <w:tcW w:w="3768" w:type="dxa"/>
            <w:tcBorders>
              <w:left w:val="single" w:sz="3" w:space="0" w:color="231F20"/>
              <w:right w:val="single" w:sz="3" w:space="0" w:color="231F20"/>
            </w:tcBorders>
          </w:tcPr>
          <w:p>
            <w:pPr>
              <w:pStyle w:val="TableParagraph"/>
              <w:spacing w:line="192" w:lineRule="exact"/>
              <w:ind w:left="82"/>
              <w:jc w:val="left"/>
              <w:rPr>
                <w:sz w:val="17"/>
              </w:rPr>
            </w:pPr>
            <w:r>
              <w:rPr>
                <w:color w:val="231F20"/>
                <w:w w:val="105"/>
                <w:sz w:val="17"/>
              </w:rPr>
              <w:t>de enfermedad renal crónica y disminución</w:t>
            </w:r>
          </w:p>
        </w:tc>
        <w:tc>
          <w:tcPr>
            <w:tcW w:w="1103" w:type="dxa"/>
            <w:tcBorders>
              <w:left w:val="single" w:sz="3" w:space="0" w:color="231F20"/>
              <w:right w:val="single" w:sz="3" w:space="0" w:color="231F20"/>
            </w:tcBorders>
          </w:tcPr>
          <w:p>
            <w:pPr>
              <w:pStyle w:val="TableParagraph"/>
              <w:spacing w:line="192" w:lineRule="exact"/>
              <w:ind w:left="98" w:right="101"/>
              <w:rPr>
                <w:sz w:val="17"/>
              </w:rPr>
            </w:pPr>
            <w:r>
              <w:rPr>
                <w:color w:val="231F20"/>
                <w:w w:val="105"/>
                <w:sz w:val="17"/>
              </w:rPr>
              <w:t>cualitativa</w:t>
            </w:r>
          </w:p>
        </w:tc>
        <w:tc>
          <w:tcPr>
            <w:tcW w:w="1365" w:type="dxa"/>
            <w:tcBorders>
              <w:left w:val="single" w:sz="3" w:space="0" w:color="231F20"/>
              <w:right w:val="single" w:sz="3" w:space="0" w:color="231F20"/>
            </w:tcBorders>
          </w:tcPr>
          <w:p>
            <w:pPr>
              <w:pStyle w:val="TableParagraph"/>
              <w:spacing w:line="192" w:lineRule="exact"/>
              <w:ind w:left="544" w:right="544"/>
              <w:rPr>
                <w:sz w:val="17"/>
              </w:rPr>
            </w:pPr>
            <w:r>
              <w:rPr>
                <w:color w:val="231F20"/>
                <w:w w:val="105"/>
                <w:sz w:val="17"/>
              </w:rPr>
              <w:t>No</w:t>
            </w:r>
          </w:p>
        </w:tc>
      </w:tr>
      <w:tr>
        <w:trPr>
          <w:trHeight w:val="203" w:hRule="exact"/>
        </w:trPr>
        <w:tc>
          <w:tcPr>
            <w:tcW w:w="1711" w:type="dxa"/>
            <w:tcBorders>
              <w:left w:val="single" w:sz="3" w:space="0" w:color="231F20"/>
              <w:right w:val="single" w:sz="3" w:space="0" w:color="231F20"/>
            </w:tcBorders>
          </w:tcPr>
          <w:p>
            <w:pPr>
              <w:pStyle w:val="TableParagraph"/>
              <w:spacing w:line="192" w:lineRule="exact"/>
              <w:ind w:left="116" w:right="116"/>
              <w:rPr>
                <w:sz w:val="17"/>
              </w:rPr>
            </w:pPr>
            <w:r>
              <w:rPr>
                <w:color w:val="231F20"/>
                <w:w w:val="105"/>
                <w:sz w:val="17"/>
              </w:rPr>
              <w:t>programa de</w:t>
            </w:r>
          </w:p>
        </w:tc>
        <w:tc>
          <w:tcPr>
            <w:tcW w:w="3768" w:type="dxa"/>
            <w:tcBorders>
              <w:left w:val="single" w:sz="3" w:space="0" w:color="231F20"/>
              <w:right w:val="single" w:sz="3" w:space="0" w:color="231F20"/>
            </w:tcBorders>
          </w:tcPr>
          <w:p>
            <w:pPr>
              <w:pStyle w:val="TableParagraph"/>
              <w:spacing w:line="192" w:lineRule="exact"/>
              <w:ind w:left="82"/>
              <w:jc w:val="left"/>
              <w:rPr>
                <w:sz w:val="17"/>
              </w:rPr>
            </w:pPr>
            <w:r>
              <w:rPr>
                <w:color w:val="231F20"/>
                <w:w w:val="105"/>
                <w:sz w:val="17"/>
              </w:rPr>
              <w:t>de filtrado glomerular &lt; 15ml/min por más de</w:t>
            </w:r>
          </w:p>
        </w:tc>
        <w:tc>
          <w:tcPr>
            <w:tcW w:w="1103" w:type="dxa"/>
            <w:tcBorders>
              <w:left w:val="single" w:sz="3" w:space="0" w:color="231F20"/>
              <w:right w:val="single" w:sz="3" w:space="0" w:color="231F20"/>
            </w:tcBorders>
          </w:tcPr>
          <w:p>
            <w:pPr>
              <w:pStyle w:val="TableParagraph"/>
              <w:spacing w:line="192" w:lineRule="exact"/>
              <w:ind w:left="100" w:right="101"/>
              <w:rPr>
                <w:sz w:val="17"/>
              </w:rPr>
            </w:pPr>
            <w:r>
              <w:rPr>
                <w:color w:val="231F20"/>
                <w:w w:val="105"/>
                <w:sz w:val="17"/>
              </w:rPr>
              <w:t>dicotómica</w:t>
            </w:r>
          </w:p>
        </w:tc>
        <w:tc>
          <w:tcPr>
            <w:tcW w:w="1365" w:type="dxa"/>
            <w:tcBorders>
              <w:left w:val="single" w:sz="3" w:space="0" w:color="231F20"/>
              <w:right w:val="single" w:sz="3" w:space="0" w:color="231F20"/>
            </w:tcBorders>
          </w:tcPr>
          <w:p>
            <w:pPr/>
          </w:p>
        </w:tc>
      </w:tr>
      <w:tr>
        <w:trPr>
          <w:trHeight w:val="203" w:hRule="exact"/>
        </w:trPr>
        <w:tc>
          <w:tcPr>
            <w:tcW w:w="1711" w:type="dxa"/>
            <w:tcBorders>
              <w:left w:val="single" w:sz="3" w:space="0" w:color="231F20"/>
              <w:right w:val="single" w:sz="3" w:space="0" w:color="231F20"/>
            </w:tcBorders>
          </w:tcPr>
          <w:p>
            <w:pPr>
              <w:pStyle w:val="TableParagraph"/>
              <w:spacing w:line="193" w:lineRule="exact"/>
              <w:ind w:left="116" w:right="117"/>
              <w:rPr>
                <w:sz w:val="17"/>
              </w:rPr>
            </w:pPr>
            <w:r>
              <w:rPr>
                <w:color w:val="231F20"/>
                <w:sz w:val="17"/>
              </w:rPr>
              <w:t>diálisis peritoneal</w:t>
            </w:r>
          </w:p>
        </w:tc>
        <w:tc>
          <w:tcPr>
            <w:tcW w:w="3768" w:type="dxa"/>
            <w:tcBorders>
              <w:left w:val="single" w:sz="3" w:space="0" w:color="231F20"/>
              <w:right w:val="single" w:sz="3" w:space="0" w:color="231F20"/>
            </w:tcBorders>
          </w:tcPr>
          <w:p>
            <w:pPr>
              <w:pStyle w:val="TableParagraph"/>
              <w:spacing w:line="193" w:lineRule="exact"/>
              <w:ind w:left="82"/>
              <w:jc w:val="left"/>
              <w:rPr>
                <w:sz w:val="17"/>
              </w:rPr>
            </w:pPr>
            <w:r>
              <w:rPr>
                <w:color w:val="231F20"/>
                <w:w w:val="105"/>
                <w:sz w:val="17"/>
              </w:rPr>
              <w:t>3 meses, quien se encuentra con tratamiento</w:t>
            </w:r>
          </w:p>
        </w:tc>
        <w:tc>
          <w:tcPr>
            <w:tcW w:w="1103" w:type="dxa"/>
            <w:tcBorders>
              <w:left w:val="single" w:sz="3" w:space="0" w:color="231F20"/>
              <w:right w:val="single" w:sz="3" w:space="0" w:color="231F20"/>
            </w:tcBorders>
          </w:tcPr>
          <w:p>
            <w:pPr/>
          </w:p>
        </w:tc>
        <w:tc>
          <w:tcPr>
            <w:tcW w:w="1365" w:type="dxa"/>
            <w:tcBorders>
              <w:left w:val="single" w:sz="3" w:space="0" w:color="231F20"/>
              <w:right w:val="single" w:sz="3" w:space="0" w:color="231F20"/>
            </w:tcBorders>
          </w:tcPr>
          <w:p>
            <w:pPr/>
          </w:p>
        </w:tc>
      </w:tr>
      <w:tr>
        <w:trPr>
          <w:trHeight w:val="203" w:hRule="exact"/>
        </w:trPr>
        <w:tc>
          <w:tcPr>
            <w:tcW w:w="1711" w:type="dxa"/>
            <w:tcBorders>
              <w:left w:val="single" w:sz="3" w:space="0" w:color="231F20"/>
              <w:right w:val="single" w:sz="3" w:space="0" w:color="231F20"/>
            </w:tcBorders>
          </w:tcPr>
          <w:p>
            <w:pPr/>
          </w:p>
        </w:tc>
        <w:tc>
          <w:tcPr>
            <w:tcW w:w="3768" w:type="dxa"/>
            <w:tcBorders>
              <w:left w:val="single" w:sz="3" w:space="0" w:color="231F20"/>
              <w:right w:val="single" w:sz="3" w:space="0" w:color="231F20"/>
            </w:tcBorders>
          </w:tcPr>
          <w:p>
            <w:pPr>
              <w:pStyle w:val="TableParagraph"/>
              <w:spacing w:line="192" w:lineRule="exact"/>
              <w:ind w:left="82"/>
              <w:jc w:val="left"/>
              <w:rPr>
                <w:sz w:val="17"/>
              </w:rPr>
            </w:pPr>
            <w:r>
              <w:rPr>
                <w:color w:val="231F20"/>
                <w:w w:val="105"/>
                <w:sz w:val="17"/>
              </w:rPr>
              <w:t>sustitutivo de la función renal a través de</w:t>
            </w:r>
          </w:p>
        </w:tc>
        <w:tc>
          <w:tcPr>
            <w:tcW w:w="1103" w:type="dxa"/>
            <w:tcBorders>
              <w:left w:val="single" w:sz="3" w:space="0" w:color="231F20"/>
              <w:right w:val="single" w:sz="3" w:space="0" w:color="231F20"/>
            </w:tcBorders>
          </w:tcPr>
          <w:p>
            <w:pPr/>
          </w:p>
        </w:tc>
        <w:tc>
          <w:tcPr>
            <w:tcW w:w="1365" w:type="dxa"/>
            <w:tcBorders>
              <w:left w:val="single" w:sz="3" w:space="0" w:color="231F20"/>
              <w:right w:val="single" w:sz="3" w:space="0" w:color="231F20"/>
            </w:tcBorders>
          </w:tcPr>
          <w:p>
            <w:pPr/>
          </w:p>
        </w:tc>
      </w:tr>
      <w:tr>
        <w:trPr>
          <w:trHeight w:val="203" w:hRule="exact"/>
        </w:trPr>
        <w:tc>
          <w:tcPr>
            <w:tcW w:w="1711" w:type="dxa"/>
            <w:tcBorders>
              <w:left w:val="single" w:sz="3" w:space="0" w:color="231F20"/>
              <w:right w:val="single" w:sz="3" w:space="0" w:color="231F20"/>
            </w:tcBorders>
          </w:tcPr>
          <w:p>
            <w:pPr/>
          </w:p>
        </w:tc>
        <w:tc>
          <w:tcPr>
            <w:tcW w:w="3768" w:type="dxa"/>
            <w:tcBorders>
              <w:left w:val="single" w:sz="3" w:space="0" w:color="231F20"/>
              <w:right w:val="single" w:sz="3" w:space="0" w:color="231F20"/>
            </w:tcBorders>
          </w:tcPr>
          <w:p>
            <w:pPr>
              <w:pStyle w:val="TableParagraph"/>
              <w:spacing w:line="193" w:lineRule="exact"/>
              <w:ind w:left="82"/>
              <w:jc w:val="left"/>
              <w:rPr>
                <w:sz w:val="17"/>
              </w:rPr>
            </w:pPr>
            <w:r>
              <w:rPr>
                <w:color w:val="231F20"/>
                <w:w w:val="105"/>
                <w:sz w:val="17"/>
              </w:rPr>
              <w:t>diálisis peritoneal en el hospital.</w:t>
            </w:r>
          </w:p>
        </w:tc>
        <w:tc>
          <w:tcPr>
            <w:tcW w:w="1103" w:type="dxa"/>
            <w:tcBorders>
              <w:left w:val="single" w:sz="3" w:space="0" w:color="231F20"/>
              <w:right w:val="single" w:sz="3" w:space="0" w:color="231F20"/>
            </w:tcBorders>
          </w:tcPr>
          <w:p>
            <w:pPr/>
          </w:p>
        </w:tc>
        <w:tc>
          <w:tcPr>
            <w:tcW w:w="1365" w:type="dxa"/>
            <w:tcBorders>
              <w:left w:val="single" w:sz="3" w:space="0" w:color="231F20"/>
              <w:right w:val="single" w:sz="3" w:space="0" w:color="231F20"/>
            </w:tcBorders>
          </w:tcPr>
          <w:p>
            <w:pPr/>
          </w:p>
        </w:tc>
      </w:tr>
      <w:tr>
        <w:trPr>
          <w:trHeight w:val="202" w:hRule="exact"/>
        </w:trPr>
        <w:tc>
          <w:tcPr>
            <w:tcW w:w="1711" w:type="dxa"/>
            <w:tcBorders>
              <w:left w:val="single" w:sz="3" w:space="0" w:color="231F20"/>
              <w:right w:val="single" w:sz="3" w:space="0" w:color="231F20"/>
            </w:tcBorders>
          </w:tcPr>
          <w:p>
            <w:pPr/>
          </w:p>
        </w:tc>
        <w:tc>
          <w:tcPr>
            <w:tcW w:w="3768" w:type="dxa"/>
            <w:tcBorders>
              <w:left w:val="single" w:sz="3" w:space="0" w:color="231F20"/>
              <w:right w:val="single" w:sz="3" w:space="0" w:color="231F20"/>
            </w:tcBorders>
          </w:tcPr>
          <w:p>
            <w:pPr>
              <w:pStyle w:val="TableParagraph"/>
              <w:spacing w:line="192" w:lineRule="exact"/>
              <w:ind w:left="82"/>
              <w:jc w:val="left"/>
              <w:rPr>
                <w:sz w:val="17"/>
              </w:rPr>
            </w:pPr>
            <w:r>
              <w:rPr>
                <w:i/>
                <w:color w:val="231F20"/>
                <w:w w:val="105"/>
                <w:sz w:val="17"/>
                <w:u w:val="single" w:color="231F20"/>
              </w:rPr>
              <w:t>Operacional: </w:t>
            </w:r>
            <w:r>
              <w:rPr>
                <w:color w:val="231F20"/>
                <w:w w:val="105"/>
                <w:sz w:val="17"/>
              </w:rPr>
              <w:t>Paciente con </w:t>
            </w:r>
            <w:r>
              <w:rPr>
                <w:color w:val="231F20"/>
                <w:w w:val="105"/>
                <w:sz w:val="17"/>
                <w:u w:val="single" w:color="231F20"/>
              </w:rPr>
              <w:t>&gt;</w:t>
            </w:r>
            <w:r>
              <w:rPr>
                <w:color w:val="231F20"/>
                <w:w w:val="105"/>
                <w:sz w:val="17"/>
              </w:rPr>
              <w:t>3 criterios</w:t>
            </w:r>
          </w:p>
        </w:tc>
        <w:tc>
          <w:tcPr>
            <w:tcW w:w="1103" w:type="dxa"/>
            <w:tcBorders>
              <w:left w:val="single" w:sz="3" w:space="0" w:color="231F20"/>
              <w:right w:val="single" w:sz="3" w:space="0" w:color="231F20"/>
            </w:tcBorders>
          </w:tcPr>
          <w:p>
            <w:pPr/>
          </w:p>
        </w:tc>
        <w:tc>
          <w:tcPr>
            <w:tcW w:w="1365" w:type="dxa"/>
            <w:tcBorders>
              <w:left w:val="single" w:sz="3" w:space="0" w:color="231F20"/>
              <w:right w:val="single" w:sz="3" w:space="0" w:color="231F20"/>
            </w:tcBorders>
          </w:tcPr>
          <w:p>
            <w:pPr/>
          </w:p>
        </w:tc>
      </w:tr>
      <w:tr>
        <w:trPr>
          <w:trHeight w:val="203" w:hRule="exact"/>
        </w:trPr>
        <w:tc>
          <w:tcPr>
            <w:tcW w:w="1711" w:type="dxa"/>
            <w:tcBorders>
              <w:left w:val="single" w:sz="3" w:space="0" w:color="231F20"/>
              <w:right w:val="single" w:sz="3" w:space="0" w:color="231F20"/>
            </w:tcBorders>
          </w:tcPr>
          <w:p>
            <w:pPr/>
          </w:p>
        </w:tc>
        <w:tc>
          <w:tcPr>
            <w:tcW w:w="3768" w:type="dxa"/>
            <w:tcBorders>
              <w:left w:val="single" w:sz="3" w:space="0" w:color="231F20"/>
              <w:right w:val="single" w:sz="3" w:space="0" w:color="231F20"/>
            </w:tcBorders>
          </w:tcPr>
          <w:p>
            <w:pPr>
              <w:pStyle w:val="TableParagraph"/>
              <w:spacing w:line="192" w:lineRule="exact"/>
              <w:ind w:left="82"/>
              <w:jc w:val="left"/>
              <w:rPr>
                <w:sz w:val="17"/>
              </w:rPr>
            </w:pPr>
            <w:r>
              <w:rPr>
                <w:color w:val="231F20"/>
                <w:w w:val="105"/>
                <w:sz w:val="17"/>
              </w:rPr>
              <w:t>siguientes: elevación </w:t>
            </w:r>
            <w:r>
              <w:rPr>
                <w:color w:val="231F20"/>
                <w:w w:val="105"/>
                <w:sz w:val="17"/>
                <w:u w:val="single" w:color="231F20"/>
              </w:rPr>
              <w:t>&gt; </w:t>
            </w:r>
            <w:r>
              <w:rPr>
                <w:color w:val="231F20"/>
                <w:w w:val="105"/>
                <w:sz w:val="17"/>
              </w:rPr>
              <w:t>40mg/dl nitrógeno</w:t>
            </w:r>
          </w:p>
        </w:tc>
        <w:tc>
          <w:tcPr>
            <w:tcW w:w="1103" w:type="dxa"/>
            <w:tcBorders>
              <w:left w:val="single" w:sz="3" w:space="0" w:color="231F20"/>
              <w:right w:val="single" w:sz="3" w:space="0" w:color="231F20"/>
            </w:tcBorders>
          </w:tcPr>
          <w:p>
            <w:pPr/>
          </w:p>
        </w:tc>
        <w:tc>
          <w:tcPr>
            <w:tcW w:w="1365" w:type="dxa"/>
            <w:tcBorders>
              <w:left w:val="single" w:sz="3" w:space="0" w:color="231F20"/>
              <w:right w:val="single" w:sz="3" w:space="0" w:color="231F20"/>
            </w:tcBorders>
          </w:tcPr>
          <w:p>
            <w:pPr/>
          </w:p>
        </w:tc>
      </w:tr>
      <w:tr>
        <w:trPr>
          <w:trHeight w:val="203" w:hRule="exact"/>
        </w:trPr>
        <w:tc>
          <w:tcPr>
            <w:tcW w:w="1711" w:type="dxa"/>
            <w:tcBorders>
              <w:left w:val="single" w:sz="3" w:space="0" w:color="231F20"/>
              <w:right w:val="single" w:sz="3" w:space="0" w:color="231F20"/>
            </w:tcBorders>
          </w:tcPr>
          <w:p>
            <w:pPr/>
          </w:p>
        </w:tc>
        <w:tc>
          <w:tcPr>
            <w:tcW w:w="3768" w:type="dxa"/>
            <w:tcBorders>
              <w:left w:val="single" w:sz="3" w:space="0" w:color="231F20"/>
              <w:right w:val="single" w:sz="3" w:space="0" w:color="231F20"/>
            </w:tcBorders>
          </w:tcPr>
          <w:p>
            <w:pPr>
              <w:pStyle w:val="TableParagraph"/>
              <w:spacing w:line="193" w:lineRule="exact"/>
              <w:ind w:left="82"/>
              <w:jc w:val="left"/>
              <w:rPr>
                <w:sz w:val="17"/>
              </w:rPr>
            </w:pPr>
            <w:r>
              <w:rPr>
                <w:color w:val="231F20"/>
                <w:w w:val="105"/>
                <w:sz w:val="17"/>
              </w:rPr>
              <w:t>urémico sanguíneo (BUN), creatinina</w:t>
            </w:r>
          </w:p>
        </w:tc>
        <w:tc>
          <w:tcPr>
            <w:tcW w:w="1103" w:type="dxa"/>
            <w:tcBorders>
              <w:left w:val="single" w:sz="3" w:space="0" w:color="231F20"/>
              <w:right w:val="single" w:sz="3" w:space="0" w:color="231F20"/>
            </w:tcBorders>
          </w:tcPr>
          <w:p>
            <w:pPr/>
          </w:p>
        </w:tc>
        <w:tc>
          <w:tcPr>
            <w:tcW w:w="1365" w:type="dxa"/>
            <w:tcBorders>
              <w:left w:val="single" w:sz="3" w:space="0" w:color="231F20"/>
              <w:right w:val="single" w:sz="3" w:space="0" w:color="231F20"/>
            </w:tcBorders>
          </w:tcPr>
          <w:p>
            <w:pPr/>
          </w:p>
        </w:tc>
      </w:tr>
      <w:tr>
        <w:trPr>
          <w:trHeight w:val="203" w:hRule="exact"/>
        </w:trPr>
        <w:tc>
          <w:tcPr>
            <w:tcW w:w="1711" w:type="dxa"/>
            <w:tcBorders>
              <w:left w:val="single" w:sz="3" w:space="0" w:color="231F20"/>
              <w:right w:val="single" w:sz="3" w:space="0" w:color="231F20"/>
            </w:tcBorders>
          </w:tcPr>
          <w:p>
            <w:pPr/>
          </w:p>
        </w:tc>
        <w:tc>
          <w:tcPr>
            <w:tcW w:w="3768" w:type="dxa"/>
            <w:tcBorders>
              <w:left w:val="single" w:sz="3" w:space="0" w:color="231F20"/>
              <w:right w:val="single" w:sz="3" w:space="0" w:color="231F20"/>
            </w:tcBorders>
          </w:tcPr>
          <w:p>
            <w:pPr>
              <w:pStyle w:val="TableParagraph"/>
              <w:spacing w:line="192" w:lineRule="exact"/>
              <w:ind w:left="82"/>
              <w:jc w:val="left"/>
              <w:rPr>
                <w:sz w:val="17"/>
              </w:rPr>
            </w:pPr>
            <w:r>
              <w:rPr>
                <w:color w:val="231F20"/>
                <w:w w:val="105"/>
                <w:sz w:val="17"/>
                <w:u w:val="single" w:color="231F20"/>
              </w:rPr>
              <w:t>&gt;</w:t>
            </w:r>
            <w:r>
              <w:rPr>
                <w:color w:val="231F20"/>
                <w:w w:val="105"/>
                <w:sz w:val="17"/>
              </w:rPr>
              <w:t>4mg/dl, depuración de creatinina calculada</w:t>
            </w:r>
          </w:p>
        </w:tc>
        <w:tc>
          <w:tcPr>
            <w:tcW w:w="1103" w:type="dxa"/>
            <w:tcBorders>
              <w:left w:val="single" w:sz="3" w:space="0" w:color="231F20"/>
              <w:right w:val="single" w:sz="3" w:space="0" w:color="231F20"/>
            </w:tcBorders>
          </w:tcPr>
          <w:p>
            <w:pPr/>
          </w:p>
        </w:tc>
        <w:tc>
          <w:tcPr>
            <w:tcW w:w="1365" w:type="dxa"/>
            <w:tcBorders>
              <w:left w:val="single" w:sz="3" w:space="0" w:color="231F20"/>
              <w:right w:val="single" w:sz="3" w:space="0" w:color="231F20"/>
            </w:tcBorders>
          </w:tcPr>
          <w:p>
            <w:pPr/>
          </w:p>
        </w:tc>
      </w:tr>
      <w:tr>
        <w:trPr>
          <w:trHeight w:val="203" w:hRule="exact"/>
        </w:trPr>
        <w:tc>
          <w:tcPr>
            <w:tcW w:w="1711" w:type="dxa"/>
            <w:tcBorders>
              <w:left w:val="single" w:sz="3" w:space="0" w:color="231F20"/>
              <w:right w:val="single" w:sz="3" w:space="0" w:color="231F20"/>
            </w:tcBorders>
          </w:tcPr>
          <w:p>
            <w:pPr/>
          </w:p>
        </w:tc>
        <w:tc>
          <w:tcPr>
            <w:tcW w:w="3768" w:type="dxa"/>
            <w:tcBorders>
              <w:left w:val="single" w:sz="3" w:space="0" w:color="231F20"/>
              <w:right w:val="single" w:sz="3" w:space="0" w:color="231F20"/>
            </w:tcBorders>
          </w:tcPr>
          <w:p>
            <w:pPr>
              <w:pStyle w:val="TableParagraph"/>
              <w:spacing w:line="193" w:lineRule="exact"/>
              <w:ind w:left="82"/>
              <w:jc w:val="left"/>
              <w:rPr>
                <w:sz w:val="17"/>
              </w:rPr>
            </w:pPr>
            <w:r>
              <w:rPr>
                <w:color w:val="231F20"/>
                <w:sz w:val="17"/>
                <w:u w:val="single" w:color="231F20"/>
              </w:rPr>
              <w:t>&lt;</w:t>
            </w:r>
            <w:r>
              <w:rPr>
                <w:color w:val="231F20"/>
                <w:sz w:val="17"/>
              </w:rPr>
              <w:t>15ml/min,  hipercalemia, hiperfosfatenemia;</w:t>
            </w:r>
          </w:p>
        </w:tc>
        <w:tc>
          <w:tcPr>
            <w:tcW w:w="1103" w:type="dxa"/>
            <w:tcBorders>
              <w:left w:val="single" w:sz="3" w:space="0" w:color="231F20"/>
              <w:right w:val="single" w:sz="3" w:space="0" w:color="231F20"/>
            </w:tcBorders>
          </w:tcPr>
          <w:p>
            <w:pPr/>
          </w:p>
        </w:tc>
        <w:tc>
          <w:tcPr>
            <w:tcW w:w="1365" w:type="dxa"/>
            <w:tcBorders>
              <w:left w:val="single" w:sz="3" w:space="0" w:color="231F20"/>
              <w:right w:val="single" w:sz="3" w:space="0" w:color="231F20"/>
            </w:tcBorders>
          </w:tcPr>
          <w:p>
            <w:pPr/>
          </w:p>
        </w:tc>
      </w:tr>
      <w:tr>
        <w:trPr>
          <w:trHeight w:val="200" w:hRule="exact"/>
        </w:trPr>
        <w:tc>
          <w:tcPr>
            <w:tcW w:w="1711" w:type="dxa"/>
            <w:tcBorders>
              <w:left w:val="single" w:sz="3" w:space="0" w:color="231F20"/>
              <w:bottom w:val="single" w:sz="3" w:space="0" w:color="231F20"/>
              <w:right w:val="single" w:sz="3" w:space="0" w:color="231F20"/>
            </w:tcBorders>
          </w:tcPr>
          <w:p>
            <w:pPr/>
          </w:p>
        </w:tc>
        <w:tc>
          <w:tcPr>
            <w:tcW w:w="3768" w:type="dxa"/>
            <w:tcBorders>
              <w:left w:val="single" w:sz="3" w:space="0" w:color="231F20"/>
              <w:bottom w:val="single" w:sz="3" w:space="0" w:color="231F20"/>
              <w:right w:val="single" w:sz="3" w:space="0" w:color="231F20"/>
            </w:tcBorders>
          </w:tcPr>
          <w:p>
            <w:pPr>
              <w:pStyle w:val="TableParagraph"/>
              <w:spacing w:line="192" w:lineRule="exact"/>
              <w:ind w:left="82"/>
              <w:jc w:val="left"/>
              <w:rPr>
                <w:sz w:val="17"/>
              </w:rPr>
            </w:pPr>
            <w:r>
              <w:rPr>
                <w:color w:val="231F20"/>
                <w:w w:val="105"/>
                <w:sz w:val="17"/>
              </w:rPr>
              <w:t>lo anterior asociado a diálisis peritoneal.</w:t>
            </w:r>
          </w:p>
        </w:tc>
        <w:tc>
          <w:tcPr>
            <w:tcW w:w="1103" w:type="dxa"/>
            <w:tcBorders>
              <w:left w:val="single" w:sz="3" w:space="0" w:color="231F20"/>
              <w:bottom w:val="single" w:sz="3" w:space="0" w:color="231F20"/>
              <w:right w:val="single" w:sz="3" w:space="0" w:color="231F20"/>
            </w:tcBorders>
          </w:tcPr>
          <w:p>
            <w:pPr/>
          </w:p>
        </w:tc>
        <w:tc>
          <w:tcPr>
            <w:tcW w:w="1365" w:type="dxa"/>
            <w:tcBorders>
              <w:left w:val="single" w:sz="3" w:space="0" w:color="231F20"/>
              <w:bottom w:val="single" w:sz="3" w:space="0" w:color="231F20"/>
              <w:right w:val="single" w:sz="3" w:space="0" w:color="231F20"/>
            </w:tcBorders>
          </w:tcPr>
          <w:p>
            <w:pPr/>
          </w:p>
        </w:tc>
      </w:tr>
    </w:tbl>
    <w:p>
      <w:pPr>
        <w:pStyle w:val="BodyText"/>
        <w:spacing w:before="4"/>
        <w:rPr>
          <w:b/>
          <w:sz w:val="22"/>
        </w:rPr>
      </w:pPr>
    </w:p>
    <w:p>
      <w:pPr>
        <w:spacing w:before="77"/>
        <w:ind w:left="865" w:right="858" w:firstLine="0"/>
        <w:jc w:val="left"/>
        <w:rPr>
          <w:b/>
          <w:sz w:val="19"/>
        </w:rPr>
      </w:pPr>
      <w:r>
        <w:rPr>
          <w:b/>
          <w:color w:val="231F20"/>
          <w:sz w:val="19"/>
        </w:rPr>
        <w:t>Variables demográficas</w:t>
      </w:r>
    </w:p>
    <w:p>
      <w:pPr>
        <w:pStyle w:val="BodyText"/>
        <w:spacing w:before="4"/>
        <w:rPr>
          <w:b/>
          <w:sz w:val="10"/>
        </w:rPr>
      </w:pPr>
    </w:p>
    <w:tbl>
      <w:tblPr>
        <w:tblW w:w="0" w:type="auto"/>
        <w:jc w:val="left"/>
        <w:tblInd w:w="256"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1588"/>
        <w:gridCol w:w="3630"/>
        <w:gridCol w:w="1362"/>
        <w:gridCol w:w="1701"/>
      </w:tblGrid>
      <w:tr>
        <w:trPr>
          <w:trHeight w:val="413" w:hRule="exact"/>
        </w:trPr>
        <w:tc>
          <w:tcPr>
            <w:tcW w:w="1588" w:type="dxa"/>
          </w:tcPr>
          <w:p>
            <w:pPr>
              <w:pStyle w:val="TableParagraph"/>
              <w:spacing w:before="3"/>
              <w:ind w:left="87" w:right="86"/>
              <w:rPr>
                <w:b/>
                <w:sz w:val="17"/>
              </w:rPr>
            </w:pPr>
            <w:r>
              <w:rPr>
                <w:b/>
                <w:color w:val="231F20"/>
                <w:w w:val="105"/>
                <w:sz w:val="17"/>
              </w:rPr>
              <w:t>NOMBRE</w:t>
            </w:r>
          </w:p>
        </w:tc>
        <w:tc>
          <w:tcPr>
            <w:tcW w:w="3630" w:type="dxa"/>
          </w:tcPr>
          <w:p>
            <w:pPr>
              <w:pStyle w:val="TableParagraph"/>
              <w:spacing w:line="247" w:lineRule="auto" w:before="3"/>
              <w:ind w:left="524" w:firstLine="778"/>
              <w:jc w:val="left"/>
              <w:rPr>
                <w:b/>
                <w:sz w:val="17"/>
              </w:rPr>
            </w:pPr>
            <w:r>
              <w:rPr>
                <w:b/>
                <w:color w:val="231F20"/>
                <w:w w:val="105"/>
                <w:sz w:val="17"/>
              </w:rPr>
              <w:t>DEFINICIÓN </w:t>
            </w:r>
            <w:r>
              <w:rPr>
                <w:b/>
                <w:color w:val="231F20"/>
                <w:sz w:val="17"/>
              </w:rPr>
              <w:t>CONCEPTUAL/OPERACIONAL</w:t>
            </w:r>
          </w:p>
        </w:tc>
        <w:tc>
          <w:tcPr>
            <w:tcW w:w="1362" w:type="dxa"/>
          </w:tcPr>
          <w:p>
            <w:pPr>
              <w:pStyle w:val="TableParagraph"/>
              <w:spacing w:line="247" w:lineRule="auto" w:before="3"/>
              <w:ind w:left="226" w:firstLine="97"/>
              <w:jc w:val="left"/>
              <w:rPr>
                <w:b/>
                <w:sz w:val="17"/>
              </w:rPr>
            </w:pPr>
            <w:r>
              <w:rPr>
                <w:b/>
                <w:color w:val="231F20"/>
                <w:w w:val="105"/>
                <w:sz w:val="17"/>
              </w:rPr>
              <w:t>TIPO DE </w:t>
            </w:r>
            <w:r>
              <w:rPr>
                <w:b/>
                <w:color w:val="231F20"/>
                <w:sz w:val="17"/>
              </w:rPr>
              <w:t>VARIABLE</w:t>
            </w:r>
          </w:p>
        </w:tc>
        <w:tc>
          <w:tcPr>
            <w:tcW w:w="1701" w:type="dxa"/>
          </w:tcPr>
          <w:p>
            <w:pPr>
              <w:pStyle w:val="TableParagraph"/>
              <w:spacing w:line="247" w:lineRule="auto" w:before="3"/>
              <w:ind w:left="407" w:hanging="50"/>
              <w:jc w:val="left"/>
              <w:rPr>
                <w:b/>
                <w:sz w:val="17"/>
              </w:rPr>
            </w:pPr>
            <w:r>
              <w:rPr>
                <w:b/>
                <w:color w:val="231F20"/>
                <w:w w:val="105"/>
                <w:sz w:val="17"/>
              </w:rPr>
              <w:t>UNIDAD DE MEDICIÓN</w:t>
            </w:r>
          </w:p>
        </w:tc>
      </w:tr>
      <w:tr>
        <w:trPr>
          <w:trHeight w:val="818" w:hRule="exact"/>
        </w:trPr>
        <w:tc>
          <w:tcPr>
            <w:tcW w:w="1588" w:type="dxa"/>
          </w:tcPr>
          <w:p>
            <w:pPr>
              <w:pStyle w:val="TableParagraph"/>
              <w:spacing w:before="5"/>
              <w:ind w:left="85" w:right="86"/>
              <w:rPr>
                <w:sz w:val="17"/>
              </w:rPr>
            </w:pPr>
            <w:r>
              <w:rPr>
                <w:color w:val="231F20"/>
                <w:w w:val="105"/>
                <w:sz w:val="17"/>
              </w:rPr>
              <w:t>Edad</w:t>
            </w:r>
          </w:p>
        </w:tc>
        <w:tc>
          <w:tcPr>
            <w:tcW w:w="3630" w:type="dxa"/>
          </w:tcPr>
          <w:p>
            <w:pPr>
              <w:pStyle w:val="TableParagraph"/>
              <w:spacing w:line="247" w:lineRule="auto" w:before="5"/>
              <w:ind w:left="82"/>
              <w:jc w:val="left"/>
              <w:rPr>
                <w:sz w:val="17"/>
              </w:rPr>
            </w:pPr>
            <w:r>
              <w:rPr>
                <w:i/>
                <w:color w:val="231F20"/>
                <w:w w:val="105"/>
                <w:sz w:val="17"/>
                <w:u w:val="single" w:color="231F20"/>
              </w:rPr>
              <w:t>Conceptual: </w:t>
            </w:r>
            <w:r>
              <w:rPr>
                <w:color w:val="231F20"/>
                <w:w w:val="105"/>
                <w:sz w:val="17"/>
              </w:rPr>
              <w:t>Periodo de tiempo que ha pasado desde el nacimiento.</w:t>
            </w:r>
          </w:p>
          <w:p>
            <w:pPr>
              <w:pStyle w:val="TableParagraph"/>
              <w:spacing w:line="249" w:lineRule="auto"/>
              <w:ind w:left="82"/>
              <w:jc w:val="left"/>
              <w:rPr>
                <w:sz w:val="17"/>
              </w:rPr>
            </w:pPr>
            <w:r>
              <w:rPr>
                <w:i/>
                <w:color w:val="231F20"/>
                <w:w w:val="105"/>
                <w:sz w:val="17"/>
                <w:u w:val="single" w:color="231F20"/>
              </w:rPr>
              <w:t>Operacional: </w:t>
            </w:r>
            <w:r>
              <w:rPr>
                <w:color w:val="231F20"/>
                <w:w w:val="105"/>
                <w:sz w:val="17"/>
              </w:rPr>
              <w:t>Años cumplidos hasta la fecha </w:t>
            </w:r>
            <w:r>
              <w:rPr>
                <w:color w:val="231F20"/>
                <w:sz w:val="17"/>
              </w:rPr>
              <w:t>de hospitalización.</w:t>
            </w:r>
          </w:p>
        </w:tc>
        <w:tc>
          <w:tcPr>
            <w:tcW w:w="1362" w:type="dxa"/>
          </w:tcPr>
          <w:p>
            <w:pPr>
              <w:pStyle w:val="TableParagraph"/>
              <w:spacing w:line="247" w:lineRule="auto" w:before="5"/>
              <w:ind w:left="207" w:right="208"/>
              <w:rPr>
                <w:sz w:val="17"/>
              </w:rPr>
            </w:pPr>
            <w:r>
              <w:rPr>
                <w:color w:val="231F20"/>
                <w:w w:val="105"/>
                <w:sz w:val="17"/>
              </w:rPr>
              <w:t>Variable cuantitativa</w:t>
            </w:r>
            <w:r>
              <w:rPr>
                <w:color w:val="231F20"/>
                <w:w w:val="103"/>
                <w:sz w:val="17"/>
              </w:rPr>
              <w:t> </w:t>
            </w:r>
            <w:r>
              <w:rPr>
                <w:color w:val="231F20"/>
                <w:w w:val="105"/>
                <w:sz w:val="17"/>
              </w:rPr>
              <w:t>continua</w:t>
            </w:r>
          </w:p>
        </w:tc>
        <w:tc>
          <w:tcPr>
            <w:tcW w:w="1701" w:type="dxa"/>
          </w:tcPr>
          <w:p>
            <w:pPr>
              <w:pStyle w:val="TableParagraph"/>
              <w:spacing w:before="5"/>
              <w:ind w:left="156" w:right="157"/>
              <w:rPr>
                <w:sz w:val="17"/>
              </w:rPr>
            </w:pPr>
            <w:r>
              <w:rPr>
                <w:color w:val="231F20"/>
                <w:w w:val="105"/>
                <w:sz w:val="17"/>
              </w:rPr>
              <w:t>Años</w:t>
            </w:r>
          </w:p>
        </w:tc>
      </w:tr>
      <w:tr>
        <w:trPr>
          <w:trHeight w:val="1039" w:hRule="exact"/>
        </w:trPr>
        <w:tc>
          <w:tcPr>
            <w:tcW w:w="1588" w:type="dxa"/>
          </w:tcPr>
          <w:p>
            <w:pPr>
              <w:pStyle w:val="TableParagraph"/>
              <w:spacing w:before="4"/>
              <w:ind w:left="86" w:right="86"/>
              <w:rPr>
                <w:sz w:val="17"/>
              </w:rPr>
            </w:pPr>
            <w:r>
              <w:rPr>
                <w:color w:val="231F20"/>
                <w:w w:val="105"/>
                <w:sz w:val="17"/>
              </w:rPr>
              <w:t>Género</w:t>
            </w:r>
          </w:p>
        </w:tc>
        <w:tc>
          <w:tcPr>
            <w:tcW w:w="3630" w:type="dxa"/>
          </w:tcPr>
          <w:p>
            <w:pPr>
              <w:pStyle w:val="TableParagraph"/>
              <w:spacing w:line="249" w:lineRule="auto"/>
              <w:ind w:left="82" w:right="79"/>
              <w:jc w:val="both"/>
              <w:rPr>
                <w:sz w:val="17"/>
              </w:rPr>
            </w:pPr>
            <w:r>
              <w:rPr>
                <w:color w:val="231F20"/>
                <w:w w:val="105"/>
                <w:sz w:val="17"/>
                <w:u w:val="single" w:color="231F20"/>
              </w:rPr>
              <w:t>Conceptual: </w:t>
            </w:r>
            <w:r>
              <w:rPr>
                <w:color w:val="231F20"/>
                <w:w w:val="105"/>
                <w:sz w:val="19"/>
              </w:rPr>
              <w:t>Clasificación </w:t>
            </w:r>
            <w:r>
              <w:rPr>
                <w:color w:val="231F20"/>
                <w:w w:val="105"/>
                <w:sz w:val="17"/>
              </w:rPr>
              <w:t>en hombres o mujeres teniendo en cuenta características anatómicas o cromosómicas.</w:t>
            </w:r>
          </w:p>
          <w:p>
            <w:pPr>
              <w:pStyle w:val="TableParagraph"/>
              <w:spacing w:line="249" w:lineRule="auto"/>
              <w:ind w:left="82" w:right="79"/>
              <w:jc w:val="both"/>
              <w:rPr>
                <w:sz w:val="17"/>
              </w:rPr>
            </w:pPr>
            <w:r>
              <w:rPr>
                <w:color w:val="231F20"/>
                <w:w w:val="105"/>
                <w:sz w:val="17"/>
                <w:u w:val="single" w:color="231F20"/>
              </w:rPr>
              <w:t>Operacional: </w:t>
            </w:r>
            <w:r>
              <w:rPr>
                <w:color w:val="231F20"/>
                <w:w w:val="105"/>
                <w:sz w:val="17"/>
              </w:rPr>
              <w:t>Rasgos anatómicos femenino o masculino</w:t>
            </w:r>
          </w:p>
        </w:tc>
        <w:tc>
          <w:tcPr>
            <w:tcW w:w="1362" w:type="dxa"/>
          </w:tcPr>
          <w:p>
            <w:pPr>
              <w:pStyle w:val="TableParagraph"/>
              <w:spacing w:line="249" w:lineRule="auto" w:before="4"/>
              <w:ind w:left="255" w:right="253" w:hanging="1"/>
              <w:rPr>
                <w:sz w:val="17"/>
              </w:rPr>
            </w:pPr>
            <w:r>
              <w:rPr>
                <w:color w:val="231F20"/>
                <w:w w:val="105"/>
                <w:sz w:val="17"/>
              </w:rPr>
              <w:t>Variable cualitativa </w:t>
            </w:r>
            <w:r>
              <w:rPr>
                <w:color w:val="231F20"/>
                <w:sz w:val="17"/>
              </w:rPr>
              <w:t>dicotómica</w:t>
            </w:r>
          </w:p>
        </w:tc>
        <w:tc>
          <w:tcPr>
            <w:tcW w:w="1701" w:type="dxa"/>
          </w:tcPr>
          <w:p>
            <w:pPr>
              <w:pStyle w:val="TableParagraph"/>
              <w:spacing w:line="249" w:lineRule="auto" w:before="4"/>
              <w:ind w:left="322" w:firstLine="19"/>
              <w:jc w:val="left"/>
              <w:rPr>
                <w:sz w:val="17"/>
              </w:rPr>
            </w:pPr>
            <w:r>
              <w:rPr>
                <w:color w:val="231F20"/>
                <w:w w:val="105"/>
                <w:sz w:val="17"/>
              </w:rPr>
              <w:t>Masculino(1) Femenino (2)</w:t>
            </w:r>
          </w:p>
        </w:tc>
      </w:tr>
      <w:tr>
        <w:trPr>
          <w:trHeight w:val="2639" w:hRule="exact"/>
        </w:trPr>
        <w:tc>
          <w:tcPr>
            <w:tcW w:w="1588" w:type="dxa"/>
          </w:tcPr>
          <w:p>
            <w:pPr>
              <w:pStyle w:val="TableParagraph"/>
              <w:spacing w:line="249" w:lineRule="auto" w:before="3"/>
              <w:ind w:left="109" w:firstLine="145"/>
              <w:jc w:val="left"/>
              <w:rPr>
                <w:sz w:val="17"/>
              </w:rPr>
            </w:pPr>
            <w:r>
              <w:rPr>
                <w:color w:val="231F20"/>
                <w:w w:val="105"/>
                <w:sz w:val="17"/>
              </w:rPr>
              <w:t>Disfunción de catéter peritoneal</w:t>
            </w:r>
          </w:p>
        </w:tc>
        <w:tc>
          <w:tcPr>
            <w:tcW w:w="3630" w:type="dxa"/>
          </w:tcPr>
          <w:p>
            <w:pPr>
              <w:pStyle w:val="TableParagraph"/>
              <w:spacing w:line="249" w:lineRule="auto" w:before="3"/>
              <w:ind w:left="82" w:right="79"/>
              <w:jc w:val="both"/>
              <w:rPr>
                <w:sz w:val="17"/>
              </w:rPr>
            </w:pPr>
            <w:r>
              <w:rPr>
                <w:i/>
                <w:color w:val="231F20"/>
                <w:w w:val="105"/>
                <w:sz w:val="17"/>
                <w:u w:val="single" w:color="231F20"/>
              </w:rPr>
              <w:t>Conceptual: </w:t>
            </w:r>
            <w:r>
              <w:rPr>
                <w:color w:val="231F20"/>
                <w:w w:val="105"/>
                <w:sz w:val="17"/>
              </w:rPr>
              <w:t>Funcionamiento subóptimo o nulo del catéter peritoneal por fallo de flujo (drenaje: estreñimiento, mal posición, atrapamiento por omento/ asas, adherencias, oclusión ejercida por órganos adyacentes; infusión: acodamiento del catéter, coágulos intraluminales) o fuga (Fluido líquido alrededor del orificio de salida, disminución volumen drenado, edema de pared / genital).</w:t>
            </w:r>
          </w:p>
          <w:p>
            <w:pPr>
              <w:pStyle w:val="TableParagraph"/>
              <w:spacing w:line="249" w:lineRule="auto"/>
              <w:ind w:left="82" w:right="81"/>
              <w:jc w:val="both"/>
              <w:rPr>
                <w:sz w:val="17"/>
              </w:rPr>
            </w:pPr>
            <w:r>
              <w:rPr>
                <w:i/>
                <w:color w:val="231F20"/>
                <w:w w:val="105"/>
                <w:sz w:val="17"/>
                <w:u w:val="single" w:color="231F20"/>
              </w:rPr>
              <w:t>Operacional: </w:t>
            </w:r>
            <w:r>
              <w:rPr>
                <w:color w:val="231F20"/>
                <w:w w:val="105"/>
                <w:sz w:val="17"/>
              </w:rPr>
              <w:t>Drenaje de líquido peritoneal menor o nulo al infundido en </w:t>
            </w:r>
            <w:r>
              <w:rPr>
                <w:color w:val="231F20"/>
                <w:w w:val="105"/>
                <w:sz w:val="17"/>
                <w:u w:val="single" w:color="231F20"/>
              </w:rPr>
              <w:t>&gt; </w:t>
            </w:r>
            <w:r>
              <w:rPr>
                <w:color w:val="231F20"/>
                <w:w w:val="105"/>
                <w:sz w:val="17"/>
              </w:rPr>
              <w:t>2 recambios de líquido de diálisis.</w:t>
            </w:r>
          </w:p>
        </w:tc>
        <w:tc>
          <w:tcPr>
            <w:tcW w:w="1362" w:type="dxa"/>
          </w:tcPr>
          <w:p>
            <w:pPr>
              <w:pStyle w:val="TableParagraph"/>
              <w:spacing w:line="249" w:lineRule="auto" w:before="3"/>
              <w:ind w:left="255" w:right="253" w:hanging="1"/>
              <w:rPr>
                <w:sz w:val="17"/>
              </w:rPr>
            </w:pPr>
            <w:r>
              <w:rPr>
                <w:color w:val="231F20"/>
                <w:w w:val="105"/>
                <w:sz w:val="17"/>
              </w:rPr>
              <w:t>Variable cualitativa </w:t>
            </w:r>
            <w:r>
              <w:rPr>
                <w:color w:val="231F20"/>
                <w:sz w:val="17"/>
              </w:rPr>
              <w:t>dicotómica</w:t>
            </w:r>
          </w:p>
        </w:tc>
        <w:tc>
          <w:tcPr>
            <w:tcW w:w="1701" w:type="dxa"/>
          </w:tcPr>
          <w:p>
            <w:pPr>
              <w:pStyle w:val="TableParagraph"/>
              <w:spacing w:line="249" w:lineRule="auto" w:before="3"/>
              <w:ind w:left="733" w:right="733"/>
              <w:rPr>
                <w:sz w:val="17"/>
              </w:rPr>
            </w:pPr>
            <w:r>
              <w:rPr>
                <w:color w:val="231F20"/>
                <w:w w:val="105"/>
                <w:sz w:val="17"/>
              </w:rPr>
              <w:t>Si </w:t>
            </w:r>
            <w:r>
              <w:rPr>
                <w:color w:val="231F20"/>
                <w:sz w:val="17"/>
              </w:rPr>
              <w:t>No</w:t>
            </w:r>
          </w:p>
        </w:tc>
      </w:tr>
      <w:tr>
        <w:trPr>
          <w:trHeight w:val="1223" w:hRule="exact"/>
        </w:trPr>
        <w:tc>
          <w:tcPr>
            <w:tcW w:w="1588" w:type="dxa"/>
          </w:tcPr>
          <w:p>
            <w:pPr>
              <w:pStyle w:val="TableParagraph"/>
              <w:spacing w:line="247" w:lineRule="auto" w:before="5"/>
              <w:ind w:left="113" w:right="112" w:hanging="2"/>
              <w:rPr>
                <w:sz w:val="17"/>
              </w:rPr>
            </w:pPr>
            <w:r>
              <w:rPr>
                <w:color w:val="231F20"/>
                <w:w w:val="105"/>
                <w:sz w:val="17"/>
              </w:rPr>
              <w:t>Agente</w:t>
            </w:r>
            <w:r>
              <w:rPr>
                <w:color w:val="231F20"/>
                <w:spacing w:val="-24"/>
                <w:w w:val="105"/>
                <w:sz w:val="17"/>
              </w:rPr>
              <w:t> </w:t>
            </w:r>
            <w:r>
              <w:rPr>
                <w:color w:val="231F20"/>
                <w:w w:val="105"/>
                <w:sz w:val="17"/>
              </w:rPr>
              <w:t>etiológico de peritonitis asociada a </w:t>
            </w:r>
            <w:r>
              <w:rPr>
                <w:color w:val="231F20"/>
                <w:sz w:val="17"/>
              </w:rPr>
              <w:t>diálisis</w:t>
            </w:r>
            <w:r>
              <w:rPr>
                <w:color w:val="231F20"/>
                <w:spacing w:val="31"/>
                <w:sz w:val="17"/>
              </w:rPr>
              <w:t> </w:t>
            </w:r>
            <w:r>
              <w:rPr>
                <w:color w:val="231F20"/>
                <w:sz w:val="17"/>
              </w:rPr>
              <w:t>peritoneal</w:t>
            </w:r>
          </w:p>
        </w:tc>
        <w:tc>
          <w:tcPr>
            <w:tcW w:w="3630" w:type="dxa"/>
          </w:tcPr>
          <w:p>
            <w:pPr>
              <w:pStyle w:val="TableParagraph"/>
              <w:spacing w:line="247" w:lineRule="auto" w:before="5"/>
              <w:ind w:left="82" w:right="79"/>
              <w:jc w:val="both"/>
              <w:rPr>
                <w:sz w:val="17"/>
              </w:rPr>
            </w:pPr>
            <w:r>
              <w:rPr>
                <w:i/>
                <w:color w:val="221A21"/>
                <w:w w:val="105"/>
                <w:sz w:val="17"/>
                <w:u w:val="single" w:color="221A21"/>
              </w:rPr>
              <w:t>Conceptual: </w:t>
            </w:r>
            <w:r>
              <w:rPr>
                <w:color w:val="221A21"/>
                <w:w w:val="105"/>
                <w:sz w:val="17"/>
              </w:rPr>
              <w:t>Identificación de bacteria u hongo a través de cultivo del líquido peritoneal o hemocultivo del líquido peritoneal en paciente con peritonitis.</w:t>
            </w:r>
          </w:p>
          <w:p>
            <w:pPr>
              <w:pStyle w:val="TableParagraph"/>
              <w:spacing w:line="249" w:lineRule="auto"/>
              <w:ind w:left="82" w:right="80"/>
              <w:jc w:val="both"/>
              <w:rPr>
                <w:sz w:val="17"/>
              </w:rPr>
            </w:pPr>
            <w:r>
              <w:rPr>
                <w:i/>
                <w:color w:val="221A21"/>
                <w:w w:val="105"/>
                <w:sz w:val="17"/>
                <w:u w:val="single" w:color="221A21"/>
              </w:rPr>
              <w:t>Operacional: </w:t>
            </w:r>
            <w:r>
              <w:rPr>
                <w:color w:val="221A21"/>
                <w:w w:val="105"/>
                <w:sz w:val="17"/>
              </w:rPr>
              <w:t>bacteria u hongo reportado en cultivo de líquido peritoneal.</w:t>
            </w:r>
          </w:p>
        </w:tc>
        <w:tc>
          <w:tcPr>
            <w:tcW w:w="1362" w:type="dxa"/>
          </w:tcPr>
          <w:p>
            <w:pPr>
              <w:pStyle w:val="TableParagraph"/>
              <w:spacing w:line="247" w:lineRule="auto" w:before="5"/>
              <w:ind w:left="255" w:right="253" w:hanging="1"/>
              <w:rPr>
                <w:sz w:val="17"/>
              </w:rPr>
            </w:pPr>
            <w:r>
              <w:rPr>
                <w:color w:val="231F20"/>
                <w:w w:val="105"/>
                <w:sz w:val="17"/>
              </w:rPr>
              <w:t>Variable cualitativa </w:t>
            </w:r>
            <w:r>
              <w:rPr>
                <w:color w:val="231F20"/>
                <w:sz w:val="17"/>
              </w:rPr>
              <w:t>dicotómica</w:t>
            </w:r>
          </w:p>
        </w:tc>
        <w:tc>
          <w:tcPr>
            <w:tcW w:w="1701" w:type="dxa"/>
          </w:tcPr>
          <w:p>
            <w:pPr>
              <w:pStyle w:val="TableParagraph"/>
              <w:spacing w:line="247" w:lineRule="auto" w:before="5"/>
              <w:ind w:left="732" w:right="733"/>
              <w:rPr>
                <w:sz w:val="17"/>
              </w:rPr>
            </w:pPr>
            <w:r>
              <w:rPr>
                <w:color w:val="231F20"/>
                <w:w w:val="105"/>
                <w:sz w:val="17"/>
              </w:rPr>
              <w:t>Si </w:t>
            </w:r>
            <w:r>
              <w:rPr>
                <w:color w:val="231F20"/>
                <w:sz w:val="17"/>
              </w:rPr>
              <w:t>No</w:t>
            </w:r>
          </w:p>
        </w:tc>
      </w:tr>
    </w:tbl>
    <w:p>
      <w:pPr>
        <w:spacing w:after="0" w:line="247" w:lineRule="auto"/>
        <w:rPr>
          <w:sz w:val="17"/>
        </w:rPr>
        <w:sectPr>
          <w:pgSz w:w="12240" w:h="15840"/>
          <w:pgMar w:header="0" w:footer="2372" w:top="1500" w:bottom="2560" w:left="172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5"/>
        </w:rPr>
      </w:pPr>
    </w:p>
    <w:tbl>
      <w:tblPr>
        <w:tblW w:w="0" w:type="auto"/>
        <w:jc w:val="left"/>
        <w:tblInd w:w="256"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1588"/>
        <w:gridCol w:w="3630"/>
        <w:gridCol w:w="1362"/>
        <w:gridCol w:w="1701"/>
      </w:tblGrid>
      <w:tr>
        <w:trPr>
          <w:trHeight w:val="1646" w:hRule="exact"/>
        </w:trPr>
        <w:tc>
          <w:tcPr>
            <w:tcW w:w="1588" w:type="dxa"/>
          </w:tcPr>
          <w:p>
            <w:pPr>
              <w:pStyle w:val="TableParagraph"/>
              <w:spacing w:line="247" w:lineRule="auto" w:before="5"/>
              <w:ind w:left="213" w:firstLine="395"/>
              <w:jc w:val="left"/>
              <w:rPr>
                <w:sz w:val="17"/>
              </w:rPr>
            </w:pPr>
            <w:r>
              <w:rPr>
                <w:color w:val="231F20"/>
                <w:w w:val="105"/>
                <w:sz w:val="17"/>
              </w:rPr>
              <w:t>Días </w:t>
            </w:r>
            <w:r>
              <w:rPr>
                <w:color w:val="231F20"/>
                <w:sz w:val="17"/>
              </w:rPr>
              <w:t>hospitalización</w:t>
            </w:r>
          </w:p>
        </w:tc>
        <w:tc>
          <w:tcPr>
            <w:tcW w:w="3630" w:type="dxa"/>
          </w:tcPr>
          <w:p>
            <w:pPr>
              <w:pStyle w:val="TableParagraph"/>
              <w:spacing w:line="249" w:lineRule="auto" w:before="5"/>
              <w:ind w:left="82" w:right="78"/>
              <w:jc w:val="both"/>
              <w:rPr>
                <w:sz w:val="17"/>
              </w:rPr>
            </w:pPr>
            <w:r>
              <w:rPr>
                <w:i/>
                <w:color w:val="221A21"/>
                <w:w w:val="105"/>
                <w:sz w:val="17"/>
                <w:u w:val="single" w:color="221A21"/>
              </w:rPr>
              <w:t>Conceptual: </w:t>
            </w:r>
            <w:r>
              <w:rPr>
                <w:color w:val="221A21"/>
                <w:w w:val="105"/>
                <w:sz w:val="17"/>
              </w:rPr>
              <w:t>Tiempo transcurrido desde</w:t>
            </w:r>
            <w:r>
              <w:rPr>
                <w:color w:val="221A21"/>
                <w:spacing w:val="-24"/>
                <w:w w:val="105"/>
                <w:sz w:val="17"/>
              </w:rPr>
              <w:t> </w:t>
            </w:r>
            <w:r>
              <w:rPr>
                <w:color w:val="221A21"/>
                <w:w w:val="105"/>
                <w:sz w:val="17"/>
              </w:rPr>
              <w:t>que el paciente en diálisis peritoneal o con insuficiencia renal crónica ingresa al hospital hasta su</w:t>
            </w:r>
            <w:r>
              <w:rPr>
                <w:color w:val="221A21"/>
                <w:spacing w:val="-34"/>
                <w:w w:val="105"/>
                <w:sz w:val="17"/>
              </w:rPr>
              <w:t> </w:t>
            </w:r>
            <w:r>
              <w:rPr>
                <w:color w:val="221A21"/>
                <w:w w:val="105"/>
                <w:sz w:val="17"/>
              </w:rPr>
              <w:t>egreso.</w:t>
            </w:r>
          </w:p>
          <w:p>
            <w:pPr>
              <w:pStyle w:val="TableParagraph"/>
              <w:spacing w:line="249" w:lineRule="auto"/>
              <w:ind w:left="82" w:right="80"/>
              <w:jc w:val="both"/>
              <w:rPr>
                <w:sz w:val="17"/>
              </w:rPr>
            </w:pPr>
            <w:r>
              <w:rPr>
                <w:i/>
                <w:color w:val="221A21"/>
                <w:w w:val="105"/>
                <w:sz w:val="17"/>
                <w:u w:val="single" w:color="221A21"/>
              </w:rPr>
              <w:t>Operacional: </w:t>
            </w:r>
            <w:r>
              <w:rPr>
                <w:color w:val="221A21"/>
                <w:w w:val="105"/>
                <w:sz w:val="17"/>
              </w:rPr>
              <w:t>Tiempo trascurrido desde que el paciente en diálisis o enfermedad renal ingresa al hospital hasta que egresa.</w:t>
            </w:r>
          </w:p>
        </w:tc>
        <w:tc>
          <w:tcPr>
            <w:tcW w:w="1362" w:type="dxa"/>
          </w:tcPr>
          <w:p>
            <w:pPr>
              <w:pStyle w:val="TableParagraph"/>
              <w:spacing w:line="247" w:lineRule="auto" w:before="5"/>
              <w:ind w:left="207" w:right="208"/>
              <w:rPr>
                <w:sz w:val="17"/>
              </w:rPr>
            </w:pPr>
            <w:r>
              <w:rPr>
                <w:color w:val="231F20"/>
                <w:w w:val="105"/>
                <w:sz w:val="17"/>
              </w:rPr>
              <w:t>Variable cuantitativa</w:t>
            </w:r>
            <w:r>
              <w:rPr>
                <w:color w:val="231F20"/>
                <w:w w:val="103"/>
                <w:sz w:val="17"/>
              </w:rPr>
              <w:t> </w:t>
            </w:r>
            <w:r>
              <w:rPr>
                <w:color w:val="231F20"/>
                <w:w w:val="105"/>
                <w:sz w:val="17"/>
              </w:rPr>
              <w:t>discreta</w:t>
            </w:r>
          </w:p>
        </w:tc>
        <w:tc>
          <w:tcPr>
            <w:tcW w:w="1701" w:type="dxa"/>
          </w:tcPr>
          <w:p>
            <w:pPr>
              <w:pStyle w:val="TableParagraph"/>
              <w:spacing w:line="247" w:lineRule="auto" w:before="5"/>
              <w:ind w:left="92" w:right="93" w:firstLine="1"/>
              <w:rPr>
                <w:sz w:val="17"/>
              </w:rPr>
            </w:pPr>
            <w:r>
              <w:rPr>
                <w:color w:val="231F20"/>
                <w:w w:val="105"/>
                <w:sz w:val="17"/>
              </w:rPr>
              <w:t>Numeración arábiga</w:t>
            </w:r>
            <w:r>
              <w:rPr>
                <w:color w:val="231F20"/>
                <w:spacing w:val="-31"/>
                <w:w w:val="105"/>
                <w:sz w:val="17"/>
              </w:rPr>
              <w:t> </w:t>
            </w:r>
            <w:r>
              <w:rPr>
                <w:color w:val="231F20"/>
                <w:w w:val="105"/>
                <w:sz w:val="17"/>
              </w:rPr>
              <w:t>progresiva, ejem 1,2,3,4</w:t>
            </w:r>
            <w:r>
              <w:rPr>
                <w:color w:val="231F20"/>
                <w:spacing w:val="-23"/>
                <w:w w:val="105"/>
                <w:sz w:val="17"/>
              </w:rPr>
              <w:t> </w:t>
            </w:r>
            <w:r>
              <w:rPr>
                <w:color w:val="231F20"/>
                <w:w w:val="105"/>
                <w:sz w:val="17"/>
              </w:rPr>
              <w:t>etc.</w:t>
            </w:r>
          </w:p>
        </w:tc>
      </w:tr>
      <w:tr>
        <w:trPr>
          <w:trHeight w:val="1223" w:hRule="exact"/>
        </w:trPr>
        <w:tc>
          <w:tcPr>
            <w:tcW w:w="1588" w:type="dxa"/>
          </w:tcPr>
          <w:p>
            <w:pPr>
              <w:pStyle w:val="TableParagraph"/>
              <w:spacing w:line="247" w:lineRule="auto" w:before="5"/>
              <w:ind w:left="413" w:firstLine="57"/>
              <w:jc w:val="left"/>
              <w:rPr>
                <w:sz w:val="17"/>
              </w:rPr>
            </w:pPr>
            <w:r>
              <w:rPr>
                <w:color w:val="231F20"/>
                <w:w w:val="105"/>
                <w:sz w:val="17"/>
              </w:rPr>
              <w:t>Tasa de peritonitis</w:t>
            </w:r>
          </w:p>
        </w:tc>
        <w:tc>
          <w:tcPr>
            <w:tcW w:w="3630" w:type="dxa"/>
          </w:tcPr>
          <w:p>
            <w:pPr>
              <w:pStyle w:val="TableParagraph"/>
              <w:spacing w:line="249" w:lineRule="auto" w:before="5"/>
              <w:ind w:left="82" w:right="79"/>
              <w:jc w:val="both"/>
              <w:rPr>
                <w:sz w:val="17"/>
              </w:rPr>
            </w:pPr>
            <w:r>
              <w:rPr>
                <w:i/>
                <w:color w:val="231F20"/>
                <w:w w:val="105"/>
                <w:sz w:val="17"/>
                <w:u w:val="single" w:color="231F20"/>
              </w:rPr>
              <w:t>Conceptual: </w:t>
            </w:r>
            <w:r>
              <w:rPr>
                <w:color w:val="231F20"/>
                <w:w w:val="105"/>
                <w:sz w:val="17"/>
              </w:rPr>
              <w:t>Meses de diálisis peritoneal en situación de riesgo, dividido por el número de episodios (peritonitis), y se expresa como</w:t>
            </w:r>
            <w:r>
              <w:rPr>
                <w:color w:val="231F20"/>
                <w:spacing w:val="-7"/>
                <w:w w:val="105"/>
                <w:sz w:val="17"/>
              </w:rPr>
              <w:t> </w:t>
            </w:r>
            <w:r>
              <w:rPr>
                <w:color w:val="231F20"/>
                <w:w w:val="105"/>
                <w:sz w:val="17"/>
              </w:rPr>
              <w:t>el</w:t>
            </w:r>
            <w:r>
              <w:rPr>
                <w:color w:val="231F20"/>
                <w:spacing w:val="-10"/>
                <w:w w:val="105"/>
                <w:sz w:val="17"/>
              </w:rPr>
              <w:t> </w:t>
            </w:r>
            <w:r>
              <w:rPr>
                <w:color w:val="231F20"/>
                <w:w w:val="105"/>
                <w:sz w:val="17"/>
              </w:rPr>
              <w:t>intervalo</w:t>
            </w:r>
            <w:r>
              <w:rPr>
                <w:color w:val="231F20"/>
                <w:spacing w:val="-7"/>
                <w:w w:val="105"/>
                <w:sz w:val="17"/>
              </w:rPr>
              <w:t> </w:t>
            </w:r>
            <w:r>
              <w:rPr>
                <w:color w:val="231F20"/>
                <w:w w:val="105"/>
                <w:sz w:val="17"/>
              </w:rPr>
              <w:t>en</w:t>
            </w:r>
            <w:r>
              <w:rPr>
                <w:color w:val="231F20"/>
                <w:spacing w:val="-9"/>
                <w:w w:val="105"/>
                <w:sz w:val="17"/>
              </w:rPr>
              <w:t> </w:t>
            </w:r>
            <w:r>
              <w:rPr>
                <w:color w:val="231F20"/>
                <w:w w:val="105"/>
                <w:sz w:val="17"/>
              </w:rPr>
              <w:t>meses</w:t>
            </w:r>
            <w:r>
              <w:rPr>
                <w:color w:val="231F20"/>
                <w:spacing w:val="-7"/>
                <w:w w:val="105"/>
                <w:sz w:val="17"/>
              </w:rPr>
              <w:t> </w:t>
            </w:r>
            <w:r>
              <w:rPr>
                <w:color w:val="231F20"/>
                <w:w w:val="105"/>
                <w:sz w:val="17"/>
              </w:rPr>
              <w:t>entre</w:t>
            </w:r>
            <w:r>
              <w:rPr>
                <w:color w:val="231F20"/>
                <w:spacing w:val="-7"/>
                <w:w w:val="105"/>
                <w:sz w:val="17"/>
              </w:rPr>
              <w:t> </w:t>
            </w:r>
            <w:r>
              <w:rPr>
                <w:color w:val="231F20"/>
                <w:w w:val="105"/>
                <w:sz w:val="17"/>
              </w:rPr>
              <w:t>episodios. </w:t>
            </w:r>
            <w:r>
              <w:rPr>
                <w:i/>
                <w:color w:val="231F20"/>
                <w:w w:val="105"/>
                <w:sz w:val="17"/>
                <w:u w:val="single" w:color="231F20"/>
              </w:rPr>
              <w:t>Operacional: </w:t>
            </w:r>
            <w:r>
              <w:rPr>
                <w:color w:val="231F20"/>
                <w:w w:val="105"/>
                <w:sz w:val="17"/>
              </w:rPr>
              <w:t>numero de meses por</w:t>
            </w:r>
            <w:r>
              <w:rPr>
                <w:color w:val="231F20"/>
                <w:spacing w:val="-26"/>
                <w:w w:val="105"/>
                <w:sz w:val="17"/>
              </w:rPr>
              <w:t> </w:t>
            </w:r>
            <w:r>
              <w:rPr>
                <w:color w:val="231F20"/>
                <w:w w:val="105"/>
                <w:sz w:val="17"/>
              </w:rPr>
              <w:t>eventos de</w:t>
            </w:r>
            <w:r>
              <w:rPr>
                <w:color w:val="231F20"/>
                <w:spacing w:val="-16"/>
                <w:w w:val="105"/>
                <w:sz w:val="17"/>
              </w:rPr>
              <w:t> </w:t>
            </w:r>
            <w:r>
              <w:rPr>
                <w:color w:val="231F20"/>
                <w:w w:val="105"/>
                <w:sz w:val="17"/>
              </w:rPr>
              <w:t>peritonitis</w:t>
            </w:r>
          </w:p>
        </w:tc>
        <w:tc>
          <w:tcPr>
            <w:tcW w:w="1362" w:type="dxa"/>
          </w:tcPr>
          <w:p>
            <w:pPr>
              <w:pStyle w:val="TableParagraph"/>
              <w:spacing w:line="247" w:lineRule="auto" w:before="5"/>
              <w:ind w:left="230" w:right="230" w:firstLine="1"/>
              <w:rPr>
                <w:sz w:val="17"/>
              </w:rPr>
            </w:pPr>
            <w:r>
              <w:rPr>
                <w:color w:val="231F20"/>
                <w:w w:val="105"/>
                <w:sz w:val="17"/>
              </w:rPr>
              <w:t>Variable </w:t>
            </w:r>
            <w:r>
              <w:rPr>
                <w:color w:val="231F20"/>
                <w:sz w:val="17"/>
              </w:rPr>
              <w:t>cuantitativa </w:t>
            </w:r>
            <w:r>
              <w:rPr>
                <w:color w:val="231F20"/>
                <w:w w:val="105"/>
                <w:sz w:val="17"/>
              </w:rPr>
              <w:t>continua</w:t>
            </w:r>
          </w:p>
        </w:tc>
        <w:tc>
          <w:tcPr>
            <w:tcW w:w="1701" w:type="dxa"/>
          </w:tcPr>
          <w:p>
            <w:pPr>
              <w:pStyle w:val="TableParagraph"/>
              <w:spacing w:before="5"/>
              <w:ind w:left="157" w:right="157"/>
              <w:rPr>
                <w:sz w:val="17"/>
              </w:rPr>
            </w:pPr>
            <w:r>
              <w:rPr>
                <w:color w:val="231F20"/>
                <w:w w:val="105"/>
                <w:sz w:val="17"/>
              </w:rPr>
              <w:t>“X” mes/episodio</w:t>
            </w:r>
          </w:p>
          <w:p>
            <w:pPr>
              <w:pStyle w:val="TableParagraph"/>
              <w:spacing w:before="6"/>
              <w:ind w:left="157" w:right="156"/>
              <w:rPr>
                <w:sz w:val="17"/>
              </w:rPr>
            </w:pPr>
            <w:r>
              <w:rPr>
                <w:color w:val="231F20"/>
                <w:w w:val="105"/>
                <w:sz w:val="17"/>
              </w:rPr>
              <w:t>peritonitis</w:t>
            </w:r>
          </w:p>
        </w:tc>
      </w:tr>
      <w:tr>
        <w:trPr>
          <w:trHeight w:val="1425" w:hRule="exact"/>
        </w:trPr>
        <w:tc>
          <w:tcPr>
            <w:tcW w:w="1588" w:type="dxa"/>
          </w:tcPr>
          <w:p>
            <w:pPr>
              <w:pStyle w:val="TableParagraph"/>
              <w:spacing w:line="249" w:lineRule="auto" w:before="4"/>
              <w:ind w:left="109" w:right="107" w:hanging="3"/>
              <w:rPr>
                <w:sz w:val="17"/>
              </w:rPr>
            </w:pPr>
            <w:r>
              <w:rPr>
                <w:color w:val="231F20"/>
                <w:w w:val="105"/>
                <w:sz w:val="17"/>
              </w:rPr>
              <w:t>Infecciones del sitio de salida catéter</w:t>
            </w:r>
            <w:r>
              <w:rPr>
                <w:color w:val="231F20"/>
                <w:spacing w:val="-25"/>
                <w:w w:val="105"/>
                <w:sz w:val="17"/>
              </w:rPr>
              <w:t> </w:t>
            </w:r>
            <w:r>
              <w:rPr>
                <w:color w:val="231F20"/>
                <w:w w:val="105"/>
                <w:sz w:val="17"/>
              </w:rPr>
              <w:t>peritoneal</w:t>
            </w:r>
          </w:p>
        </w:tc>
        <w:tc>
          <w:tcPr>
            <w:tcW w:w="3630" w:type="dxa"/>
          </w:tcPr>
          <w:p>
            <w:pPr>
              <w:pStyle w:val="TableParagraph"/>
              <w:spacing w:line="247" w:lineRule="auto" w:before="4"/>
              <w:ind w:left="82" w:right="81"/>
              <w:jc w:val="both"/>
              <w:rPr>
                <w:sz w:val="17"/>
              </w:rPr>
            </w:pPr>
            <w:r>
              <w:rPr>
                <w:i/>
                <w:color w:val="221A21"/>
                <w:w w:val="105"/>
                <w:sz w:val="17"/>
                <w:u w:val="single" w:color="221A21"/>
              </w:rPr>
              <w:t>Conceptual:</w:t>
            </w:r>
            <w:r>
              <w:rPr>
                <w:i/>
                <w:color w:val="221A21"/>
                <w:spacing w:val="-5"/>
                <w:w w:val="105"/>
                <w:sz w:val="17"/>
                <w:u w:val="single" w:color="221A21"/>
              </w:rPr>
              <w:t> </w:t>
            </w:r>
            <w:r>
              <w:rPr>
                <w:color w:val="221A21"/>
                <w:w w:val="105"/>
                <w:sz w:val="17"/>
              </w:rPr>
              <w:t>Aquel</w:t>
            </w:r>
            <w:r>
              <w:rPr>
                <w:color w:val="221A21"/>
                <w:spacing w:val="-7"/>
                <w:w w:val="105"/>
                <w:sz w:val="17"/>
              </w:rPr>
              <w:t> </w:t>
            </w:r>
            <w:r>
              <w:rPr>
                <w:color w:val="221A21"/>
                <w:w w:val="105"/>
                <w:sz w:val="17"/>
              </w:rPr>
              <w:t>sitio</w:t>
            </w:r>
            <w:r>
              <w:rPr>
                <w:color w:val="221A21"/>
                <w:spacing w:val="-7"/>
                <w:w w:val="105"/>
                <w:sz w:val="17"/>
              </w:rPr>
              <w:t> </w:t>
            </w:r>
            <w:r>
              <w:rPr>
                <w:color w:val="221A21"/>
                <w:w w:val="105"/>
                <w:sz w:val="17"/>
              </w:rPr>
              <w:t>de</w:t>
            </w:r>
            <w:r>
              <w:rPr>
                <w:color w:val="221A21"/>
                <w:spacing w:val="-7"/>
                <w:w w:val="105"/>
                <w:sz w:val="17"/>
              </w:rPr>
              <w:t> </w:t>
            </w:r>
            <w:r>
              <w:rPr>
                <w:color w:val="221A21"/>
                <w:w w:val="105"/>
                <w:sz w:val="17"/>
              </w:rPr>
              <w:t>salida</w:t>
            </w:r>
            <w:r>
              <w:rPr>
                <w:color w:val="221A21"/>
                <w:spacing w:val="-7"/>
                <w:w w:val="105"/>
                <w:sz w:val="17"/>
              </w:rPr>
              <w:t> </w:t>
            </w:r>
            <w:r>
              <w:rPr>
                <w:color w:val="221A21"/>
                <w:w w:val="105"/>
                <w:sz w:val="17"/>
              </w:rPr>
              <w:t>del</w:t>
            </w:r>
            <w:r>
              <w:rPr>
                <w:color w:val="221A21"/>
                <w:spacing w:val="-7"/>
                <w:w w:val="105"/>
                <w:sz w:val="17"/>
              </w:rPr>
              <w:t> </w:t>
            </w:r>
            <w:r>
              <w:rPr>
                <w:color w:val="221A21"/>
                <w:w w:val="105"/>
                <w:sz w:val="17"/>
              </w:rPr>
              <w:t>catéter peritoneal que presente exudado, eritema, dolor, prurito y/o germen microbiano asociado.</w:t>
            </w:r>
          </w:p>
          <w:p>
            <w:pPr>
              <w:pStyle w:val="TableParagraph"/>
              <w:spacing w:line="249" w:lineRule="auto" w:before="2"/>
              <w:ind w:left="82" w:right="81"/>
              <w:jc w:val="both"/>
              <w:rPr>
                <w:sz w:val="17"/>
              </w:rPr>
            </w:pPr>
            <w:r>
              <w:rPr>
                <w:i/>
                <w:color w:val="221A21"/>
                <w:w w:val="105"/>
                <w:sz w:val="17"/>
                <w:u w:val="single" w:color="221A21"/>
              </w:rPr>
              <w:t>Operacional: </w:t>
            </w:r>
            <w:r>
              <w:rPr>
                <w:color w:val="221A21"/>
                <w:w w:val="105"/>
                <w:sz w:val="17"/>
              </w:rPr>
              <w:t>Eritema, exudado, dolor, prurito o germen microbiano localizado en sitio de salida del catéter peritoneal.</w:t>
            </w:r>
          </w:p>
        </w:tc>
        <w:tc>
          <w:tcPr>
            <w:tcW w:w="1362" w:type="dxa"/>
          </w:tcPr>
          <w:p>
            <w:pPr>
              <w:pStyle w:val="TableParagraph"/>
              <w:spacing w:line="249" w:lineRule="auto" w:before="4"/>
              <w:ind w:left="255" w:right="253" w:hanging="1"/>
              <w:rPr>
                <w:sz w:val="17"/>
              </w:rPr>
            </w:pPr>
            <w:r>
              <w:rPr>
                <w:color w:val="231F20"/>
                <w:w w:val="105"/>
                <w:sz w:val="17"/>
              </w:rPr>
              <w:t>Variable cualitativa </w:t>
            </w:r>
            <w:r>
              <w:rPr>
                <w:color w:val="231F20"/>
                <w:sz w:val="17"/>
              </w:rPr>
              <w:t>dicotómica</w:t>
            </w:r>
          </w:p>
        </w:tc>
        <w:tc>
          <w:tcPr>
            <w:tcW w:w="1701" w:type="dxa"/>
          </w:tcPr>
          <w:p>
            <w:pPr>
              <w:pStyle w:val="TableParagraph"/>
              <w:spacing w:line="249" w:lineRule="auto" w:before="4"/>
              <w:ind w:left="733" w:right="733"/>
              <w:rPr>
                <w:sz w:val="17"/>
              </w:rPr>
            </w:pPr>
            <w:r>
              <w:rPr>
                <w:color w:val="231F20"/>
                <w:w w:val="105"/>
                <w:sz w:val="17"/>
              </w:rPr>
              <w:t>Si </w:t>
            </w:r>
            <w:r>
              <w:rPr>
                <w:color w:val="231F20"/>
                <w:sz w:val="17"/>
              </w:rPr>
              <w:t>No</w:t>
            </w:r>
          </w:p>
        </w:tc>
      </w:tr>
      <w:tr>
        <w:trPr>
          <w:trHeight w:val="1830" w:hRule="exact"/>
        </w:trPr>
        <w:tc>
          <w:tcPr>
            <w:tcW w:w="1588" w:type="dxa"/>
          </w:tcPr>
          <w:p>
            <w:pPr>
              <w:pStyle w:val="TableParagraph"/>
              <w:spacing w:line="247" w:lineRule="auto" w:before="3"/>
              <w:ind w:left="89" w:right="86"/>
              <w:rPr>
                <w:sz w:val="17"/>
              </w:rPr>
            </w:pPr>
            <w:r>
              <w:rPr>
                <w:color w:val="231F20"/>
                <w:w w:val="105"/>
                <w:sz w:val="17"/>
              </w:rPr>
              <w:t>Muerte relaciona- da a peritonitis por diálisis peri- toneal</w:t>
            </w:r>
          </w:p>
        </w:tc>
        <w:tc>
          <w:tcPr>
            <w:tcW w:w="3630" w:type="dxa"/>
          </w:tcPr>
          <w:p>
            <w:pPr>
              <w:pStyle w:val="TableParagraph"/>
              <w:spacing w:line="249" w:lineRule="auto" w:before="3"/>
              <w:ind w:left="82" w:right="78"/>
              <w:jc w:val="both"/>
              <w:rPr>
                <w:sz w:val="17"/>
              </w:rPr>
            </w:pPr>
            <w:r>
              <w:rPr>
                <w:i/>
                <w:color w:val="231F20"/>
                <w:w w:val="105"/>
                <w:sz w:val="17"/>
                <w:u w:val="single" w:color="231F20"/>
              </w:rPr>
              <w:t>Conceptua</w:t>
            </w:r>
            <w:r>
              <w:rPr>
                <w:i/>
                <w:color w:val="231F20"/>
                <w:w w:val="105"/>
                <w:sz w:val="17"/>
              </w:rPr>
              <w:t>l</w:t>
            </w:r>
            <w:r>
              <w:rPr>
                <w:color w:val="231F20"/>
                <w:w w:val="105"/>
                <w:sz w:val="17"/>
              </w:rPr>
              <w:t>: Definido como la muerte de un paciente con peritonitis activa, o</w:t>
            </w:r>
            <w:r>
              <w:rPr>
                <w:color w:val="231F20"/>
                <w:spacing w:val="-22"/>
                <w:w w:val="105"/>
                <w:sz w:val="17"/>
              </w:rPr>
              <w:t> </w:t>
            </w:r>
            <w:r>
              <w:rPr>
                <w:color w:val="231F20"/>
                <w:w w:val="105"/>
                <w:sz w:val="17"/>
              </w:rPr>
              <w:t>ingresados con peritonitis, dentro de 2 semanas después del inicio del episodio de peritoni- tis.</w:t>
            </w:r>
          </w:p>
          <w:p>
            <w:pPr>
              <w:pStyle w:val="TableParagraph"/>
              <w:spacing w:line="249" w:lineRule="auto"/>
              <w:ind w:left="82" w:right="79"/>
              <w:jc w:val="both"/>
              <w:rPr>
                <w:sz w:val="17"/>
              </w:rPr>
            </w:pPr>
            <w:r>
              <w:rPr>
                <w:i/>
                <w:color w:val="231F20"/>
                <w:w w:val="105"/>
                <w:sz w:val="17"/>
                <w:u w:val="single" w:color="231F20"/>
              </w:rPr>
              <w:t>Operaciona</w:t>
            </w:r>
            <w:r>
              <w:rPr>
                <w:i/>
                <w:color w:val="231F20"/>
                <w:w w:val="105"/>
                <w:sz w:val="17"/>
              </w:rPr>
              <w:t>l</w:t>
            </w:r>
            <w:r>
              <w:rPr>
                <w:color w:val="231F20"/>
                <w:w w:val="105"/>
                <w:sz w:val="17"/>
              </w:rPr>
              <w:t>: Muerte del paciente</w:t>
            </w:r>
            <w:r>
              <w:rPr>
                <w:color w:val="231F20"/>
                <w:spacing w:val="-28"/>
                <w:w w:val="105"/>
                <w:sz w:val="17"/>
              </w:rPr>
              <w:t> </w:t>
            </w:r>
            <w:r>
              <w:rPr>
                <w:color w:val="231F20"/>
                <w:w w:val="105"/>
                <w:sz w:val="17"/>
              </w:rPr>
              <w:t>relaciona- da</w:t>
            </w:r>
            <w:r>
              <w:rPr>
                <w:color w:val="231F20"/>
                <w:spacing w:val="-8"/>
                <w:w w:val="105"/>
                <w:sz w:val="17"/>
              </w:rPr>
              <w:t> </w:t>
            </w:r>
            <w:r>
              <w:rPr>
                <w:color w:val="231F20"/>
                <w:w w:val="105"/>
                <w:sz w:val="17"/>
              </w:rPr>
              <w:t>a</w:t>
            </w:r>
            <w:r>
              <w:rPr>
                <w:color w:val="231F20"/>
                <w:spacing w:val="-8"/>
                <w:w w:val="105"/>
                <w:sz w:val="17"/>
              </w:rPr>
              <w:t> </w:t>
            </w:r>
            <w:r>
              <w:rPr>
                <w:color w:val="231F20"/>
                <w:w w:val="105"/>
                <w:sz w:val="17"/>
              </w:rPr>
              <w:t>peritonitis</w:t>
            </w:r>
            <w:r>
              <w:rPr>
                <w:color w:val="231F20"/>
                <w:spacing w:val="-8"/>
                <w:w w:val="105"/>
                <w:sz w:val="17"/>
              </w:rPr>
              <w:t> </w:t>
            </w:r>
            <w:r>
              <w:rPr>
                <w:color w:val="231F20"/>
                <w:w w:val="105"/>
                <w:sz w:val="17"/>
              </w:rPr>
              <w:t>asociada</w:t>
            </w:r>
            <w:r>
              <w:rPr>
                <w:color w:val="231F20"/>
                <w:spacing w:val="-12"/>
                <w:w w:val="105"/>
                <w:sz w:val="17"/>
              </w:rPr>
              <w:t> </w:t>
            </w:r>
            <w:r>
              <w:rPr>
                <w:color w:val="231F20"/>
                <w:w w:val="105"/>
                <w:sz w:val="17"/>
              </w:rPr>
              <w:t>a</w:t>
            </w:r>
            <w:r>
              <w:rPr>
                <w:color w:val="231F20"/>
                <w:spacing w:val="-8"/>
                <w:w w:val="105"/>
                <w:sz w:val="17"/>
              </w:rPr>
              <w:t> </w:t>
            </w:r>
            <w:r>
              <w:rPr>
                <w:color w:val="231F20"/>
                <w:w w:val="105"/>
                <w:sz w:val="17"/>
              </w:rPr>
              <w:t>diálisis</w:t>
            </w:r>
            <w:r>
              <w:rPr>
                <w:color w:val="231F20"/>
                <w:spacing w:val="-8"/>
                <w:w w:val="105"/>
                <w:sz w:val="17"/>
              </w:rPr>
              <w:t> </w:t>
            </w:r>
            <w:r>
              <w:rPr>
                <w:color w:val="231F20"/>
                <w:w w:val="105"/>
                <w:sz w:val="17"/>
              </w:rPr>
              <w:t>peritoneal dentro de 2 semanas de inicio cuadro clínico.</w:t>
            </w:r>
          </w:p>
        </w:tc>
        <w:tc>
          <w:tcPr>
            <w:tcW w:w="1362" w:type="dxa"/>
          </w:tcPr>
          <w:p>
            <w:pPr>
              <w:pStyle w:val="TableParagraph"/>
              <w:spacing w:line="249" w:lineRule="auto" w:before="3"/>
              <w:ind w:left="255" w:right="253" w:hanging="1"/>
              <w:rPr>
                <w:sz w:val="17"/>
              </w:rPr>
            </w:pPr>
            <w:r>
              <w:rPr>
                <w:color w:val="231F20"/>
                <w:w w:val="105"/>
                <w:sz w:val="17"/>
              </w:rPr>
              <w:t>Variable cualitativa </w:t>
            </w:r>
            <w:r>
              <w:rPr>
                <w:color w:val="231F20"/>
                <w:sz w:val="17"/>
              </w:rPr>
              <w:t>dicotómica</w:t>
            </w:r>
          </w:p>
        </w:tc>
        <w:tc>
          <w:tcPr>
            <w:tcW w:w="1701" w:type="dxa"/>
          </w:tcPr>
          <w:p>
            <w:pPr>
              <w:pStyle w:val="TableParagraph"/>
              <w:spacing w:line="249" w:lineRule="auto" w:before="3"/>
              <w:ind w:left="733" w:right="733"/>
              <w:rPr>
                <w:sz w:val="17"/>
              </w:rPr>
            </w:pPr>
            <w:r>
              <w:rPr>
                <w:color w:val="231F20"/>
                <w:w w:val="105"/>
                <w:sz w:val="17"/>
              </w:rPr>
              <w:t>Si </w:t>
            </w:r>
            <w:r>
              <w:rPr>
                <w:color w:val="231F20"/>
                <w:sz w:val="17"/>
              </w:rPr>
              <w:t>No</w:t>
            </w:r>
          </w:p>
        </w:tc>
      </w:tr>
    </w:tbl>
    <w:p>
      <w:pPr>
        <w:pStyle w:val="BodyText"/>
        <w:rPr>
          <w:b/>
          <w:sz w:val="20"/>
        </w:rPr>
      </w:pPr>
    </w:p>
    <w:p>
      <w:pPr>
        <w:pStyle w:val="BodyText"/>
        <w:rPr>
          <w:b/>
          <w:sz w:val="20"/>
        </w:rPr>
      </w:pPr>
    </w:p>
    <w:p>
      <w:pPr>
        <w:pStyle w:val="BodyText"/>
        <w:spacing w:before="10"/>
        <w:rPr>
          <w:b/>
          <w:sz w:val="29"/>
        </w:rPr>
      </w:pPr>
    </w:p>
    <w:p>
      <w:pPr>
        <w:spacing w:before="78"/>
        <w:ind w:left="865" w:right="0" w:firstLine="0"/>
        <w:jc w:val="both"/>
        <w:rPr>
          <w:b/>
          <w:sz w:val="19"/>
        </w:rPr>
      </w:pPr>
      <w:r>
        <w:rPr>
          <w:b/>
          <w:color w:val="231F20"/>
          <w:sz w:val="19"/>
        </w:rPr>
        <w:t>Universo de Trabajo.</w:t>
      </w:r>
    </w:p>
    <w:p>
      <w:pPr>
        <w:pStyle w:val="BodyText"/>
        <w:spacing w:before="6"/>
        <w:rPr>
          <w:b/>
        </w:rPr>
      </w:pPr>
    </w:p>
    <w:p>
      <w:pPr>
        <w:pStyle w:val="BodyText"/>
        <w:spacing w:line="278" w:lineRule="auto"/>
        <w:ind w:left="865" w:right="864"/>
        <w:jc w:val="both"/>
      </w:pPr>
      <w:r>
        <w:rPr>
          <w:color w:val="231F20"/>
        </w:rPr>
        <w:t>Se recabará la información a través de los expedientes clínicos de los pacientes hospitalizados del 1º de enero 2011 al 31 de diciembre del 2011 que hayan ingresado o egresado de Medicina Interna en el Hospital General de Tlalnepantla, por peritonitis asociada a diálisis peritoneal.</w:t>
      </w:r>
    </w:p>
    <w:p>
      <w:pPr>
        <w:spacing w:after="0" w:line="278"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Heading1"/>
        <w:spacing w:before="77"/>
        <w:ind w:right="858"/>
      </w:pPr>
      <w:r>
        <w:rPr>
          <w:color w:val="231F20"/>
        </w:rPr>
        <w:t>Tamaño de la Muestra</w:t>
      </w:r>
    </w:p>
    <w:p>
      <w:pPr>
        <w:pStyle w:val="BodyText"/>
        <w:spacing w:before="1"/>
        <w:rPr>
          <w:b/>
          <w:sz w:val="25"/>
        </w:rPr>
      </w:pPr>
    </w:p>
    <w:p>
      <w:pPr>
        <w:pStyle w:val="BodyText"/>
        <w:ind w:left="865" w:right="858"/>
      </w:pPr>
      <w:r>
        <w:rPr>
          <w:color w:val="231F20"/>
        </w:rPr>
        <w:t>Para la recolección se utilizara el muestreo no probabilístico de tipo consecutivo</w:t>
      </w:r>
    </w:p>
    <w:p>
      <w:pPr>
        <w:pStyle w:val="BodyText"/>
        <w:rPr>
          <w:sz w:val="18"/>
        </w:rPr>
      </w:pPr>
    </w:p>
    <w:p>
      <w:pPr>
        <w:pStyle w:val="BodyText"/>
        <w:rPr>
          <w:sz w:val="18"/>
        </w:rPr>
      </w:pPr>
    </w:p>
    <w:p>
      <w:pPr>
        <w:pStyle w:val="BodyText"/>
        <w:spacing w:before="7"/>
        <w:rPr>
          <w:sz w:val="14"/>
        </w:rPr>
      </w:pPr>
    </w:p>
    <w:p>
      <w:pPr>
        <w:pStyle w:val="Heading1"/>
        <w:ind w:right="858"/>
      </w:pPr>
      <w:r>
        <w:rPr>
          <w:color w:val="231F20"/>
        </w:rPr>
        <w:t>Criterios de Inclusión:</w:t>
      </w:r>
    </w:p>
    <w:p>
      <w:pPr>
        <w:pStyle w:val="BodyText"/>
        <w:spacing w:before="9"/>
        <w:rPr>
          <w:b/>
          <w:sz w:val="14"/>
        </w:rPr>
      </w:pPr>
    </w:p>
    <w:p>
      <w:pPr>
        <w:pStyle w:val="BodyText"/>
        <w:spacing w:line="276" w:lineRule="auto" w:before="1"/>
        <w:ind w:left="1435" w:right="858" w:hanging="285"/>
      </w:pPr>
      <w:r>
        <w:rPr/>
        <w:pict>
          <v:group style="position:absolute;margin-left:143.584pt;margin-top:51.530998pt;width:8.85pt;height:26.8pt;mso-position-horizontal-relative:page;mso-position-vertical-relative:paragraph;z-index:1096" coordorigin="2872,1031" coordsize="177,536">
            <v:shape style="position:absolute;left:2872;top:1031;width:177;height:236" type="#_x0000_t75" stroked="false">
              <v:imagedata r:id="rId7" o:title=""/>
            </v:shape>
            <v:shape style="position:absolute;left:2872;top:1330;width:177;height:236" type="#_x0000_t75" stroked="false">
              <v:imagedata r:id="rId7" o:title=""/>
            </v:shape>
            <w10:wrap type="none"/>
          </v:group>
        </w:pict>
      </w:r>
      <w:r>
        <w:rPr>
          <w:position w:val="-3"/>
        </w:rPr>
        <w:drawing>
          <wp:inline distT="0" distB="0" distL="0" distR="0">
            <wp:extent cx="112166" cy="149961"/>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112166" cy="149961"/>
                    </a:xfrm>
                    <a:prstGeom prst="rect">
                      <a:avLst/>
                    </a:prstGeom>
                  </pic:spPr>
                </pic:pic>
              </a:graphicData>
            </a:graphic>
          </wp:inline>
        </w:drawing>
      </w:r>
      <w:r>
        <w:rPr>
          <w:position w:val="-3"/>
        </w:rPr>
      </w:r>
      <w:r>
        <w:rPr>
          <w:rFonts w:ascii="Times New Roman" w:hAnsi="Times New Roman"/>
          <w:sz w:val="20"/>
        </w:rPr>
        <w:t> </w:t>
      </w:r>
      <w:r>
        <w:rPr>
          <w:color w:val="231F20"/>
        </w:rPr>
        <w:t>Expedientes clínicos de pacientes hospitalizados del 1º de enero 2011 al 31 de diciembre del 2011 que hayan ingresado o egresado de Medicina Interna en el Hospital General de Tlalnepantla, por peritonitis asociada a diálisis peritoneal.</w:t>
      </w:r>
    </w:p>
    <w:p>
      <w:pPr>
        <w:pStyle w:val="BodyText"/>
        <w:spacing w:line="328" w:lineRule="auto" w:before="17"/>
        <w:ind w:left="1435" w:right="2619"/>
      </w:pPr>
      <w:r>
        <w:rPr>
          <w:color w:val="231F20"/>
        </w:rPr>
        <w:t>Expedientes clínicos de pacientes en diálisis peritoneal Ambos géneros</w:t>
      </w:r>
    </w:p>
    <w:p>
      <w:pPr>
        <w:pStyle w:val="BodyText"/>
        <w:spacing w:before="13"/>
        <w:ind w:left="1151" w:right="858"/>
      </w:pPr>
      <w:r>
        <w:rPr>
          <w:position w:val="-3"/>
        </w:rPr>
        <w:drawing>
          <wp:inline distT="0" distB="0" distL="0" distR="0">
            <wp:extent cx="112166" cy="149961"/>
            <wp:effectExtent l="0" t="0" r="0" b="0"/>
            <wp:docPr id="5" name="image2.png" descr=""/>
            <wp:cNvGraphicFramePr>
              <a:graphicFrameLocks noChangeAspect="1"/>
            </wp:cNvGraphicFramePr>
            <a:graphic>
              <a:graphicData uri="http://schemas.openxmlformats.org/drawingml/2006/picture">
                <pic:pic>
                  <pic:nvPicPr>
                    <pic:cNvPr id="6" name="image2.png"/>
                    <pic:cNvPicPr/>
                  </pic:nvPicPr>
                  <pic:blipFill>
                    <a:blip r:embed="rId7" cstate="print"/>
                    <a:stretch>
                      <a:fillRect/>
                    </a:stretch>
                  </pic:blipFill>
                  <pic:spPr>
                    <a:xfrm>
                      <a:off x="0" y="0"/>
                      <a:ext cx="112166" cy="149961"/>
                    </a:xfrm>
                    <a:prstGeom prst="rect">
                      <a:avLst/>
                    </a:prstGeom>
                  </pic:spPr>
                </pic:pic>
              </a:graphicData>
            </a:graphic>
          </wp:inline>
        </w:drawing>
      </w:r>
      <w:r>
        <w:rPr>
          <w:position w:val="-3"/>
        </w:rPr>
      </w:r>
      <w:r>
        <w:rPr>
          <w:rFonts w:ascii="Times New Roman"/>
          <w:sz w:val="20"/>
        </w:rPr>
        <w:t> </w:t>
      </w:r>
      <w:r>
        <w:rPr>
          <w:color w:val="231F20"/>
        </w:rPr>
        <w:t>De cualquier</w:t>
      </w:r>
      <w:r>
        <w:rPr>
          <w:color w:val="231F20"/>
          <w:spacing w:val="13"/>
        </w:rPr>
        <w:t> </w:t>
      </w:r>
      <w:r>
        <w:rPr>
          <w:color w:val="231F20"/>
        </w:rPr>
        <w:t>edad</w:t>
      </w:r>
    </w:p>
    <w:p>
      <w:pPr>
        <w:pStyle w:val="BodyText"/>
        <w:rPr>
          <w:sz w:val="24"/>
        </w:rPr>
      </w:pPr>
    </w:p>
    <w:p>
      <w:pPr>
        <w:pStyle w:val="Heading1"/>
        <w:spacing w:before="166"/>
        <w:ind w:right="858"/>
      </w:pPr>
      <w:r>
        <w:rPr>
          <w:color w:val="231F20"/>
        </w:rPr>
        <w:t>Criterios de Exclusión</w:t>
      </w:r>
    </w:p>
    <w:p>
      <w:pPr>
        <w:pStyle w:val="BodyText"/>
        <w:spacing w:before="61"/>
        <w:ind w:left="1318" w:right="952" w:hanging="227"/>
      </w:pPr>
      <w:r>
        <w:rPr>
          <w:position w:val="-3"/>
        </w:rPr>
        <w:drawing>
          <wp:inline distT="0" distB="0" distL="0" distR="0">
            <wp:extent cx="112166" cy="149961"/>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8" cstate="print"/>
                    <a:stretch>
                      <a:fillRect/>
                    </a:stretch>
                  </pic:blipFill>
                  <pic:spPr>
                    <a:xfrm>
                      <a:off x="0" y="0"/>
                      <a:ext cx="112166" cy="149961"/>
                    </a:xfrm>
                    <a:prstGeom prst="rect">
                      <a:avLst/>
                    </a:prstGeom>
                  </pic:spPr>
                </pic:pic>
              </a:graphicData>
            </a:graphic>
          </wp:inline>
        </w:drawing>
      </w:r>
      <w:r>
        <w:rPr>
          <w:position w:val="-3"/>
        </w:rPr>
      </w:r>
      <w:r>
        <w:rPr>
          <w:color w:val="231F20"/>
        </w:rPr>
        <w:t>Expedientes clínicos con diagnósticos no conclusos para peritonitis asociada   a diálisis</w:t>
      </w:r>
      <w:r>
        <w:rPr>
          <w:color w:val="231F20"/>
          <w:spacing w:val="11"/>
        </w:rPr>
        <w:t> </w:t>
      </w:r>
      <w:r>
        <w:rPr>
          <w:color w:val="231F20"/>
        </w:rPr>
        <w:t>peritoneal</w:t>
      </w:r>
    </w:p>
    <w:p>
      <w:pPr>
        <w:pStyle w:val="BodyText"/>
        <w:spacing w:before="57"/>
        <w:ind w:left="1092" w:right="858"/>
      </w:pPr>
      <w:r>
        <w:rPr>
          <w:position w:val="-3"/>
        </w:rPr>
        <w:drawing>
          <wp:inline distT="0" distB="0" distL="0" distR="0">
            <wp:extent cx="112166" cy="149961"/>
            <wp:effectExtent l="0" t="0" r="0" b="0"/>
            <wp:docPr id="9" name="image3.png" descr=""/>
            <wp:cNvGraphicFramePr>
              <a:graphicFrameLocks noChangeAspect="1"/>
            </wp:cNvGraphicFramePr>
            <a:graphic>
              <a:graphicData uri="http://schemas.openxmlformats.org/drawingml/2006/picture">
                <pic:pic>
                  <pic:nvPicPr>
                    <pic:cNvPr id="10" name="image3.png"/>
                    <pic:cNvPicPr/>
                  </pic:nvPicPr>
                  <pic:blipFill>
                    <a:blip r:embed="rId8" cstate="print"/>
                    <a:stretch>
                      <a:fillRect/>
                    </a:stretch>
                  </pic:blipFill>
                  <pic:spPr>
                    <a:xfrm>
                      <a:off x="0" y="0"/>
                      <a:ext cx="112166" cy="149961"/>
                    </a:xfrm>
                    <a:prstGeom prst="rect">
                      <a:avLst/>
                    </a:prstGeom>
                  </pic:spPr>
                </pic:pic>
              </a:graphicData>
            </a:graphic>
          </wp:inline>
        </w:drawing>
      </w:r>
      <w:r>
        <w:rPr>
          <w:position w:val="-3"/>
        </w:rPr>
      </w:r>
      <w:r>
        <w:rPr>
          <w:color w:val="231F20"/>
        </w:rPr>
        <w:t>Ausencia de</w:t>
      </w:r>
      <w:r>
        <w:rPr>
          <w:color w:val="231F20"/>
          <w:spacing w:val="11"/>
        </w:rPr>
        <w:t> </w:t>
      </w:r>
      <w:r>
        <w:rPr>
          <w:color w:val="231F20"/>
        </w:rPr>
        <w:t>expediente</w:t>
      </w:r>
    </w:p>
    <w:p>
      <w:pPr>
        <w:pStyle w:val="BodyText"/>
        <w:rPr>
          <w:sz w:val="29"/>
        </w:rPr>
      </w:pPr>
    </w:p>
    <w:p>
      <w:pPr>
        <w:pStyle w:val="Heading1"/>
        <w:spacing w:before="1"/>
        <w:ind w:right="858"/>
      </w:pPr>
      <w:r>
        <w:rPr>
          <w:color w:val="231F20"/>
        </w:rPr>
        <w:t>Criterios de Eliminación</w:t>
      </w:r>
    </w:p>
    <w:p>
      <w:pPr>
        <w:pStyle w:val="BodyText"/>
        <w:spacing w:line="360" w:lineRule="auto" w:before="62"/>
        <w:ind w:left="1441" w:right="863" w:hanging="288"/>
        <w:jc w:val="both"/>
      </w:pPr>
      <w:r>
        <w:rPr>
          <w:position w:val="-3"/>
        </w:rPr>
        <w:drawing>
          <wp:inline distT="0" distB="0" distL="0" distR="0">
            <wp:extent cx="112166" cy="149961"/>
            <wp:effectExtent l="0" t="0" r="0" b="0"/>
            <wp:docPr id="11" name="image2.png" descr=""/>
            <wp:cNvGraphicFramePr>
              <a:graphicFrameLocks noChangeAspect="1"/>
            </wp:cNvGraphicFramePr>
            <a:graphic>
              <a:graphicData uri="http://schemas.openxmlformats.org/drawingml/2006/picture">
                <pic:pic>
                  <pic:nvPicPr>
                    <pic:cNvPr id="12" name="image2.png"/>
                    <pic:cNvPicPr/>
                  </pic:nvPicPr>
                  <pic:blipFill>
                    <a:blip r:embed="rId7" cstate="print"/>
                    <a:stretch>
                      <a:fillRect/>
                    </a:stretch>
                  </pic:blipFill>
                  <pic:spPr>
                    <a:xfrm>
                      <a:off x="0" y="0"/>
                      <a:ext cx="112166" cy="149961"/>
                    </a:xfrm>
                    <a:prstGeom prst="rect">
                      <a:avLst/>
                    </a:prstGeom>
                  </pic:spPr>
                </pic:pic>
              </a:graphicData>
            </a:graphic>
          </wp:inline>
        </w:drawing>
      </w:r>
      <w:r>
        <w:rPr>
          <w:position w:val="-3"/>
        </w:rPr>
      </w:r>
      <w:r>
        <w:rPr>
          <w:rFonts w:ascii="Times New Roman" w:hAnsi="Times New Roman"/>
          <w:sz w:val="20"/>
        </w:rPr>
        <w:t> </w:t>
      </w:r>
      <w:r>
        <w:rPr>
          <w:color w:val="231F20"/>
        </w:rPr>
        <w:t>Expedientes clínicos con diagnósticos de peritonitis química, postraumática, bacteriana espontanea, posquirúrgica, asociada a dispositivo diferente al catéter de diálisis peritoneal del 1º de enero 2011 al 31 de diciembre del 2011.</w:t>
      </w:r>
    </w:p>
    <w:p>
      <w:pPr>
        <w:spacing w:after="0" w:line="360"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Heading1"/>
        <w:spacing w:before="78"/>
        <w:ind w:right="858"/>
        <w:rPr>
          <w:sz w:val="16"/>
        </w:rPr>
      </w:pPr>
      <w:r>
        <w:rPr>
          <w:color w:val="231F20"/>
        </w:rPr>
        <w:t>Técnica e instrumento de recolección de datos </w:t>
      </w:r>
      <w:r>
        <w:rPr>
          <w:color w:val="231F20"/>
          <w:sz w:val="16"/>
        </w:rPr>
        <w:t>(Anexo 1)</w:t>
      </w:r>
    </w:p>
    <w:p>
      <w:pPr>
        <w:pStyle w:val="BodyText"/>
        <w:spacing w:before="6"/>
        <w:rPr>
          <w:b/>
          <w:sz w:val="21"/>
        </w:rPr>
      </w:pPr>
    </w:p>
    <w:p>
      <w:pPr>
        <w:pStyle w:val="ListParagraph"/>
        <w:numPr>
          <w:ilvl w:val="1"/>
          <w:numId w:val="9"/>
        </w:numPr>
        <w:tabs>
          <w:tab w:pos="1442" w:val="left" w:leader="none"/>
        </w:tabs>
        <w:spacing w:line="242" w:lineRule="auto" w:before="0" w:after="0"/>
        <w:ind w:left="1441" w:right="864" w:hanging="288"/>
        <w:jc w:val="both"/>
        <w:rPr>
          <w:sz w:val="19"/>
        </w:rPr>
      </w:pPr>
      <w:r>
        <w:rPr>
          <w:color w:val="231F20"/>
          <w:sz w:val="19"/>
        </w:rPr>
        <w:t>Los pacientes con peritonitis asociada a diálisis peritoneal serán obtenidos de expedientes clínicos del Hospital General de</w:t>
      </w:r>
      <w:r>
        <w:rPr>
          <w:color w:val="231F20"/>
          <w:spacing w:val="37"/>
          <w:sz w:val="19"/>
        </w:rPr>
        <w:t> </w:t>
      </w:r>
      <w:r>
        <w:rPr>
          <w:color w:val="231F20"/>
          <w:sz w:val="19"/>
        </w:rPr>
        <w:t>Tlalnepantla.</w:t>
      </w:r>
    </w:p>
    <w:p>
      <w:pPr>
        <w:pStyle w:val="BodyText"/>
        <w:spacing w:before="2"/>
      </w:pPr>
    </w:p>
    <w:p>
      <w:pPr>
        <w:pStyle w:val="ListParagraph"/>
        <w:numPr>
          <w:ilvl w:val="1"/>
          <w:numId w:val="9"/>
        </w:numPr>
        <w:tabs>
          <w:tab w:pos="1442" w:val="left" w:leader="none"/>
        </w:tabs>
        <w:spacing w:line="242" w:lineRule="auto" w:before="0" w:after="0"/>
        <w:ind w:left="1441" w:right="862" w:hanging="288"/>
        <w:jc w:val="both"/>
        <w:rPr>
          <w:sz w:val="19"/>
        </w:rPr>
      </w:pPr>
      <w:r>
        <w:rPr>
          <w:color w:val="231F20"/>
          <w:sz w:val="19"/>
        </w:rPr>
        <w:t>Se obtendrá el expediente clínico.de pacientes en riesgo de padecer peritonitis asociada a diálisis peritoneal, (entendiendo como riesgo a aquel paciente con catéter peritoneal en</w:t>
      </w:r>
      <w:r>
        <w:rPr>
          <w:color w:val="231F20"/>
          <w:spacing w:val="21"/>
          <w:sz w:val="19"/>
        </w:rPr>
        <w:t> </w:t>
      </w:r>
      <w:r>
        <w:rPr>
          <w:color w:val="231F20"/>
          <w:sz w:val="19"/>
        </w:rPr>
        <w:t>diálisis)</w:t>
      </w:r>
    </w:p>
    <w:p>
      <w:pPr>
        <w:pStyle w:val="BodyText"/>
        <w:spacing w:before="2"/>
      </w:pPr>
    </w:p>
    <w:p>
      <w:pPr>
        <w:pStyle w:val="ListParagraph"/>
        <w:numPr>
          <w:ilvl w:val="1"/>
          <w:numId w:val="9"/>
        </w:numPr>
        <w:tabs>
          <w:tab w:pos="1442" w:val="left" w:leader="none"/>
        </w:tabs>
        <w:spacing w:line="242" w:lineRule="auto" w:before="0" w:after="0"/>
        <w:ind w:left="1441" w:right="863" w:hanging="288"/>
        <w:jc w:val="both"/>
        <w:rPr>
          <w:sz w:val="19"/>
        </w:rPr>
      </w:pPr>
      <w:r>
        <w:rPr>
          <w:color w:val="231F20"/>
          <w:sz w:val="19"/>
        </w:rPr>
        <w:t>Se recabará el número de expediente clínico, a través de la libreta de ingresos y egresos generales, del servicio de Medicina Interna, para los diagnósticos de enfermedad renal crónica en tratamiento de diálisis peritoneal y peritonitis asociada a diálisis peritoneal en el tiempo comprendido entre 1º de enero 2011 al 31 de diciembre</w:t>
      </w:r>
      <w:r>
        <w:rPr>
          <w:color w:val="231F20"/>
          <w:spacing w:val="28"/>
          <w:sz w:val="19"/>
        </w:rPr>
        <w:t> </w:t>
      </w:r>
      <w:r>
        <w:rPr>
          <w:color w:val="231F20"/>
          <w:sz w:val="19"/>
        </w:rPr>
        <w:t>2011.</w:t>
      </w:r>
    </w:p>
    <w:p>
      <w:pPr>
        <w:pStyle w:val="BodyText"/>
        <w:spacing w:before="2"/>
      </w:pPr>
    </w:p>
    <w:p>
      <w:pPr>
        <w:pStyle w:val="ListParagraph"/>
        <w:numPr>
          <w:ilvl w:val="1"/>
          <w:numId w:val="9"/>
        </w:numPr>
        <w:tabs>
          <w:tab w:pos="1442" w:val="left" w:leader="none"/>
        </w:tabs>
        <w:spacing w:line="242" w:lineRule="auto" w:before="0" w:after="0"/>
        <w:ind w:left="1441" w:right="862" w:hanging="288"/>
        <w:jc w:val="both"/>
        <w:rPr>
          <w:sz w:val="19"/>
        </w:rPr>
      </w:pPr>
      <w:r>
        <w:rPr>
          <w:color w:val="231F20"/>
          <w:sz w:val="19"/>
        </w:rPr>
        <w:t>Se recabará el número de expediente clínico, a través de la libreta de ingresos y egresos de Diálisis Peritoneal del servicio de Medicina Interna, para los diagnósticos de enfermedad renal crónica en tratamiento de diálisis peritoneal y peritonitis asociada a diálisis peritoneal en el tiempo comprendido entre 1º de enero 2011 al 31 de diciembre</w:t>
      </w:r>
      <w:r>
        <w:rPr>
          <w:color w:val="231F20"/>
          <w:spacing w:val="28"/>
          <w:sz w:val="19"/>
        </w:rPr>
        <w:t> </w:t>
      </w:r>
      <w:r>
        <w:rPr>
          <w:color w:val="231F20"/>
          <w:sz w:val="19"/>
        </w:rPr>
        <w:t>2011.</w:t>
      </w:r>
    </w:p>
    <w:p>
      <w:pPr>
        <w:pStyle w:val="BodyText"/>
        <w:spacing w:before="2"/>
      </w:pPr>
    </w:p>
    <w:p>
      <w:pPr>
        <w:pStyle w:val="ListParagraph"/>
        <w:numPr>
          <w:ilvl w:val="1"/>
          <w:numId w:val="9"/>
        </w:numPr>
        <w:tabs>
          <w:tab w:pos="1442" w:val="left" w:leader="none"/>
        </w:tabs>
        <w:spacing w:line="242" w:lineRule="auto" w:before="0" w:after="0"/>
        <w:ind w:left="1441" w:right="866" w:hanging="288"/>
        <w:jc w:val="both"/>
        <w:rPr>
          <w:sz w:val="19"/>
        </w:rPr>
      </w:pPr>
      <w:r>
        <w:rPr>
          <w:color w:val="231F20"/>
          <w:sz w:val="19"/>
        </w:rPr>
        <w:t>Se recopilarán los expedientes clínicos de los pacientes que hayan sido localizados en las libretas comentadas, en el tiempo comprendido del 1º de enero 2011 al 31 de diciembre 2011, con los diagnósticos de ingreso o egreso de peritonitis asociada a diálisis</w:t>
      </w:r>
      <w:r>
        <w:rPr>
          <w:color w:val="231F20"/>
          <w:spacing w:val="23"/>
          <w:sz w:val="19"/>
        </w:rPr>
        <w:t> </w:t>
      </w:r>
      <w:r>
        <w:rPr>
          <w:color w:val="231F20"/>
          <w:sz w:val="19"/>
        </w:rPr>
        <w:t>peritoneal.</w:t>
      </w:r>
    </w:p>
    <w:p>
      <w:pPr>
        <w:pStyle w:val="BodyText"/>
        <w:spacing w:before="2"/>
      </w:pPr>
    </w:p>
    <w:p>
      <w:pPr>
        <w:pStyle w:val="ListParagraph"/>
        <w:numPr>
          <w:ilvl w:val="1"/>
          <w:numId w:val="9"/>
        </w:numPr>
        <w:tabs>
          <w:tab w:pos="1442" w:val="left" w:leader="none"/>
        </w:tabs>
        <w:spacing w:line="242" w:lineRule="auto" w:before="0" w:after="0"/>
        <w:ind w:left="1441" w:right="861" w:hanging="288"/>
        <w:jc w:val="both"/>
        <w:rPr>
          <w:sz w:val="19"/>
        </w:rPr>
      </w:pPr>
      <w:r>
        <w:rPr>
          <w:color w:val="231F20"/>
          <w:sz w:val="19"/>
        </w:rPr>
        <w:t>Los expedientes clínicos serán tomados del archivo clínico del Hospital General de Tlalnepantla, con previa autorización de la Dirección, Comité de ética, servicio de Epidemiologia/Estadística médica y Enseñanza e Investigación médica para su</w:t>
      </w:r>
      <w:r>
        <w:rPr>
          <w:color w:val="231F20"/>
          <w:spacing w:val="23"/>
          <w:sz w:val="19"/>
        </w:rPr>
        <w:t> </w:t>
      </w:r>
      <w:r>
        <w:rPr>
          <w:color w:val="231F20"/>
          <w:sz w:val="19"/>
        </w:rPr>
        <w:t>revisión.</w:t>
      </w:r>
    </w:p>
    <w:p>
      <w:pPr>
        <w:pStyle w:val="ListParagraph"/>
        <w:numPr>
          <w:ilvl w:val="1"/>
          <w:numId w:val="9"/>
        </w:numPr>
        <w:tabs>
          <w:tab w:pos="1442" w:val="left" w:leader="none"/>
        </w:tabs>
        <w:spacing w:line="490" w:lineRule="exact" w:before="7" w:after="0"/>
        <w:ind w:left="1729" w:right="899" w:hanging="576"/>
        <w:jc w:val="left"/>
        <w:rPr>
          <w:sz w:val="19"/>
        </w:rPr>
      </w:pPr>
      <w:r>
        <w:rPr>
          <w:color w:val="231F20"/>
          <w:sz w:val="19"/>
        </w:rPr>
        <w:t>De todos los expedientes clínicos serán recabados la siguiente información: Número de</w:t>
      </w:r>
      <w:r>
        <w:rPr>
          <w:color w:val="231F20"/>
          <w:spacing w:val="12"/>
          <w:sz w:val="19"/>
        </w:rPr>
        <w:t> </w:t>
      </w:r>
      <w:r>
        <w:rPr>
          <w:color w:val="231F20"/>
          <w:sz w:val="19"/>
        </w:rPr>
        <w:t>expediente.</w:t>
      </w:r>
    </w:p>
    <w:p>
      <w:pPr>
        <w:pStyle w:val="BodyText"/>
        <w:spacing w:line="188" w:lineRule="exact"/>
        <w:ind w:left="1729" w:right="858"/>
      </w:pPr>
      <w:r>
        <w:rPr>
          <w:color w:val="231F20"/>
        </w:rPr>
        <w:t>Nombre del paciente.</w:t>
      </w:r>
    </w:p>
    <w:p>
      <w:pPr>
        <w:pStyle w:val="BodyText"/>
        <w:spacing w:before="26"/>
        <w:ind w:left="1729" w:right="858"/>
      </w:pPr>
      <w:r>
        <w:rPr>
          <w:color w:val="231F20"/>
        </w:rPr>
        <w:t>Género del paciente.</w:t>
      </w:r>
    </w:p>
    <w:p>
      <w:pPr>
        <w:pStyle w:val="BodyText"/>
        <w:spacing w:line="242" w:lineRule="auto" w:before="27"/>
        <w:ind w:left="1729" w:right="858"/>
      </w:pPr>
      <w:r>
        <w:rPr>
          <w:color w:val="231F20"/>
        </w:rPr>
        <w:t>Fecha del diagnóstico de peritonitis asociada a diálisis peritoneal y número de peritonitis al año.</w:t>
      </w:r>
    </w:p>
    <w:p>
      <w:pPr>
        <w:pStyle w:val="BodyText"/>
        <w:spacing w:line="268" w:lineRule="auto" w:before="23"/>
        <w:ind w:left="1729" w:right="4175"/>
      </w:pPr>
      <w:r>
        <w:rPr>
          <w:color w:val="231F20"/>
        </w:rPr>
        <w:t>Agente etiológico identificado. Días hospitalización.</w:t>
      </w:r>
    </w:p>
    <w:p>
      <w:pPr>
        <w:pStyle w:val="BodyText"/>
        <w:ind w:left="1729" w:right="858"/>
      </w:pPr>
      <w:r>
        <w:rPr>
          <w:color w:val="231F20"/>
        </w:rPr>
        <w:t>Asociación de disfunción de catéter peritoneal y/o  muerte del paciente.</w:t>
      </w:r>
    </w:p>
    <w:p>
      <w:pPr>
        <w:pStyle w:val="BodyText"/>
        <w:spacing w:before="4"/>
        <w:rPr>
          <w:sz w:val="21"/>
        </w:rPr>
      </w:pPr>
    </w:p>
    <w:p>
      <w:pPr>
        <w:pStyle w:val="ListParagraph"/>
        <w:numPr>
          <w:ilvl w:val="1"/>
          <w:numId w:val="9"/>
        </w:numPr>
        <w:tabs>
          <w:tab w:pos="1442" w:val="left" w:leader="none"/>
        </w:tabs>
        <w:spacing w:line="240" w:lineRule="auto" w:before="0" w:after="0"/>
        <w:ind w:left="1441" w:right="0" w:hanging="288"/>
        <w:jc w:val="left"/>
        <w:rPr>
          <w:sz w:val="19"/>
        </w:rPr>
      </w:pPr>
      <w:r>
        <w:rPr>
          <w:color w:val="231F20"/>
          <w:sz w:val="19"/>
        </w:rPr>
        <w:t>Se anexará la información recabada en formato anexo No.</w:t>
      </w:r>
      <w:r>
        <w:rPr>
          <w:color w:val="231F20"/>
          <w:spacing w:val="33"/>
          <w:sz w:val="19"/>
        </w:rPr>
        <w:t> </w:t>
      </w:r>
      <w:r>
        <w:rPr>
          <w:color w:val="231F20"/>
          <w:sz w:val="19"/>
        </w:rPr>
        <w:t>1</w:t>
      </w:r>
    </w:p>
    <w:p>
      <w:pPr>
        <w:spacing w:after="0" w:line="240" w:lineRule="auto"/>
        <w:jc w:val="left"/>
        <w:rPr>
          <w:sz w:val="19"/>
        </w:rPr>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pStyle w:val="Heading1"/>
        <w:spacing w:before="78"/>
        <w:ind w:right="858"/>
      </w:pPr>
      <w:r>
        <w:rPr>
          <w:color w:val="231F20"/>
        </w:rPr>
        <w:t>Desarrollo del proyecto</w:t>
      </w:r>
    </w:p>
    <w:p>
      <w:pPr>
        <w:pStyle w:val="BodyText"/>
        <w:rPr>
          <w:b/>
          <w:sz w:val="25"/>
        </w:rPr>
      </w:pPr>
    </w:p>
    <w:p>
      <w:pPr>
        <w:pStyle w:val="ListParagraph"/>
        <w:numPr>
          <w:ilvl w:val="0"/>
          <w:numId w:val="10"/>
        </w:numPr>
        <w:tabs>
          <w:tab w:pos="1442" w:val="left" w:leader="none"/>
        </w:tabs>
        <w:spacing w:line="242" w:lineRule="auto" w:before="1" w:after="0"/>
        <w:ind w:left="1441" w:right="864" w:hanging="288"/>
        <w:jc w:val="both"/>
        <w:rPr>
          <w:sz w:val="19"/>
        </w:rPr>
      </w:pPr>
      <w:r>
        <w:rPr>
          <w:color w:val="231F20"/>
          <w:sz w:val="19"/>
        </w:rPr>
        <w:t>La siguiente investigación se realizará previa autorización de la Dirección, Comité de ética, servicio de Epidemiologia/Estadística y Enseñanza e Investigación médica del Hospital General de Tlalnepantla y con el apoyo   de la Jefatura y personal de la división de Medicina</w:t>
      </w:r>
      <w:r>
        <w:rPr>
          <w:color w:val="231F20"/>
          <w:spacing w:val="29"/>
          <w:sz w:val="19"/>
        </w:rPr>
        <w:t> </w:t>
      </w:r>
      <w:r>
        <w:rPr>
          <w:color w:val="231F20"/>
          <w:sz w:val="19"/>
        </w:rPr>
        <w:t>Interna.</w:t>
      </w:r>
    </w:p>
    <w:p>
      <w:pPr>
        <w:pStyle w:val="BodyText"/>
        <w:spacing w:before="4"/>
      </w:pPr>
    </w:p>
    <w:p>
      <w:pPr>
        <w:pStyle w:val="ListParagraph"/>
        <w:numPr>
          <w:ilvl w:val="0"/>
          <w:numId w:val="10"/>
        </w:numPr>
        <w:tabs>
          <w:tab w:pos="1442" w:val="left" w:leader="none"/>
        </w:tabs>
        <w:spacing w:line="278" w:lineRule="auto" w:before="0" w:after="0"/>
        <w:ind w:left="1441" w:right="862" w:hanging="288"/>
        <w:jc w:val="both"/>
        <w:rPr>
          <w:sz w:val="19"/>
        </w:rPr>
      </w:pPr>
      <w:r>
        <w:rPr>
          <w:color w:val="231F20"/>
          <w:sz w:val="19"/>
        </w:rPr>
        <w:t>Se iniciará la recolección de datos (números de expedientes) a partir de las libretas de ingresos-egresos generales, así como la libreta de diálisis peritoneal en Medicina Interna con el diagnóstico de enfermedad renal crónica en tratamiento sustitutivo con diálisis peritoneal y  peritonitis asociada a diálisis peritoneal, comprendido en el tiempo de 1º de enero  2011 al 31 de    diciembre</w:t>
      </w:r>
      <w:r>
        <w:rPr>
          <w:color w:val="231F20"/>
          <w:spacing w:val="20"/>
          <w:sz w:val="19"/>
        </w:rPr>
        <w:t> </w:t>
      </w:r>
      <w:r>
        <w:rPr>
          <w:color w:val="231F20"/>
          <w:sz w:val="19"/>
        </w:rPr>
        <w:t>2011.</w:t>
      </w:r>
    </w:p>
    <w:p>
      <w:pPr>
        <w:pStyle w:val="BodyText"/>
        <w:spacing w:before="1"/>
        <w:rPr>
          <w:sz w:val="22"/>
        </w:rPr>
      </w:pPr>
    </w:p>
    <w:p>
      <w:pPr>
        <w:pStyle w:val="ListParagraph"/>
        <w:numPr>
          <w:ilvl w:val="0"/>
          <w:numId w:val="10"/>
        </w:numPr>
        <w:tabs>
          <w:tab w:pos="1442" w:val="left" w:leader="none"/>
        </w:tabs>
        <w:spacing w:line="278" w:lineRule="auto" w:before="0" w:after="0"/>
        <w:ind w:left="1441" w:right="865" w:hanging="288"/>
        <w:jc w:val="both"/>
        <w:rPr>
          <w:sz w:val="19"/>
        </w:rPr>
      </w:pPr>
      <w:r>
        <w:rPr>
          <w:color w:val="231F20"/>
          <w:sz w:val="19"/>
        </w:rPr>
        <w:t>Los expedientes seleccionados se solicitarán en el servicio de archivo  clínico del Hospital General de Tlalnepantla, para recabar siguientes</w:t>
      </w:r>
      <w:r>
        <w:rPr>
          <w:color w:val="231F20"/>
          <w:spacing w:val="39"/>
          <w:sz w:val="19"/>
        </w:rPr>
        <w:t> </w:t>
      </w:r>
      <w:r>
        <w:rPr>
          <w:color w:val="231F20"/>
          <w:sz w:val="19"/>
        </w:rPr>
        <w:t>datos:</w:t>
      </w:r>
    </w:p>
    <w:p>
      <w:pPr>
        <w:pStyle w:val="ListParagraph"/>
        <w:numPr>
          <w:ilvl w:val="1"/>
          <w:numId w:val="10"/>
        </w:numPr>
        <w:tabs>
          <w:tab w:pos="2018" w:val="left" w:leader="none"/>
        </w:tabs>
        <w:spacing w:line="240" w:lineRule="auto" w:before="1" w:after="0"/>
        <w:ind w:left="2017" w:right="0" w:hanging="288"/>
        <w:jc w:val="left"/>
        <w:rPr>
          <w:sz w:val="19"/>
        </w:rPr>
      </w:pPr>
      <w:r>
        <w:rPr>
          <w:color w:val="231F20"/>
          <w:sz w:val="19"/>
        </w:rPr>
        <w:t>Número de</w:t>
      </w:r>
      <w:r>
        <w:rPr>
          <w:color w:val="231F20"/>
          <w:spacing w:val="14"/>
          <w:sz w:val="19"/>
        </w:rPr>
        <w:t> </w:t>
      </w:r>
      <w:r>
        <w:rPr>
          <w:color w:val="231F20"/>
          <w:sz w:val="19"/>
        </w:rPr>
        <w:t>expediente.</w:t>
      </w:r>
    </w:p>
    <w:p>
      <w:pPr>
        <w:pStyle w:val="ListParagraph"/>
        <w:numPr>
          <w:ilvl w:val="1"/>
          <w:numId w:val="10"/>
        </w:numPr>
        <w:tabs>
          <w:tab w:pos="2018" w:val="left" w:leader="none"/>
        </w:tabs>
        <w:spacing w:line="240" w:lineRule="auto" w:before="37" w:after="0"/>
        <w:ind w:left="2017" w:right="0" w:hanging="288"/>
        <w:jc w:val="left"/>
        <w:rPr>
          <w:sz w:val="19"/>
        </w:rPr>
      </w:pPr>
      <w:r>
        <w:rPr>
          <w:color w:val="231F20"/>
          <w:sz w:val="19"/>
        </w:rPr>
        <w:t>Nombre del</w:t>
      </w:r>
      <w:r>
        <w:rPr>
          <w:color w:val="231F20"/>
          <w:spacing w:val="14"/>
          <w:sz w:val="19"/>
        </w:rPr>
        <w:t> </w:t>
      </w:r>
      <w:r>
        <w:rPr>
          <w:color w:val="231F20"/>
          <w:sz w:val="19"/>
        </w:rPr>
        <w:t>paciente.</w:t>
      </w:r>
    </w:p>
    <w:p>
      <w:pPr>
        <w:pStyle w:val="ListParagraph"/>
        <w:numPr>
          <w:ilvl w:val="1"/>
          <w:numId w:val="10"/>
        </w:numPr>
        <w:tabs>
          <w:tab w:pos="2018" w:val="left" w:leader="none"/>
        </w:tabs>
        <w:spacing w:line="240" w:lineRule="auto" w:before="35" w:after="0"/>
        <w:ind w:left="2017" w:right="0" w:hanging="288"/>
        <w:jc w:val="left"/>
        <w:rPr>
          <w:sz w:val="19"/>
        </w:rPr>
      </w:pPr>
      <w:r>
        <w:rPr>
          <w:color w:val="231F20"/>
          <w:sz w:val="19"/>
        </w:rPr>
        <w:t>Género del</w:t>
      </w:r>
      <w:r>
        <w:rPr>
          <w:color w:val="231F20"/>
          <w:spacing w:val="11"/>
          <w:sz w:val="19"/>
        </w:rPr>
        <w:t> </w:t>
      </w:r>
      <w:r>
        <w:rPr>
          <w:color w:val="231F20"/>
          <w:sz w:val="19"/>
        </w:rPr>
        <w:t>paciente.</w:t>
      </w:r>
    </w:p>
    <w:p>
      <w:pPr>
        <w:pStyle w:val="ListParagraph"/>
        <w:numPr>
          <w:ilvl w:val="1"/>
          <w:numId w:val="10"/>
        </w:numPr>
        <w:tabs>
          <w:tab w:pos="2018" w:val="left" w:leader="none"/>
        </w:tabs>
        <w:spacing w:line="278" w:lineRule="auto" w:before="35" w:after="0"/>
        <w:ind w:left="2017" w:right="861" w:hanging="288"/>
        <w:jc w:val="left"/>
        <w:rPr>
          <w:sz w:val="19"/>
        </w:rPr>
      </w:pPr>
      <w:r>
        <w:rPr>
          <w:color w:val="231F20"/>
          <w:sz w:val="19"/>
        </w:rPr>
        <w:t>Fecha del diagnóstico de peritonitis asociada a diálisis peritoneal y número de peritonitis al año si es el</w:t>
      </w:r>
      <w:r>
        <w:rPr>
          <w:color w:val="231F20"/>
          <w:spacing w:val="22"/>
          <w:sz w:val="19"/>
        </w:rPr>
        <w:t> </w:t>
      </w:r>
      <w:r>
        <w:rPr>
          <w:color w:val="231F20"/>
          <w:sz w:val="19"/>
        </w:rPr>
        <w:t>caso.</w:t>
      </w:r>
    </w:p>
    <w:p>
      <w:pPr>
        <w:pStyle w:val="ListParagraph"/>
        <w:numPr>
          <w:ilvl w:val="1"/>
          <w:numId w:val="10"/>
        </w:numPr>
        <w:tabs>
          <w:tab w:pos="2018" w:val="left" w:leader="none"/>
        </w:tabs>
        <w:spacing w:line="240" w:lineRule="auto" w:before="3" w:after="0"/>
        <w:ind w:left="2017" w:right="0" w:hanging="288"/>
        <w:jc w:val="left"/>
        <w:rPr>
          <w:sz w:val="19"/>
        </w:rPr>
      </w:pPr>
      <w:r>
        <w:rPr>
          <w:color w:val="231F20"/>
          <w:sz w:val="19"/>
        </w:rPr>
        <w:t>Agente etiológico</w:t>
      </w:r>
      <w:r>
        <w:rPr>
          <w:color w:val="231F20"/>
          <w:spacing w:val="21"/>
          <w:sz w:val="19"/>
        </w:rPr>
        <w:t> </w:t>
      </w:r>
      <w:r>
        <w:rPr>
          <w:color w:val="231F20"/>
          <w:sz w:val="19"/>
        </w:rPr>
        <w:t>identificado.</w:t>
      </w:r>
    </w:p>
    <w:p>
      <w:pPr>
        <w:pStyle w:val="ListParagraph"/>
        <w:numPr>
          <w:ilvl w:val="1"/>
          <w:numId w:val="10"/>
        </w:numPr>
        <w:tabs>
          <w:tab w:pos="2018" w:val="left" w:leader="none"/>
        </w:tabs>
        <w:spacing w:line="240" w:lineRule="auto" w:before="35" w:after="0"/>
        <w:ind w:left="2017" w:right="0" w:hanging="288"/>
        <w:jc w:val="left"/>
        <w:rPr>
          <w:sz w:val="19"/>
        </w:rPr>
      </w:pPr>
      <w:r>
        <w:rPr>
          <w:color w:val="231F20"/>
          <w:sz w:val="19"/>
        </w:rPr>
        <w:t>Días</w:t>
      </w:r>
      <w:r>
        <w:rPr>
          <w:color w:val="231F20"/>
          <w:spacing w:val="12"/>
          <w:sz w:val="19"/>
        </w:rPr>
        <w:t> </w:t>
      </w:r>
      <w:r>
        <w:rPr>
          <w:color w:val="231F20"/>
          <w:sz w:val="19"/>
        </w:rPr>
        <w:t>hospitalización.</w:t>
      </w:r>
    </w:p>
    <w:p>
      <w:pPr>
        <w:pStyle w:val="ListParagraph"/>
        <w:numPr>
          <w:ilvl w:val="1"/>
          <w:numId w:val="10"/>
        </w:numPr>
        <w:tabs>
          <w:tab w:pos="2018" w:val="left" w:leader="none"/>
          <w:tab w:pos="6955" w:val="left" w:leader="none"/>
        </w:tabs>
        <w:spacing w:line="278" w:lineRule="auto" w:before="35" w:after="0"/>
        <w:ind w:left="2017" w:right="860" w:hanging="288"/>
        <w:jc w:val="left"/>
        <w:rPr>
          <w:sz w:val="19"/>
        </w:rPr>
      </w:pPr>
      <w:r>
        <w:rPr>
          <w:color w:val="231F20"/>
          <w:sz w:val="19"/>
        </w:rPr>
        <w:t>Asociación  de   disfunción   de   catéter</w:t>
      </w:r>
      <w:r>
        <w:rPr>
          <w:color w:val="231F20"/>
          <w:spacing w:val="25"/>
          <w:sz w:val="19"/>
        </w:rPr>
        <w:t> </w:t>
      </w:r>
      <w:r>
        <w:rPr>
          <w:color w:val="231F20"/>
          <w:sz w:val="19"/>
        </w:rPr>
        <w:t>peritoneal </w:t>
      </w:r>
      <w:r>
        <w:rPr>
          <w:color w:val="231F20"/>
          <w:spacing w:val="26"/>
          <w:sz w:val="19"/>
        </w:rPr>
        <w:t> </w:t>
      </w:r>
      <w:r>
        <w:rPr>
          <w:color w:val="231F20"/>
          <w:sz w:val="19"/>
        </w:rPr>
        <w:t>y/o</w:t>
        <w:tab/>
        <w:t>muerte </w:t>
      </w:r>
      <w:r>
        <w:rPr>
          <w:color w:val="231F20"/>
          <w:spacing w:val="26"/>
          <w:sz w:val="19"/>
        </w:rPr>
        <w:t> </w:t>
      </w:r>
      <w:r>
        <w:rPr>
          <w:color w:val="231F20"/>
          <w:sz w:val="19"/>
        </w:rPr>
        <w:t>del</w:t>
      </w:r>
      <w:r>
        <w:rPr>
          <w:color w:val="231F20"/>
          <w:w w:val="100"/>
          <w:sz w:val="19"/>
        </w:rPr>
        <w:t> </w:t>
      </w:r>
      <w:r>
        <w:rPr>
          <w:color w:val="231F20"/>
          <w:sz w:val="19"/>
        </w:rPr>
        <w:t>paciente.</w:t>
      </w:r>
    </w:p>
    <w:p>
      <w:pPr>
        <w:pStyle w:val="BodyText"/>
        <w:spacing w:before="3"/>
        <w:rPr>
          <w:sz w:val="22"/>
        </w:rPr>
      </w:pPr>
    </w:p>
    <w:p>
      <w:pPr>
        <w:pStyle w:val="ListParagraph"/>
        <w:numPr>
          <w:ilvl w:val="0"/>
          <w:numId w:val="10"/>
        </w:numPr>
        <w:tabs>
          <w:tab w:pos="1442" w:val="left" w:leader="none"/>
        </w:tabs>
        <w:spacing w:line="240" w:lineRule="auto" w:before="0" w:after="0"/>
        <w:ind w:left="1441" w:right="0" w:hanging="288"/>
        <w:jc w:val="left"/>
        <w:rPr>
          <w:sz w:val="19"/>
        </w:rPr>
      </w:pPr>
      <w:r>
        <w:rPr>
          <w:color w:val="231F20"/>
          <w:sz w:val="19"/>
        </w:rPr>
        <w:t>La información obtenida se completará en el formato de Anexo No.</w:t>
      </w:r>
      <w:r>
        <w:rPr>
          <w:color w:val="231F20"/>
          <w:spacing w:val="44"/>
          <w:sz w:val="19"/>
        </w:rPr>
        <w:t> </w:t>
      </w:r>
      <w:r>
        <w:rPr>
          <w:color w:val="231F20"/>
          <w:sz w:val="19"/>
        </w:rPr>
        <w:t>1</w:t>
      </w:r>
    </w:p>
    <w:p>
      <w:pPr>
        <w:pStyle w:val="BodyText"/>
        <w:rPr>
          <w:sz w:val="25"/>
        </w:rPr>
      </w:pPr>
    </w:p>
    <w:p>
      <w:pPr>
        <w:pStyle w:val="ListParagraph"/>
        <w:numPr>
          <w:ilvl w:val="0"/>
          <w:numId w:val="10"/>
        </w:numPr>
        <w:tabs>
          <w:tab w:pos="1442" w:val="left" w:leader="none"/>
        </w:tabs>
        <w:spacing w:line="240" w:lineRule="auto" w:before="1" w:after="0"/>
        <w:ind w:left="1441" w:right="0" w:hanging="288"/>
        <w:jc w:val="left"/>
        <w:rPr>
          <w:sz w:val="19"/>
        </w:rPr>
      </w:pPr>
      <w:r>
        <w:rPr>
          <w:color w:val="231F20"/>
          <w:sz w:val="19"/>
        </w:rPr>
        <w:t>Se resaltará la tasa de peritonitis según el siguiente</w:t>
      </w:r>
      <w:r>
        <w:rPr>
          <w:color w:val="231F20"/>
          <w:spacing w:val="32"/>
          <w:sz w:val="19"/>
        </w:rPr>
        <w:t> </w:t>
      </w:r>
      <w:r>
        <w:rPr>
          <w:color w:val="231F20"/>
          <w:sz w:val="19"/>
        </w:rPr>
        <w:t>calculo:</w:t>
      </w:r>
    </w:p>
    <w:p>
      <w:pPr>
        <w:pStyle w:val="BodyText"/>
        <w:rPr>
          <w:sz w:val="18"/>
        </w:rPr>
      </w:pPr>
    </w:p>
    <w:p>
      <w:pPr>
        <w:spacing w:line="285" w:lineRule="auto" w:before="121"/>
        <w:ind w:left="1432" w:right="861" w:firstLine="0"/>
        <w:jc w:val="both"/>
        <w:rPr>
          <w:sz w:val="17"/>
        </w:rPr>
      </w:pPr>
      <w:r>
        <w:rPr>
          <w:color w:val="231F20"/>
          <w:w w:val="105"/>
          <w:sz w:val="17"/>
        </w:rPr>
        <w:t>Meses de diálisis peritoneal en situación de riesgo, dividido por el número de episodios, y se expresa como el intervalo en meses entre episodios (“X” </w:t>
      </w:r>
      <w:r>
        <w:rPr>
          <w:color w:val="231F20"/>
          <w:sz w:val="17"/>
        </w:rPr>
        <w:t>mes/episodio  peritonitis</w:t>
      </w:r>
    </w:p>
    <w:p>
      <w:pPr>
        <w:pStyle w:val="BodyText"/>
        <w:spacing w:before="3"/>
        <w:rPr>
          <w:sz w:val="21"/>
        </w:rPr>
      </w:pPr>
      <w:r>
        <w:rPr/>
        <w:drawing>
          <wp:anchor distT="0" distB="0" distL="0" distR="0" allowOverlap="1" layoutInCell="1" locked="0" behindDoc="0" simplePos="0" relativeHeight="1120">
            <wp:simplePos x="0" y="0"/>
            <wp:positionH relativeFrom="page">
              <wp:posOffset>2496311</wp:posOffset>
            </wp:positionH>
            <wp:positionV relativeFrom="paragraph">
              <wp:posOffset>180275</wp:posOffset>
            </wp:positionV>
            <wp:extent cx="3147060" cy="685800"/>
            <wp:effectExtent l="0" t="0" r="0" b="0"/>
            <wp:wrapTopAndBottom/>
            <wp:docPr id="13" name="image4.png" descr=""/>
            <wp:cNvGraphicFramePr>
              <a:graphicFrameLocks noChangeAspect="1"/>
            </wp:cNvGraphicFramePr>
            <a:graphic>
              <a:graphicData uri="http://schemas.openxmlformats.org/drawingml/2006/picture">
                <pic:pic>
                  <pic:nvPicPr>
                    <pic:cNvPr id="14" name="image4.png"/>
                    <pic:cNvPicPr/>
                  </pic:nvPicPr>
                  <pic:blipFill>
                    <a:blip r:embed="rId9" cstate="print"/>
                    <a:stretch>
                      <a:fillRect/>
                    </a:stretch>
                  </pic:blipFill>
                  <pic:spPr>
                    <a:xfrm>
                      <a:off x="0" y="0"/>
                      <a:ext cx="3147060" cy="685800"/>
                    </a:xfrm>
                    <a:prstGeom prst="rect">
                      <a:avLst/>
                    </a:prstGeom>
                  </pic:spPr>
                </pic:pic>
              </a:graphicData>
            </a:graphic>
          </wp:anchor>
        </w:drawing>
      </w:r>
    </w:p>
    <w:p>
      <w:pPr>
        <w:spacing w:after="0"/>
        <w:rPr>
          <w:sz w:val="21"/>
        </w:rPr>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ListParagraph"/>
        <w:numPr>
          <w:ilvl w:val="0"/>
          <w:numId w:val="10"/>
        </w:numPr>
        <w:tabs>
          <w:tab w:pos="1441" w:val="left" w:leader="none"/>
        </w:tabs>
        <w:spacing w:line="240" w:lineRule="auto" w:before="77" w:after="0"/>
        <w:ind w:left="1441" w:right="0" w:hanging="288"/>
        <w:jc w:val="left"/>
        <w:rPr>
          <w:sz w:val="19"/>
        </w:rPr>
      </w:pPr>
      <w:r>
        <w:rPr>
          <w:color w:val="231F20"/>
          <w:sz w:val="19"/>
        </w:rPr>
        <w:t>Datos</w:t>
      </w:r>
      <w:r>
        <w:rPr>
          <w:color w:val="231F20"/>
          <w:spacing w:val="15"/>
          <w:sz w:val="19"/>
        </w:rPr>
        <w:t> </w:t>
      </w:r>
      <w:r>
        <w:rPr>
          <w:color w:val="231F20"/>
          <w:sz w:val="19"/>
        </w:rPr>
        <w:t>epidemiológicos:</w:t>
      </w:r>
    </w:p>
    <w:p>
      <w:pPr>
        <w:pStyle w:val="BodyText"/>
        <w:spacing w:before="3"/>
        <w:rPr>
          <w:sz w:val="25"/>
        </w:rPr>
      </w:pPr>
    </w:p>
    <w:p>
      <w:pPr>
        <w:pStyle w:val="BodyText"/>
        <w:ind w:left="1441" w:right="858"/>
      </w:pPr>
      <w:r>
        <w:rPr>
          <w:color w:val="231F20"/>
        </w:rPr>
        <w:t>Será de acuerdo a los tipos de variables:</w:t>
      </w:r>
    </w:p>
    <w:p>
      <w:pPr>
        <w:pStyle w:val="ListParagraph"/>
        <w:numPr>
          <w:ilvl w:val="0"/>
          <w:numId w:val="11"/>
        </w:numPr>
        <w:tabs>
          <w:tab w:pos="2018" w:val="left" w:leader="none"/>
        </w:tabs>
        <w:spacing w:line="240" w:lineRule="auto" w:before="35" w:after="0"/>
        <w:ind w:left="2017" w:right="0" w:hanging="288"/>
        <w:jc w:val="left"/>
        <w:rPr>
          <w:sz w:val="19"/>
        </w:rPr>
      </w:pPr>
      <w:r>
        <w:rPr>
          <w:color w:val="231F20"/>
          <w:sz w:val="19"/>
        </w:rPr>
        <w:t>Variables</w:t>
      </w:r>
      <w:r>
        <w:rPr>
          <w:color w:val="231F20"/>
          <w:spacing w:val="12"/>
          <w:sz w:val="19"/>
        </w:rPr>
        <w:t> </w:t>
      </w:r>
      <w:r>
        <w:rPr>
          <w:color w:val="231F20"/>
          <w:sz w:val="19"/>
        </w:rPr>
        <w:t>cualitativas</w:t>
      </w:r>
    </w:p>
    <w:p>
      <w:pPr>
        <w:pStyle w:val="BodyText"/>
        <w:spacing w:line="280" w:lineRule="auto" w:before="35"/>
        <w:ind w:left="2593" w:right="2815"/>
      </w:pPr>
      <w:r>
        <w:rPr>
          <w:color w:val="231F20"/>
        </w:rPr>
        <w:t>Proporciones y frecuencias. Presentadas en gráficas y tablas.</w:t>
      </w:r>
    </w:p>
    <w:p>
      <w:pPr>
        <w:pStyle w:val="ListParagraph"/>
        <w:numPr>
          <w:ilvl w:val="0"/>
          <w:numId w:val="11"/>
        </w:numPr>
        <w:tabs>
          <w:tab w:pos="2018" w:val="left" w:leader="none"/>
        </w:tabs>
        <w:spacing w:line="217" w:lineRule="exact" w:before="0" w:after="0"/>
        <w:ind w:left="2017" w:right="0" w:hanging="288"/>
        <w:jc w:val="left"/>
        <w:rPr>
          <w:sz w:val="19"/>
        </w:rPr>
      </w:pPr>
      <w:r>
        <w:rPr>
          <w:color w:val="231F20"/>
          <w:sz w:val="19"/>
        </w:rPr>
        <w:t>Variables</w:t>
      </w:r>
      <w:r>
        <w:rPr>
          <w:color w:val="231F20"/>
          <w:spacing w:val="13"/>
          <w:sz w:val="19"/>
        </w:rPr>
        <w:t> </w:t>
      </w:r>
      <w:r>
        <w:rPr>
          <w:color w:val="231F20"/>
          <w:sz w:val="19"/>
        </w:rPr>
        <w:t>cuantitativas</w:t>
      </w:r>
    </w:p>
    <w:p>
      <w:pPr>
        <w:pStyle w:val="BodyText"/>
        <w:spacing w:line="278" w:lineRule="auto" w:before="35"/>
        <w:ind w:left="2593" w:right="858"/>
      </w:pPr>
      <w:r>
        <w:rPr>
          <w:color w:val="231F20"/>
        </w:rPr>
        <w:t>Media, moda, mediana, así como desviación estándar. Presentadas en gráficas y tablas</w:t>
      </w:r>
    </w:p>
    <w:p>
      <w:pPr>
        <w:pStyle w:val="BodyText"/>
        <w:spacing w:before="1"/>
        <w:rPr>
          <w:sz w:val="25"/>
        </w:rPr>
      </w:pPr>
    </w:p>
    <w:p>
      <w:pPr>
        <w:pStyle w:val="Heading1"/>
        <w:jc w:val="both"/>
      </w:pPr>
      <w:r>
        <w:rPr>
          <w:color w:val="231F20"/>
        </w:rPr>
        <w:t>Límite de espacio:</w:t>
      </w:r>
    </w:p>
    <w:p>
      <w:pPr>
        <w:pStyle w:val="BodyText"/>
        <w:rPr>
          <w:b/>
          <w:sz w:val="18"/>
        </w:rPr>
      </w:pPr>
    </w:p>
    <w:p>
      <w:pPr>
        <w:pStyle w:val="BodyText"/>
        <w:spacing w:line="278" w:lineRule="auto" w:before="132"/>
        <w:ind w:left="865" w:right="860"/>
        <w:jc w:val="both"/>
      </w:pPr>
      <w:r>
        <w:rPr>
          <w:color w:val="231F20"/>
        </w:rPr>
        <w:t>Solo se recabará la información obtenida de los expedientes clínicos  seleccionados, a partir de las libretas de ingresos-egresos generales y diálisis peritoneal, con diagnóstico de enfermedad renal crónica en tratamiento de diálisis peritoneal y peritonitis asociada a diálisis peritoneal, en el servicio de Medicina Interna del Hospital General de Tlalnepantla del 1º de enero 2011 al 31 de diciembre del</w:t>
      </w:r>
      <w:r>
        <w:rPr>
          <w:color w:val="231F20"/>
          <w:spacing w:val="11"/>
        </w:rPr>
        <w:t> </w:t>
      </w:r>
      <w:r>
        <w:rPr>
          <w:color w:val="231F20"/>
        </w:rPr>
        <w:t>2011.</w:t>
      </w:r>
    </w:p>
    <w:p>
      <w:pPr>
        <w:pStyle w:val="BodyText"/>
        <w:spacing w:before="5"/>
        <w:rPr>
          <w:sz w:val="26"/>
        </w:rPr>
      </w:pPr>
    </w:p>
    <w:p>
      <w:pPr>
        <w:pStyle w:val="Heading1"/>
        <w:jc w:val="both"/>
      </w:pPr>
      <w:r>
        <w:rPr>
          <w:color w:val="231F20"/>
        </w:rPr>
        <w:t>Límite de tiempo</w:t>
      </w:r>
    </w:p>
    <w:p>
      <w:pPr>
        <w:pStyle w:val="BodyText"/>
        <w:rPr>
          <w:b/>
          <w:sz w:val="18"/>
        </w:rPr>
      </w:pPr>
    </w:p>
    <w:p>
      <w:pPr>
        <w:pStyle w:val="BodyText"/>
        <w:spacing w:before="129"/>
        <w:ind w:left="865"/>
        <w:jc w:val="both"/>
      </w:pPr>
      <w:r>
        <w:rPr>
          <w:color w:val="231F20"/>
        </w:rPr>
        <w:t>Del 1º de enero 2011 al 31 de diciembre del 2011</w:t>
      </w:r>
    </w:p>
    <w:p>
      <w:pPr>
        <w:pStyle w:val="BodyText"/>
        <w:rPr>
          <w:sz w:val="18"/>
        </w:rPr>
      </w:pPr>
    </w:p>
    <w:p>
      <w:pPr>
        <w:pStyle w:val="BodyText"/>
        <w:rPr>
          <w:sz w:val="18"/>
        </w:rPr>
      </w:pPr>
    </w:p>
    <w:p>
      <w:pPr>
        <w:pStyle w:val="Heading1"/>
        <w:spacing w:before="145"/>
        <w:jc w:val="both"/>
      </w:pPr>
      <w:r>
        <w:rPr>
          <w:color w:val="231F20"/>
        </w:rPr>
        <w:t>Implicaciones éticas</w:t>
      </w:r>
    </w:p>
    <w:p>
      <w:pPr>
        <w:pStyle w:val="BodyText"/>
        <w:spacing w:before="6"/>
        <w:rPr>
          <w:b/>
          <w:sz w:val="24"/>
        </w:rPr>
      </w:pPr>
    </w:p>
    <w:p>
      <w:pPr>
        <w:pStyle w:val="BodyText"/>
        <w:spacing w:line="278" w:lineRule="auto"/>
        <w:ind w:left="865" w:right="860"/>
        <w:jc w:val="both"/>
      </w:pPr>
      <w:r>
        <w:rPr>
          <w:color w:val="231F20"/>
        </w:rPr>
        <w:t>De acuerdo con el artículos 96 de la Ley General de Salud, este estudio se catalo- ga como de riesgo nulo para los participantes, ya que no involucra procedimientos que pongan en peligro la salud de los mismos, además de que podrá contribuir a   la solución de problemas de salud de acuerdo al reglamento de la ley general de salud en materia de investigación con seres humanos en sus artículos 14 y 17, el presente proyecto, NO PRESENTA RIESGO, los datos serán tratados de forma confidencial sin hacer mención del nombre o códigos en particular tanto para identificación de pacientes como de médicos que hayan tratado a los</w:t>
      </w:r>
      <w:r>
        <w:rPr>
          <w:color w:val="231F20"/>
          <w:spacing w:val="42"/>
        </w:rPr>
        <w:t> </w:t>
      </w:r>
      <w:r>
        <w:rPr>
          <w:color w:val="231F20"/>
        </w:rPr>
        <w:t>pacientes.</w:t>
      </w:r>
    </w:p>
    <w:p>
      <w:pPr>
        <w:spacing w:after="0" w:line="278" w:lineRule="auto"/>
        <w:jc w:val="both"/>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Heading1"/>
        <w:spacing w:before="77"/>
        <w:ind w:right="858"/>
      </w:pPr>
      <w:r>
        <w:rPr>
          <w:color w:val="231F20"/>
        </w:rPr>
        <w:t>Organización</w:t>
      </w:r>
    </w:p>
    <w:p>
      <w:pPr>
        <w:pStyle w:val="BodyText"/>
        <w:spacing w:before="10"/>
        <w:rPr>
          <w:b/>
          <w:sz w:val="14"/>
        </w:rPr>
      </w:pPr>
    </w:p>
    <w:p>
      <w:pPr>
        <w:spacing w:before="0"/>
        <w:ind w:left="865" w:right="858" w:firstLine="0"/>
        <w:jc w:val="left"/>
        <w:rPr>
          <w:b/>
          <w:sz w:val="19"/>
        </w:rPr>
      </w:pPr>
      <w:r>
        <w:rPr>
          <w:position w:val="-3"/>
        </w:rPr>
        <w:drawing>
          <wp:inline distT="0" distB="0" distL="0" distR="0">
            <wp:extent cx="112166" cy="149961"/>
            <wp:effectExtent l="0" t="0" r="0" b="0"/>
            <wp:docPr id="15" name="image2.png" descr=""/>
            <wp:cNvGraphicFramePr>
              <a:graphicFrameLocks noChangeAspect="1"/>
            </wp:cNvGraphicFramePr>
            <a:graphic>
              <a:graphicData uri="http://schemas.openxmlformats.org/drawingml/2006/picture">
                <pic:pic>
                  <pic:nvPicPr>
                    <pic:cNvPr id="16" name="image2.png"/>
                    <pic:cNvPicPr/>
                  </pic:nvPicPr>
                  <pic:blipFill>
                    <a:blip r:embed="rId7" cstate="print"/>
                    <a:stretch>
                      <a:fillRect/>
                    </a:stretch>
                  </pic:blipFill>
                  <pic:spPr>
                    <a:xfrm>
                      <a:off x="0" y="0"/>
                      <a:ext cx="112166" cy="149961"/>
                    </a:xfrm>
                    <a:prstGeom prst="rect">
                      <a:avLst/>
                    </a:prstGeom>
                  </pic:spPr>
                </pic:pic>
              </a:graphicData>
            </a:graphic>
          </wp:inline>
        </w:drawing>
      </w:r>
      <w:r>
        <w:rPr>
          <w:position w:val="-3"/>
        </w:rPr>
      </w:r>
      <w:r>
        <w:rPr>
          <w:rFonts w:ascii="Times New Roman"/>
          <w:sz w:val="20"/>
        </w:rPr>
        <w:t> </w:t>
      </w:r>
      <w:r>
        <w:rPr>
          <w:b/>
          <w:color w:val="231F20"/>
          <w:sz w:val="19"/>
        </w:rPr>
        <w:t>Recursos</w:t>
      </w:r>
      <w:r>
        <w:rPr>
          <w:b/>
          <w:color w:val="231F20"/>
          <w:spacing w:val="16"/>
          <w:sz w:val="19"/>
        </w:rPr>
        <w:t> </w:t>
      </w:r>
      <w:r>
        <w:rPr>
          <w:b/>
          <w:color w:val="231F20"/>
          <w:sz w:val="19"/>
        </w:rPr>
        <w:t>Humanos</w:t>
      </w:r>
    </w:p>
    <w:p>
      <w:pPr>
        <w:pStyle w:val="BodyText"/>
        <w:spacing w:line="278" w:lineRule="auto" w:before="165"/>
        <w:ind w:left="1153" w:right="859"/>
        <w:jc w:val="both"/>
      </w:pPr>
      <w:r>
        <w:rPr>
          <w:color w:val="231F20"/>
        </w:rPr>
        <w:t>Médicos adscritos a la Dirección médica, Comité de ética e investigación, así como de Epidemiologia/ Estadística y Enseñanza e investigación médica del Hospital General de Tlalnepantla.</w:t>
      </w:r>
    </w:p>
    <w:p>
      <w:pPr>
        <w:pStyle w:val="BodyText"/>
        <w:spacing w:before="58"/>
        <w:ind w:left="1153"/>
        <w:jc w:val="both"/>
      </w:pPr>
      <w:r>
        <w:rPr>
          <w:color w:val="231F20"/>
        </w:rPr>
        <w:t>Médicos  residentes de Medicina Interna</w:t>
      </w:r>
    </w:p>
    <w:p>
      <w:pPr>
        <w:pStyle w:val="BodyText"/>
        <w:spacing w:line="340" w:lineRule="auto" w:before="92"/>
        <w:ind w:left="1153" w:right="2619"/>
      </w:pPr>
      <w:r>
        <w:rPr>
          <w:color w:val="231F20"/>
        </w:rPr>
        <w:t>Médicos adscritos del servicio de Medicina Interna. Personal administrativo de epidemiologia y archivo clínico</w:t>
      </w:r>
    </w:p>
    <w:p>
      <w:pPr>
        <w:pStyle w:val="BodyText"/>
        <w:spacing w:before="7"/>
        <w:rPr>
          <w:sz w:val="28"/>
        </w:rPr>
      </w:pPr>
    </w:p>
    <w:p>
      <w:pPr>
        <w:pStyle w:val="Heading1"/>
        <w:spacing w:before="64"/>
        <w:ind w:right="858"/>
      </w:pPr>
      <w:r>
        <w:rPr>
          <w:b w:val="0"/>
          <w:position w:val="-3"/>
        </w:rPr>
        <w:drawing>
          <wp:inline distT="0" distB="0" distL="0" distR="0">
            <wp:extent cx="112166" cy="149961"/>
            <wp:effectExtent l="0" t="0" r="0" b="0"/>
            <wp:docPr id="17" name="image2.png" descr=""/>
            <wp:cNvGraphicFramePr>
              <a:graphicFrameLocks noChangeAspect="1"/>
            </wp:cNvGraphicFramePr>
            <a:graphic>
              <a:graphicData uri="http://schemas.openxmlformats.org/drawingml/2006/picture">
                <pic:pic>
                  <pic:nvPicPr>
                    <pic:cNvPr id="18" name="image2.png"/>
                    <pic:cNvPicPr/>
                  </pic:nvPicPr>
                  <pic:blipFill>
                    <a:blip r:embed="rId7" cstate="print"/>
                    <a:stretch>
                      <a:fillRect/>
                    </a:stretch>
                  </pic:blipFill>
                  <pic:spPr>
                    <a:xfrm>
                      <a:off x="0" y="0"/>
                      <a:ext cx="112166" cy="149961"/>
                    </a:xfrm>
                    <a:prstGeom prst="rect">
                      <a:avLst/>
                    </a:prstGeom>
                  </pic:spPr>
                </pic:pic>
              </a:graphicData>
            </a:graphic>
          </wp:inline>
        </w:drawing>
      </w:r>
      <w:r>
        <w:rPr>
          <w:b w:val="0"/>
          <w:position w:val="-3"/>
        </w:rPr>
      </w:r>
      <w:r>
        <w:rPr>
          <w:rFonts w:ascii="Times New Roman"/>
          <w:b w:val="0"/>
          <w:sz w:val="20"/>
        </w:rPr>
        <w:t> </w:t>
      </w:r>
      <w:r>
        <w:rPr>
          <w:color w:val="231F20"/>
        </w:rPr>
        <w:t>Recursos</w:t>
      </w:r>
      <w:r>
        <w:rPr>
          <w:color w:val="231F20"/>
          <w:spacing w:val="15"/>
        </w:rPr>
        <w:t> </w:t>
      </w:r>
      <w:r>
        <w:rPr>
          <w:color w:val="231F20"/>
        </w:rPr>
        <w:t>Materiales</w:t>
      </w:r>
    </w:p>
    <w:p>
      <w:pPr>
        <w:pStyle w:val="BodyText"/>
        <w:spacing w:before="165"/>
        <w:ind w:left="1153" w:right="858"/>
      </w:pPr>
      <w:r>
        <w:rPr>
          <w:color w:val="231F20"/>
        </w:rPr>
        <w:t>Formatos de recolección de datos.</w:t>
      </w:r>
    </w:p>
    <w:p>
      <w:pPr>
        <w:pStyle w:val="BodyText"/>
        <w:spacing w:before="94"/>
        <w:ind w:left="1153" w:right="858"/>
      </w:pPr>
      <w:r>
        <w:rPr>
          <w:color w:val="231F20"/>
        </w:rPr>
        <w:t>Libreta de ingresos-egresos generales de Medicina Interna</w:t>
      </w:r>
    </w:p>
    <w:p>
      <w:pPr>
        <w:pStyle w:val="BodyText"/>
        <w:spacing w:line="340" w:lineRule="auto" w:before="92"/>
        <w:ind w:left="1153" w:right="1254"/>
      </w:pPr>
      <w:r>
        <w:rPr>
          <w:color w:val="231F20"/>
        </w:rPr>
        <w:t>Libreta de Ingresos-egresos diálisis peritoneal de Medicina Interna Expedientes clínicos</w:t>
      </w:r>
    </w:p>
    <w:p>
      <w:pPr>
        <w:pStyle w:val="BodyText"/>
        <w:spacing w:before="7"/>
        <w:rPr>
          <w:sz w:val="28"/>
        </w:rPr>
      </w:pPr>
    </w:p>
    <w:p>
      <w:pPr>
        <w:pStyle w:val="Heading1"/>
        <w:spacing w:before="64"/>
        <w:ind w:right="858"/>
      </w:pPr>
      <w:r>
        <w:rPr>
          <w:b w:val="0"/>
          <w:position w:val="-3"/>
        </w:rPr>
        <w:drawing>
          <wp:inline distT="0" distB="0" distL="0" distR="0">
            <wp:extent cx="112166" cy="149961"/>
            <wp:effectExtent l="0" t="0" r="0" b="0"/>
            <wp:docPr id="19" name="image2.png" descr=""/>
            <wp:cNvGraphicFramePr>
              <a:graphicFrameLocks noChangeAspect="1"/>
            </wp:cNvGraphicFramePr>
            <a:graphic>
              <a:graphicData uri="http://schemas.openxmlformats.org/drawingml/2006/picture">
                <pic:pic>
                  <pic:nvPicPr>
                    <pic:cNvPr id="20" name="image2.png"/>
                    <pic:cNvPicPr/>
                  </pic:nvPicPr>
                  <pic:blipFill>
                    <a:blip r:embed="rId7" cstate="print"/>
                    <a:stretch>
                      <a:fillRect/>
                    </a:stretch>
                  </pic:blipFill>
                  <pic:spPr>
                    <a:xfrm>
                      <a:off x="0" y="0"/>
                      <a:ext cx="112166" cy="149961"/>
                    </a:xfrm>
                    <a:prstGeom prst="rect">
                      <a:avLst/>
                    </a:prstGeom>
                  </pic:spPr>
                </pic:pic>
              </a:graphicData>
            </a:graphic>
          </wp:inline>
        </w:drawing>
      </w:r>
      <w:r>
        <w:rPr>
          <w:b w:val="0"/>
          <w:position w:val="-3"/>
        </w:rPr>
      </w:r>
      <w:r>
        <w:rPr>
          <w:rFonts w:ascii="Times New Roman"/>
          <w:b w:val="0"/>
          <w:sz w:val="20"/>
        </w:rPr>
        <w:t> </w:t>
      </w:r>
      <w:r>
        <w:rPr>
          <w:color w:val="231F20"/>
        </w:rPr>
        <w:t>Recursos</w:t>
      </w:r>
      <w:r>
        <w:rPr>
          <w:color w:val="231F20"/>
          <w:spacing w:val="17"/>
        </w:rPr>
        <w:t> </w:t>
      </w:r>
      <w:r>
        <w:rPr>
          <w:color w:val="231F20"/>
        </w:rPr>
        <w:t>financieros</w:t>
      </w:r>
    </w:p>
    <w:p>
      <w:pPr>
        <w:pStyle w:val="BodyText"/>
        <w:spacing w:before="165"/>
        <w:ind w:left="1153" w:right="858"/>
      </w:pPr>
      <w:r>
        <w:rPr>
          <w:color w:val="231F20"/>
        </w:rPr>
        <w:t>Los gastos originados por este estudio fueron cubiertos por el investigador</w:t>
      </w:r>
    </w:p>
    <w:p>
      <w:pPr>
        <w:pStyle w:val="BodyText"/>
        <w:rPr>
          <w:sz w:val="20"/>
        </w:rPr>
      </w:pPr>
    </w:p>
    <w:p>
      <w:pPr>
        <w:pStyle w:val="BodyText"/>
        <w:spacing w:before="10"/>
        <w:rPr>
          <w:sz w:val="21"/>
        </w:rPr>
      </w:pPr>
    </w:p>
    <w:p>
      <w:pPr>
        <w:pStyle w:val="Heading1"/>
        <w:spacing w:before="78"/>
        <w:ind w:right="858"/>
      </w:pPr>
      <w:r>
        <w:rPr>
          <w:color w:val="231F20"/>
        </w:rPr>
        <w:t>Plan de análisis</w:t>
      </w:r>
    </w:p>
    <w:p>
      <w:pPr>
        <w:pStyle w:val="BodyText"/>
        <w:rPr>
          <w:b/>
          <w:sz w:val="18"/>
        </w:rPr>
      </w:pPr>
    </w:p>
    <w:p>
      <w:pPr>
        <w:pStyle w:val="BodyText"/>
        <w:spacing w:before="10"/>
        <w:rPr>
          <w:b/>
          <w:sz w:val="23"/>
        </w:rPr>
      </w:pPr>
    </w:p>
    <w:p>
      <w:pPr>
        <w:pStyle w:val="BodyText"/>
        <w:spacing w:line="278" w:lineRule="auto" w:before="1"/>
        <w:ind w:left="865" w:right="858"/>
      </w:pPr>
      <w:r>
        <w:rPr>
          <w:color w:val="231F20"/>
        </w:rPr>
        <w:t>El análisis será de acuerdo a los tipos de variables: para las variables cualitativas serán resumidas en proporciones y frecuencias, presentadas en gráficas y tablas.</w:t>
      </w:r>
    </w:p>
    <w:p>
      <w:pPr>
        <w:pStyle w:val="BodyText"/>
        <w:rPr>
          <w:sz w:val="18"/>
        </w:rPr>
      </w:pPr>
    </w:p>
    <w:p>
      <w:pPr>
        <w:pStyle w:val="BodyText"/>
        <w:spacing w:before="1"/>
        <w:rPr>
          <w:sz w:val="14"/>
        </w:rPr>
      </w:pPr>
    </w:p>
    <w:p>
      <w:pPr>
        <w:pStyle w:val="BodyText"/>
        <w:tabs>
          <w:tab w:pos="2026" w:val="left" w:leader="none"/>
          <w:tab w:pos="3081" w:val="left" w:leader="none"/>
          <w:tab w:pos="3589" w:val="left" w:leader="none"/>
          <w:tab w:pos="4313" w:val="left" w:leader="none"/>
          <w:tab w:pos="5625" w:val="left" w:leader="none"/>
          <w:tab w:pos="6091" w:val="left" w:leader="none"/>
          <w:tab w:pos="7020" w:val="left" w:leader="none"/>
          <w:tab w:pos="7367" w:val="left" w:leader="none"/>
        </w:tabs>
        <w:spacing w:line="280" w:lineRule="auto"/>
        <w:ind w:left="865" w:right="858"/>
      </w:pPr>
      <w:r>
        <w:rPr>
          <w:color w:val="231F20"/>
        </w:rPr>
        <w:t>Para las variables cuantitativas serán resumidas con media, moda, mediana y desviación</w:t>
        <w:tab/>
        <w:t>estándar,</w:t>
        <w:tab/>
        <w:t>así</w:t>
        <w:tab/>
        <w:t>como</w:t>
        <w:tab/>
        <w:t>presentadas</w:t>
        <w:tab/>
        <w:t>en</w:t>
        <w:tab/>
        <w:t>gráficas</w:t>
        <w:tab/>
        <w:t>y</w:t>
        <w:tab/>
        <w:t>tablas.</w:t>
      </w:r>
    </w:p>
    <w:p>
      <w:pPr>
        <w:spacing w:after="0" w:line="280" w:lineRule="auto"/>
        <w:sectPr>
          <w:pgSz w:w="12240" w:h="15840"/>
          <w:pgMar w:header="0" w:footer="2372" w:top="1500" w:bottom="2560" w:left="1720" w:right="1720"/>
        </w:sect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1"/>
        <w:spacing w:before="77"/>
        <w:ind w:left="999" w:right="858"/>
      </w:pPr>
      <w:r>
        <w:rPr>
          <w:color w:val="231F20"/>
        </w:rPr>
        <w:t>XI. RESULTADOS</w:t>
      </w:r>
    </w:p>
    <w:p>
      <w:pPr>
        <w:pStyle w:val="BodyText"/>
        <w:rPr>
          <w:b/>
          <w:sz w:val="18"/>
        </w:rPr>
      </w:pPr>
    </w:p>
    <w:p>
      <w:pPr>
        <w:pStyle w:val="BodyText"/>
        <w:spacing w:before="6"/>
        <w:rPr>
          <w:b/>
          <w:sz w:val="20"/>
        </w:rPr>
      </w:pPr>
    </w:p>
    <w:p>
      <w:pPr>
        <w:pStyle w:val="BodyText"/>
        <w:spacing w:line="242" w:lineRule="auto" w:before="1"/>
        <w:ind w:left="999" w:right="996" w:firstLine="566"/>
        <w:jc w:val="both"/>
      </w:pPr>
      <w:r>
        <w:rPr>
          <w:color w:val="231F20"/>
        </w:rPr>
        <w:t>En el periodo de estudio comprendido del 1º de enero al 31 de diciembre del 2011 se registro en el servicio de Medicina Interna del Hospital General de Tlalnepantla 119 pacientes en diálisis peritoneal, de los cuales 33 pacientes no se localizo su expediente clínico y 10 no hubo notas médicas de diálisis, por lo que fueron excluidos, en tanto que 76 pacientes en diálisis peritoneal  cumplieron con los criterios de inclusión para riesgo de desarrollar peritonitis asociada a diálisis</w:t>
      </w:r>
      <w:r>
        <w:rPr>
          <w:color w:val="231F20"/>
          <w:spacing w:val="17"/>
        </w:rPr>
        <w:t> </w:t>
      </w:r>
      <w:r>
        <w:rPr>
          <w:color w:val="231F20"/>
        </w:rPr>
        <w:t>peritoneal.</w:t>
      </w:r>
    </w:p>
    <w:p>
      <w:pPr>
        <w:pStyle w:val="BodyText"/>
        <w:rPr>
          <w:sz w:val="18"/>
        </w:rPr>
      </w:pPr>
    </w:p>
    <w:p>
      <w:pPr>
        <w:pStyle w:val="BodyText"/>
        <w:spacing w:before="5"/>
        <w:rPr>
          <w:sz w:val="20"/>
        </w:rPr>
      </w:pPr>
    </w:p>
    <w:p>
      <w:pPr>
        <w:pStyle w:val="BodyText"/>
        <w:spacing w:line="242" w:lineRule="auto"/>
        <w:ind w:left="999" w:right="997" w:firstLine="566"/>
        <w:jc w:val="both"/>
        <w:rPr>
          <w:b/>
        </w:rPr>
      </w:pPr>
      <w:r>
        <w:rPr>
          <w:color w:val="231F20"/>
        </w:rPr>
        <w:t>En el mismo periodo de estudio, se registró un total de 20 casos de peritonitis asociada a diálisis peritoneal, con un promedio mensual de 1.6 eventos </w:t>
      </w:r>
      <w:r>
        <w:rPr>
          <w:b/>
          <w:color w:val="231F20"/>
        </w:rPr>
        <w:t>(Tabla 1).</w:t>
      </w:r>
    </w:p>
    <w:p>
      <w:pPr>
        <w:pStyle w:val="BodyText"/>
        <w:rPr>
          <w:b/>
          <w:sz w:val="18"/>
        </w:rPr>
      </w:pPr>
    </w:p>
    <w:p>
      <w:pPr>
        <w:pStyle w:val="BodyText"/>
        <w:spacing w:before="4"/>
        <w:rPr>
          <w:b/>
          <w:sz w:val="20"/>
        </w:rPr>
      </w:pPr>
    </w:p>
    <w:p>
      <w:pPr>
        <w:pStyle w:val="BodyText"/>
        <w:spacing w:line="242" w:lineRule="auto" w:before="1"/>
        <w:ind w:left="2527" w:right="858" w:hanging="1159"/>
      </w:pPr>
      <w:r>
        <w:rPr>
          <w:b/>
          <w:color w:val="231F20"/>
        </w:rPr>
        <w:t>Tabla 1. </w:t>
      </w:r>
      <w:r>
        <w:rPr>
          <w:color w:val="231F20"/>
        </w:rPr>
        <w:t>No. De casos de Peritonitis asociada a diálisis peritoneal en el Hospital General de Tlalnepantla en el 2011</w:t>
      </w:r>
    </w:p>
    <w:p>
      <w:pPr>
        <w:pStyle w:val="BodyText"/>
        <w:rPr>
          <w:sz w:val="20"/>
        </w:rPr>
      </w:pPr>
    </w:p>
    <w:p>
      <w:pPr>
        <w:pStyle w:val="BodyText"/>
        <w:spacing w:before="6"/>
        <w:rPr>
          <w:sz w:val="18"/>
        </w:rPr>
      </w:pPr>
    </w:p>
    <w:tbl>
      <w:tblPr>
        <w:tblW w:w="0" w:type="auto"/>
        <w:jc w:val="left"/>
        <w:tblInd w:w="2927"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1886"/>
        <w:gridCol w:w="1054"/>
      </w:tblGrid>
      <w:tr>
        <w:trPr>
          <w:trHeight w:val="413" w:hRule="exact"/>
        </w:trPr>
        <w:tc>
          <w:tcPr>
            <w:tcW w:w="1886" w:type="dxa"/>
          </w:tcPr>
          <w:p>
            <w:pPr>
              <w:pStyle w:val="TableParagraph"/>
              <w:spacing w:before="9"/>
              <w:jc w:val="left"/>
              <w:rPr>
                <w:sz w:val="17"/>
              </w:rPr>
            </w:pPr>
          </w:p>
          <w:p>
            <w:pPr>
              <w:pStyle w:val="TableParagraph"/>
              <w:spacing w:before="1"/>
              <w:ind w:left="125" w:right="123"/>
              <w:rPr>
                <w:b/>
                <w:sz w:val="17"/>
              </w:rPr>
            </w:pPr>
            <w:r>
              <w:rPr>
                <w:b/>
                <w:color w:val="231F20"/>
                <w:w w:val="105"/>
                <w:sz w:val="17"/>
              </w:rPr>
              <w:t>Mes</w:t>
            </w:r>
          </w:p>
        </w:tc>
        <w:tc>
          <w:tcPr>
            <w:tcW w:w="1054" w:type="dxa"/>
          </w:tcPr>
          <w:p>
            <w:pPr>
              <w:pStyle w:val="TableParagraph"/>
              <w:spacing w:line="249" w:lineRule="auto" w:before="2"/>
              <w:ind w:left="272" w:hanging="212"/>
              <w:jc w:val="left"/>
              <w:rPr>
                <w:b/>
                <w:sz w:val="17"/>
              </w:rPr>
            </w:pPr>
            <w:r>
              <w:rPr>
                <w:b/>
                <w:color w:val="231F20"/>
                <w:w w:val="105"/>
                <w:sz w:val="17"/>
              </w:rPr>
              <w:t>Número de casos</w:t>
            </w:r>
          </w:p>
        </w:tc>
      </w:tr>
      <w:tr>
        <w:trPr>
          <w:trHeight w:val="248" w:hRule="exact"/>
        </w:trPr>
        <w:tc>
          <w:tcPr>
            <w:tcW w:w="1886" w:type="dxa"/>
          </w:tcPr>
          <w:p>
            <w:pPr>
              <w:pStyle w:val="TableParagraph"/>
              <w:spacing w:before="42"/>
              <w:ind w:left="125" w:right="125"/>
              <w:rPr>
                <w:sz w:val="17"/>
              </w:rPr>
            </w:pPr>
            <w:r>
              <w:rPr>
                <w:color w:val="231F20"/>
                <w:w w:val="105"/>
                <w:sz w:val="17"/>
              </w:rPr>
              <w:t>Enero</w:t>
            </w:r>
          </w:p>
        </w:tc>
        <w:tc>
          <w:tcPr>
            <w:tcW w:w="1054" w:type="dxa"/>
          </w:tcPr>
          <w:p>
            <w:pPr>
              <w:pStyle w:val="TableParagraph"/>
              <w:spacing w:before="42"/>
              <w:ind w:right="1"/>
              <w:rPr>
                <w:sz w:val="17"/>
              </w:rPr>
            </w:pPr>
            <w:r>
              <w:rPr>
                <w:color w:val="231F20"/>
                <w:w w:val="103"/>
                <w:sz w:val="17"/>
              </w:rPr>
              <w:t>2</w:t>
            </w:r>
          </w:p>
        </w:tc>
      </w:tr>
      <w:tr>
        <w:trPr>
          <w:trHeight w:val="248" w:hRule="exact"/>
        </w:trPr>
        <w:tc>
          <w:tcPr>
            <w:tcW w:w="1886" w:type="dxa"/>
          </w:tcPr>
          <w:p>
            <w:pPr>
              <w:pStyle w:val="TableParagraph"/>
              <w:spacing w:before="42"/>
              <w:ind w:left="125" w:right="125"/>
              <w:rPr>
                <w:sz w:val="17"/>
              </w:rPr>
            </w:pPr>
            <w:r>
              <w:rPr>
                <w:color w:val="231F20"/>
                <w:w w:val="105"/>
                <w:sz w:val="17"/>
              </w:rPr>
              <w:t>Febrero</w:t>
            </w:r>
          </w:p>
        </w:tc>
        <w:tc>
          <w:tcPr>
            <w:tcW w:w="1054" w:type="dxa"/>
          </w:tcPr>
          <w:p>
            <w:pPr>
              <w:pStyle w:val="TableParagraph"/>
              <w:spacing w:before="42"/>
              <w:ind w:right="1"/>
              <w:rPr>
                <w:sz w:val="17"/>
              </w:rPr>
            </w:pPr>
            <w:r>
              <w:rPr>
                <w:color w:val="231F20"/>
                <w:w w:val="103"/>
                <w:sz w:val="17"/>
              </w:rPr>
              <w:t>3</w:t>
            </w:r>
          </w:p>
        </w:tc>
      </w:tr>
      <w:tr>
        <w:trPr>
          <w:trHeight w:val="250" w:hRule="exact"/>
        </w:trPr>
        <w:tc>
          <w:tcPr>
            <w:tcW w:w="1886" w:type="dxa"/>
          </w:tcPr>
          <w:p>
            <w:pPr>
              <w:pStyle w:val="TableParagraph"/>
              <w:spacing w:before="42"/>
              <w:ind w:left="124" w:right="126"/>
              <w:rPr>
                <w:sz w:val="17"/>
              </w:rPr>
            </w:pPr>
            <w:r>
              <w:rPr>
                <w:color w:val="231F20"/>
                <w:w w:val="105"/>
                <w:sz w:val="17"/>
              </w:rPr>
              <w:t>Marzo</w:t>
            </w:r>
          </w:p>
        </w:tc>
        <w:tc>
          <w:tcPr>
            <w:tcW w:w="1054" w:type="dxa"/>
          </w:tcPr>
          <w:p>
            <w:pPr>
              <w:pStyle w:val="TableParagraph"/>
              <w:spacing w:before="42"/>
              <w:ind w:right="1"/>
              <w:rPr>
                <w:sz w:val="17"/>
              </w:rPr>
            </w:pPr>
            <w:r>
              <w:rPr>
                <w:color w:val="231F20"/>
                <w:w w:val="103"/>
                <w:sz w:val="17"/>
              </w:rPr>
              <w:t>1</w:t>
            </w:r>
          </w:p>
        </w:tc>
      </w:tr>
      <w:tr>
        <w:trPr>
          <w:trHeight w:val="248" w:hRule="exact"/>
        </w:trPr>
        <w:tc>
          <w:tcPr>
            <w:tcW w:w="1886" w:type="dxa"/>
          </w:tcPr>
          <w:p>
            <w:pPr>
              <w:pStyle w:val="TableParagraph"/>
              <w:spacing w:before="40"/>
              <w:ind w:left="125" w:right="126"/>
              <w:rPr>
                <w:sz w:val="17"/>
              </w:rPr>
            </w:pPr>
            <w:r>
              <w:rPr>
                <w:color w:val="231F20"/>
                <w:w w:val="105"/>
                <w:sz w:val="17"/>
              </w:rPr>
              <w:t>Abril</w:t>
            </w:r>
          </w:p>
        </w:tc>
        <w:tc>
          <w:tcPr>
            <w:tcW w:w="1054" w:type="dxa"/>
          </w:tcPr>
          <w:p>
            <w:pPr>
              <w:pStyle w:val="TableParagraph"/>
              <w:spacing w:before="40"/>
              <w:ind w:right="1"/>
              <w:rPr>
                <w:sz w:val="17"/>
              </w:rPr>
            </w:pPr>
            <w:r>
              <w:rPr>
                <w:color w:val="231F20"/>
                <w:w w:val="103"/>
                <w:sz w:val="17"/>
              </w:rPr>
              <w:t>1</w:t>
            </w:r>
          </w:p>
        </w:tc>
      </w:tr>
      <w:tr>
        <w:trPr>
          <w:trHeight w:val="248" w:hRule="exact"/>
        </w:trPr>
        <w:tc>
          <w:tcPr>
            <w:tcW w:w="1886" w:type="dxa"/>
          </w:tcPr>
          <w:p>
            <w:pPr>
              <w:pStyle w:val="TableParagraph"/>
              <w:spacing w:before="40"/>
              <w:ind w:left="125" w:right="125"/>
              <w:rPr>
                <w:sz w:val="17"/>
              </w:rPr>
            </w:pPr>
            <w:r>
              <w:rPr>
                <w:color w:val="231F20"/>
                <w:w w:val="105"/>
                <w:sz w:val="17"/>
              </w:rPr>
              <w:t>Mayo</w:t>
            </w:r>
          </w:p>
        </w:tc>
        <w:tc>
          <w:tcPr>
            <w:tcW w:w="1054" w:type="dxa"/>
          </w:tcPr>
          <w:p>
            <w:pPr>
              <w:pStyle w:val="TableParagraph"/>
              <w:spacing w:before="40"/>
              <w:ind w:right="1"/>
              <w:rPr>
                <w:sz w:val="17"/>
              </w:rPr>
            </w:pPr>
            <w:r>
              <w:rPr>
                <w:color w:val="231F20"/>
                <w:w w:val="103"/>
                <w:sz w:val="17"/>
              </w:rPr>
              <w:t>4</w:t>
            </w:r>
          </w:p>
        </w:tc>
      </w:tr>
      <w:tr>
        <w:trPr>
          <w:trHeight w:val="248" w:hRule="exact"/>
        </w:trPr>
        <w:tc>
          <w:tcPr>
            <w:tcW w:w="1886" w:type="dxa"/>
          </w:tcPr>
          <w:p>
            <w:pPr>
              <w:pStyle w:val="TableParagraph"/>
              <w:spacing w:before="42"/>
              <w:ind w:left="125" w:right="125"/>
              <w:rPr>
                <w:sz w:val="17"/>
              </w:rPr>
            </w:pPr>
            <w:r>
              <w:rPr>
                <w:color w:val="231F20"/>
                <w:w w:val="105"/>
                <w:sz w:val="17"/>
              </w:rPr>
              <w:t>Junio</w:t>
            </w:r>
          </w:p>
        </w:tc>
        <w:tc>
          <w:tcPr>
            <w:tcW w:w="1054" w:type="dxa"/>
          </w:tcPr>
          <w:p>
            <w:pPr>
              <w:pStyle w:val="TableParagraph"/>
              <w:spacing w:before="42"/>
              <w:ind w:right="1"/>
              <w:rPr>
                <w:sz w:val="17"/>
              </w:rPr>
            </w:pPr>
            <w:r>
              <w:rPr>
                <w:color w:val="231F20"/>
                <w:w w:val="103"/>
                <w:sz w:val="17"/>
              </w:rPr>
              <w:t>2</w:t>
            </w:r>
          </w:p>
        </w:tc>
      </w:tr>
      <w:tr>
        <w:trPr>
          <w:trHeight w:val="248" w:hRule="exact"/>
        </w:trPr>
        <w:tc>
          <w:tcPr>
            <w:tcW w:w="1886" w:type="dxa"/>
          </w:tcPr>
          <w:p>
            <w:pPr>
              <w:pStyle w:val="TableParagraph"/>
              <w:spacing w:before="42"/>
              <w:ind w:left="123" w:right="126"/>
              <w:rPr>
                <w:sz w:val="17"/>
              </w:rPr>
            </w:pPr>
            <w:r>
              <w:rPr>
                <w:color w:val="231F20"/>
                <w:w w:val="105"/>
                <w:sz w:val="17"/>
              </w:rPr>
              <w:t>Julio</w:t>
            </w:r>
          </w:p>
        </w:tc>
        <w:tc>
          <w:tcPr>
            <w:tcW w:w="1054" w:type="dxa"/>
          </w:tcPr>
          <w:p>
            <w:pPr>
              <w:pStyle w:val="TableParagraph"/>
              <w:spacing w:before="42"/>
              <w:ind w:right="1"/>
              <w:rPr>
                <w:sz w:val="17"/>
              </w:rPr>
            </w:pPr>
            <w:r>
              <w:rPr>
                <w:color w:val="231F20"/>
                <w:w w:val="103"/>
                <w:sz w:val="17"/>
              </w:rPr>
              <w:t>2</w:t>
            </w:r>
          </w:p>
        </w:tc>
      </w:tr>
      <w:tr>
        <w:trPr>
          <w:trHeight w:val="248" w:hRule="exact"/>
        </w:trPr>
        <w:tc>
          <w:tcPr>
            <w:tcW w:w="1886" w:type="dxa"/>
          </w:tcPr>
          <w:p>
            <w:pPr>
              <w:pStyle w:val="TableParagraph"/>
              <w:spacing w:before="42"/>
              <w:ind w:left="125" w:right="125"/>
              <w:rPr>
                <w:sz w:val="17"/>
              </w:rPr>
            </w:pPr>
            <w:r>
              <w:rPr>
                <w:color w:val="231F20"/>
                <w:w w:val="105"/>
                <w:sz w:val="17"/>
              </w:rPr>
              <w:t>Agosto</w:t>
            </w:r>
          </w:p>
        </w:tc>
        <w:tc>
          <w:tcPr>
            <w:tcW w:w="1054" w:type="dxa"/>
          </w:tcPr>
          <w:p>
            <w:pPr>
              <w:pStyle w:val="TableParagraph"/>
              <w:spacing w:before="42"/>
              <w:ind w:right="1"/>
              <w:rPr>
                <w:sz w:val="17"/>
              </w:rPr>
            </w:pPr>
            <w:r>
              <w:rPr>
                <w:color w:val="231F20"/>
                <w:w w:val="103"/>
                <w:sz w:val="17"/>
              </w:rPr>
              <w:t>3</w:t>
            </w:r>
          </w:p>
        </w:tc>
      </w:tr>
      <w:tr>
        <w:trPr>
          <w:trHeight w:val="250" w:hRule="exact"/>
        </w:trPr>
        <w:tc>
          <w:tcPr>
            <w:tcW w:w="1886" w:type="dxa"/>
          </w:tcPr>
          <w:p>
            <w:pPr>
              <w:pStyle w:val="TableParagraph"/>
              <w:spacing w:before="42"/>
              <w:ind w:left="125" w:right="125"/>
              <w:rPr>
                <w:sz w:val="17"/>
              </w:rPr>
            </w:pPr>
            <w:r>
              <w:rPr>
                <w:color w:val="231F20"/>
                <w:w w:val="105"/>
                <w:sz w:val="17"/>
              </w:rPr>
              <w:t>Septiembre</w:t>
            </w:r>
          </w:p>
        </w:tc>
        <w:tc>
          <w:tcPr>
            <w:tcW w:w="1054" w:type="dxa"/>
          </w:tcPr>
          <w:p>
            <w:pPr>
              <w:pStyle w:val="TableParagraph"/>
              <w:spacing w:before="42"/>
              <w:ind w:right="1"/>
              <w:rPr>
                <w:sz w:val="17"/>
              </w:rPr>
            </w:pPr>
            <w:r>
              <w:rPr>
                <w:color w:val="231F20"/>
                <w:w w:val="103"/>
                <w:sz w:val="17"/>
              </w:rPr>
              <w:t>0</w:t>
            </w:r>
          </w:p>
        </w:tc>
      </w:tr>
      <w:tr>
        <w:trPr>
          <w:trHeight w:val="248" w:hRule="exact"/>
        </w:trPr>
        <w:tc>
          <w:tcPr>
            <w:tcW w:w="1886" w:type="dxa"/>
          </w:tcPr>
          <w:p>
            <w:pPr>
              <w:pStyle w:val="TableParagraph"/>
              <w:spacing w:before="40"/>
              <w:ind w:left="125" w:right="124"/>
              <w:rPr>
                <w:sz w:val="17"/>
              </w:rPr>
            </w:pPr>
            <w:r>
              <w:rPr>
                <w:color w:val="231F20"/>
                <w:w w:val="105"/>
                <w:sz w:val="17"/>
              </w:rPr>
              <w:t>Octubre</w:t>
            </w:r>
          </w:p>
        </w:tc>
        <w:tc>
          <w:tcPr>
            <w:tcW w:w="1054" w:type="dxa"/>
          </w:tcPr>
          <w:p>
            <w:pPr>
              <w:pStyle w:val="TableParagraph"/>
              <w:spacing w:before="40"/>
              <w:ind w:right="1"/>
              <w:rPr>
                <w:sz w:val="17"/>
              </w:rPr>
            </w:pPr>
            <w:r>
              <w:rPr>
                <w:color w:val="231F20"/>
                <w:w w:val="103"/>
                <w:sz w:val="17"/>
              </w:rPr>
              <w:t>1</w:t>
            </w:r>
          </w:p>
        </w:tc>
      </w:tr>
      <w:tr>
        <w:trPr>
          <w:trHeight w:val="248" w:hRule="exact"/>
        </w:trPr>
        <w:tc>
          <w:tcPr>
            <w:tcW w:w="1886" w:type="dxa"/>
          </w:tcPr>
          <w:p>
            <w:pPr>
              <w:pStyle w:val="TableParagraph"/>
              <w:spacing w:before="40"/>
              <w:ind w:left="125" w:right="125"/>
              <w:rPr>
                <w:sz w:val="17"/>
              </w:rPr>
            </w:pPr>
            <w:r>
              <w:rPr>
                <w:color w:val="231F20"/>
                <w:w w:val="105"/>
                <w:sz w:val="17"/>
              </w:rPr>
              <w:t>Noviembre</w:t>
            </w:r>
          </w:p>
        </w:tc>
        <w:tc>
          <w:tcPr>
            <w:tcW w:w="1054" w:type="dxa"/>
          </w:tcPr>
          <w:p>
            <w:pPr>
              <w:pStyle w:val="TableParagraph"/>
              <w:spacing w:before="40"/>
              <w:ind w:right="1"/>
              <w:rPr>
                <w:sz w:val="17"/>
              </w:rPr>
            </w:pPr>
            <w:r>
              <w:rPr>
                <w:color w:val="231F20"/>
                <w:w w:val="103"/>
                <w:sz w:val="17"/>
              </w:rPr>
              <w:t>1</w:t>
            </w:r>
          </w:p>
        </w:tc>
      </w:tr>
      <w:tr>
        <w:trPr>
          <w:trHeight w:val="248" w:hRule="exact"/>
        </w:trPr>
        <w:tc>
          <w:tcPr>
            <w:tcW w:w="1886" w:type="dxa"/>
          </w:tcPr>
          <w:p>
            <w:pPr>
              <w:pStyle w:val="TableParagraph"/>
              <w:spacing w:before="42"/>
              <w:ind w:left="125" w:right="125"/>
              <w:rPr>
                <w:sz w:val="17"/>
              </w:rPr>
            </w:pPr>
            <w:r>
              <w:rPr>
                <w:color w:val="231F20"/>
                <w:w w:val="105"/>
                <w:sz w:val="17"/>
              </w:rPr>
              <w:t>Diciembre</w:t>
            </w:r>
          </w:p>
        </w:tc>
        <w:tc>
          <w:tcPr>
            <w:tcW w:w="1054" w:type="dxa"/>
          </w:tcPr>
          <w:p>
            <w:pPr>
              <w:pStyle w:val="TableParagraph"/>
              <w:spacing w:before="42"/>
              <w:ind w:right="1"/>
              <w:rPr>
                <w:sz w:val="17"/>
              </w:rPr>
            </w:pPr>
            <w:r>
              <w:rPr>
                <w:color w:val="231F20"/>
                <w:w w:val="103"/>
                <w:sz w:val="17"/>
              </w:rPr>
              <w:t>0</w:t>
            </w:r>
          </w:p>
        </w:tc>
      </w:tr>
      <w:tr>
        <w:trPr>
          <w:trHeight w:val="259" w:hRule="exact"/>
        </w:trPr>
        <w:tc>
          <w:tcPr>
            <w:tcW w:w="1886" w:type="dxa"/>
          </w:tcPr>
          <w:p>
            <w:pPr>
              <w:pStyle w:val="TableParagraph"/>
              <w:spacing w:before="51"/>
              <w:ind w:left="125" w:right="126"/>
              <w:rPr>
                <w:b/>
                <w:sz w:val="17"/>
              </w:rPr>
            </w:pPr>
            <w:r>
              <w:rPr>
                <w:b/>
                <w:color w:val="231F20"/>
                <w:w w:val="105"/>
                <w:sz w:val="17"/>
              </w:rPr>
              <w:t>Total</w:t>
            </w:r>
          </w:p>
        </w:tc>
        <w:tc>
          <w:tcPr>
            <w:tcW w:w="1054" w:type="dxa"/>
          </w:tcPr>
          <w:p>
            <w:pPr>
              <w:pStyle w:val="TableParagraph"/>
              <w:spacing w:before="51"/>
              <w:ind w:left="378" w:right="379"/>
              <w:rPr>
                <w:b/>
                <w:sz w:val="17"/>
              </w:rPr>
            </w:pPr>
            <w:r>
              <w:rPr>
                <w:b/>
                <w:color w:val="231F20"/>
                <w:w w:val="105"/>
                <w:sz w:val="17"/>
              </w:rPr>
              <w:t>20</w:t>
            </w:r>
          </w:p>
        </w:tc>
      </w:tr>
      <w:tr>
        <w:trPr>
          <w:trHeight w:val="261" w:hRule="exact"/>
        </w:trPr>
        <w:tc>
          <w:tcPr>
            <w:tcW w:w="1886" w:type="dxa"/>
          </w:tcPr>
          <w:p>
            <w:pPr>
              <w:pStyle w:val="TableParagraph"/>
              <w:spacing w:before="51"/>
              <w:ind w:left="125" w:right="126"/>
              <w:rPr>
                <w:b/>
                <w:sz w:val="17"/>
              </w:rPr>
            </w:pPr>
            <w:r>
              <w:rPr>
                <w:b/>
                <w:color w:val="231F20"/>
                <w:w w:val="105"/>
                <w:sz w:val="17"/>
              </w:rPr>
              <w:t>Promedio Mensual</w:t>
            </w:r>
          </w:p>
        </w:tc>
        <w:tc>
          <w:tcPr>
            <w:tcW w:w="1054" w:type="dxa"/>
          </w:tcPr>
          <w:p>
            <w:pPr>
              <w:pStyle w:val="TableParagraph"/>
              <w:spacing w:before="51"/>
              <w:ind w:left="379" w:right="379"/>
              <w:rPr>
                <w:b/>
                <w:sz w:val="17"/>
              </w:rPr>
            </w:pPr>
            <w:r>
              <w:rPr>
                <w:b/>
                <w:color w:val="231F20"/>
                <w:w w:val="105"/>
                <w:sz w:val="17"/>
              </w:rPr>
              <w:t>1.6</w:t>
            </w:r>
          </w:p>
        </w:tc>
      </w:tr>
    </w:tbl>
    <w:p>
      <w:pPr>
        <w:pStyle w:val="BodyText"/>
        <w:rPr>
          <w:sz w:val="12"/>
        </w:rPr>
      </w:pPr>
    </w:p>
    <w:p>
      <w:pPr>
        <w:spacing w:before="86"/>
        <w:ind w:left="1134" w:right="1134" w:firstLine="0"/>
        <w:jc w:val="center"/>
        <w:rPr>
          <w:sz w:val="14"/>
        </w:rPr>
      </w:pPr>
      <w:r>
        <w:rPr>
          <w:color w:val="231F20"/>
          <w:w w:val="105"/>
          <w:sz w:val="14"/>
        </w:rPr>
        <w:t>Fuente: Anexo 1</w:t>
      </w:r>
    </w:p>
    <w:p>
      <w:pPr>
        <w:pStyle w:val="BodyText"/>
        <w:spacing w:before="1"/>
      </w:pPr>
    </w:p>
    <w:p>
      <w:pPr>
        <w:pStyle w:val="BodyText"/>
        <w:spacing w:line="242" w:lineRule="auto"/>
        <w:ind w:left="999" w:right="994" w:firstLine="566"/>
        <w:jc w:val="both"/>
        <w:rPr>
          <w:b/>
        </w:rPr>
      </w:pPr>
      <w:r>
        <w:rPr>
          <w:color w:val="231F20"/>
        </w:rPr>
        <w:t>Se reportaron 76 pacientes en total (100%), de los cuales el 59.21% (n=45) son del género femenino, y el 40.79% (n=31) son masculinos, con una relación 1.45 femeninos por cada masculino en diálisis peritoneal durante el estudio </w:t>
      </w:r>
      <w:r>
        <w:rPr>
          <w:b/>
          <w:color w:val="231F20"/>
        </w:rPr>
        <w:t>(Tabla 2).</w:t>
      </w:r>
    </w:p>
    <w:p>
      <w:pPr>
        <w:spacing w:after="0" w:line="242" w:lineRule="auto"/>
        <w:jc w:val="both"/>
        <w:sectPr>
          <w:footerReference w:type="default" r:id="rId10"/>
          <w:pgSz w:w="12240" w:h="15840"/>
          <w:pgMar w:footer="1972" w:header="0" w:top="1500" w:bottom="2160" w:left="1720" w:right="1720"/>
          <w:pgNumType w:start="32"/>
        </w:sectPr>
      </w:pPr>
    </w:p>
    <w:p>
      <w:pPr>
        <w:pStyle w:val="BodyText"/>
        <w:rPr>
          <w:b/>
          <w:sz w:val="20"/>
        </w:rPr>
      </w:pPr>
    </w:p>
    <w:p>
      <w:pPr>
        <w:pStyle w:val="BodyText"/>
        <w:rPr>
          <w:b/>
          <w:sz w:val="20"/>
        </w:rPr>
      </w:pPr>
    </w:p>
    <w:p>
      <w:pPr>
        <w:pStyle w:val="BodyText"/>
        <w:spacing w:before="2"/>
        <w:rPr>
          <w:b/>
          <w:sz w:val="24"/>
        </w:rPr>
      </w:pPr>
    </w:p>
    <w:p>
      <w:pPr>
        <w:pStyle w:val="BodyText"/>
        <w:spacing w:line="242" w:lineRule="auto" w:before="78"/>
        <w:ind w:left="1816" w:right="858" w:hanging="469"/>
      </w:pPr>
      <w:r>
        <w:rPr>
          <w:b/>
          <w:color w:val="231F20"/>
        </w:rPr>
        <w:t>Tabla 2 </w:t>
      </w:r>
      <w:r>
        <w:rPr>
          <w:color w:val="231F20"/>
        </w:rPr>
        <w:t>Tabla demográfica para Género y edad en pacientes de diálisis peritoneal en el Hospital General de Tlalnepantla en el 2011.</w:t>
      </w:r>
    </w:p>
    <w:p>
      <w:pPr>
        <w:pStyle w:val="BodyText"/>
        <w:rPr>
          <w:sz w:val="20"/>
        </w:rPr>
      </w:pPr>
    </w:p>
    <w:p>
      <w:pPr>
        <w:pStyle w:val="BodyText"/>
        <w:spacing w:before="6"/>
        <w:rPr>
          <w:sz w:val="18"/>
        </w:rPr>
      </w:pPr>
    </w:p>
    <w:tbl>
      <w:tblPr>
        <w:tblW w:w="0" w:type="auto"/>
        <w:jc w:val="left"/>
        <w:tblInd w:w="2277"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1070"/>
        <w:gridCol w:w="1056"/>
        <w:gridCol w:w="1056"/>
        <w:gridCol w:w="1056"/>
      </w:tblGrid>
      <w:tr>
        <w:trPr>
          <w:trHeight w:val="253" w:hRule="exact"/>
        </w:trPr>
        <w:tc>
          <w:tcPr>
            <w:tcW w:w="1070" w:type="dxa"/>
            <w:tcBorders>
              <w:bottom w:val="single" w:sz="6" w:space="0" w:color="231F20"/>
            </w:tcBorders>
          </w:tcPr>
          <w:p>
            <w:pPr>
              <w:pStyle w:val="TableParagraph"/>
              <w:spacing w:before="40"/>
              <w:ind w:left="89" w:right="89"/>
              <w:rPr>
                <w:b/>
                <w:sz w:val="17"/>
              </w:rPr>
            </w:pPr>
            <w:r>
              <w:rPr>
                <w:b/>
                <w:color w:val="231F20"/>
                <w:w w:val="105"/>
                <w:sz w:val="17"/>
              </w:rPr>
              <w:t>Pacientes</w:t>
            </w:r>
          </w:p>
        </w:tc>
        <w:tc>
          <w:tcPr>
            <w:tcW w:w="1056" w:type="dxa"/>
            <w:tcBorders>
              <w:bottom w:val="single" w:sz="6" w:space="0" w:color="231F20"/>
            </w:tcBorders>
          </w:tcPr>
          <w:p>
            <w:pPr>
              <w:pStyle w:val="TableParagraph"/>
              <w:spacing w:before="40"/>
              <w:ind w:left="121" w:right="120"/>
              <w:rPr>
                <w:b/>
                <w:sz w:val="17"/>
              </w:rPr>
            </w:pPr>
            <w:r>
              <w:rPr>
                <w:b/>
                <w:color w:val="231F20"/>
                <w:w w:val="105"/>
                <w:sz w:val="17"/>
              </w:rPr>
              <w:t>Mujeres</w:t>
            </w:r>
          </w:p>
        </w:tc>
        <w:tc>
          <w:tcPr>
            <w:tcW w:w="1056" w:type="dxa"/>
            <w:tcBorders>
              <w:bottom w:val="single" w:sz="6" w:space="0" w:color="231F20"/>
            </w:tcBorders>
          </w:tcPr>
          <w:p>
            <w:pPr>
              <w:pStyle w:val="TableParagraph"/>
              <w:spacing w:before="40"/>
              <w:ind w:left="117" w:right="117"/>
              <w:rPr>
                <w:b/>
                <w:sz w:val="17"/>
              </w:rPr>
            </w:pPr>
            <w:r>
              <w:rPr>
                <w:b/>
                <w:color w:val="231F20"/>
                <w:w w:val="105"/>
                <w:sz w:val="17"/>
              </w:rPr>
              <w:t>Hombres</w:t>
            </w:r>
          </w:p>
        </w:tc>
        <w:tc>
          <w:tcPr>
            <w:tcW w:w="1056" w:type="dxa"/>
            <w:tcBorders>
              <w:bottom w:val="single" w:sz="6" w:space="0" w:color="231F20"/>
            </w:tcBorders>
          </w:tcPr>
          <w:p>
            <w:pPr>
              <w:pStyle w:val="TableParagraph"/>
              <w:spacing w:before="40"/>
              <w:ind w:right="314"/>
              <w:jc w:val="right"/>
              <w:rPr>
                <w:b/>
                <w:sz w:val="17"/>
              </w:rPr>
            </w:pPr>
            <w:r>
              <w:rPr>
                <w:b/>
                <w:color w:val="231F20"/>
                <w:sz w:val="17"/>
              </w:rPr>
              <w:t>Total</w:t>
            </w:r>
          </w:p>
        </w:tc>
      </w:tr>
      <w:tr>
        <w:trPr>
          <w:trHeight w:val="217" w:hRule="exact"/>
        </w:trPr>
        <w:tc>
          <w:tcPr>
            <w:tcW w:w="1070" w:type="dxa"/>
            <w:tcBorders>
              <w:top w:val="single" w:sz="6" w:space="0" w:color="231F20"/>
              <w:bottom w:val="nil"/>
            </w:tcBorders>
          </w:tcPr>
          <w:p>
            <w:pPr>
              <w:pStyle w:val="TableParagraph"/>
              <w:spacing w:before="3"/>
              <w:ind w:left="89" w:right="89"/>
              <w:rPr>
                <w:sz w:val="17"/>
              </w:rPr>
            </w:pPr>
            <w:r>
              <w:rPr>
                <w:color w:val="231F20"/>
                <w:w w:val="105"/>
                <w:sz w:val="17"/>
              </w:rPr>
              <w:t>Total (Por-</w:t>
            </w:r>
          </w:p>
        </w:tc>
        <w:tc>
          <w:tcPr>
            <w:tcW w:w="1056" w:type="dxa"/>
            <w:tcBorders>
              <w:top w:val="single" w:sz="6" w:space="0" w:color="231F20"/>
              <w:bottom w:val="nil"/>
            </w:tcBorders>
          </w:tcPr>
          <w:p>
            <w:pPr>
              <w:pStyle w:val="TableParagraph"/>
              <w:spacing w:before="3"/>
              <w:ind w:left="121" w:right="121"/>
              <w:rPr>
                <w:sz w:val="17"/>
              </w:rPr>
            </w:pPr>
            <w:r>
              <w:rPr>
                <w:color w:val="231F20"/>
                <w:w w:val="105"/>
                <w:sz w:val="17"/>
              </w:rPr>
              <w:t>45</w:t>
            </w:r>
          </w:p>
        </w:tc>
        <w:tc>
          <w:tcPr>
            <w:tcW w:w="1056" w:type="dxa"/>
            <w:tcBorders>
              <w:top w:val="single" w:sz="6" w:space="0" w:color="231F20"/>
              <w:bottom w:val="nil"/>
            </w:tcBorders>
          </w:tcPr>
          <w:p>
            <w:pPr>
              <w:pStyle w:val="TableParagraph"/>
              <w:spacing w:before="3"/>
              <w:ind w:left="117" w:right="117"/>
              <w:rPr>
                <w:sz w:val="17"/>
              </w:rPr>
            </w:pPr>
            <w:r>
              <w:rPr>
                <w:color w:val="231F20"/>
                <w:w w:val="105"/>
                <w:sz w:val="17"/>
              </w:rPr>
              <w:t>31</w:t>
            </w:r>
          </w:p>
        </w:tc>
        <w:tc>
          <w:tcPr>
            <w:tcW w:w="1056" w:type="dxa"/>
            <w:tcBorders>
              <w:top w:val="single" w:sz="6" w:space="0" w:color="231F20"/>
              <w:bottom w:val="nil"/>
            </w:tcBorders>
          </w:tcPr>
          <w:p>
            <w:pPr>
              <w:pStyle w:val="TableParagraph"/>
              <w:spacing w:before="3"/>
              <w:ind w:left="405" w:right="405"/>
              <w:rPr>
                <w:sz w:val="17"/>
              </w:rPr>
            </w:pPr>
            <w:r>
              <w:rPr>
                <w:color w:val="231F20"/>
                <w:w w:val="105"/>
                <w:sz w:val="17"/>
              </w:rPr>
              <w:t>76</w:t>
            </w:r>
          </w:p>
        </w:tc>
      </w:tr>
      <w:tr>
        <w:trPr>
          <w:trHeight w:val="421" w:hRule="exact"/>
        </w:trPr>
        <w:tc>
          <w:tcPr>
            <w:tcW w:w="1070" w:type="dxa"/>
            <w:tcBorders>
              <w:top w:val="nil"/>
            </w:tcBorders>
          </w:tcPr>
          <w:p>
            <w:pPr>
              <w:pStyle w:val="TableParagraph"/>
              <w:spacing w:line="192" w:lineRule="exact"/>
              <w:ind w:left="89" w:right="89"/>
              <w:rPr>
                <w:sz w:val="17"/>
              </w:rPr>
            </w:pPr>
            <w:r>
              <w:rPr>
                <w:color w:val="231F20"/>
                <w:w w:val="105"/>
                <w:sz w:val="17"/>
              </w:rPr>
              <w:t>centaje)</w:t>
            </w:r>
          </w:p>
        </w:tc>
        <w:tc>
          <w:tcPr>
            <w:tcW w:w="1056" w:type="dxa"/>
            <w:tcBorders>
              <w:top w:val="nil"/>
            </w:tcBorders>
          </w:tcPr>
          <w:p>
            <w:pPr>
              <w:pStyle w:val="TableParagraph"/>
              <w:spacing w:line="192" w:lineRule="exact"/>
              <w:ind w:left="121" w:right="121"/>
              <w:rPr>
                <w:sz w:val="17"/>
              </w:rPr>
            </w:pPr>
            <w:r>
              <w:rPr>
                <w:color w:val="231F20"/>
                <w:w w:val="105"/>
                <w:sz w:val="17"/>
              </w:rPr>
              <w:t>(59.21%)</w:t>
            </w:r>
          </w:p>
        </w:tc>
        <w:tc>
          <w:tcPr>
            <w:tcW w:w="1056" w:type="dxa"/>
            <w:tcBorders>
              <w:top w:val="nil"/>
            </w:tcBorders>
          </w:tcPr>
          <w:p>
            <w:pPr>
              <w:pStyle w:val="TableParagraph"/>
              <w:spacing w:line="192" w:lineRule="exact"/>
              <w:ind w:left="117" w:right="116"/>
              <w:rPr>
                <w:sz w:val="17"/>
              </w:rPr>
            </w:pPr>
            <w:r>
              <w:rPr>
                <w:color w:val="231F20"/>
                <w:w w:val="105"/>
                <w:sz w:val="17"/>
              </w:rPr>
              <w:t>(40.79%)</w:t>
            </w:r>
          </w:p>
        </w:tc>
        <w:tc>
          <w:tcPr>
            <w:tcW w:w="1056" w:type="dxa"/>
            <w:tcBorders>
              <w:top w:val="nil"/>
            </w:tcBorders>
          </w:tcPr>
          <w:p>
            <w:pPr>
              <w:pStyle w:val="TableParagraph"/>
              <w:spacing w:line="192" w:lineRule="exact"/>
              <w:ind w:right="236"/>
              <w:jc w:val="right"/>
              <w:rPr>
                <w:sz w:val="17"/>
              </w:rPr>
            </w:pPr>
            <w:r>
              <w:rPr>
                <w:color w:val="231F20"/>
                <w:sz w:val="17"/>
              </w:rPr>
              <w:t>(100%)</w:t>
            </w:r>
          </w:p>
        </w:tc>
      </w:tr>
      <w:tr>
        <w:trPr>
          <w:trHeight w:val="470" w:hRule="exact"/>
        </w:trPr>
        <w:tc>
          <w:tcPr>
            <w:tcW w:w="1070" w:type="dxa"/>
            <w:tcBorders>
              <w:bottom w:val="nil"/>
            </w:tcBorders>
          </w:tcPr>
          <w:p>
            <w:pPr>
              <w:pStyle w:val="TableParagraph"/>
              <w:spacing w:line="247" w:lineRule="auto" w:before="59"/>
              <w:ind w:left="49" w:firstLine="82"/>
              <w:jc w:val="left"/>
              <w:rPr>
                <w:sz w:val="17"/>
              </w:rPr>
            </w:pPr>
            <w:r>
              <w:rPr>
                <w:color w:val="231F20"/>
                <w:w w:val="105"/>
                <w:sz w:val="17"/>
              </w:rPr>
              <w:t>Edad Pro- medio años</w:t>
            </w:r>
          </w:p>
        </w:tc>
        <w:tc>
          <w:tcPr>
            <w:tcW w:w="1056" w:type="dxa"/>
            <w:tcBorders>
              <w:bottom w:val="nil"/>
            </w:tcBorders>
          </w:tcPr>
          <w:p>
            <w:pPr>
              <w:pStyle w:val="TableParagraph"/>
              <w:spacing w:line="217" w:lineRule="exact"/>
              <w:ind w:left="120" w:right="121"/>
              <w:rPr>
                <w:sz w:val="19"/>
              </w:rPr>
            </w:pPr>
            <w:r>
              <w:rPr>
                <w:color w:val="231F20"/>
                <w:sz w:val="19"/>
              </w:rPr>
              <w:t>57.06</w:t>
            </w:r>
          </w:p>
          <w:p>
            <w:pPr>
              <w:pStyle w:val="TableParagraph"/>
              <w:spacing w:before="2"/>
              <w:ind w:left="121" w:right="121"/>
              <w:rPr>
                <w:sz w:val="19"/>
              </w:rPr>
            </w:pPr>
            <w:r>
              <w:rPr>
                <w:color w:val="231F20"/>
                <w:sz w:val="19"/>
              </w:rPr>
              <w:t>( </w:t>
            </w:r>
            <w:r>
              <w:rPr>
                <w:color w:val="231F20"/>
                <w:sz w:val="19"/>
                <w:u w:val="single" w:color="231F20"/>
              </w:rPr>
              <w:t>+</w:t>
            </w:r>
            <w:r>
              <w:rPr>
                <w:color w:val="231F20"/>
                <w:sz w:val="19"/>
              </w:rPr>
              <w:t>13.97)</w:t>
            </w:r>
          </w:p>
        </w:tc>
        <w:tc>
          <w:tcPr>
            <w:tcW w:w="1056" w:type="dxa"/>
            <w:tcBorders>
              <w:bottom w:val="nil"/>
            </w:tcBorders>
          </w:tcPr>
          <w:p>
            <w:pPr>
              <w:pStyle w:val="TableParagraph"/>
              <w:spacing w:line="217" w:lineRule="exact"/>
              <w:ind w:left="116" w:right="117"/>
              <w:rPr>
                <w:sz w:val="19"/>
              </w:rPr>
            </w:pPr>
            <w:r>
              <w:rPr>
                <w:color w:val="231F20"/>
                <w:sz w:val="19"/>
              </w:rPr>
              <w:t>39.8</w:t>
            </w:r>
          </w:p>
          <w:p>
            <w:pPr>
              <w:pStyle w:val="TableParagraph"/>
              <w:spacing w:before="2"/>
              <w:ind w:left="117" w:right="116"/>
              <w:rPr>
                <w:sz w:val="19"/>
              </w:rPr>
            </w:pPr>
            <w:r>
              <w:rPr>
                <w:color w:val="231F20"/>
                <w:sz w:val="19"/>
              </w:rPr>
              <w:t>(</w:t>
            </w:r>
            <w:r>
              <w:rPr>
                <w:color w:val="231F20"/>
                <w:sz w:val="19"/>
                <w:u w:val="single" w:color="231F20"/>
              </w:rPr>
              <w:t>+</w:t>
            </w:r>
            <w:r>
              <w:rPr>
                <w:color w:val="231F20"/>
                <w:sz w:val="19"/>
              </w:rPr>
              <w:t>19.40)</w:t>
            </w:r>
          </w:p>
        </w:tc>
        <w:tc>
          <w:tcPr>
            <w:tcW w:w="1056" w:type="dxa"/>
            <w:vMerge w:val="restart"/>
          </w:tcPr>
          <w:p>
            <w:pPr/>
          </w:p>
        </w:tc>
      </w:tr>
      <w:tr>
        <w:trPr>
          <w:trHeight w:val="200" w:hRule="exact"/>
        </w:trPr>
        <w:tc>
          <w:tcPr>
            <w:tcW w:w="1070" w:type="dxa"/>
            <w:tcBorders>
              <w:top w:val="nil"/>
            </w:tcBorders>
          </w:tcPr>
          <w:p>
            <w:pPr>
              <w:pStyle w:val="TableParagraph"/>
              <w:spacing w:line="192" w:lineRule="exact"/>
              <w:ind w:left="89" w:right="89"/>
              <w:rPr>
                <w:sz w:val="17"/>
              </w:rPr>
            </w:pPr>
            <w:r>
              <w:rPr>
                <w:color w:val="231F20"/>
                <w:w w:val="105"/>
                <w:sz w:val="17"/>
              </w:rPr>
              <w:t>(DE)</w:t>
            </w:r>
          </w:p>
        </w:tc>
        <w:tc>
          <w:tcPr>
            <w:tcW w:w="1056" w:type="dxa"/>
            <w:tcBorders>
              <w:top w:val="nil"/>
            </w:tcBorders>
          </w:tcPr>
          <w:p>
            <w:pPr/>
          </w:p>
        </w:tc>
        <w:tc>
          <w:tcPr>
            <w:tcW w:w="1056" w:type="dxa"/>
            <w:tcBorders>
              <w:top w:val="nil"/>
            </w:tcBorders>
          </w:tcPr>
          <w:p>
            <w:pPr/>
          </w:p>
        </w:tc>
        <w:tc>
          <w:tcPr>
            <w:tcW w:w="1056" w:type="dxa"/>
            <w:vMerge/>
          </w:tcPr>
          <w:p>
            <w:pPr/>
          </w:p>
        </w:tc>
      </w:tr>
    </w:tbl>
    <w:p>
      <w:pPr>
        <w:spacing w:line="160" w:lineRule="exact" w:before="3"/>
        <w:ind w:left="2401" w:right="858" w:firstLine="0"/>
        <w:jc w:val="left"/>
        <w:rPr>
          <w:sz w:val="14"/>
        </w:rPr>
      </w:pPr>
      <w:r>
        <w:rPr>
          <w:color w:val="231F20"/>
          <w:w w:val="105"/>
          <w:sz w:val="14"/>
        </w:rPr>
        <w:t>Fuente: Anexo 1</w:t>
      </w:r>
    </w:p>
    <w:p>
      <w:pPr>
        <w:spacing w:before="0"/>
        <w:ind w:left="1114" w:right="1069" w:firstLine="0"/>
        <w:jc w:val="center"/>
        <w:rPr>
          <w:sz w:val="16"/>
        </w:rPr>
      </w:pPr>
      <w:r>
        <w:rPr>
          <w:color w:val="231F20"/>
          <w:sz w:val="16"/>
        </w:rPr>
        <w:t>La relación de género para pacientes en diálisis peritoneal del Hospital General de Tlalnepantla durante el 2011 es de 1.45 mujeres por cada hombre.</w:t>
      </w:r>
    </w:p>
    <w:p>
      <w:pPr>
        <w:pStyle w:val="BodyText"/>
        <w:rPr>
          <w:sz w:val="16"/>
        </w:rPr>
      </w:pPr>
    </w:p>
    <w:p>
      <w:pPr>
        <w:pStyle w:val="BodyText"/>
        <w:spacing w:before="9"/>
        <w:rPr>
          <w:sz w:val="20"/>
        </w:rPr>
      </w:pPr>
    </w:p>
    <w:p>
      <w:pPr>
        <w:pStyle w:val="BodyText"/>
        <w:spacing w:line="242" w:lineRule="auto"/>
        <w:ind w:left="999" w:right="1002" w:firstLine="566"/>
        <w:jc w:val="both"/>
      </w:pPr>
      <w:r>
        <w:rPr>
          <w:color w:val="231F20"/>
        </w:rPr>
        <w:t>Entre los 20 pacientes que presentaron peritonitis asociada a diálisis peritoneal, el 75% (n= 15) corresponde al género femenino y el 25% (n= 5) al género masculino, con una relación de 3 femeninos por cada masculino con peritonitis asociada a diálisis peritoneal.</w:t>
      </w:r>
    </w:p>
    <w:p>
      <w:pPr>
        <w:pStyle w:val="BodyText"/>
        <w:rPr>
          <w:sz w:val="18"/>
        </w:rPr>
      </w:pPr>
    </w:p>
    <w:p>
      <w:pPr>
        <w:pStyle w:val="BodyText"/>
        <w:spacing w:before="4"/>
        <w:rPr>
          <w:sz w:val="20"/>
        </w:rPr>
      </w:pPr>
    </w:p>
    <w:p>
      <w:pPr>
        <w:pStyle w:val="BodyText"/>
        <w:spacing w:line="242" w:lineRule="auto" w:before="1"/>
        <w:ind w:left="999" w:right="994" w:firstLine="566"/>
        <w:jc w:val="both"/>
      </w:pPr>
      <w:r>
        <w:rPr>
          <w:color w:val="231F20"/>
        </w:rPr>
        <w:t>Tomando en cuenta los 76 pacientes en diálisis peritoneal y los 20 pacientes con peritonitis asociada a diálisis peritoneal en el 2011, se tiene una tasa de 26.31 peritonitis asociada a diálisis peritoneal por cada 100 pacientes con IRC en diálisis del Hospital General de Tlalnepantla en el 2011 </w:t>
      </w:r>
      <w:r>
        <w:rPr>
          <w:b/>
          <w:color w:val="231F20"/>
        </w:rPr>
        <w:t>(Tabla</w:t>
      </w:r>
      <w:r>
        <w:rPr>
          <w:b/>
          <w:color w:val="231F20"/>
          <w:spacing w:val="52"/>
        </w:rPr>
        <w:t> </w:t>
      </w:r>
      <w:r>
        <w:rPr>
          <w:b/>
          <w:color w:val="231F20"/>
        </w:rPr>
        <w:t>3)</w:t>
      </w:r>
      <w:r>
        <w:rPr>
          <w:color w:val="231F20"/>
        </w:rPr>
        <w:t>.</w:t>
      </w:r>
    </w:p>
    <w:p>
      <w:pPr>
        <w:pStyle w:val="BodyText"/>
        <w:rPr>
          <w:sz w:val="18"/>
        </w:rPr>
      </w:pPr>
    </w:p>
    <w:p>
      <w:pPr>
        <w:pStyle w:val="BodyText"/>
        <w:spacing w:before="4"/>
        <w:rPr>
          <w:sz w:val="20"/>
        </w:rPr>
      </w:pPr>
    </w:p>
    <w:p>
      <w:pPr>
        <w:pStyle w:val="BodyText"/>
        <w:spacing w:line="242" w:lineRule="auto" w:before="1"/>
        <w:ind w:left="1014" w:right="1018"/>
        <w:jc w:val="center"/>
      </w:pPr>
      <w:r>
        <w:rPr>
          <w:b/>
          <w:color w:val="231F20"/>
        </w:rPr>
        <w:t>Tabla 3. </w:t>
      </w:r>
      <w:r>
        <w:rPr>
          <w:color w:val="231F20"/>
        </w:rPr>
        <w:t>Tasa de peritonitis asociada a diálisis peritoneal en el Hospital General de Tlalnepantla en el 2011.</w:t>
      </w:r>
    </w:p>
    <w:p>
      <w:pPr>
        <w:pStyle w:val="BodyText"/>
        <w:rPr>
          <w:sz w:val="20"/>
        </w:rPr>
      </w:pPr>
    </w:p>
    <w:p>
      <w:pPr>
        <w:pStyle w:val="BodyText"/>
        <w:spacing w:before="6"/>
        <w:rPr>
          <w:sz w:val="18"/>
        </w:rPr>
      </w:pPr>
    </w:p>
    <w:tbl>
      <w:tblPr>
        <w:tblW w:w="0" w:type="auto"/>
        <w:jc w:val="left"/>
        <w:tblInd w:w="1743"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2487"/>
        <w:gridCol w:w="2819"/>
      </w:tblGrid>
      <w:tr>
        <w:trPr>
          <w:trHeight w:val="413" w:hRule="exact"/>
        </w:trPr>
        <w:tc>
          <w:tcPr>
            <w:tcW w:w="5306" w:type="dxa"/>
            <w:gridSpan w:val="2"/>
          </w:tcPr>
          <w:p>
            <w:pPr>
              <w:pStyle w:val="TableParagraph"/>
              <w:spacing w:line="249" w:lineRule="auto" w:before="2"/>
              <w:ind w:left="2139" w:right="48" w:hanging="2007"/>
              <w:jc w:val="left"/>
              <w:rPr>
                <w:b/>
                <w:sz w:val="17"/>
              </w:rPr>
            </w:pPr>
            <w:r>
              <w:rPr>
                <w:b/>
                <w:color w:val="231F20"/>
                <w:w w:val="105"/>
                <w:sz w:val="17"/>
              </w:rPr>
              <w:t>No. De casos de peritonitis / No. De casos en riesgo de peri- tonitis x 100</w:t>
            </w:r>
          </w:p>
        </w:tc>
      </w:tr>
      <w:tr>
        <w:trPr>
          <w:trHeight w:val="413" w:hRule="exact"/>
        </w:trPr>
        <w:tc>
          <w:tcPr>
            <w:tcW w:w="2487" w:type="dxa"/>
          </w:tcPr>
          <w:p>
            <w:pPr>
              <w:pStyle w:val="TableParagraph"/>
              <w:spacing w:line="249" w:lineRule="auto" w:before="3"/>
              <w:ind w:left="1131" w:hanging="1053"/>
              <w:jc w:val="left"/>
              <w:rPr>
                <w:sz w:val="17"/>
              </w:rPr>
            </w:pPr>
            <w:r>
              <w:rPr>
                <w:color w:val="231F20"/>
                <w:w w:val="105"/>
                <w:sz w:val="17"/>
              </w:rPr>
              <w:t>20 peritonitis asociada a diáli- sis</w:t>
            </w:r>
          </w:p>
        </w:tc>
        <w:tc>
          <w:tcPr>
            <w:tcW w:w="2819" w:type="dxa"/>
          </w:tcPr>
          <w:p>
            <w:pPr>
              <w:pStyle w:val="TableParagraph"/>
              <w:spacing w:line="249" w:lineRule="auto" w:before="3"/>
              <w:ind w:left="1317" w:right="-1" w:hanging="1264"/>
              <w:jc w:val="left"/>
              <w:rPr>
                <w:sz w:val="17"/>
              </w:rPr>
            </w:pPr>
            <w:r>
              <w:rPr>
                <w:color w:val="231F20"/>
                <w:w w:val="105"/>
                <w:sz w:val="17"/>
              </w:rPr>
              <w:t>76 pacientes en riesgo de peritoni- tis</w:t>
            </w:r>
          </w:p>
        </w:tc>
      </w:tr>
      <w:tr>
        <w:trPr>
          <w:trHeight w:val="261" w:hRule="exact"/>
        </w:trPr>
        <w:tc>
          <w:tcPr>
            <w:tcW w:w="5306" w:type="dxa"/>
            <w:gridSpan w:val="2"/>
          </w:tcPr>
          <w:p>
            <w:pPr>
              <w:pStyle w:val="TableParagraph"/>
              <w:spacing w:before="31"/>
              <w:ind w:left="1732" w:right="48"/>
              <w:jc w:val="left"/>
              <w:rPr>
                <w:sz w:val="19"/>
              </w:rPr>
            </w:pPr>
            <w:r>
              <w:rPr>
                <w:color w:val="231F20"/>
                <w:sz w:val="19"/>
              </w:rPr>
              <w:t>TASA= 20/76 X (100)</w:t>
            </w:r>
          </w:p>
        </w:tc>
      </w:tr>
    </w:tbl>
    <w:p>
      <w:pPr>
        <w:spacing w:before="3"/>
        <w:ind w:left="1880" w:right="858" w:firstLine="0"/>
        <w:jc w:val="left"/>
        <w:rPr>
          <w:sz w:val="14"/>
        </w:rPr>
      </w:pPr>
      <w:r>
        <w:rPr>
          <w:color w:val="231F20"/>
          <w:w w:val="105"/>
          <w:sz w:val="14"/>
        </w:rPr>
        <w:t>Fuente: Anexo 1</w:t>
      </w:r>
    </w:p>
    <w:p>
      <w:pPr>
        <w:pStyle w:val="BodyText"/>
        <w:spacing w:before="10"/>
        <w:rPr>
          <w:sz w:val="18"/>
        </w:rPr>
      </w:pPr>
    </w:p>
    <w:p>
      <w:pPr>
        <w:spacing w:before="0"/>
        <w:ind w:left="1202" w:right="858" w:firstLine="57"/>
        <w:jc w:val="left"/>
        <w:rPr>
          <w:i/>
          <w:sz w:val="16"/>
        </w:rPr>
      </w:pPr>
      <w:r>
        <w:rPr>
          <w:i/>
          <w:color w:val="231F20"/>
          <w:sz w:val="16"/>
        </w:rPr>
        <w:t>Tasa de pacientes con peritonitis asociada a diálisis peritoneal en el Hospital General de </w:t>
      </w:r>
      <w:r>
        <w:rPr>
          <w:i/>
          <w:color w:val="231F20"/>
          <w:sz w:val="16"/>
        </w:rPr>
        <w:t>Tlalnepantla en el 2011 es de 26.31 peritonitis por cada 100 pacientes con IRC en diálisis.</w:t>
      </w:r>
    </w:p>
    <w:p>
      <w:pPr>
        <w:pStyle w:val="BodyText"/>
        <w:rPr>
          <w:i/>
          <w:sz w:val="16"/>
        </w:rPr>
      </w:pPr>
    </w:p>
    <w:p>
      <w:pPr>
        <w:pStyle w:val="BodyText"/>
        <w:rPr>
          <w:i/>
          <w:sz w:val="16"/>
        </w:rPr>
      </w:pPr>
    </w:p>
    <w:p>
      <w:pPr>
        <w:pStyle w:val="BodyText"/>
        <w:rPr>
          <w:i/>
          <w:sz w:val="16"/>
        </w:rPr>
      </w:pPr>
    </w:p>
    <w:p>
      <w:pPr>
        <w:pStyle w:val="BodyText"/>
        <w:spacing w:line="242" w:lineRule="auto" w:before="113"/>
        <w:ind w:left="999" w:right="995" w:firstLine="566"/>
        <w:jc w:val="both"/>
        <w:rPr>
          <w:b/>
        </w:rPr>
      </w:pPr>
      <w:r>
        <w:rPr>
          <w:color w:val="231F20"/>
        </w:rPr>
        <w:t>De los 20 casos registrados de peritonitis asociada a diálisis peritoneal   en el 2011, el agente etiológico más común fue Staphylococcus aureus (15%), seguido de Pseudomona aeruginosa (10%), Staphylococcus coagulasa  negativo (5%), Escherichia coli (5%) y Micrococcus sp (5%), sin embargo hay una mayoría de pacientes que no tuvieron cultivo (50%) y otros no hubo desarrollo (10%) </w:t>
      </w:r>
      <w:r>
        <w:rPr>
          <w:b/>
          <w:color w:val="231F20"/>
        </w:rPr>
        <w:t>(Tabla 4, Grafico</w:t>
      </w:r>
      <w:r>
        <w:rPr>
          <w:b/>
          <w:color w:val="231F20"/>
          <w:spacing w:val="26"/>
        </w:rPr>
        <w:t> </w:t>
      </w:r>
      <w:r>
        <w:rPr>
          <w:b/>
          <w:color w:val="231F20"/>
        </w:rPr>
        <w:t>1).</w:t>
      </w:r>
    </w:p>
    <w:p>
      <w:pPr>
        <w:spacing w:after="0" w:line="242" w:lineRule="auto"/>
        <w:jc w:val="both"/>
        <w:sectPr>
          <w:pgSz w:w="12240" w:h="15840"/>
          <w:pgMar w:header="0" w:footer="1972" w:top="1500" w:bottom="2160" w:left="1720" w:right="1720"/>
        </w:sectPr>
      </w:pPr>
    </w:p>
    <w:p>
      <w:pPr>
        <w:pStyle w:val="BodyText"/>
        <w:rPr>
          <w:b/>
          <w:sz w:val="20"/>
        </w:rPr>
      </w:pPr>
    </w:p>
    <w:p>
      <w:pPr>
        <w:pStyle w:val="BodyText"/>
        <w:rPr>
          <w:b/>
          <w:sz w:val="20"/>
        </w:rPr>
      </w:pPr>
    </w:p>
    <w:p>
      <w:pPr>
        <w:pStyle w:val="BodyText"/>
        <w:spacing w:before="2"/>
        <w:rPr>
          <w:b/>
          <w:sz w:val="24"/>
        </w:rPr>
      </w:pPr>
    </w:p>
    <w:p>
      <w:pPr>
        <w:pStyle w:val="BodyText"/>
        <w:spacing w:line="242" w:lineRule="auto" w:before="78"/>
        <w:ind w:left="1816" w:right="858" w:hanging="169"/>
      </w:pPr>
      <w:r>
        <w:rPr>
          <w:b/>
          <w:color w:val="231F20"/>
        </w:rPr>
        <w:t>Tabla 4. </w:t>
      </w:r>
      <w:r>
        <w:rPr>
          <w:color w:val="231F20"/>
        </w:rPr>
        <w:t>Agente etiológico más común en peritonitis asociada a Diálisis peritoneal en el Hospital General de Tlalnepantla en el 2011.</w:t>
      </w:r>
    </w:p>
    <w:p>
      <w:pPr>
        <w:pStyle w:val="BodyText"/>
        <w:rPr>
          <w:sz w:val="20"/>
        </w:rPr>
      </w:pPr>
    </w:p>
    <w:p>
      <w:pPr>
        <w:pStyle w:val="BodyText"/>
        <w:spacing w:before="4"/>
        <w:rPr>
          <w:sz w:val="15"/>
        </w:rPr>
      </w:pPr>
    </w:p>
    <w:tbl>
      <w:tblPr>
        <w:tblW w:w="0" w:type="auto"/>
        <w:jc w:val="left"/>
        <w:tblInd w:w="1759"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3503"/>
        <w:gridCol w:w="1773"/>
      </w:tblGrid>
      <w:tr>
        <w:trPr>
          <w:trHeight w:val="413" w:hRule="exact"/>
        </w:trPr>
        <w:tc>
          <w:tcPr>
            <w:tcW w:w="3503" w:type="dxa"/>
          </w:tcPr>
          <w:p>
            <w:pPr>
              <w:pStyle w:val="TableParagraph"/>
              <w:spacing w:line="249" w:lineRule="auto" w:before="2"/>
              <w:ind w:left="1236" w:hanging="1136"/>
              <w:jc w:val="left"/>
              <w:rPr>
                <w:b/>
                <w:sz w:val="17"/>
              </w:rPr>
            </w:pPr>
            <w:r>
              <w:rPr>
                <w:b/>
                <w:color w:val="231F20"/>
                <w:w w:val="105"/>
                <w:sz w:val="17"/>
              </w:rPr>
              <w:t>Agente etiológico en peritonitis asocia- da a Diálisis</w:t>
            </w:r>
          </w:p>
        </w:tc>
        <w:tc>
          <w:tcPr>
            <w:tcW w:w="1773" w:type="dxa"/>
          </w:tcPr>
          <w:p>
            <w:pPr>
              <w:pStyle w:val="TableParagraph"/>
              <w:spacing w:before="9"/>
              <w:jc w:val="left"/>
              <w:rPr>
                <w:sz w:val="17"/>
              </w:rPr>
            </w:pPr>
          </w:p>
          <w:p>
            <w:pPr>
              <w:pStyle w:val="TableParagraph"/>
              <w:spacing w:before="1"/>
              <w:ind w:left="215" w:right="215"/>
              <w:rPr>
                <w:b/>
                <w:sz w:val="17"/>
              </w:rPr>
            </w:pPr>
            <w:r>
              <w:rPr>
                <w:b/>
                <w:color w:val="231F20"/>
                <w:w w:val="105"/>
                <w:sz w:val="17"/>
              </w:rPr>
              <w:t>Porcentaje (n=)</w:t>
            </w:r>
          </w:p>
        </w:tc>
      </w:tr>
      <w:tr>
        <w:trPr>
          <w:trHeight w:val="236" w:hRule="exact"/>
        </w:trPr>
        <w:tc>
          <w:tcPr>
            <w:tcW w:w="3503" w:type="dxa"/>
          </w:tcPr>
          <w:p>
            <w:pPr>
              <w:pStyle w:val="TableParagraph"/>
              <w:spacing w:before="30"/>
              <w:ind w:left="51"/>
              <w:jc w:val="left"/>
              <w:rPr>
                <w:sz w:val="17"/>
              </w:rPr>
            </w:pPr>
            <w:r>
              <w:rPr>
                <w:color w:val="231F20"/>
                <w:sz w:val="17"/>
              </w:rPr>
              <w:t>Staphylococcus aureus</w:t>
            </w:r>
          </w:p>
        </w:tc>
        <w:tc>
          <w:tcPr>
            <w:tcW w:w="1773" w:type="dxa"/>
          </w:tcPr>
          <w:p>
            <w:pPr>
              <w:pStyle w:val="TableParagraph"/>
              <w:spacing w:before="30"/>
              <w:ind w:left="215" w:right="214"/>
              <w:rPr>
                <w:sz w:val="17"/>
              </w:rPr>
            </w:pPr>
            <w:r>
              <w:rPr>
                <w:color w:val="231F20"/>
                <w:w w:val="105"/>
                <w:sz w:val="17"/>
              </w:rPr>
              <w:t>15% (3)</w:t>
            </w:r>
          </w:p>
        </w:tc>
      </w:tr>
      <w:tr>
        <w:trPr>
          <w:trHeight w:val="236" w:hRule="exact"/>
        </w:trPr>
        <w:tc>
          <w:tcPr>
            <w:tcW w:w="3503" w:type="dxa"/>
          </w:tcPr>
          <w:p>
            <w:pPr>
              <w:pStyle w:val="TableParagraph"/>
              <w:spacing w:before="30"/>
              <w:ind w:left="51"/>
              <w:jc w:val="left"/>
              <w:rPr>
                <w:sz w:val="17"/>
              </w:rPr>
            </w:pPr>
            <w:r>
              <w:rPr>
                <w:color w:val="231F20"/>
                <w:sz w:val="17"/>
              </w:rPr>
              <w:t>Pseudomona  aeruginosa</w:t>
            </w:r>
          </w:p>
        </w:tc>
        <w:tc>
          <w:tcPr>
            <w:tcW w:w="1773" w:type="dxa"/>
          </w:tcPr>
          <w:p>
            <w:pPr>
              <w:pStyle w:val="TableParagraph"/>
              <w:spacing w:before="30"/>
              <w:ind w:left="215" w:right="214"/>
              <w:rPr>
                <w:sz w:val="17"/>
              </w:rPr>
            </w:pPr>
            <w:r>
              <w:rPr>
                <w:color w:val="231F20"/>
                <w:w w:val="105"/>
                <w:sz w:val="17"/>
              </w:rPr>
              <w:t>10% (2)</w:t>
            </w:r>
          </w:p>
        </w:tc>
      </w:tr>
      <w:tr>
        <w:trPr>
          <w:trHeight w:val="236" w:hRule="exact"/>
        </w:trPr>
        <w:tc>
          <w:tcPr>
            <w:tcW w:w="3503" w:type="dxa"/>
          </w:tcPr>
          <w:p>
            <w:pPr>
              <w:pStyle w:val="TableParagraph"/>
              <w:spacing w:before="30"/>
              <w:ind w:left="51"/>
              <w:jc w:val="left"/>
              <w:rPr>
                <w:sz w:val="17"/>
              </w:rPr>
            </w:pPr>
            <w:r>
              <w:rPr>
                <w:color w:val="231F20"/>
                <w:w w:val="105"/>
                <w:sz w:val="17"/>
              </w:rPr>
              <w:t>Escherichia coli</w:t>
            </w:r>
          </w:p>
        </w:tc>
        <w:tc>
          <w:tcPr>
            <w:tcW w:w="1773" w:type="dxa"/>
          </w:tcPr>
          <w:p>
            <w:pPr>
              <w:pStyle w:val="TableParagraph"/>
              <w:spacing w:before="30"/>
              <w:ind w:left="215" w:right="215"/>
              <w:rPr>
                <w:sz w:val="17"/>
              </w:rPr>
            </w:pPr>
            <w:r>
              <w:rPr>
                <w:color w:val="231F20"/>
                <w:w w:val="105"/>
                <w:sz w:val="17"/>
              </w:rPr>
              <w:t>5% (1)</w:t>
            </w:r>
          </w:p>
        </w:tc>
      </w:tr>
      <w:tr>
        <w:trPr>
          <w:trHeight w:val="236" w:hRule="exact"/>
        </w:trPr>
        <w:tc>
          <w:tcPr>
            <w:tcW w:w="3503" w:type="dxa"/>
          </w:tcPr>
          <w:p>
            <w:pPr>
              <w:pStyle w:val="TableParagraph"/>
              <w:spacing w:before="28"/>
              <w:ind w:left="51"/>
              <w:jc w:val="left"/>
              <w:rPr>
                <w:sz w:val="17"/>
              </w:rPr>
            </w:pPr>
            <w:r>
              <w:rPr>
                <w:color w:val="231F20"/>
                <w:w w:val="105"/>
                <w:sz w:val="17"/>
              </w:rPr>
              <w:t>Staphylococcus coagulasa negativo</w:t>
            </w:r>
          </w:p>
        </w:tc>
        <w:tc>
          <w:tcPr>
            <w:tcW w:w="1773" w:type="dxa"/>
          </w:tcPr>
          <w:p>
            <w:pPr>
              <w:pStyle w:val="TableParagraph"/>
              <w:spacing w:before="28"/>
              <w:ind w:left="215" w:right="215"/>
              <w:rPr>
                <w:sz w:val="17"/>
              </w:rPr>
            </w:pPr>
            <w:r>
              <w:rPr>
                <w:color w:val="231F20"/>
                <w:w w:val="105"/>
                <w:sz w:val="17"/>
              </w:rPr>
              <w:t>5% (1)</w:t>
            </w:r>
          </w:p>
        </w:tc>
      </w:tr>
      <w:tr>
        <w:trPr>
          <w:trHeight w:val="236" w:hRule="exact"/>
        </w:trPr>
        <w:tc>
          <w:tcPr>
            <w:tcW w:w="3503" w:type="dxa"/>
          </w:tcPr>
          <w:p>
            <w:pPr>
              <w:pStyle w:val="TableParagraph"/>
              <w:spacing w:before="28"/>
              <w:ind w:left="51"/>
              <w:jc w:val="left"/>
              <w:rPr>
                <w:sz w:val="17"/>
              </w:rPr>
            </w:pPr>
            <w:r>
              <w:rPr>
                <w:color w:val="231F20"/>
                <w:w w:val="105"/>
                <w:sz w:val="17"/>
              </w:rPr>
              <w:t>Micrococcus sp</w:t>
            </w:r>
          </w:p>
        </w:tc>
        <w:tc>
          <w:tcPr>
            <w:tcW w:w="1773" w:type="dxa"/>
          </w:tcPr>
          <w:p>
            <w:pPr>
              <w:pStyle w:val="TableParagraph"/>
              <w:spacing w:before="28"/>
              <w:ind w:left="215" w:right="215"/>
              <w:rPr>
                <w:sz w:val="17"/>
              </w:rPr>
            </w:pPr>
            <w:r>
              <w:rPr>
                <w:color w:val="231F20"/>
                <w:w w:val="105"/>
                <w:sz w:val="17"/>
              </w:rPr>
              <w:t>5% (1)</w:t>
            </w:r>
          </w:p>
        </w:tc>
      </w:tr>
      <w:tr>
        <w:trPr>
          <w:trHeight w:val="236" w:hRule="exact"/>
        </w:trPr>
        <w:tc>
          <w:tcPr>
            <w:tcW w:w="3503" w:type="dxa"/>
          </w:tcPr>
          <w:p>
            <w:pPr>
              <w:pStyle w:val="TableParagraph"/>
              <w:spacing w:before="28"/>
              <w:ind w:left="51"/>
              <w:jc w:val="left"/>
              <w:rPr>
                <w:sz w:val="17"/>
              </w:rPr>
            </w:pPr>
            <w:r>
              <w:rPr>
                <w:color w:val="231F20"/>
                <w:w w:val="105"/>
                <w:sz w:val="17"/>
              </w:rPr>
              <w:t>Sin desarrollo</w:t>
            </w:r>
          </w:p>
        </w:tc>
        <w:tc>
          <w:tcPr>
            <w:tcW w:w="1773" w:type="dxa"/>
          </w:tcPr>
          <w:p>
            <w:pPr>
              <w:pStyle w:val="TableParagraph"/>
              <w:spacing w:before="28"/>
              <w:ind w:left="215" w:right="214"/>
              <w:rPr>
                <w:sz w:val="17"/>
              </w:rPr>
            </w:pPr>
            <w:r>
              <w:rPr>
                <w:color w:val="231F20"/>
                <w:w w:val="105"/>
                <w:sz w:val="17"/>
              </w:rPr>
              <w:t>10% (2)</w:t>
            </w:r>
          </w:p>
        </w:tc>
      </w:tr>
      <w:tr>
        <w:trPr>
          <w:trHeight w:val="237" w:hRule="exact"/>
        </w:trPr>
        <w:tc>
          <w:tcPr>
            <w:tcW w:w="3503" w:type="dxa"/>
          </w:tcPr>
          <w:p>
            <w:pPr>
              <w:pStyle w:val="TableParagraph"/>
              <w:spacing w:before="29"/>
              <w:ind w:left="51"/>
              <w:jc w:val="left"/>
              <w:rPr>
                <w:sz w:val="17"/>
              </w:rPr>
            </w:pPr>
            <w:r>
              <w:rPr>
                <w:color w:val="231F20"/>
                <w:w w:val="105"/>
                <w:sz w:val="17"/>
              </w:rPr>
              <w:t>Sin cultivo</w:t>
            </w:r>
          </w:p>
        </w:tc>
        <w:tc>
          <w:tcPr>
            <w:tcW w:w="1773" w:type="dxa"/>
          </w:tcPr>
          <w:p>
            <w:pPr>
              <w:pStyle w:val="TableParagraph"/>
              <w:spacing w:before="29"/>
              <w:ind w:left="215" w:right="215"/>
              <w:rPr>
                <w:sz w:val="17"/>
              </w:rPr>
            </w:pPr>
            <w:r>
              <w:rPr>
                <w:color w:val="231F20"/>
                <w:w w:val="105"/>
                <w:sz w:val="17"/>
              </w:rPr>
              <w:t>50% (10)</w:t>
            </w:r>
          </w:p>
        </w:tc>
      </w:tr>
    </w:tbl>
    <w:p>
      <w:pPr>
        <w:pStyle w:val="BodyText"/>
        <w:spacing w:before="2"/>
        <w:rPr>
          <w:sz w:val="7"/>
        </w:rPr>
      </w:pPr>
    </w:p>
    <w:p>
      <w:pPr>
        <w:spacing w:before="85"/>
        <w:ind w:left="2001" w:right="858" w:firstLine="0"/>
        <w:jc w:val="left"/>
        <w:rPr>
          <w:sz w:val="14"/>
        </w:rPr>
      </w:pPr>
      <w:r>
        <w:rPr>
          <w:color w:val="231F20"/>
          <w:w w:val="105"/>
          <w:sz w:val="14"/>
        </w:rPr>
        <w:t>Fuente: Anexo 1</w:t>
      </w:r>
    </w:p>
    <w:p>
      <w:pPr>
        <w:pStyle w:val="BodyText"/>
        <w:rPr>
          <w:sz w:val="20"/>
        </w:rPr>
      </w:pPr>
    </w:p>
    <w:p>
      <w:pPr>
        <w:pStyle w:val="BodyText"/>
        <w:spacing w:before="4"/>
        <w:rPr>
          <w:sz w:val="18"/>
        </w:rPr>
      </w:pPr>
    </w:p>
    <w:p>
      <w:pPr>
        <w:pStyle w:val="Heading1"/>
        <w:ind w:left="999" w:right="858"/>
      </w:pPr>
      <w:r>
        <w:rPr>
          <w:color w:val="231F20"/>
        </w:rPr>
        <w:t>Grafico 1</w:t>
      </w:r>
    </w:p>
    <w:p>
      <w:pPr>
        <w:pStyle w:val="BodyText"/>
        <w:rPr>
          <w:b/>
          <w:sz w:val="20"/>
        </w:rPr>
      </w:pPr>
    </w:p>
    <w:p>
      <w:pPr>
        <w:pStyle w:val="BodyText"/>
        <w:spacing w:before="9"/>
        <w:rPr>
          <w:b/>
          <w:sz w:val="14"/>
        </w:rPr>
      </w:pPr>
      <w:r>
        <w:rPr/>
        <w:pict>
          <v:group style="position:absolute;margin-left:161.692001pt;margin-top:10.460193pt;width:288.6pt;height:173.4pt;mso-position-horizontal-relative:page;mso-position-vertical-relative:paragraph;z-index:1264;mso-wrap-distance-left:0;mso-wrap-distance-right:0" coordorigin="3234,209" coordsize="5772,3468">
            <v:shape style="position:absolute;left:4179;top:958;width:4084;height:1187" type="#_x0000_t75" stroked="false">
              <v:imagedata r:id="rId11" o:title=""/>
            </v:shape>
            <v:line style="position:absolute" from="3966,2654" to="4045,2654" stroked="true" strokeweight="3.955pt" strokecolor="#0071ac"/>
            <v:line style="position:absolute" from="6171,2654" to="6250,2654" stroked="true" strokeweight="3.955pt" strokecolor="#c73639"/>
            <v:line style="position:absolute" from="3966,2924" to="4045,2924" stroked="true" strokeweight="3.955pt" strokecolor="#6fa748"/>
            <v:line style="position:absolute" from="6171,2924" to="6250,2924" stroked="true" strokeweight="3.955pt" strokecolor="#744c91"/>
            <v:line style="position:absolute" from="3966,3194" to="4045,3194" stroked="true" strokeweight="3.955pt" strokecolor="#009fb2"/>
            <v:line style="position:absolute" from="6171,3194" to="6250,3194" stroked="true" strokeweight="3.955pt" strokecolor="#f4792f"/>
            <v:line style="position:absolute" from="3966,3464" to="4045,3464" stroked="true" strokeweight="3.955pt" strokecolor="#75a1cc"/>
            <v:rect style="position:absolute;left:3240;top:215;width:5760;height:3456" filled="false" stroked="true" strokeweight=".6pt" strokecolor="#989a9d"/>
            <v:shape style="position:absolute;left:3895;top:372;width:4450;height:384" type="#_x0000_t202" filled="false" stroked="false">
              <v:textbox inset="0,0,0,0">
                <w:txbxContent>
                  <w:p>
                    <w:pPr>
                      <w:spacing w:line="175" w:lineRule="exact" w:before="0"/>
                      <w:ind w:left="74" w:right="0" w:hanging="75"/>
                      <w:jc w:val="left"/>
                      <w:rPr>
                        <w:rFonts w:ascii="Calibri" w:hAnsi="Calibri"/>
                        <w:b/>
                        <w:sz w:val="17"/>
                      </w:rPr>
                    </w:pPr>
                    <w:r>
                      <w:rPr>
                        <w:rFonts w:ascii="Calibri" w:hAnsi="Calibri"/>
                        <w:b/>
                        <w:color w:val="231F20"/>
                        <w:sz w:val="17"/>
                      </w:rPr>
                      <w:t>Agente etiológico mas común en peritonitis asociada a Diálisis</w:t>
                    </w:r>
                  </w:p>
                  <w:p>
                    <w:pPr>
                      <w:spacing w:line="205" w:lineRule="exact" w:before="3"/>
                      <w:ind w:left="74" w:right="0" w:firstLine="0"/>
                      <w:jc w:val="left"/>
                      <w:rPr>
                        <w:rFonts w:ascii="Calibri"/>
                        <w:b/>
                        <w:sz w:val="17"/>
                      </w:rPr>
                    </w:pPr>
                    <w:r>
                      <w:rPr>
                        <w:rFonts w:ascii="Calibri"/>
                        <w:b/>
                        <w:color w:val="231F20"/>
                        <w:sz w:val="17"/>
                      </w:rPr>
                      <w:t>peritoneal en el Hospital General de Tlalnepantla en el  2011</w:t>
                    </w:r>
                  </w:p>
                </w:txbxContent>
              </v:textbox>
              <w10:wrap type="none"/>
            </v:shape>
            <v:shape style="position:absolute;left:3924;top:1237;width:146;height:974" type="#_x0000_t202" filled="false" stroked="false">
              <v:textbox inset="0,0,0,0">
                <w:txbxContent>
                  <w:p>
                    <w:pPr>
                      <w:spacing w:line="146" w:lineRule="exact" w:before="0"/>
                      <w:ind w:left="0" w:right="-16" w:firstLine="0"/>
                      <w:jc w:val="left"/>
                      <w:rPr>
                        <w:rFonts w:ascii="Calibri"/>
                        <w:sz w:val="14"/>
                      </w:rPr>
                    </w:pPr>
                    <w:r>
                      <w:rPr>
                        <w:rFonts w:ascii="Calibri"/>
                        <w:color w:val="231F20"/>
                        <w:sz w:val="14"/>
                      </w:rPr>
                      <w:t>10</w:t>
                    </w:r>
                  </w:p>
                  <w:p>
                    <w:pPr>
                      <w:spacing w:line="240" w:lineRule="auto" w:before="0"/>
                      <w:rPr>
                        <w:b/>
                        <w:sz w:val="14"/>
                      </w:rPr>
                    </w:pPr>
                  </w:p>
                  <w:p>
                    <w:pPr>
                      <w:spacing w:before="83"/>
                      <w:ind w:left="72" w:right="0" w:firstLine="0"/>
                      <w:jc w:val="left"/>
                      <w:rPr>
                        <w:rFonts w:ascii="Calibri"/>
                        <w:sz w:val="14"/>
                      </w:rPr>
                    </w:pPr>
                    <w:r>
                      <w:rPr>
                        <w:rFonts w:ascii="Calibri"/>
                        <w:color w:val="231F20"/>
                        <w:w w:val="102"/>
                        <w:sz w:val="14"/>
                      </w:rPr>
                      <w:t>5</w:t>
                    </w:r>
                  </w:p>
                  <w:p>
                    <w:pPr>
                      <w:spacing w:line="240" w:lineRule="auto" w:before="0"/>
                      <w:rPr>
                        <w:b/>
                        <w:sz w:val="14"/>
                      </w:rPr>
                    </w:pPr>
                  </w:p>
                  <w:p>
                    <w:pPr>
                      <w:spacing w:line="169" w:lineRule="exact" w:before="83"/>
                      <w:ind w:left="72" w:right="0" w:firstLine="0"/>
                      <w:jc w:val="left"/>
                      <w:rPr>
                        <w:rFonts w:ascii="Calibri"/>
                        <w:sz w:val="14"/>
                      </w:rPr>
                    </w:pPr>
                    <w:r>
                      <w:rPr>
                        <w:rFonts w:ascii="Calibri"/>
                        <w:color w:val="231F20"/>
                        <w:w w:val="102"/>
                        <w:sz w:val="14"/>
                      </w:rPr>
                      <w:t>0</w:t>
                    </w:r>
                  </w:p>
                </w:txbxContent>
              </v:textbox>
              <w10:wrap type="none"/>
            </v:shape>
            <v:shape style="position:absolute;left:5789;top:2246;width:421;height:144" type="#_x0000_t202" filled="false" stroked="false">
              <v:textbox inset="0,0,0,0">
                <w:txbxContent>
                  <w:p>
                    <w:pPr>
                      <w:spacing w:line="144" w:lineRule="exact" w:before="0"/>
                      <w:ind w:left="0" w:right="-18" w:firstLine="0"/>
                      <w:jc w:val="left"/>
                      <w:rPr>
                        <w:rFonts w:ascii="Calibri"/>
                        <w:sz w:val="14"/>
                      </w:rPr>
                    </w:pPr>
                    <w:r>
                      <w:rPr>
                        <w:rFonts w:ascii="Calibri"/>
                        <w:color w:val="231F20"/>
                        <w:w w:val="105"/>
                        <w:sz w:val="14"/>
                      </w:rPr>
                      <w:t>#</w:t>
                    </w:r>
                    <w:r>
                      <w:rPr>
                        <w:rFonts w:ascii="Calibri"/>
                        <w:color w:val="231F20"/>
                        <w:spacing w:val="-13"/>
                        <w:w w:val="105"/>
                        <w:sz w:val="14"/>
                      </w:rPr>
                      <w:t> </w:t>
                    </w:r>
                    <w:r>
                      <w:rPr>
                        <w:rFonts w:ascii="Calibri"/>
                        <w:color w:val="231F20"/>
                        <w:w w:val="105"/>
                        <w:sz w:val="14"/>
                      </w:rPr>
                      <w:t>casos</w:t>
                    </w:r>
                  </w:p>
                </w:txbxContent>
              </v:textbox>
              <w10:wrap type="none"/>
            </v:shape>
            <v:shape style="position:absolute;left:4079;top:2588;width:1325;height:955" type="#_x0000_t202" filled="false" stroked="false">
              <v:textbox inset="0,0,0,0">
                <w:txbxContent>
                  <w:p>
                    <w:pPr>
                      <w:spacing w:line="146" w:lineRule="exact" w:before="0"/>
                      <w:ind w:left="0" w:right="0" w:firstLine="0"/>
                      <w:jc w:val="left"/>
                      <w:rPr>
                        <w:rFonts w:ascii="Calibri"/>
                        <w:sz w:val="14"/>
                      </w:rPr>
                    </w:pPr>
                    <w:r>
                      <w:rPr>
                        <w:rFonts w:ascii="Calibri"/>
                        <w:color w:val="231F20"/>
                        <w:sz w:val="14"/>
                      </w:rPr>
                      <w:t>Staphylococcus aureus</w:t>
                    </w:r>
                  </w:p>
                  <w:p>
                    <w:pPr>
                      <w:spacing w:line="270" w:lineRule="exact" w:before="16"/>
                      <w:ind w:left="0" w:right="283" w:firstLine="0"/>
                      <w:jc w:val="left"/>
                      <w:rPr>
                        <w:rFonts w:ascii="Calibri"/>
                        <w:sz w:val="14"/>
                      </w:rPr>
                    </w:pPr>
                    <w:r>
                      <w:rPr>
                        <w:rFonts w:ascii="Calibri"/>
                        <w:color w:val="231F20"/>
                        <w:w w:val="105"/>
                        <w:sz w:val="14"/>
                      </w:rPr>
                      <w:t>E coli Micrococcus sp Sin cultivo</w:t>
                    </w:r>
                  </w:p>
                </w:txbxContent>
              </v:textbox>
              <w10:wrap type="none"/>
            </v:shape>
            <v:shape style="position:absolute;left:6285;top:2588;width:2043;height:685" type="#_x0000_t202" filled="false" stroked="false">
              <v:textbox inset="0,0,0,0">
                <w:txbxContent>
                  <w:p>
                    <w:pPr>
                      <w:spacing w:line="146" w:lineRule="exact" w:before="0"/>
                      <w:ind w:left="0" w:right="0" w:firstLine="0"/>
                      <w:jc w:val="left"/>
                      <w:rPr>
                        <w:rFonts w:ascii="Calibri"/>
                        <w:sz w:val="14"/>
                      </w:rPr>
                    </w:pPr>
                    <w:r>
                      <w:rPr>
                        <w:rFonts w:ascii="Calibri"/>
                        <w:color w:val="231F20"/>
                        <w:sz w:val="14"/>
                      </w:rPr>
                      <w:t>Pseudomona aeruginosa</w:t>
                    </w:r>
                  </w:p>
                  <w:p>
                    <w:pPr>
                      <w:spacing w:line="270" w:lineRule="atLeast" w:before="0"/>
                      <w:ind w:left="0" w:right="0" w:firstLine="0"/>
                      <w:jc w:val="left"/>
                      <w:rPr>
                        <w:rFonts w:ascii="Calibri"/>
                        <w:sz w:val="14"/>
                      </w:rPr>
                    </w:pPr>
                    <w:r>
                      <w:rPr>
                        <w:rFonts w:ascii="Calibri"/>
                        <w:color w:val="231F20"/>
                        <w:sz w:val="14"/>
                      </w:rPr>
                      <w:t>Staphylococcus coagulasa negativo sin desarrollo</w:t>
                    </w:r>
                  </w:p>
                </w:txbxContent>
              </v:textbox>
              <w10:wrap type="none"/>
            </v:shape>
            <w10:wrap type="topAndBottom"/>
          </v:group>
        </w:pict>
      </w:r>
    </w:p>
    <w:p>
      <w:pPr>
        <w:pStyle w:val="BodyText"/>
        <w:spacing w:before="5"/>
        <w:rPr>
          <w:b/>
          <w:sz w:val="16"/>
        </w:rPr>
      </w:pPr>
    </w:p>
    <w:p>
      <w:pPr>
        <w:spacing w:before="0"/>
        <w:ind w:left="1600" w:right="858" w:firstLine="0"/>
        <w:jc w:val="left"/>
        <w:rPr>
          <w:sz w:val="14"/>
        </w:rPr>
      </w:pPr>
      <w:r>
        <w:rPr>
          <w:color w:val="231F20"/>
          <w:w w:val="105"/>
          <w:sz w:val="14"/>
        </w:rPr>
        <w:t>Fuente: Tabla 4</w:t>
      </w:r>
    </w:p>
    <w:p>
      <w:pPr>
        <w:pStyle w:val="BodyText"/>
        <w:spacing w:before="5"/>
        <w:rPr>
          <w:sz w:val="14"/>
        </w:rPr>
      </w:pPr>
    </w:p>
    <w:p>
      <w:pPr>
        <w:spacing w:before="0"/>
        <w:ind w:left="1114" w:right="1116" w:hanging="1"/>
        <w:jc w:val="center"/>
        <w:rPr>
          <w:sz w:val="16"/>
        </w:rPr>
      </w:pPr>
      <w:r>
        <w:rPr>
          <w:color w:val="231F20"/>
          <w:sz w:val="16"/>
        </w:rPr>
        <w:t>El agente etiológico más común para peritonitis asociada a diálisis peritoneal fue S. aureus, seguido</w:t>
      </w:r>
      <w:r>
        <w:rPr>
          <w:color w:val="231F20"/>
          <w:spacing w:val="-4"/>
          <w:sz w:val="16"/>
        </w:rPr>
        <w:t> </w:t>
      </w:r>
      <w:r>
        <w:rPr>
          <w:color w:val="231F20"/>
          <w:sz w:val="16"/>
        </w:rPr>
        <w:t>de</w:t>
      </w:r>
      <w:r>
        <w:rPr>
          <w:color w:val="231F20"/>
          <w:spacing w:val="-2"/>
          <w:sz w:val="16"/>
        </w:rPr>
        <w:t> </w:t>
      </w:r>
      <w:r>
        <w:rPr>
          <w:color w:val="231F20"/>
          <w:sz w:val="16"/>
        </w:rPr>
        <w:t>P</w:t>
      </w:r>
      <w:r>
        <w:rPr>
          <w:color w:val="231F20"/>
          <w:spacing w:val="-4"/>
          <w:sz w:val="16"/>
        </w:rPr>
        <w:t> </w:t>
      </w:r>
      <w:r>
        <w:rPr>
          <w:color w:val="231F20"/>
          <w:sz w:val="16"/>
        </w:rPr>
        <w:t>aeruginosa y</w:t>
      </w:r>
      <w:r>
        <w:rPr>
          <w:color w:val="231F20"/>
          <w:spacing w:val="-5"/>
          <w:sz w:val="16"/>
        </w:rPr>
        <w:t> </w:t>
      </w:r>
      <w:r>
        <w:rPr>
          <w:color w:val="231F20"/>
          <w:sz w:val="16"/>
        </w:rPr>
        <w:t>E.</w:t>
      </w:r>
      <w:r>
        <w:rPr>
          <w:color w:val="231F20"/>
          <w:spacing w:val="-4"/>
          <w:sz w:val="16"/>
        </w:rPr>
        <w:t> </w:t>
      </w:r>
      <w:r>
        <w:rPr>
          <w:color w:val="231F20"/>
          <w:sz w:val="16"/>
        </w:rPr>
        <w:t>coli,</w:t>
      </w:r>
      <w:r>
        <w:rPr>
          <w:color w:val="231F20"/>
          <w:spacing w:val="-3"/>
          <w:sz w:val="16"/>
        </w:rPr>
        <w:t> </w:t>
      </w:r>
      <w:r>
        <w:rPr>
          <w:color w:val="231F20"/>
          <w:sz w:val="16"/>
        </w:rPr>
        <w:t>sin</w:t>
      </w:r>
      <w:r>
        <w:rPr>
          <w:color w:val="231F20"/>
          <w:spacing w:val="-3"/>
          <w:sz w:val="16"/>
        </w:rPr>
        <w:t> </w:t>
      </w:r>
      <w:r>
        <w:rPr>
          <w:color w:val="231F20"/>
          <w:sz w:val="16"/>
        </w:rPr>
        <w:t>embargo</w:t>
      </w:r>
      <w:r>
        <w:rPr>
          <w:color w:val="231F20"/>
          <w:spacing w:val="-3"/>
          <w:sz w:val="16"/>
        </w:rPr>
        <w:t> </w:t>
      </w:r>
      <w:r>
        <w:rPr>
          <w:color w:val="231F20"/>
          <w:sz w:val="16"/>
        </w:rPr>
        <w:t>el</w:t>
      </w:r>
      <w:r>
        <w:rPr>
          <w:color w:val="231F20"/>
          <w:spacing w:val="-5"/>
          <w:sz w:val="16"/>
        </w:rPr>
        <w:t> </w:t>
      </w:r>
      <w:r>
        <w:rPr>
          <w:color w:val="231F20"/>
          <w:sz w:val="16"/>
        </w:rPr>
        <w:t>50%</w:t>
      </w:r>
      <w:r>
        <w:rPr>
          <w:color w:val="231F20"/>
          <w:spacing w:val="-2"/>
          <w:sz w:val="16"/>
        </w:rPr>
        <w:t> </w:t>
      </w:r>
      <w:r>
        <w:rPr>
          <w:color w:val="231F20"/>
          <w:sz w:val="16"/>
        </w:rPr>
        <w:t>de</w:t>
      </w:r>
      <w:r>
        <w:rPr>
          <w:color w:val="231F20"/>
          <w:spacing w:val="-2"/>
          <w:sz w:val="16"/>
        </w:rPr>
        <w:t> </w:t>
      </w:r>
      <w:r>
        <w:rPr>
          <w:color w:val="231F20"/>
          <w:sz w:val="16"/>
        </w:rPr>
        <w:t>los</w:t>
      </w:r>
      <w:r>
        <w:rPr>
          <w:color w:val="231F20"/>
          <w:spacing w:val="-4"/>
          <w:sz w:val="16"/>
        </w:rPr>
        <w:t> </w:t>
      </w:r>
      <w:r>
        <w:rPr>
          <w:color w:val="231F20"/>
          <w:sz w:val="16"/>
        </w:rPr>
        <w:t>pacientes</w:t>
      </w:r>
      <w:r>
        <w:rPr>
          <w:color w:val="231F20"/>
          <w:spacing w:val="-4"/>
          <w:sz w:val="16"/>
        </w:rPr>
        <w:t> </w:t>
      </w:r>
      <w:r>
        <w:rPr>
          <w:color w:val="231F20"/>
          <w:sz w:val="16"/>
        </w:rPr>
        <w:t>carecía</w:t>
      </w:r>
      <w:r>
        <w:rPr>
          <w:color w:val="231F20"/>
          <w:spacing w:val="-4"/>
          <w:sz w:val="16"/>
        </w:rPr>
        <w:t> </w:t>
      </w:r>
      <w:r>
        <w:rPr>
          <w:color w:val="231F20"/>
          <w:sz w:val="16"/>
        </w:rPr>
        <w:t>de</w:t>
      </w:r>
      <w:r>
        <w:rPr>
          <w:color w:val="231F20"/>
          <w:spacing w:val="-4"/>
          <w:sz w:val="16"/>
        </w:rPr>
        <w:t> </w:t>
      </w:r>
      <w:r>
        <w:rPr>
          <w:color w:val="231F20"/>
          <w:sz w:val="16"/>
        </w:rPr>
        <w:t>cultivos</w:t>
      </w:r>
      <w:r>
        <w:rPr>
          <w:color w:val="231F20"/>
          <w:spacing w:val="-2"/>
          <w:sz w:val="16"/>
        </w:rPr>
        <w:t> </w:t>
      </w:r>
      <w:r>
        <w:rPr>
          <w:color w:val="231F20"/>
          <w:sz w:val="16"/>
        </w:rPr>
        <w:t>y solo 10% fue sin</w:t>
      </w:r>
      <w:r>
        <w:rPr>
          <w:color w:val="231F20"/>
          <w:spacing w:val="-17"/>
          <w:sz w:val="16"/>
        </w:rPr>
        <w:t> </w:t>
      </w:r>
      <w:r>
        <w:rPr>
          <w:color w:val="231F20"/>
          <w:sz w:val="16"/>
        </w:rPr>
        <w:t>desarrollo.</w:t>
      </w:r>
    </w:p>
    <w:p>
      <w:pPr>
        <w:pStyle w:val="BodyText"/>
        <w:rPr>
          <w:sz w:val="16"/>
        </w:rPr>
      </w:pPr>
    </w:p>
    <w:p>
      <w:pPr>
        <w:pStyle w:val="BodyText"/>
        <w:rPr>
          <w:sz w:val="16"/>
        </w:rPr>
      </w:pPr>
    </w:p>
    <w:p>
      <w:pPr>
        <w:pStyle w:val="BodyText"/>
        <w:rPr>
          <w:sz w:val="16"/>
        </w:rPr>
      </w:pPr>
    </w:p>
    <w:p>
      <w:pPr>
        <w:pStyle w:val="BodyText"/>
        <w:spacing w:line="242" w:lineRule="auto" w:before="94"/>
        <w:ind w:left="999" w:right="992" w:firstLine="566"/>
        <w:jc w:val="both"/>
      </w:pPr>
      <w:r>
        <w:rPr>
          <w:color w:val="231F20"/>
        </w:rPr>
        <w:t>Los casos de peritonitis asociada a diálisis peritoneal durante el 2011, se relacionaron con disfunción de catéter, ya que el 70% (n= 16) de peritonitis asociada a diálisis peritoneal disfuncionarón, mientras que solo el 16.07% (n=</w:t>
      </w:r>
    </w:p>
    <w:p>
      <w:pPr>
        <w:pStyle w:val="ListParagraph"/>
        <w:numPr>
          <w:ilvl w:val="0"/>
          <w:numId w:val="12"/>
        </w:numPr>
        <w:tabs>
          <w:tab w:pos="1247" w:val="left" w:leader="none"/>
        </w:tabs>
        <w:spacing w:line="242" w:lineRule="auto" w:before="0" w:after="0"/>
        <w:ind w:left="999" w:right="997" w:firstLine="0"/>
        <w:jc w:val="left"/>
        <w:rPr>
          <w:sz w:val="19"/>
        </w:rPr>
      </w:pPr>
      <w:r>
        <w:rPr>
          <w:color w:val="231F20"/>
          <w:sz w:val="19"/>
        </w:rPr>
        <w:t>de los pacientes en diálisis peritoneal sin evento de peritonitis presentaron disfunción de</w:t>
      </w:r>
      <w:r>
        <w:rPr>
          <w:color w:val="231F20"/>
          <w:spacing w:val="14"/>
          <w:sz w:val="19"/>
        </w:rPr>
        <w:t> </w:t>
      </w:r>
      <w:r>
        <w:rPr>
          <w:color w:val="231F20"/>
          <w:sz w:val="19"/>
        </w:rPr>
        <w:t>catéter.</w:t>
      </w:r>
    </w:p>
    <w:p>
      <w:pPr>
        <w:spacing w:after="0" w:line="242" w:lineRule="auto"/>
        <w:jc w:val="left"/>
        <w:rPr>
          <w:sz w:val="19"/>
        </w:rPr>
        <w:sectPr>
          <w:pgSz w:w="12240" w:h="15840"/>
          <w:pgMar w:header="0" w:footer="1972" w:top="1500" w:bottom="2160" w:left="1720" w:right="1720"/>
        </w:sectPr>
      </w:pPr>
    </w:p>
    <w:p>
      <w:pPr>
        <w:pStyle w:val="BodyText"/>
        <w:rPr>
          <w:sz w:val="20"/>
        </w:rPr>
      </w:pPr>
    </w:p>
    <w:p>
      <w:pPr>
        <w:pStyle w:val="BodyText"/>
        <w:rPr>
          <w:sz w:val="20"/>
        </w:rPr>
      </w:pPr>
    </w:p>
    <w:p>
      <w:pPr>
        <w:pStyle w:val="BodyText"/>
        <w:spacing w:before="2"/>
        <w:rPr>
          <w:sz w:val="24"/>
        </w:rPr>
      </w:pPr>
    </w:p>
    <w:p>
      <w:pPr>
        <w:pStyle w:val="BodyText"/>
        <w:spacing w:line="242" w:lineRule="auto" w:before="78"/>
        <w:ind w:left="999" w:right="996" w:firstLine="566"/>
        <w:jc w:val="both"/>
        <w:rPr>
          <w:b/>
        </w:rPr>
      </w:pPr>
      <w:r>
        <w:rPr>
          <w:color w:val="231F20"/>
        </w:rPr>
        <w:t>Lo anterior corresponde a una tasa de disfunción de catéter  por  peritonitis asociada a diálisis de 7 casos por cada 10 pacientes con IRC en diálisis, mientras que en el caso de disfunción de catéter peritoneal  en  pacientes con diálisis sin evento de peritonitis corresponde a 1.6 casos de disfunción por cada 10 pacientes con IRC en diálisis peritoneal </w:t>
      </w:r>
      <w:r>
        <w:rPr>
          <w:b/>
          <w:color w:val="231F20"/>
        </w:rPr>
        <w:t>(Tabla 5 y</w:t>
      </w:r>
      <w:r>
        <w:rPr>
          <w:b/>
          <w:color w:val="231F20"/>
          <w:spacing w:val="48"/>
        </w:rPr>
        <w:t> </w:t>
      </w:r>
      <w:r>
        <w:rPr>
          <w:b/>
          <w:color w:val="231F20"/>
        </w:rPr>
        <w:t>6).</w:t>
      </w:r>
    </w:p>
    <w:p>
      <w:pPr>
        <w:pStyle w:val="BodyText"/>
        <w:rPr>
          <w:b/>
          <w:sz w:val="18"/>
        </w:rPr>
      </w:pPr>
    </w:p>
    <w:p>
      <w:pPr>
        <w:pStyle w:val="BodyText"/>
        <w:rPr>
          <w:b/>
          <w:sz w:val="18"/>
        </w:rPr>
      </w:pPr>
    </w:p>
    <w:p>
      <w:pPr>
        <w:pStyle w:val="BodyText"/>
        <w:spacing w:before="7"/>
        <w:rPr>
          <w:b/>
          <w:sz w:val="21"/>
        </w:rPr>
      </w:pPr>
    </w:p>
    <w:p>
      <w:pPr>
        <w:pStyle w:val="BodyText"/>
        <w:spacing w:line="242" w:lineRule="auto"/>
        <w:ind w:left="1049" w:right="1052" w:firstLine="6"/>
        <w:jc w:val="center"/>
      </w:pPr>
      <w:r>
        <w:rPr>
          <w:b/>
          <w:color w:val="231F20"/>
        </w:rPr>
        <w:t>Tabla 5. </w:t>
      </w:r>
      <w:r>
        <w:rPr>
          <w:color w:val="231F20"/>
        </w:rPr>
        <w:t>Tasa de disfunción de catéter peritoneal en pacientes en diálisis peritoneal sin evento de peritonitis en el Hospital General de Tlalnepantla en el 2011.</w:t>
      </w:r>
    </w:p>
    <w:p>
      <w:pPr>
        <w:pStyle w:val="BodyText"/>
        <w:rPr>
          <w:sz w:val="20"/>
        </w:rPr>
      </w:pPr>
    </w:p>
    <w:p>
      <w:pPr>
        <w:pStyle w:val="BodyText"/>
        <w:spacing w:before="6" w:after="1"/>
        <w:rPr>
          <w:sz w:val="18"/>
        </w:rPr>
      </w:pPr>
    </w:p>
    <w:tbl>
      <w:tblPr>
        <w:tblW w:w="0" w:type="auto"/>
        <w:jc w:val="left"/>
        <w:tblInd w:w="1221"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4351"/>
        <w:gridCol w:w="980"/>
        <w:gridCol w:w="1020"/>
      </w:tblGrid>
      <w:tr>
        <w:trPr>
          <w:trHeight w:val="616" w:hRule="exact"/>
        </w:trPr>
        <w:tc>
          <w:tcPr>
            <w:tcW w:w="4351" w:type="dxa"/>
          </w:tcPr>
          <w:p>
            <w:pPr>
              <w:pStyle w:val="TableParagraph"/>
              <w:spacing w:line="249" w:lineRule="auto" w:before="2"/>
              <w:ind w:left="218" w:right="222" w:firstLine="7"/>
              <w:rPr>
                <w:b/>
                <w:sz w:val="17"/>
              </w:rPr>
            </w:pPr>
            <w:r>
              <w:rPr>
                <w:b/>
                <w:color w:val="231F20"/>
                <w:w w:val="105"/>
                <w:sz w:val="17"/>
              </w:rPr>
              <w:t>Tasa de Disfunción de catéter peritoneal en pacientes</w:t>
            </w:r>
            <w:r>
              <w:rPr>
                <w:b/>
                <w:color w:val="231F20"/>
                <w:spacing w:val="-12"/>
                <w:w w:val="105"/>
                <w:sz w:val="17"/>
              </w:rPr>
              <w:t> </w:t>
            </w:r>
            <w:r>
              <w:rPr>
                <w:b/>
                <w:color w:val="231F20"/>
                <w:w w:val="105"/>
                <w:sz w:val="17"/>
              </w:rPr>
              <w:t>con</w:t>
            </w:r>
            <w:r>
              <w:rPr>
                <w:b/>
                <w:color w:val="231F20"/>
                <w:spacing w:val="-11"/>
                <w:w w:val="105"/>
                <w:sz w:val="17"/>
              </w:rPr>
              <w:t> </w:t>
            </w:r>
            <w:r>
              <w:rPr>
                <w:b/>
                <w:color w:val="231F20"/>
                <w:w w:val="105"/>
                <w:sz w:val="17"/>
              </w:rPr>
              <w:t>Diálisis</w:t>
            </w:r>
            <w:r>
              <w:rPr>
                <w:b/>
                <w:color w:val="231F20"/>
                <w:spacing w:val="-13"/>
                <w:w w:val="105"/>
                <w:sz w:val="17"/>
              </w:rPr>
              <w:t> </w:t>
            </w:r>
            <w:r>
              <w:rPr>
                <w:b/>
                <w:color w:val="231F20"/>
                <w:w w:val="105"/>
                <w:sz w:val="17"/>
              </w:rPr>
              <w:t>peritoneal</w:t>
            </w:r>
            <w:r>
              <w:rPr>
                <w:b/>
                <w:color w:val="231F20"/>
                <w:spacing w:val="-10"/>
                <w:w w:val="105"/>
                <w:sz w:val="17"/>
              </w:rPr>
              <w:t> </w:t>
            </w:r>
            <w:r>
              <w:rPr>
                <w:b/>
                <w:color w:val="231F20"/>
                <w:w w:val="105"/>
                <w:sz w:val="17"/>
              </w:rPr>
              <w:t>sin</w:t>
            </w:r>
            <w:r>
              <w:rPr>
                <w:b/>
                <w:color w:val="231F20"/>
                <w:spacing w:val="-12"/>
                <w:w w:val="105"/>
                <w:sz w:val="17"/>
              </w:rPr>
              <w:t> </w:t>
            </w:r>
            <w:r>
              <w:rPr>
                <w:b/>
                <w:color w:val="231F20"/>
                <w:w w:val="105"/>
                <w:sz w:val="17"/>
              </w:rPr>
              <w:t>evento</w:t>
            </w:r>
            <w:r>
              <w:rPr>
                <w:b/>
                <w:color w:val="231F20"/>
                <w:spacing w:val="-11"/>
                <w:w w:val="105"/>
                <w:sz w:val="17"/>
              </w:rPr>
              <w:t> </w:t>
            </w:r>
            <w:r>
              <w:rPr>
                <w:b/>
                <w:color w:val="231F20"/>
                <w:w w:val="105"/>
                <w:sz w:val="17"/>
              </w:rPr>
              <w:t>de peritonitis</w:t>
            </w:r>
          </w:p>
        </w:tc>
        <w:tc>
          <w:tcPr>
            <w:tcW w:w="980" w:type="dxa"/>
          </w:tcPr>
          <w:p>
            <w:pPr>
              <w:pStyle w:val="TableParagraph"/>
              <w:spacing w:line="249" w:lineRule="auto" w:before="2"/>
              <w:ind w:left="107" w:right="106" w:hanging="2"/>
              <w:rPr>
                <w:b/>
                <w:sz w:val="17"/>
              </w:rPr>
            </w:pPr>
            <w:r>
              <w:rPr>
                <w:b/>
                <w:color w:val="231F20"/>
                <w:w w:val="105"/>
                <w:sz w:val="17"/>
              </w:rPr>
              <w:t>Número de</w:t>
            </w:r>
            <w:r>
              <w:rPr>
                <w:b/>
                <w:color w:val="231F20"/>
                <w:spacing w:val="-13"/>
                <w:w w:val="105"/>
                <w:sz w:val="17"/>
              </w:rPr>
              <w:t> </w:t>
            </w:r>
            <w:r>
              <w:rPr>
                <w:b/>
                <w:color w:val="231F20"/>
                <w:w w:val="105"/>
                <w:sz w:val="17"/>
              </w:rPr>
              <w:t>casos (n)</w:t>
            </w:r>
          </w:p>
        </w:tc>
        <w:tc>
          <w:tcPr>
            <w:tcW w:w="1020" w:type="dxa"/>
          </w:tcPr>
          <w:p>
            <w:pPr>
              <w:pStyle w:val="TableParagraph"/>
              <w:spacing w:before="9"/>
              <w:jc w:val="left"/>
              <w:rPr>
                <w:sz w:val="17"/>
              </w:rPr>
            </w:pPr>
          </w:p>
          <w:p>
            <w:pPr>
              <w:pStyle w:val="TableParagraph"/>
              <w:spacing w:line="247" w:lineRule="auto" w:before="1"/>
              <w:ind w:left="368" w:hanging="313"/>
              <w:jc w:val="left"/>
              <w:rPr>
                <w:b/>
                <w:sz w:val="17"/>
              </w:rPr>
            </w:pPr>
            <w:r>
              <w:rPr>
                <w:b/>
                <w:color w:val="231F20"/>
                <w:sz w:val="17"/>
              </w:rPr>
              <w:t>Porcentaje </w:t>
            </w:r>
            <w:r>
              <w:rPr>
                <w:b/>
                <w:color w:val="231F20"/>
                <w:w w:val="105"/>
                <w:sz w:val="17"/>
              </w:rPr>
              <w:t>(%)</w:t>
            </w:r>
          </w:p>
        </w:tc>
      </w:tr>
      <w:tr>
        <w:trPr>
          <w:trHeight w:val="248" w:hRule="exact"/>
        </w:trPr>
        <w:tc>
          <w:tcPr>
            <w:tcW w:w="4351" w:type="dxa"/>
          </w:tcPr>
          <w:p>
            <w:pPr>
              <w:pStyle w:val="TableParagraph"/>
              <w:spacing w:before="40"/>
              <w:ind w:left="51"/>
              <w:jc w:val="left"/>
              <w:rPr>
                <w:sz w:val="17"/>
              </w:rPr>
            </w:pPr>
            <w:r>
              <w:rPr>
                <w:color w:val="231F20"/>
                <w:w w:val="105"/>
                <w:sz w:val="17"/>
              </w:rPr>
              <w:t>Disfunción de catéter peritoneal</w:t>
            </w:r>
          </w:p>
        </w:tc>
        <w:tc>
          <w:tcPr>
            <w:tcW w:w="980" w:type="dxa"/>
          </w:tcPr>
          <w:p>
            <w:pPr>
              <w:pStyle w:val="TableParagraph"/>
              <w:spacing w:before="40"/>
              <w:ind w:left="435"/>
              <w:jc w:val="left"/>
              <w:rPr>
                <w:sz w:val="17"/>
              </w:rPr>
            </w:pPr>
            <w:r>
              <w:rPr>
                <w:color w:val="231F20"/>
                <w:w w:val="103"/>
                <w:sz w:val="17"/>
              </w:rPr>
              <w:t>9</w:t>
            </w:r>
          </w:p>
        </w:tc>
        <w:tc>
          <w:tcPr>
            <w:tcW w:w="1020" w:type="dxa"/>
          </w:tcPr>
          <w:p>
            <w:pPr>
              <w:pStyle w:val="TableParagraph"/>
              <w:spacing w:before="40"/>
              <w:ind w:left="286"/>
              <w:jc w:val="left"/>
              <w:rPr>
                <w:sz w:val="17"/>
              </w:rPr>
            </w:pPr>
            <w:r>
              <w:rPr>
                <w:color w:val="231F20"/>
                <w:w w:val="105"/>
                <w:sz w:val="17"/>
              </w:rPr>
              <w:t>16.01</w:t>
            </w:r>
          </w:p>
        </w:tc>
      </w:tr>
      <w:tr>
        <w:trPr>
          <w:trHeight w:val="259" w:hRule="exact"/>
        </w:trPr>
        <w:tc>
          <w:tcPr>
            <w:tcW w:w="4351" w:type="dxa"/>
          </w:tcPr>
          <w:p>
            <w:pPr>
              <w:pStyle w:val="TableParagraph"/>
              <w:spacing w:before="53"/>
              <w:ind w:left="51"/>
              <w:jc w:val="left"/>
              <w:rPr>
                <w:sz w:val="17"/>
              </w:rPr>
            </w:pPr>
            <w:r>
              <w:rPr>
                <w:color w:val="231F20"/>
                <w:w w:val="105"/>
                <w:sz w:val="17"/>
              </w:rPr>
              <w:t>Catéter peritoneal funcionales</w:t>
            </w:r>
          </w:p>
        </w:tc>
        <w:tc>
          <w:tcPr>
            <w:tcW w:w="980" w:type="dxa"/>
          </w:tcPr>
          <w:p>
            <w:pPr>
              <w:pStyle w:val="TableParagraph"/>
              <w:spacing w:before="53"/>
              <w:ind w:left="387"/>
              <w:jc w:val="left"/>
              <w:rPr>
                <w:sz w:val="17"/>
              </w:rPr>
            </w:pPr>
            <w:r>
              <w:rPr>
                <w:color w:val="231F20"/>
                <w:w w:val="105"/>
                <w:sz w:val="17"/>
              </w:rPr>
              <w:t>47</w:t>
            </w:r>
          </w:p>
        </w:tc>
        <w:tc>
          <w:tcPr>
            <w:tcW w:w="1020" w:type="dxa"/>
          </w:tcPr>
          <w:p>
            <w:pPr>
              <w:pStyle w:val="TableParagraph"/>
              <w:spacing w:before="53"/>
              <w:ind w:left="286"/>
              <w:jc w:val="left"/>
              <w:rPr>
                <w:sz w:val="17"/>
              </w:rPr>
            </w:pPr>
            <w:r>
              <w:rPr>
                <w:color w:val="231F20"/>
                <w:w w:val="105"/>
                <w:sz w:val="17"/>
              </w:rPr>
              <w:t>83.92</w:t>
            </w:r>
          </w:p>
        </w:tc>
      </w:tr>
      <w:tr>
        <w:trPr>
          <w:trHeight w:val="250" w:hRule="exact"/>
        </w:trPr>
        <w:tc>
          <w:tcPr>
            <w:tcW w:w="4351" w:type="dxa"/>
          </w:tcPr>
          <w:p>
            <w:pPr>
              <w:pStyle w:val="TableParagraph"/>
              <w:spacing w:before="42"/>
              <w:ind w:left="51"/>
              <w:jc w:val="left"/>
              <w:rPr>
                <w:sz w:val="17"/>
              </w:rPr>
            </w:pPr>
            <w:r>
              <w:rPr>
                <w:color w:val="231F20"/>
                <w:w w:val="105"/>
                <w:sz w:val="17"/>
              </w:rPr>
              <w:t>Número de casos Totales</w:t>
            </w:r>
          </w:p>
        </w:tc>
        <w:tc>
          <w:tcPr>
            <w:tcW w:w="980" w:type="dxa"/>
          </w:tcPr>
          <w:p>
            <w:pPr>
              <w:pStyle w:val="TableParagraph"/>
              <w:spacing w:before="42"/>
              <w:ind w:left="387"/>
              <w:jc w:val="left"/>
              <w:rPr>
                <w:sz w:val="17"/>
              </w:rPr>
            </w:pPr>
            <w:r>
              <w:rPr>
                <w:color w:val="231F20"/>
                <w:w w:val="105"/>
                <w:sz w:val="17"/>
              </w:rPr>
              <w:t>56</w:t>
            </w:r>
          </w:p>
        </w:tc>
        <w:tc>
          <w:tcPr>
            <w:tcW w:w="1020" w:type="dxa"/>
          </w:tcPr>
          <w:p>
            <w:pPr>
              <w:pStyle w:val="TableParagraph"/>
              <w:spacing w:before="42"/>
              <w:ind w:left="359"/>
              <w:jc w:val="left"/>
              <w:rPr>
                <w:sz w:val="17"/>
              </w:rPr>
            </w:pPr>
            <w:r>
              <w:rPr>
                <w:color w:val="231F20"/>
                <w:w w:val="105"/>
                <w:sz w:val="17"/>
              </w:rPr>
              <w:t>100</w:t>
            </w:r>
          </w:p>
        </w:tc>
      </w:tr>
    </w:tbl>
    <w:p>
      <w:pPr>
        <w:pStyle w:val="BodyText"/>
        <w:spacing w:before="2"/>
        <w:rPr>
          <w:sz w:val="7"/>
        </w:rPr>
      </w:pPr>
    </w:p>
    <w:p>
      <w:pPr>
        <w:spacing w:before="85"/>
        <w:ind w:left="1600" w:right="858" w:firstLine="0"/>
        <w:jc w:val="left"/>
        <w:rPr>
          <w:sz w:val="14"/>
        </w:rPr>
      </w:pPr>
      <w:r>
        <w:rPr>
          <w:color w:val="231F20"/>
          <w:w w:val="105"/>
          <w:sz w:val="14"/>
        </w:rPr>
        <w:t>Fuente: Anexo 1</w:t>
      </w:r>
    </w:p>
    <w:p>
      <w:pPr>
        <w:pStyle w:val="BodyText"/>
        <w:rPr>
          <w:sz w:val="14"/>
        </w:rPr>
      </w:pPr>
    </w:p>
    <w:p>
      <w:pPr>
        <w:pStyle w:val="BodyText"/>
        <w:rPr>
          <w:sz w:val="14"/>
        </w:rPr>
      </w:pPr>
    </w:p>
    <w:p>
      <w:pPr>
        <w:pStyle w:val="Heading1"/>
        <w:spacing w:before="119"/>
        <w:ind w:left="2564" w:right="858"/>
      </w:pPr>
      <w:r>
        <w:rPr>
          <w:color w:val="231F20"/>
        </w:rPr>
        <w:t>Tasa de disfunción de catéter peritoneal</w:t>
      </w:r>
    </w:p>
    <w:p>
      <w:pPr>
        <w:pStyle w:val="BodyText"/>
        <w:rPr>
          <w:b/>
          <w:sz w:val="20"/>
        </w:rPr>
      </w:pPr>
    </w:p>
    <w:p>
      <w:pPr>
        <w:pStyle w:val="BodyText"/>
        <w:spacing w:before="1"/>
        <w:rPr>
          <w:b/>
          <w:sz w:val="17"/>
        </w:rPr>
      </w:pPr>
    </w:p>
    <w:tbl>
      <w:tblPr>
        <w:tblW w:w="0" w:type="auto"/>
        <w:jc w:val="left"/>
        <w:tblInd w:w="1743"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2487"/>
        <w:gridCol w:w="2819"/>
      </w:tblGrid>
      <w:tr>
        <w:trPr>
          <w:trHeight w:val="413" w:hRule="exact"/>
        </w:trPr>
        <w:tc>
          <w:tcPr>
            <w:tcW w:w="5306" w:type="dxa"/>
            <w:gridSpan w:val="2"/>
          </w:tcPr>
          <w:p>
            <w:pPr>
              <w:pStyle w:val="TableParagraph"/>
              <w:spacing w:line="247" w:lineRule="auto" w:before="3"/>
              <w:ind w:left="113" w:right="27" w:firstLine="199"/>
              <w:jc w:val="left"/>
              <w:rPr>
                <w:b/>
                <w:sz w:val="17"/>
              </w:rPr>
            </w:pPr>
            <w:r>
              <w:rPr>
                <w:b/>
                <w:color w:val="231F20"/>
                <w:w w:val="105"/>
                <w:sz w:val="17"/>
              </w:rPr>
              <w:t>No. De casos de disfunción de catéter / No. de casos de pacientes en diálisis peritoneal sin evento de peritonitis x 10</w:t>
            </w:r>
          </w:p>
        </w:tc>
      </w:tr>
      <w:tr>
        <w:trPr>
          <w:trHeight w:val="413" w:hRule="exact"/>
        </w:trPr>
        <w:tc>
          <w:tcPr>
            <w:tcW w:w="2487" w:type="dxa"/>
          </w:tcPr>
          <w:p>
            <w:pPr>
              <w:pStyle w:val="TableParagraph"/>
              <w:spacing w:line="247" w:lineRule="auto" w:before="5"/>
              <w:ind w:left="445" w:hanging="177"/>
              <w:jc w:val="left"/>
              <w:rPr>
                <w:sz w:val="17"/>
              </w:rPr>
            </w:pPr>
            <w:r>
              <w:rPr>
                <w:color w:val="231F20"/>
                <w:w w:val="105"/>
                <w:sz w:val="17"/>
              </w:rPr>
              <w:t>9 casos de disfunción de catéter en peritonitis</w:t>
            </w:r>
          </w:p>
        </w:tc>
        <w:tc>
          <w:tcPr>
            <w:tcW w:w="2819" w:type="dxa"/>
          </w:tcPr>
          <w:p>
            <w:pPr>
              <w:pStyle w:val="TableParagraph"/>
              <w:spacing w:line="247" w:lineRule="auto" w:before="5"/>
              <w:ind w:left="603" w:right="-1" w:hanging="480"/>
              <w:jc w:val="left"/>
              <w:rPr>
                <w:sz w:val="17"/>
              </w:rPr>
            </w:pPr>
            <w:r>
              <w:rPr>
                <w:color w:val="231F20"/>
                <w:w w:val="105"/>
                <w:sz w:val="17"/>
              </w:rPr>
              <w:t>56 casos en riesgo de disfunción de catéter peritoneal</w:t>
            </w:r>
          </w:p>
        </w:tc>
      </w:tr>
      <w:tr>
        <w:trPr>
          <w:trHeight w:val="261" w:hRule="exact"/>
        </w:trPr>
        <w:tc>
          <w:tcPr>
            <w:tcW w:w="5306" w:type="dxa"/>
            <w:gridSpan w:val="2"/>
          </w:tcPr>
          <w:p>
            <w:pPr>
              <w:pStyle w:val="TableParagraph"/>
              <w:spacing w:before="31"/>
              <w:ind w:left="1775" w:right="1775"/>
              <w:rPr>
                <w:sz w:val="19"/>
              </w:rPr>
            </w:pPr>
            <w:r>
              <w:rPr>
                <w:color w:val="231F20"/>
                <w:sz w:val="19"/>
              </w:rPr>
              <w:t>TASA= 9/56 X (10)</w:t>
            </w:r>
          </w:p>
        </w:tc>
      </w:tr>
    </w:tbl>
    <w:p>
      <w:pPr>
        <w:pStyle w:val="BodyText"/>
        <w:spacing w:before="2"/>
        <w:rPr>
          <w:b/>
          <w:sz w:val="7"/>
        </w:rPr>
      </w:pPr>
    </w:p>
    <w:p>
      <w:pPr>
        <w:spacing w:before="85"/>
        <w:ind w:left="2120" w:right="858" w:firstLine="0"/>
        <w:jc w:val="left"/>
        <w:rPr>
          <w:sz w:val="14"/>
        </w:rPr>
      </w:pPr>
      <w:r>
        <w:rPr>
          <w:color w:val="231F20"/>
          <w:w w:val="105"/>
          <w:sz w:val="14"/>
        </w:rPr>
        <w:t>Fuente: Anexo 1</w:t>
      </w:r>
    </w:p>
    <w:p>
      <w:pPr>
        <w:pStyle w:val="BodyText"/>
        <w:spacing w:before="1"/>
      </w:pPr>
    </w:p>
    <w:p>
      <w:pPr>
        <w:spacing w:before="0"/>
        <w:ind w:left="1114" w:right="1119" w:firstLine="0"/>
        <w:jc w:val="center"/>
        <w:rPr>
          <w:sz w:val="16"/>
        </w:rPr>
      </w:pPr>
      <w:r>
        <w:rPr>
          <w:color w:val="231F20"/>
          <w:sz w:val="16"/>
        </w:rPr>
        <w:t>Tasa de disfunción de catéter peritoneal en pacientes con Diálisis peritoneal sin evento de peritonitis = 1.6 casos por cada 10 pacientes con IRC en diálisis</w:t>
      </w:r>
    </w:p>
    <w:p>
      <w:pPr>
        <w:pStyle w:val="BodyText"/>
        <w:rPr>
          <w:sz w:val="16"/>
        </w:rPr>
      </w:pPr>
    </w:p>
    <w:p>
      <w:pPr>
        <w:pStyle w:val="BodyText"/>
        <w:rPr>
          <w:sz w:val="16"/>
        </w:rPr>
      </w:pPr>
    </w:p>
    <w:p>
      <w:pPr>
        <w:pStyle w:val="BodyText"/>
        <w:rPr>
          <w:sz w:val="16"/>
        </w:rPr>
      </w:pPr>
    </w:p>
    <w:p>
      <w:pPr>
        <w:pStyle w:val="BodyText"/>
        <w:spacing w:line="242" w:lineRule="auto" w:before="112"/>
        <w:ind w:left="1010" w:right="1015" w:firstLine="1"/>
        <w:jc w:val="center"/>
      </w:pPr>
      <w:r>
        <w:rPr>
          <w:b/>
          <w:color w:val="231F20"/>
        </w:rPr>
        <w:t>Tabla 6. </w:t>
      </w:r>
      <w:r>
        <w:rPr>
          <w:color w:val="231F20"/>
        </w:rPr>
        <w:t>Tasa de disfunción de catéter peritoneal en pacientes con peritonitis asociada a diálisis peritoneal en el Hospital General de Tlalnepantla en el 2011.</w:t>
      </w:r>
    </w:p>
    <w:p>
      <w:pPr>
        <w:pStyle w:val="BodyText"/>
        <w:rPr>
          <w:sz w:val="20"/>
        </w:rPr>
      </w:pPr>
    </w:p>
    <w:p>
      <w:pPr>
        <w:pStyle w:val="BodyText"/>
        <w:spacing w:before="6"/>
        <w:rPr>
          <w:sz w:val="18"/>
        </w:rPr>
      </w:pPr>
    </w:p>
    <w:tbl>
      <w:tblPr>
        <w:tblW w:w="0" w:type="auto"/>
        <w:jc w:val="left"/>
        <w:tblInd w:w="1093"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3941"/>
        <w:gridCol w:w="1544"/>
        <w:gridCol w:w="1125"/>
      </w:tblGrid>
      <w:tr>
        <w:trPr>
          <w:trHeight w:val="413" w:hRule="exact"/>
        </w:trPr>
        <w:tc>
          <w:tcPr>
            <w:tcW w:w="3941" w:type="dxa"/>
          </w:tcPr>
          <w:p>
            <w:pPr>
              <w:pStyle w:val="TableParagraph"/>
              <w:spacing w:line="249" w:lineRule="auto" w:before="2"/>
              <w:ind w:left="929" w:right="87" w:hanging="774"/>
              <w:jc w:val="left"/>
              <w:rPr>
                <w:b/>
                <w:sz w:val="17"/>
              </w:rPr>
            </w:pPr>
            <w:r>
              <w:rPr>
                <w:b/>
                <w:color w:val="231F20"/>
                <w:w w:val="105"/>
                <w:sz w:val="17"/>
              </w:rPr>
              <w:t>Tasa de disfunción de catéter peritoneal en pacientes con peritonitis</w:t>
            </w:r>
          </w:p>
        </w:tc>
        <w:tc>
          <w:tcPr>
            <w:tcW w:w="1544" w:type="dxa"/>
          </w:tcPr>
          <w:p>
            <w:pPr>
              <w:pStyle w:val="TableParagraph"/>
              <w:spacing w:line="249" w:lineRule="auto" w:before="2"/>
              <w:ind w:left="503" w:hanging="196"/>
              <w:jc w:val="left"/>
              <w:rPr>
                <w:b/>
                <w:sz w:val="17"/>
              </w:rPr>
            </w:pPr>
            <w:r>
              <w:rPr>
                <w:b/>
                <w:color w:val="231F20"/>
                <w:w w:val="105"/>
                <w:sz w:val="17"/>
              </w:rPr>
              <w:t>Número de Casos</w:t>
            </w:r>
          </w:p>
        </w:tc>
        <w:tc>
          <w:tcPr>
            <w:tcW w:w="1125" w:type="dxa"/>
          </w:tcPr>
          <w:p>
            <w:pPr>
              <w:pStyle w:val="TableParagraph"/>
              <w:spacing w:before="9"/>
              <w:jc w:val="left"/>
              <w:rPr>
                <w:sz w:val="17"/>
              </w:rPr>
            </w:pPr>
          </w:p>
          <w:p>
            <w:pPr>
              <w:pStyle w:val="TableParagraph"/>
              <w:spacing w:before="1"/>
              <w:ind w:left="82" w:right="82"/>
              <w:rPr>
                <w:b/>
                <w:sz w:val="17"/>
              </w:rPr>
            </w:pPr>
            <w:r>
              <w:rPr>
                <w:b/>
                <w:color w:val="231F20"/>
                <w:w w:val="105"/>
                <w:sz w:val="17"/>
              </w:rPr>
              <w:t>Porcentaje</w:t>
            </w:r>
          </w:p>
        </w:tc>
      </w:tr>
      <w:tr>
        <w:trPr>
          <w:trHeight w:val="248" w:hRule="exact"/>
        </w:trPr>
        <w:tc>
          <w:tcPr>
            <w:tcW w:w="3941" w:type="dxa"/>
          </w:tcPr>
          <w:p>
            <w:pPr>
              <w:pStyle w:val="TableParagraph"/>
              <w:spacing w:before="42"/>
              <w:ind w:left="51" w:right="87"/>
              <w:jc w:val="left"/>
              <w:rPr>
                <w:sz w:val="17"/>
              </w:rPr>
            </w:pPr>
            <w:r>
              <w:rPr>
                <w:color w:val="231F20"/>
                <w:w w:val="105"/>
                <w:sz w:val="17"/>
              </w:rPr>
              <w:t>Disfunción de catéter peritoneal</w:t>
            </w:r>
          </w:p>
        </w:tc>
        <w:tc>
          <w:tcPr>
            <w:tcW w:w="1544" w:type="dxa"/>
          </w:tcPr>
          <w:p>
            <w:pPr>
              <w:pStyle w:val="TableParagraph"/>
              <w:spacing w:before="42"/>
              <w:ind w:left="647" w:right="649"/>
              <w:rPr>
                <w:sz w:val="17"/>
              </w:rPr>
            </w:pPr>
            <w:r>
              <w:rPr>
                <w:color w:val="231F20"/>
                <w:w w:val="105"/>
                <w:sz w:val="17"/>
              </w:rPr>
              <w:t>14</w:t>
            </w:r>
          </w:p>
        </w:tc>
        <w:tc>
          <w:tcPr>
            <w:tcW w:w="1125" w:type="dxa"/>
          </w:tcPr>
          <w:p>
            <w:pPr>
              <w:pStyle w:val="TableParagraph"/>
              <w:spacing w:before="42"/>
              <w:ind w:left="82" w:right="82"/>
              <w:rPr>
                <w:sz w:val="17"/>
              </w:rPr>
            </w:pPr>
            <w:r>
              <w:rPr>
                <w:color w:val="231F20"/>
                <w:w w:val="105"/>
                <w:sz w:val="17"/>
              </w:rPr>
              <w:t>70%</w:t>
            </w:r>
          </w:p>
        </w:tc>
      </w:tr>
      <w:tr>
        <w:trPr>
          <w:trHeight w:val="261" w:hRule="exact"/>
        </w:trPr>
        <w:tc>
          <w:tcPr>
            <w:tcW w:w="3941" w:type="dxa"/>
          </w:tcPr>
          <w:p>
            <w:pPr>
              <w:pStyle w:val="TableParagraph"/>
              <w:spacing w:before="53"/>
              <w:ind w:left="51" w:right="87"/>
              <w:jc w:val="left"/>
              <w:rPr>
                <w:sz w:val="17"/>
              </w:rPr>
            </w:pPr>
            <w:r>
              <w:rPr>
                <w:color w:val="231F20"/>
                <w:w w:val="105"/>
                <w:sz w:val="17"/>
              </w:rPr>
              <w:t>Catéter peritoneal funcionales</w:t>
            </w:r>
          </w:p>
        </w:tc>
        <w:tc>
          <w:tcPr>
            <w:tcW w:w="1544" w:type="dxa"/>
          </w:tcPr>
          <w:p>
            <w:pPr>
              <w:pStyle w:val="TableParagraph"/>
              <w:spacing w:before="53"/>
              <w:rPr>
                <w:sz w:val="17"/>
              </w:rPr>
            </w:pPr>
            <w:r>
              <w:rPr>
                <w:color w:val="231F20"/>
                <w:w w:val="103"/>
                <w:sz w:val="17"/>
              </w:rPr>
              <w:t>6</w:t>
            </w:r>
          </w:p>
        </w:tc>
        <w:tc>
          <w:tcPr>
            <w:tcW w:w="1125" w:type="dxa"/>
          </w:tcPr>
          <w:p>
            <w:pPr>
              <w:pStyle w:val="TableParagraph"/>
              <w:spacing w:before="53"/>
              <w:ind w:left="82" w:right="82"/>
              <w:rPr>
                <w:sz w:val="17"/>
              </w:rPr>
            </w:pPr>
            <w:r>
              <w:rPr>
                <w:color w:val="231F20"/>
                <w:w w:val="105"/>
                <w:sz w:val="17"/>
              </w:rPr>
              <w:t>30%</w:t>
            </w:r>
          </w:p>
        </w:tc>
      </w:tr>
      <w:tr>
        <w:trPr>
          <w:trHeight w:val="248" w:hRule="exact"/>
        </w:trPr>
        <w:tc>
          <w:tcPr>
            <w:tcW w:w="3941" w:type="dxa"/>
          </w:tcPr>
          <w:p>
            <w:pPr>
              <w:pStyle w:val="TableParagraph"/>
              <w:spacing w:before="40"/>
              <w:ind w:left="51" w:right="87"/>
              <w:jc w:val="left"/>
              <w:rPr>
                <w:sz w:val="17"/>
              </w:rPr>
            </w:pPr>
            <w:r>
              <w:rPr>
                <w:color w:val="231F20"/>
                <w:w w:val="105"/>
                <w:sz w:val="17"/>
              </w:rPr>
              <w:t>Número de casos Total</w:t>
            </w:r>
          </w:p>
        </w:tc>
        <w:tc>
          <w:tcPr>
            <w:tcW w:w="1544" w:type="dxa"/>
          </w:tcPr>
          <w:p>
            <w:pPr>
              <w:pStyle w:val="TableParagraph"/>
              <w:spacing w:before="40"/>
              <w:ind w:left="647" w:right="649"/>
              <w:rPr>
                <w:sz w:val="17"/>
              </w:rPr>
            </w:pPr>
            <w:r>
              <w:rPr>
                <w:color w:val="231F20"/>
                <w:w w:val="105"/>
                <w:sz w:val="17"/>
              </w:rPr>
              <w:t>20</w:t>
            </w:r>
          </w:p>
        </w:tc>
        <w:tc>
          <w:tcPr>
            <w:tcW w:w="1125" w:type="dxa"/>
          </w:tcPr>
          <w:p>
            <w:pPr>
              <w:pStyle w:val="TableParagraph"/>
              <w:spacing w:before="40"/>
              <w:ind w:left="82" w:right="81"/>
              <w:rPr>
                <w:sz w:val="17"/>
              </w:rPr>
            </w:pPr>
            <w:r>
              <w:rPr>
                <w:color w:val="231F20"/>
                <w:w w:val="105"/>
                <w:sz w:val="17"/>
              </w:rPr>
              <w:t>100%</w:t>
            </w:r>
          </w:p>
        </w:tc>
      </w:tr>
    </w:tbl>
    <w:p>
      <w:pPr>
        <w:pStyle w:val="BodyText"/>
        <w:rPr>
          <w:sz w:val="12"/>
        </w:rPr>
      </w:pPr>
    </w:p>
    <w:p>
      <w:pPr>
        <w:spacing w:before="86"/>
        <w:ind w:left="1561" w:right="858" w:firstLine="0"/>
        <w:jc w:val="left"/>
        <w:rPr>
          <w:sz w:val="14"/>
        </w:rPr>
      </w:pPr>
      <w:r>
        <w:rPr>
          <w:color w:val="231F20"/>
          <w:w w:val="105"/>
          <w:sz w:val="14"/>
        </w:rPr>
        <w:t>Fuente: Anexo 1</w:t>
      </w:r>
    </w:p>
    <w:p>
      <w:pPr>
        <w:spacing w:after="0"/>
        <w:jc w:val="left"/>
        <w:rPr>
          <w:sz w:val="14"/>
        </w:rPr>
        <w:sectPr>
          <w:pgSz w:w="12240" w:h="15840"/>
          <w:pgMar w:header="0" w:footer="1972" w:top="1500" w:bottom="2160" w:left="1720" w:right="1720"/>
        </w:sectPr>
      </w:pPr>
    </w:p>
    <w:p>
      <w:pPr>
        <w:pStyle w:val="BodyText"/>
        <w:rPr>
          <w:sz w:val="20"/>
        </w:rPr>
      </w:pPr>
    </w:p>
    <w:p>
      <w:pPr>
        <w:pStyle w:val="BodyText"/>
        <w:rPr>
          <w:sz w:val="20"/>
        </w:rPr>
      </w:pPr>
    </w:p>
    <w:p>
      <w:pPr>
        <w:pStyle w:val="BodyText"/>
        <w:spacing w:before="2"/>
        <w:rPr>
          <w:sz w:val="24"/>
        </w:rPr>
      </w:pPr>
    </w:p>
    <w:p>
      <w:pPr>
        <w:pStyle w:val="Heading1"/>
        <w:spacing w:before="78"/>
        <w:ind w:left="2564" w:right="858"/>
      </w:pPr>
      <w:r>
        <w:rPr>
          <w:color w:val="231F20"/>
        </w:rPr>
        <w:t>Tasa de disfunción de catéter peritoneal</w:t>
      </w:r>
    </w:p>
    <w:p>
      <w:pPr>
        <w:pStyle w:val="BodyText"/>
        <w:rPr>
          <w:b/>
          <w:sz w:val="20"/>
        </w:rPr>
      </w:pPr>
    </w:p>
    <w:p>
      <w:pPr>
        <w:pStyle w:val="BodyText"/>
        <w:spacing w:before="3"/>
        <w:rPr>
          <w:b/>
          <w:sz w:val="17"/>
        </w:rPr>
      </w:pPr>
    </w:p>
    <w:tbl>
      <w:tblPr>
        <w:tblW w:w="0" w:type="auto"/>
        <w:jc w:val="left"/>
        <w:tblInd w:w="1743"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2487"/>
        <w:gridCol w:w="2819"/>
      </w:tblGrid>
      <w:tr>
        <w:trPr>
          <w:trHeight w:val="413" w:hRule="exact"/>
        </w:trPr>
        <w:tc>
          <w:tcPr>
            <w:tcW w:w="5306" w:type="dxa"/>
            <w:gridSpan w:val="2"/>
          </w:tcPr>
          <w:p>
            <w:pPr>
              <w:pStyle w:val="TableParagraph"/>
              <w:spacing w:line="247" w:lineRule="auto" w:before="2"/>
              <w:ind w:left="2026" w:right="365" w:hanging="1587"/>
              <w:jc w:val="left"/>
              <w:rPr>
                <w:b/>
                <w:sz w:val="17"/>
              </w:rPr>
            </w:pPr>
            <w:r>
              <w:rPr>
                <w:b/>
                <w:color w:val="231F20"/>
                <w:w w:val="105"/>
                <w:sz w:val="17"/>
              </w:rPr>
              <w:t>No. De casos de disfunción de catéter / No. de casos peritonitis x 10</w:t>
            </w:r>
          </w:p>
        </w:tc>
      </w:tr>
      <w:tr>
        <w:trPr>
          <w:trHeight w:val="413" w:hRule="exact"/>
        </w:trPr>
        <w:tc>
          <w:tcPr>
            <w:tcW w:w="2487" w:type="dxa"/>
          </w:tcPr>
          <w:p>
            <w:pPr>
              <w:pStyle w:val="TableParagraph"/>
              <w:spacing w:line="247" w:lineRule="auto" w:before="3"/>
              <w:ind w:left="445" w:hanging="225"/>
              <w:jc w:val="left"/>
              <w:rPr>
                <w:sz w:val="17"/>
              </w:rPr>
            </w:pPr>
            <w:r>
              <w:rPr>
                <w:color w:val="231F20"/>
                <w:w w:val="105"/>
                <w:sz w:val="17"/>
              </w:rPr>
              <w:t>14 casos de disfunción de catéter en peritonitis</w:t>
            </w:r>
          </w:p>
        </w:tc>
        <w:tc>
          <w:tcPr>
            <w:tcW w:w="2819" w:type="dxa"/>
          </w:tcPr>
          <w:p>
            <w:pPr>
              <w:pStyle w:val="TableParagraph"/>
              <w:spacing w:line="247" w:lineRule="auto" w:before="3"/>
              <w:ind w:left="612" w:right="-1" w:hanging="490"/>
              <w:jc w:val="left"/>
              <w:rPr>
                <w:sz w:val="17"/>
              </w:rPr>
            </w:pPr>
            <w:r>
              <w:rPr>
                <w:color w:val="231F20"/>
                <w:w w:val="105"/>
                <w:sz w:val="17"/>
              </w:rPr>
              <w:t>20 casos en riesgo de disfunción de catéter peritonitis</w:t>
            </w:r>
          </w:p>
        </w:tc>
      </w:tr>
      <w:tr>
        <w:trPr>
          <w:trHeight w:val="259" w:hRule="exact"/>
        </w:trPr>
        <w:tc>
          <w:tcPr>
            <w:tcW w:w="5306" w:type="dxa"/>
            <w:gridSpan w:val="2"/>
          </w:tcPr>
          <w:p>
            <w:pPr>
              <w:pStyle w:val="TableParagraph"/>
              <w:spacing w:before="29"/>
              <w:ind w:left="1775" w:right="1776"/>
              <w:rPr>
                <w:sz w:val="19"/>
              </w:rPr>
            </w:pPr>
            <w:r>
              <w:rPr>
                <w:color w:val="231F20"/>
                <w:sz w:val="19"/>
              </w:rPr>
              <w:t>TASA= 14/20 X (10)</w:t>
            </w:r>
          </w:p>
        </w:tc>
      </w:tr>
    </w:tbl>
    <w:p>
      <w:pPr>
        <w:pStyle w:val="BodyText"/>
        <w:spacing w:before="4"/>
        <w:rPr>
          <w:b/>
          <w:sz w:val="7"/>
        </w:rPr>
      </w:pPr>
    </w:p>
    <w:p>
      <w:pPr>
        <w:spacing w:before="85"/>
        <w:ind w:left="2161" w:right="858" w:firstLine="0"/>
        <w:jc w:val="left"/>
        <w:rPr>
          <w:sz w:val="14"/>
        </w:rPr>
      </w:pPr>
      <w:r>
        <w:rPr>
          <w:color w:val="231F20"/>
          <w:w w:val="105"/>
          <w:sz w:val="14"/>
        </w:rPr>
        <w:t>Fuente: Anexo 1</w:t>
      </w:r>
    </w:p>
    <w:p>
      <w:pPr>
        <w:pStyle w:val="BodyText"/>
        <w:spacing w:before="4"/>
        <w:rPr>
          <w:sz w:val="17"/>
        </w:rPr>
      </w:pPr>
    </w:p>
    <w:p>
      <w:pPr>
        <w:spacing w:before="1"/>
        <w:ind w:left="1058" w:right="1057" w:hanging="7"/>
        <w:jc w:val="center"/>
        <w:rPr>
          <w:sz w:val="16"/>
        </w:rPr>
      </w:pPr>
      <w:r>
        <w:rPr>
          <w:color w:val="231F20"/>
          <w:sz w:val="16"/>
        </w:rPr>
        <w:t>Tasa de disfunción de catéter peritoneal en pacientes con peritonitis asociada a diálisis peritoneal fue de 7 casos de disfunción de catéter peritoneal por cada 10 pacientes con PADP</w:t>
      </w:r>
    </w:p>
    <w:p>
      <w:pPr>
        <w:pStyle w:val="BodyText"/>
        <w:rPr>
          <w:sz w:val="16"/>
        </w:rPr>
      </w:pPr>
    </w:p>
    <w:p>
      <w:pPr>
        <w:pStyle w:val="BodyText"/>
        <w:spacing w:before="6"/>
        <w:rPr>
          <w:sz w:val="22"/>
        </w:rPr>
      </w:pPr>
    </w:p>
    <w:p>
      <w:pPr>
        <w:pStyle w:val="BodyText"/>
        <w:spacing w:line="242" w:lineRule="auto"/>
        <w:ind w:left="999" w:right="996" w:firstLine="566"/>
        <w:jc w:val="both"/>
      </w:pPr>
      <w:r>
        <w:rPr>
          <w:color w:val="231F20"/>
        </w:rPr>
        <w:t>Los días de hospitalización de los pacientes en el estudio variaron de la siguiente forma:</w:t>
      </w:r>
    </w:p>
    <w:p>
      <w:pPr>
        <w:pStyle w:val="BodyText"/>
        <w:spacing w:before="2"/>
      </w:pPr>
    </w:p>
    <w:p>
      <w:pPr>
        <w:pStyle w:val="BodyText"/>
        <w:spacing w:line="242" w:lineRule="auto"/>
        <w:ind w:left="999" w:right="994" w:firstLine="566"/>
        <w:jc w:val="both"/>
      </w:pPr>
      <w:r>
        <w:rPr>
          <w:color w:val="231F20"/>
        </w:rPr>
        <w:t>Pacientes en diálisis peritoneal sin evento de peritonitis y sin disfunción de catéter son un total de 47 pacientes (83.9%) </w:t>
      </w:r>
      <w:r>
        <w:rPr>
          <w:b/>
          <w:color w:val="231F20"/>
        </w:rPr>
        <w:t>(Tabla 7) </w:t>
      </w:r>
      <w:r>
        <w:rPr>
          <w:color w:val="231F20"/>
        </w:rPr>
        <w:t>con un total de 227 días de hospitalización acumulada, un promedio de 4.83 días, una moda de 3 días, mediana de 3.5 días y una desviación estándar de 2.99 días; mientras   que los pacientes en diálisis peritoneal sin evento de peritonitis pero con disfunción de catéter fueron un total de 9 pacientes (16.1%) </w:t>
      </w:r>
      <w:r>
        <w:rPr>
          <w:b/>
          <w:color w:val="231F20"/>
        </w:rPr>
        <w:t>(Tabla 8), </w:t>
      </w:r>
      <w:r>
        <w:rPr>
          <w:color w:val="231F20"/>
        </w:rPr>
        <w:t>con un total de 64 días de hospitalización acumulada, un promedio de 7.11 días, moda de 4, 7 y 10 días, así como una mediana de 7 días, y una desviación estándar de 2.369</w:t>
      </w:r>
      <w:r>
        <w:rPr>
          <w:color w:val="231F20"/>
          <w:spacing w:val="8"/>
        </w:rPr>
        <w:t> </w:t>
      </w:r>
      <w:r>
        <w:rPr>
          <w:color w:val="231F20"/>
        </w:rPr>
        <w:t>días.</w:t>
      </w:r>
    </w:p>
    <w:p>
      <w:pPr>
        <w:pStyle w:val="BodyText"/>
        <w:rPr>
          <w:sz w:val="18"/>
        </w:rPr>
      </w:pPr>
    </w:p>
    <w:p>
      <w:pPr>
        <w:pStyle w:val="BodyText"/>
        <w:spacing w:before="4"/>
        <w:rPr>
          <w:sz w:val="20"/>
        </w:rPr>
      </w:pPr>
    </w:p>
    <w:p>
      <w:pPr>
        <w:pStyle w:val="BodyText"/>
        <w:spacing w:line="242" w:lineRule="auto" w:before="1"/>
        <w:ind w:left="1017" w:right="1021"/>
        <w:jc w:val="center"/>
      </w:pPr>
      <w:r>
        <w:rPr>
          <w:b/>
          <w:color w:val="231F20"/>
        </w:rPr>
        <w:t>Tabla 7. </w:t>
      </w:r>
      <w:r>
        <w:rPr>
          <w:color w:val="231F20"/>
        </w:rPr>
        <w:t>Valores estadísticos en días hospitalización para paciente en diálisis peritoneal sin evento de peritonitis y sin disfunción de catéter.</w:t>
      </w:r>
    </w:p>
    <w:p>
      <w:pPr>
        <w:pStyle w:val="BodyText"/>
        <w:rPr>
          <w:sz w:val="20"/>
        </w:rPr>
      </w:pPr>
    </w:p>
    <w:p>
      <w:pPr>
        <w:pStyle w:val="BodyText"/>
        <w:spacing w:before="6"/>
        <w:rPr>
          <w:sz w:val="18"/>
        </w:rPr>
      </w:pPr>
    </w:p>
    <w:tbl>
      <w:tblPr>
        <w:tblW w:w="0" w:type="auto"/>
        <w:jc w:val="left"/>
        <w:tblInd w:w="2279"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3100"/>
        <w:gridCol w:w="1135"/>
      </w:tblGrid>
      <w:tr>
        <w:trPr>
          <w:trHeight w:val="614" w:hRule="exact"/>
        </w:trPr>
        <w:tc>
          <w:tcPr>
            <w:tcW w:w="3100" w:type="dxa"/>
          </w:tcPr>
          <w:p>
            <w:pPr>
              <w:pStyle w:val="TableParagraph"/>
              <w:spacing w:line="249" w:lineRule="auto" w:before="2"/>
              <w:ind w:left="117" w:right="113" w:hanging="2"/>
              <w:rPr>
                <w:b/>
                <w:sz w:val="17"/>
              </w:rPr>
            </w:pPr>
            <w:r>
              <w:rPr>
                <w:b/>
                <w:color w:val="231F20"/>
                <w:w w:val="105"/>
                <w:sz w:val="17"/>
              </w:rPr>
              <w:t>Días hospitalización en Diálisis peritoneal</w:t>
            </w:r>
            <w:r>
              <w:rPr>
                <w:b/>
                <w:color w:val="231F20"/>
                <w:spacing w:val="-10"/>
                <w:w w:val="105"/>
                <w:sz w:val="17"/>
              </w:rPr>
              <w:t> </w:t>
            </w:r>
            <w:r>
              <w:rPr>
                <w:b/>
                <w:color w:val="231F20"/>
                <w:w w:val="105"/>
                <w:sz w:val="17"/>
              </w:rPr>
              <w:t>sin</w:t>
            </w:r>
            <w:r>
              <w:rPr>
                <w:b/>
                <w:color w:val="231F20"/>
                <w:spacing w:val="-13"/>
                <w:w w:val="105"/>
                <w:sz w:val="17"/>
              </w:rPr>
              <w:t> </w:t>
            </w:r>
            <w:r>
              <w:rPr>
                <w:b/>
                <w:color w:val="231F20"/>
                <w:w w:val="105"/>
                <w:sz w:val="17"/>
              </w:rPr>
              <w:t>peritonitis</w:t>
            </w:r>
            <w:r>
              <w:rPr>
                <w:b/>
                <w:color w:val="231F20"/>
                <w:spacing w:val="-12"/>
                <w:w w:val="105"/>
                <w:sz w:val="17"/>
              </w:rPr>
              <w:t> </w:t>
            </w:r>
            <w:r>
              <w:rPr>
                <w:b/>
                <w:color w:val="231F20"/>
                <w:w w:val="105"/>
                <w:sz w:val="17"/>
              </w:rPr>
              <w:t>y</w:t>
            </w:r>
            <w:r>
              <w:rPr>
                <w:b/>
                <w:color w:val="231F20"/>
                <w:spacing w:val="-15"/>
                <w:w w:val="105"/>
                <w:sz w:val="17"/>
              </w:rPr>
              <w:t> </w:t>
            </w:r>
            <w:r>
              <w:rPr>
                <w:b/>
                <w:color w:val="231F20"/>
                <w:w w:val="105"/>
                <w:sz w:val="17"/>
              </w:rPr>
              <w:t>sin</w:t>
            </w:r>
            <w:r>
              <w:rPr>
                <w:b/>
                <w:color w:val="231F20"/>
                <w:spacing w:val="-12"/>
                <w:w w:val="105"/>
                <w:sz w:val="17"/>
              </w:rPr>
              <w:t> </w:t>
            </w:r>
            <w:r>
              <w:rPr>
                <w:b/>
                <w:color w:val="231F20"/>
                <w:w w:val="105"/>
                <w:sz w:val="17"/>
              </w:rPr>
              <w:t>dis- función de</w:t>
            </w:r>
            <w:r>
              <w:rPr>
                <w:b/>
                <w:color w:val="231F20"/>
                <w:spacing w:val="-21"/>
                <w:w w:val="105"/>
                <w:sz w:val="17"/>
              </w:rPr>
              <w:t> </w:t>
            </w:r>
            <w:r>
              <w:rPr>
                <w:b/>
                <w:color w:val="231F20"/>
                <w:w w:val="105"/>
                <w:sz w:val="17"/>
              </w:rPr>
              <w:t>catéter</w:t>
            </w:r>
          </w:p>
        </w:tc>
        <w:tc>
          <w:tcPr>
            <w:tcW w:w="1135" w:type="dxa"/>
          </w:tcPr>
          <w:p>
            <w:pPr>
              <w:pStyle w:val="TableParagraph"/>
              <w:jc w:val="left"/>
              <w:rPr>
                <w:sz w:val="18"/>
              </w:rPr>
            </w:pPr>
          </w:p>
          <w:p>
            <w:pPr>
              <w:pStyle w:val="TableParagraph"/>
              <w:spacing w:before="4"/>
              <w:jc w:val="left"/>
              <w:rPr>
                <w:sz w:val="17"/>
              </w:rPr>
            </w:pPr>
          </w:p>
          <w:p>
            <w:pPr>
              <w:pStyle w:val="TableParagraph"/>
              <w:ind w:left="355" w:right="355"/>
              <w:rPr>
                <w:b/>
                <w:sz w:val="17"/>
              </w:rPr>
            </w:pPr>
            <w:r>
              <w:rPr>
                <w:b/>
                <w:color w:val="231F20"/>
                <w:w w:val="105"/>
                <w:sz w:val="17"/>
              </w:rPr>
              <w:t>Días</w:t>
            </w:r>
          </w:p>
        </w:tc>
      </w:tr>
      <w:tr>
        <w:trPr>
          <w:trHeight w:val="248" w:hRule="exact"/>
        </w:trPr>
        <w:tc>
          <w:tcPr>
            <w:tcW w:w="3100" w:type="dxa"/>
          </w:tcPr>
          <w:p>
            <w:pPr>
              <w:pStyle w:val="TableParagraph"/>
              <w:spacing w:before="42"/>
              <w:ind w:left="628" w:right="627"/>
              <w:rPr>
                <w:sz w:val="17"/>
              </w:rPr>
            </w:pPr>
            <w:r>
              <w:rPr>
                <w:color w:val="231F20"/>
                <w:w w:val="105"/>
                <w:sz w:val="17"/>
              </w:rPr>
              <w:t>Total días acumulados</w:t>
            </w:r>
          </w:p>
        </w:tc>
        <w:tc>
          <w:tcPr>
            <w:tcW w:w="1135" w:type="dxa"/>
          </w:tcPr>
          <w:p>
            <w:pPr>
              <w:pStyle w:val="TableParagraph"/>
              <w:spacing w:before="42"/>
              <w:ind w:left="353" w:right="355"/>
              <w:rPr>
                <w:sz w:val="17"/>
              </w:rPr>
            </w:pPr>
            <w:r>
              <w:rPr>
                <w:color w:val="231F20"/>
                <w:w w:val="105"/>
                <w:sz w:val="17"/>
              </w:rPr>
              <w:t>227</w:t>
            </w:r>
          </w:p>
        </w:tc>
      </w:tr>
      <w:tr>
        <w:trPr>
          <w:trHeight w:val="262" w:hRule="exact"/>
        </w:trPr>
        <w:tc>
          <w:tcPr>
            <w:tcW w:w="3100" w:type="dxa"/>
          </w:tcPr>
          <w:p>
            <w:pPr>
              <w:pStyle w:val="TableParagraph"/>
              <w:spacing w:before="31"/>
              <w:ind w:left="628" w:right="627"/>
              <w:rPr>
                <w:sz w:val="19"/>
              </w:rPr>
            </w:pPr>
            <w:r>
              <w:rPr>
                <w:color w:val="231F20"/>
                <w:sz w:val="19"/>
              </w:rPr>
              <w:t>Media</w:t>
            </w:r>
          </w:p>
        </w:tc>
        <w:tc>
          <w:tcPr>
            <w:tcW w:w="1135" w:type="dxa"/>
          </w:tcPr>
          <w:p>
            <w:pPr>
              <w:pStyle w:val="TableParagraph"/>
              <w:spacing w:before="53"/>
              <w:ind w:left="355" w:right="355"/>
              <w:rPr>
                <w:sz w:val="17"/>
              </w:rPr>
            </w:pPr>
            <w:r>
              <w:rPr>
                <w:color w:val="231F20"/>
                <w:w w:val="105"/>
                <w:sz w:val="17"/>
              </w:rPr>
              <w:t>4.83</w:t>
            </w:r>
          </w:p>
        </w:tc>
      </w:tr>
      <w:tr>
        <w:trPr>
          <w:trHeight w:val="248" w:hRule="exact"/>
        </w:trPr>
        <w:tc>
          <w:tcPr>
            <w:tcW w:w="3100" w:type="dxa"/>
          </w:tcPr>
          <w:p>
            <w:pPr>
              <w:pStyle w:val="TableParagraph"/>
              <w:spacing w:before="40"/>
              <w:ind w:left="626" w:right="627"/>
              <w:rPr>
                <w:sz w:val="17"/>
              </w:rPr>
            </w:pPr>
            <w:r>
              <w:rPr>
                <w:color w:val="231F20"/>
                <w:w w:val="105"/>
                <w:sz w:val="17"/>
              </w:rPr>
              <w:t>Moda</w:t>
            </w:r>
          </w:p>
        </w:tc>
        <w:tc>
          <w:tcPr>
            <w:tcW w:w="1135" w:type="dxa"/>
          </w:tcPr>
          <w:p>
            <w:pPr>
              <w:pStyle w:val="TableParagraph"/>
              <w:spacing w:before="40"/>
              <w:ind w:right="2"/>
              <w:rPr>
                <w:sz w:val="17"/>
              </w:rPr>
            </w:pPr>
            <w:r>
              <w:rPr>
                <w:color w:val="231F20"/>
                <w:w w:val="103"/>
                <w:sz w:val="17"/>
              </w:rPr>
              <w:t>3</w:t>
            </w:r>
          </w:p>
        </w:tc>
      </w:tr>
      <w:tr>
        <w:trPr>
          <w:trHeight w:val="248" w:hRule="exact"/>
        </w:trPr>
        <w:tc>
          <w:tcPr>
            <w:tcW w:w="3100" w:type="dxa"/>
          </w:tcPr>
          <w:p>
            <w:pPr>
              <w:pStyle w:val="TableParagraph"/>
              <w:spacing w:before="42"/>
              <w:ind w:left="626" w:right="627"/>
              <w:rPr>
                <w:sz w:val="17"/>
              </w:rPr>
            </w:pPr>
            <w:r>
              <w:rPr>
                <w:color w:val="231F20"/>
                <w:w w:val="105"/>
                <w:sz w:val="17"/>
              </w:rPr>
              <w:t>Mediana</w:t>
            </w:r>
          </w:p>
        </w:tc>
        <w:tc>
          <w:tcPr>
            <w:tcW w:w="1135" w:type="dxa"/>
          </w:tcPr>
          <w:p>
            <w:pPr>
              <w:pStyle w:val="TableParagraph"/>
              <w:spacing w:before="42"/>
              <w:ind w:left="355" w:right="355"/>
              <w:rPr>
                <w:sz w:val="17"/>
              </w:rPr>
            </w:pPr>
            <w:r>
              <w:rPr>
                <w:color w:val="231F20"/>
                <w:w w:val="105"/>
                <w:sz w:val="17"/>
              </w:rPr>
              <w:t>3.5</w:t>
            </w:r>
          </w:p>
        </w:tc>
      </w:tr>
      <w:tr>
        <w:trPr>
          <w:trHeight w:val="248" w:hRule="exact"/>
        </w:trPr>
        <w:tc>
          <w:tcPr>
            <w:tcW w:w="3100" w:type="dxa"/>
          </w:tcPr>
          <w:p>
            <w:pPr>
              <w:pStyle w:val="TableParagraph"/>
              <w:spacing w:before="42"/>
              <w:ind w:left="627" w:right="627"/>
              <w:rPr>
                <w:sz w:val="17"/>
              </w:rPr>
            </w:pPr>
            <w:r>
              <w:rPr>
                <w:color w:val="231F20"/>
                <w:sz w:val="17"/>
              </w:rPr>
              <w:t>Desviación estándar</w:t>
            </w:r>
          </w:p>
        </w:tc>
        <w:tc>
          <w:tcPr>
            <w:tcW w:w="1135" w:type="dxa"/>
          </w:tcPr>
          <w:p>
            <w:pPr>
              <w:pStyle w:val="TableParagraph"/>
              <w:spacing w:before="42"/>
              <w:ind w:left="355" w:right="355"/>
              <w:rPr>
                <w:sz w:val="17"/>
              </w:rPr>
            </w:pPr>
            <w:r>
              <w:rPr>
                <w:color w:val="231F20"/>
                <w:w w:val="105"/>
                <w:sz w:val="17"/>
              </w:rPr>
              <w:t>2.99</w:t>
            </w:r>
          </w:p>
        </w:tc>
      </w:tr>
      <w:tr>
        <w:trPr>
          <w:trHeight w:val="250" w:hRule="exact"/>
        </w:trPr>
        <w:tc>
          <w:tcPr>
            <w:tcW w:w="3100" w:type="dxa"/>
          </w:tcPr>
          <w:p>
            <w:pPr>
              <w:pStyle w:val="TableParagraph"/>
              <w:spacing w:before="42"/>
              <w:ind w:left="628" w:right="627"/>
              <w:rPr>
                <w:sz w:val="17"/>
              </w:rPr>
            </w:pPr>
            <w:r>
              <w:rPr>
                <w:color w:val="231F20"/>
                <w:w w:val="105"/>
                <w:sz w:val="17"/>
              </w:rPr>
              <w:t>n= 47 (83.9%)</w:t>
            </w:r>
          </w:p>
        </w:tc>
        <w:tc>
          <w:tcPr>
            <w:tcW w:w="1135" w:type="dxa"/>
          </w:tcPr>
          <w:p>
            <w:pPr/>
          </w:p>
        </w:tc>
      </w:tr>
    </w:tbl>
    <w:p>
      <w:pPr>
        <w:pStyle w:val="BodyText"/>
        <w:spacing w:before="2"/>
        <w:rPr>
          <w:sz w:val="7"/>
        </w:rPr>
      </w:pPr>
    </w:p>
    <w:p>
      <w:pPr>
        <w:spacing w:before="85"/>
        <w:ind w:left="2563" w:right="858" w:firstLine="0"/>
        <w:jc w:val="left"/>
        <w:rPr>
          <w:sz w:val="14"/>
        </w:rPr>
      </w:pPr>
      <w:r>
        <w:rPr>
          <w:color w:val="231F20"/>
          <w:w w:val="105"/>
          <w:sz w:val="14"/>
        </w:rPr>
        <w:t>Fuente: Anexo 1</w:t>
      </w:r>
    </w:p>
    <w:p>
      <w:pPr>
        <w:pStyle w:val="BodyText"/>
        <w:spacing w:before="1"/>
      </w:pPr>
    </w:p>
    <w:p>
      <w:pPr>
        <w:spacing w:before="0"/>
        <w:ind w:left="1133" w:right="1133" w:hanging="3"/>
        <w:jc w:val="center"/>
        <w:rPr>
          <w:sz w:val="16"/>
        </w:rPr>
      </w:pPr>
      <w:r>
        <w:rPr>
          <w:color w:val="231F20"/>
          <w:sz w:val="16"/>
        </w:rPr>
        <w:t>Los días promedio de hospitalización en pacientes con Diálisis peritoneal sin evento de peritonitis y sin disfunción de catéter fue de 4.83 </w:t>
      </w:r>
      <w:r>
        <w:rPr>
          <w:color w:val="231F20"/>
          <w:sz w:val="16"/>
          <w:u w:val="single" w:color="231F20"/>
        </w:rPr>
        <w:t>+ </w:t>
      </w:r>
      <w:r>
        <w:rPr>
          <w:color w:val="231F20"/>
          <w:sz w:val="16"/>
        </w:rPr>
        <w:t>2.99, siendo más frecuente estancia de 3 días</w:t>
      </w:r>
    </w:p>
    <w:p>
      <w:pPr>
        <w:spacing w:after="0"/>
        <w:jc w:val="center"/>
        <w:rPr>
          <w:sz w:val="16"/>
        </w:rPr>
        <w:sectPr>
          <w:pgSz w:w="12240" w:h="15840"/>
          <w:pgMar w:header="0" w:footer="1972" w:top="1500" w:bottom="2160" w:left="1720" w:right="1720"/>
        </w:sectPr>
      </w:pPr>
    </w:p>
    <w:p>
      <w:pPr>
        <w:pStyle w:val="BodyText"/>
        <w:rPr>
          <w:sz w:val="20"/>
        </w:rPr>
      </w:pPr>
    </w:p>
    <w:p>
      <w:pPr>
        <w:pStyle w:val="BodyText"/>
        <w:rPr>
          <w:sz w:val="20"/>
        </w:rPr>
      </w:pPr>
    </w:p>
    <w:p>
      <w:pPr>
        <w:pStyle w:val="BodyText"/>
        <w:rPr>
          <w:sz w:val="20"/>
        </w:rPr>
      </w:pPr>
    </w:p>
    <w:p>
      <w:pPr>
        <w:pStyle w:val="BodyText"/>
        <w:spacing w:before="5"/>
        <w:rPr>
          <w:sz w:val="23"/>
        </w:rPr>
      </w:pPr>
    </w:p>
    <w:p>
      <w:pPr>
        <w:pStyle w:val="BodyText"/>
        <w:spacing w:line="242" w:lineRule="auto" w:before="77"/>
        <w:ind w:left="1747" w:right="858" w:hanging="647"/>
      </w:pPr>
      <w:r>
        <w:rPr>
          <w:b/>
          <w:color w:val="231F20"/>
        </w:rPr>
        <w:t>Tabla 8. </w:t>
      </w:r>
      <w:r>
        <w:rPr>
          <w:color w:val="231F20"/>
        </w:rPr>
        <w:t>Valores estadísticos en días hospitalización para paciente en diálisis peritoneal sin evento de peritonitis y con disfunción de catéter.</w:t>
      </w:r>
    </w:p>
    <w:p>
      <w:pPr>
        <w:pStyle w:val="BodyText"/>
        <w:rPr>
          <w:sz w:val="20"/>
        </w:rPr>
      </w:pPr>
    </w:p>
    <w:p>
      <w:pPr>
        <w:pStyle w:val="BodyText"/>
        <w:rPr>
          <w:sz w:val="20"/>
        </w:rPr>
      </w:pPr>
    </w:p>
    <w:p>
      <w:pPr>
        <w:pStyle w:val="BodyText"/>
        <w:spacing w:before="2" w:after="1"/>
        <w:rPr>
          <w:sz w:val="16"/>
        </w:rPr>
      </w:pPr>
    </w:p>
    <w:tbl>
      <w:tblPr>
        <w:tblW w:w="0" w:type="auto"/>
        <w:jc w:val="left"/>
        <w:tblInd w:w="2060"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3424"/>
        <w:gridCol w:w="1248"/>
      </w:tblGrid>
      <w:tr>
        <w:trPr>
          <w:trHeight w:val="614" w:hRule="exact"/>
        </w:trPr>
        <w:tc>
          <w:tcPr>
            <w:tcW w:w="3424" w:type="dxa"/>
          </w:tcPr>
          <w:p>
            <w:pPr>
              <w:pStyle w:val="TableParagraph"/>
              <w:spacing w:line="249" w:lineRule="auto" w:before="2"/>
              <w:ind w:left="90" w:right="92"/>
              <w:rPr>
                <w:b/>
                <w:sz w:val="17"/>
              </w:rPr>
            </w:pPr>
            <w:r>
              <w:rPr>
                <w:b/>
                <w:color w:val="231F20"/>
                <w:w w:val="105"/>
                <w:sz w:val="17"/>
              </w:rPr>
              <w:t>Días hospitalización en pacientes con diálisis peritoneal sin peritonitis pero con disfunción de catéter</w:t>
            </w:r>
          </w:p>
        </w:tc>
        <w:tc>
          <w:tcPr>
            <w:tcW w:w="1248" w:type="dxa"/>
          </w:tcPr>
          <w:p>
            <w:pPr>
              <w:pStyle w:val="TableParagraph"/>
              <w:jc w:val="left"/>
              <w:rPr>
                <w:sz w:val="18"/>
              </w:rPr>
            </w:pPr>
          </w:p>
          <w:p>
            <w:pPr>
              <w:pStyle w:val="TableParagraph"/>
              <w:spacing w:before="4"/>
              <w:jc w:val="left"/>
              <w:rPr>
                <w:sz w:val="17"/>
              </w:rPr>
            </w:pPr>
          </w:p>
          <w:p>
            <w:pPr>
              <w:pStyle w:val="TableParagraph"/>
              <w:ind w:left="350" w:right="352"/>
              <w:rPr>
                <w:b/>
                <w:sz w:val="17"/>
              </w:rPr>
            </w:pPr>
            <w:r>
              <w:rPr>
                <w:b/>
                <w:color w:val="231F20"/>
                <w:w w:val="105"/>
                <w:sz w:val="17"/>
              </w:rPr>
              <w:t>Días</w:t>
            </w:r>
          </w:p>
        </w:tc>
      </w:tr>
      <w:tr>
        <w:trPr>
          <w:trHeight w:val="248" w:hRule="exact"/>
        </w:trPr>
        <w:tc>
          <w:tcPr>
            <w:tcW w:w="3424" w:type="dxa"/>
          </w:tcPr>
          <w:p>
            <w:pPr>
              <w:pStyle w:val="TableParagraph"/>
              <w:spacing w:before="42"/>
              <w:ind w:left="90" w:right="90"/>
              <w:rPr>
                <w:sz w:val="17"/>
              </w:rPr>
            </w:pPr>
            <w:r>
              <w:rPr>
                <w:color w:val="231F20"/>
                <w:w w:val="105"/>
                <w:sz w:val="17"/>
              </w:rPr>
              <w:t>Total</w:t>
            </w:r>
          </w:p>
        </w:tc>
        <w:tc>
          <w:tcPr>
            <w:tcW w:w="1248" w:type="dxa"/>
          </w:tcPr>
          <w:p>
            <w:pPr>
              <w:pStyle w:val="TableParagraph"/>
              <w:spacing w:before="42"/>
              <w:ind w:left="350" w:right="352"/>
              <w:rPr>
                <w:sz w:val="17"/>
              </w:rPr>
            </w:pPr>
            <w:r>
              <w:rPr>
                <w:color w:val="231F20"/>
                <w:w w:val="105"/>
                <w:sz w:val="17"/>
              </w:rPr>
              <w:t>64</w:t>
            </w:r>
          </w:p>
        </w:tc>
      </w:tr>
      <w:tr>
        <w:trPr>
          <w:trHeight w:val="261" w:hRule="exact"/>
        </w:trPr>
        <w:tc>
          <w:tcPr>
            <w:tcW w:w="3424" w:type="dxa"/>
          </w:tcPr>
          <w:p>
            <w:pPr>
              <w:pStyle w:val="TableParagraph"/>
              <w:spacing w:before="31"/>
              <w:ind w:left="90" w:right="90"/>
              <w:rPr>
                <w:sz w:val="19"/>
              </w:rPr>
            </w:pPr>
            <w:r>
              <w:rPr>
                <w:color w:val="231F20"/>
                <w:sz w:val="19"/>
              </w:rPr>
              <w:t>Media</w:t>
            </w:r>
          </w:p>
        </w:tc>
        <w:tc>
          <w:tcPr>
            <w:tcW w:w="1248" w:type="dxa"/>
          </w:tcPr>
          <w:p>
            <w:pPr>
              <w:pStyle w:val="TableParagraph"/>
              <w:spacing w:before="53"/>
              <w:ind w:left="352" w:right="352"/>
              <w:rPr>
                <w:sz w:val="17"/>
              </w:rPr>
            </w:pPr>
            <w:r>
              <w:rPr>
                <w:color w:val="231F20"/>
                <w:w w:val="105"/>
                <w:sz w:val="17"/>
              </w:rPr>
              <w:t>7.11</w:t>
            </w:r>
          </w:p>
        </w:tc>
      </w:tr>
      <w:tr>
        <w:trPr>
          <w:trHeight w:val="248" w:hRule="exact"/>
        </w:trPr>
        <w:tc>
          <w:tcPr>
            <w:tcW w:w="3424" w:type="dxa"/>
          </w:tcPr>
          <w:p>
            <w:pPr>
              <w:pStyle w:val="TableParagraph"/>
              <w:spacing w:before="42"/>
              <w:ind w:left="89" w:right="92"/>
              <w:rPr>
                <w:sz w:val="17"/>
              </w:rPr>
            </w:pPr>
            <w:r>
              <w:rPr>
                <w:color w:val="231F20"/>
                <w:w w:val="105"/>
                <w:sz w:val="17"/>
              </w:rPr>
              <w:t>Moda</w:t>
            </w:r>
          </w:p>
        </w:tc>
        <w:tc>
          <w:tcPr>
            <w:tcW w:w="1248" w:type="dxa"/>
          </w:tcPr>
          <w:p>
            <w:pPr>
              <w:pStyle w:val="TableParagraph"/>
              <w:spacing w:before="42"/>
              <w:ind w:left="352" w:right="352"/>
              <w:rPr>
                <w:sz w:val="17"/>
              </w:rPr>
            </w:pPr>
            <w:r>
              <w:rPr>
                <w:color w:val="231F20"/>
                <w:w w:val="105"/>
                <w:sz w:val="17"/>
              </w:rPr>
              <w:t>4,7,10</w:t>
            </w:r>
          </w:p>
        </w:tc>
      </w:tr>
      <w:tr>
        <w:trPr>
          <w:trHeight w:val="248" w:hRule="exact"/>
        </w:trPr>
        <w:tc>
          <w:tcPr>
            <w:tcW w:w="3424" w:type="dxa"/>
          </w:tcPr>
          <w:p>
            <w:pPr>
              <w:pStyle w:val="TableParagraph"/>
              <w:spacing w:before="42"/>
              <w:ind w:left="90" w:right="91"/>
              <w:rPr>
                <w:sz w:val="17"/>
              </w:rPr>
            </w:pPr>
            <w:r>
              <w:rPr>
                <w:color w:val="231F20"/>
                <w:w w:val="105"/>
                <w:sz w:val="17"/>
              </w:rPr>
              <w:t>Mediana</w:t>
            </w:r>
          </w:p>
        </w:tc>
        <w:tc>
          <w:tcPr>
            <w:tcW w:w="1248" w:type="dxa"/>
          </w:tcPr>
          <w:p>
            <w:pPr>
              <w:pStyle w:val="TableParagraph"/>
              <w:spacing w:before="42"/>
              <w:rPr>
                <w:sz w:val="17"/>
              </w:rPr>
            </w:pPr>
            <w:r>
              <w:rPr>
                <w:color w:val="231F20"/>
                <w:w w:val="103"/>
                <w:sz w:val="17"/>
              </w:rPr>
              <w:t>7</w:t>
            </w:r>
          </w:p>
        </w:tc>
      </w:tr>
      <w:tr>
        <w:trPr>
          <w:trHeight w:val="248" w:hRule="exact"/>
        </w:trPr>
        <w:tc>
          <w:tcPr>
            <w:tcW w:w="3424" w:type="dxa"/>
          </w:tcPr>
          <w:p>
            <w:pPr>
              <w:pStyle w:val="TableParagraph"/>
              <w:spacing w:before="42"/>
              <w:ind w:left="90" w:right="92"/>
              <w:rPr>
                <w:sz w:val="17"/>
              </w:rPr>
            </w:pPr>
            <w:r>
              <w:rPr>
                <w:color w:val="231F20"/>
                <w:sz w:val="17"/>
              </w:rPr>
              <w:t>Desviación estándar</w:t>
            </w:r>
          </w:p>
        </w:tc>
        <w:tc>
          <w:tcPr>
            <w:tcW w:w="1248" w:type="dxa"/>
          </w:tcPr>
          <w:p>
            <w:pPr>
              <w:pStyle w:val="TableParagraph"/>
              <w:spacing w:before="42"/>
              <w:ind w:left="352" w:right="352"/>
              <w:rPr>
                <w:sz w:val="17"/>
              </w:rPr>
            </w:pPr>
            <w:r>
              <w:rPr>
                <w:color w:val="231F20"/>
                <w:w w:val="105"/>
                <w:sz w:val="17"/>
              </w:rPr>
              <w:t>2.369</w:t>
            </w:r>
          </w:p>
        </w:tc>
      </w:tr>
      <w:tr>
        <w:trPr>
          <w:trHeight w:val="250" w:hRule="exact"/>
        </w:trPr>
        <w:tc>
          <w:tcPr>
            <w:tcW w:w="3424" w:type="dxa"/>
          </w:tcPr>
          <w:p>
            <w:pPr>
              <w:pStyle w:val="TableParagraph"/>
              <w:spacing w:before="42"/>
              <w:ind w:left="90" w:right="90"/>
              <w:rPr>
                <w:sz w:val="17"/>
              </w:rPr>
            </w:pPr>
            <w:r>
              <w:rPr>
                <w:color w:val="231F20"/>
                <w:w w:val="105"/>
                <w:sz w:val="17"/>
              </w:rPr>
              <w:t>n= 9 (16.1%)</w:t>
            </w:r>
          </w:p>
        </w:tc>
        <w:tc>
          <w:tcPr>
            <w:tcW w:w="1248" w:type="dxa"/>
          </w:tcPr>
          <w:p>
            <w:pPr/>
          </w:p>
        </w:tc>
      </w:tr>
    </w:tbl>
    <w:p>
      <w:pPr>
        <w:pStyle w:val="BodyText"/>
        <w:spacing w:before="2"/>
        <w:rPr>
          <w:sz w:val="7"/>
        </w:rPr>
      </w:pPr>
    </w:p>
    <w:p>
      <w:pPr>
        <w:spacing w:before="85"/>
        <w:ind w:left="2401" w:right="858" w:firstLine="0"/>
        <w:jc w:val="left"/>
        <w:rPr>
          <w:sz w:val="14"/>
        </w:rPr>
      </w:pPr>
      <w:r>
        <w:rPr>
          <w:color w:val="231F20"/>
          <w:w w:val="105"/>
          <w:sz w:val="14"/>
        </w:rPr>
        <w:t>Fuente: Anexo 1</w:t>
      </w:r>
    </w:p>
    <w:p>
      <w:pPr>
        <w:pStyle w:val="BodyText"/>
        <w:spacing w:before="1"/>
      </w:pPr>
    </w:p>
    <w:p>
      <w:pPr>
        <w:spacing w:before="0"/>
        <w:ind w:left="1035" w:right="1033" w:hanging="1"/>
        <w:jc w:val="center"/>
        <w:rPr>
          <w:sz w:val="16"/>
        </w:rPr>
      </w:pPr>
      <w:r>
        <w:rPr>
          <w:color w:val="231F20"/>
          <w:sz w:val="16"/>
        </w:rPr>
        <w:t>Los días promedio de hospitalización en pacientes con Diálisis peritoneal sin evento de perito- nitis pero con disfunción de catéter fue de 7.11 </w:t>
      </w:r>
      <w:r>
        <w:rPr>
          <w:color w:val="231F20"/>
          <w:sz w:val="16"/>
          <w:u w:val="single" w:color="231F20"/>
        </w:rPr>
        <w:t>+ </w:t>
      </w:r>
      <w:r>
        <w:rPr>
          <w:color w:val="231F20"/>
          <w:sz w:val="16"/>
        </w:rPr>
        <w:t>2.36, siendo más frecuente estancia de 4, 7 y 10 días, una relación del doble a los pacientes sin disfunción de catéter.</w:t>
      </w:r>
    </w:p>
    <w:p>
      <w:pPr>
        <w:pStyle w:val="BodyText"/>
        <w:rPr>
          <w:sz w:val="16"/>
        </w:rPr>
      </w:pPr>
    </w:p>
    <w:p>
      <w:pPr>
        <w:pStyle w:val="BodyText"/>
        <w:rPr>
          <w:sz w:val="16"/>
        </w:rPr>
      </w:pPr>
    </w:p>
    <w:p>
      <w:pPr>
        <w:pStyle w:val="BodyText"/>
        <w:rPr>
          <w:sz w:val="16"/>
        </w:rPr>
      </w:pPr>
    </w:p>
    <w:p>
      <w:pPr>
        <w:pStyle w:val="BodyText"/>
        <w:spacing w:line="242" w:lineRule="auto" w:before="111"/>
        <w:ind w:left="999" w:right="1001" w:firstLine="566"/>
        <w:jc w:val="both"/>
        <w:rPr>
          <w:b/>
        </w:rPr>
      </w:pPr>
      <w:r>
        <w:rPr>
          <w:color w:val="231F20"/>
        </w:rPr>
        <w:t>Se hace una comparativa de los días de hospitalización en pacientes   con diálisis peritoneal sin evento de peritonitis, con disfunción de catéter y sin disfunción de catéter, en la cual hay un diferencia promedio de días hospitalización de 2.28 días </w:t>
      </w:r>
      <w:r>
        <w:rPr>
          <w:b/>
          <w:color w:val="231F20"/>
        </w:rPr>
        <w:t>(Tabla 9, Gráfico</w:t>
      </w:r>
      <w:r>
        <w:rPr>
          <w:b/>
          <w:color w:val="231F20"/>
          <w:spacing w:val="34"/>
        </w:rPr>
        <w:t> </w:t>
      </w:r>
      <w:r>
        <w:rPr>
          <w:b/>
          <w:color w:val="231F20"/>
        </w:rPr>
        <w:t>2).</w:t>
      </w:r>
    </w:p>
    <w:p>
      <w:pPr>
        <w:pStyle w:val="BodyText"/>
        <w:rPr>
          <w:b/>
          <w:sz w:val="18"/>
        </w:rPr>
      </w:pPr>
    </w:p>
    <w:p>
      <w:pPr>
        <w:pStyle w:val="BodyText"/>
        <w:rPr>
          <w:b/>
          <w:sz w:val="18"/>
        </w:rPr>
      </w:pPr>
    </w:p>
    <w:p>
      <w:pPr>
        <w:pStyle w:val="BodyText"/>
        <w:spacing w:before="7"/>
        <w:rPr>
          <w:b/>
          <w:sz w:val="21"/>
        </w:rPr>
      </w:pPr>
    </w:p>
    <w:p>
      <w:pPr>
        <w:pStyle w:val="BodyText"/>
        <w:spacing w:line="242" w:lineRule="auto"/>
        <w:ind w:left="1017" w:right="1021"/>
        <w:jc w:val="center"/>
      </w:pPr>
      <w:r>
        <w:rPr>
          <w:b/>
          <w:color w:val="231F20"/>
        </w:rPr>
        <w:t>Tabla 9</w:t>
      </w:r>
      <w:r>
        <w:rPr>
          <w:color w:val="231F20"/>
        </w:rPr>
        <w:t>. Días de hospitalización en pacientes con diálisis peritoneal sin evento de peritonitis, sin disfunción de catéter vs disfunción de catéter</w:t>
      </w:r>
    </w:p>
    <w:p>
      <w:pPr>
        <w:pStyle w:val="BodyText"/>
        <w:rPr>
          <w:sz w:val="20"/>
        </w:rPr>
      </w:pPr>
    </w:p>
    <w:p>
      <w:pPr>
        <w:pStyle w:val="BodyText"/>
        <w:rPr>
          <w:sz w:val="20"/>
        </w:rPr>
      </w:pPr>
    </w:p>
    <w:p>
      <w:pPr>
        <w:pStyle w:val="BodyText"/>
        <w:spacing w:after="1"/>
        <w:rPr>
          <w:sz w:val="13"/>
        </w:rPr>
      </w:pPr>
    </w:p>
    <w:tbl>
      <w:tblPr>
        <w:tblW w:w="0" w:type="auto"/>
        <w:jc w:val="left"/>
        <w:tblInd w:w="1521"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2931"/>
        <w:gridCol w:w="1315"/>
        <w:gridCol w:w="1506"/>
      </w:tblGrid>
      <w:tr>
        <w:trPr>
          <w:trHeight w:val="413" w:hRule="exact"/>
        </w:trPr>
        <w:tc>
          <w:tcPr>
            <w:tcW w:w="2931" w:type="dxa"/>
          </w:tcPr>
          <w:p>
            <w:pPr>
              <w:pStyle w:val="TableParagraph"/>
              <w:spacing w:line="247" w:lineRule="auto" w:before="2"/>
              <w:ind w:left="437" w:hanging="285"/>
              <w:jc w:val="left"/>
              <w:rPr>
                <w:b/>
                <w:sz w:val="17"/>
              </w:rPr>
            </w:pPr>
            <w:r>
              <w:rPr>
                <w:b/>
                <w:color w:val="231F20"/>
                <w:w w:val="105"/>
                <w:sz w:val="17"/>
              </w:rPr>
              <w:t>Días hospitalización en Diálisis peritoneal sin peritonitis</w:t>
            </w:r>
          </w:p>
        </w:tc>
        <w:tc>
          <w:tcPr>
            <w:tcW w:w="1315" w:type="dxa"/>
          </w:tcPr>
          <w:p>
            <w:pPr>
              <w:pStyle w:val="TableParagraph"/>
              <w:spacing w:before="7"/>
              <w:jc w:val="left"/>
              <w:rPr>
                <w:sz w:val="17"/>
              </w:rPr>
            </w:pPr>
          </w:p>
          <w:p>
            <w:pPr>
              <w:pStyle w:val="TableParagraph"/>
              <w:spacing w:before="1"/>
              <w:ind w:left="232" w:right="232"/>
              <w:rPr>
                <w:b/>
                <w:sz w:val="17"/>
              </w:rPr>
            </w:pPr>
            <w:r>
              <w:rPr>
                <w:b/>
                <w:color w:val="231F20"/>
                <w:w w:val="105"/>
                <w:sz w:val="17"/>
              </w:rPr>
              <w:t>Días SDC</w:t>
            </w:r>
          </w:p>
        </w:tc>
        <w:tc>
          <w:tcPr>
            <w:tcW w:w="1506" w:type="dxa"/>
          </w:tcPr>
          <w:p>
            <w:pPr>
              <w:pStyle w:val="TableParagraph"/>
              <w:spacing w:before="7"/>
              <w:jc w:val="left"/>
              <w:rPr>
                <w:sz w:val="17"/>
              </w:rPr>
            </w:pPr>
          </w:p>
          <w:p>
            <w:pPr>
              <w:pStyle w:val="TableParagraph"/>
              <w:spacing w:before="1"/>
              <w:ind w:left="321" w:right="323"/>
              <w:rPr>
                <w:b/>
                <w:sz w:val="17"/>
              </w:rPr>
            </w:pPr>
            <w:r>
              <w:rPr>
                <w:b/>
                <w:color w:val="231F20"/>
                <w:w w:val="105"/>
                <w:sz w:val="17"/>
              </w:rPr>
              <w:t>Días CDC</w:t>
            </w:r>
          </w:p>
        </w:tc>
      </w:tr>
      <w:tr>
        <w:trPr>
          <w:trHeight w:val="248" w:hRule="exact"/>
        </w:trPr>
        <w:tc>
          <w:tcPr>
            <w:tcW w:w="2931" w:type="dxa"/>
          </w:tcPr>
          <w:p>
            <w:pPr>
              <w:pStyle w:val="TableParagraph"/>
              <w:spacing w:before="40"/>
              <w:ind w:left="671" w:right="671"/>
              <w:rPr>
                <w:sz w:val="17"/>
              </w:rPr>
            </w:pPr>
            <w:r>
              <w:rPr>
                <w:color w:val="231F20"/>
                <w:w w:val="105"/>
                <w:sz w:val="17"/>
              </w:rPr>
              <w:t>Total</w:t>
            </w:r>
          </w:p>
        </w:tc>
        <w:tc>
          <w:tcPr>
            <w:tcW w:w="1315" w:type="dxa"/>
          </w:tcPr>
          <w:p>
            <w:pPr>
              <w:pStyle w:val="TableParagraph"/>
              <w:spacing w:before="40"/>
              <w:ind w:left="232" w:right="232"/>
              <w:rPr>
                <w:sz w:val="17"/>
              </w:rPr>
            </w:pPr>
            <w:r>
              <w:rPr>
                <w:color w:val="231F20"/>
                <w:w w:val="105"/>
                <w:sz w:val="17"/>
              </w:rPr>
              <w:t>227</w:t>
            </w:r>
          </w:p>
        </w:tc>
        <w:tc>
          <w:tcPr>
            <w:tcW w:w="1506" w:type="dxa"/>
          </w:tcPr>
          <w:p>
            <w:pPr>
              <w:pStyle w:val="TableParagraph"/>
              <w:spacing w:before="40"/>
              <w:ind w:left="321" w:right="322"/>
              <w:rPr>
                <w:sz w:val="17"/>
              </w:rPr>
            </w:pPr>
            <w:r>
              <w:rPr>
                <w:color w:val="231F20"/>
                <w:w w:val="105"/>
                <w:sz w:val="17"/>
              </w:rPr>
              <w:t>64</w:t>
            </w:r>
          </w:p>
        </w:tc>
      </w:tr>
      <w:tr>
        <w:trPr>
          <w:trHeight w:val="259" w:hRule="exact"/>
        </w:trPr>
        <w:tc>
          <w:tcPr>
            <w:tcW w:w="2931" w:type="dxa"/>
          </w:tcPr>
          <w:p>
            <w:pPr>
              <w:pStyle w:val="TableParagraph"/>
              <w:spacing w:before="29"/>
              <w:ind w:left="671" w:right="671"/>
              <w:rPr>
                <w:sz w:val="19"/>
              </w:rPr>
            </w:pPr>
            <w:r>
              <w:rPr>
                <w:color w:val="231F20"/>
                <w:sz w:val="19"/>
              </w:rPr>
              <w:t>Media</w:t>
            </w:r>
          </w:p>
        </w:tc>
        <w:tc>
          <w:tcPr>
            <w:tcW w:w="1315" w:type="dxa"/>
          </w:tcPr>
          <w:p>
            <w:pPr>
              <w:pStyle w:val="TableParagraph"/>
              <w:spacing w:before="53"/>
              <w:ind w:left="232" w:right="229"/>
              <w:rPr>
                <w:sz w:val="17"/>
              </w:rPr>
            </w:pPr>
            <w:r>
              <w:rPr>
                <w:color w:val="231F20"/>
                <w:w w:val="105"/>
                <w:sz w:val="17"/>
              </w:rPr>
              <w:t>4.83</w:t>
            </w:r>
          </w:p>
        </w:tc>
        <w:tc>
          <w:tcPr>
            <w:tcW w:w="1506" w:type="dxa"/>
          </w:tcPr>
          <w:p>
            <w:pPr>
              <w:pStyle w:val="TableParagraph"/>
              <w:spacing w:before="53"/>
              <w:ind w:left="321" w:right="322"/>
              <w:rPr>
                <w:sz w:val="17"/>
              </w:rPr>
            </w:pPr>
            <w:r>
              <w:rPr>
                <w:color w:val="231F20"/>
                <w:w w:val="105"/>
                <w:sz w:val="17"/>
              </w:rPr>
              <w:t>7.11</w:t>
            </w:r>
          </w:p>
        </w:tc>
      </w:tr>
      <w:tr>
        <w:trPr>
          <w:trHeight w:val="248" w:hRule="exact"/>
        </w:trPr>
        <w:tc>
          <w:tcPr>
            <w:tcW w:w="2931" w:type="dxa"/>
          </w:tcPr>
          <w:p>
            <w:pPr>
              <w:pStyle w:val="TableParagraph"/>
              <w:spacing w:before="42"/>
              <w:ind w:left="670" w:right="671"/>
              <w:rPr>
                <w:sz w:val="17"/>
              </w:rPr>
            </w:pPr>
            <w:r>
              <w:rPr>
                <w:color w:val="231F20"/>
                <w:w w:val="105"/>
                <w:sz w:val="17"/>
              </w:rPr>
              <w:t>Moda</w:t>
            </w:r>
          </w:p>
        </w:tc>
        <w:tc>
          <w:tcPr>
            <w:tcW w:w="1315" w:type="dxa"/>
          </w:tcPr>
          <w:p>
            <w:pPr>
              <w:pStyle w:val="TableParagraph"/>
              <w:spacing w:before="42"/>
              <w:rPr>
                <w:sz w:val="17"/>
              </w:rPr>
            </w:pPr>
            <w:r>
              <w:rPr>
                <w:color w:val="231F20"/>
                <w:w w:val="103"/>
                <w:sz w:val="17"/>
              </w:rPr>
              <w:t>3</w:t>
            </w:r>
          </w:p>
        </w:tc>
        <w:tc>
          <w:tcPr>
            <w:tcW w:w="1506" w:type="dxa"/>
          </w:tcPr>
          <w:p>
            <w:pPr>
              <w:pStyle w:val="TableParagraph"/>
              <w:spacing w:before="42"/>
              <w:ind w:left="321" w:right="321"/>
              <w:rPr>
                <w:sz w:val="17"/>
              </w:rPr>
            </w:pPr>
            <w:r>
              <w:rPr>
                <w:color w:val="231F20"/>
                <w:w w:val="105"/>
                <w:sz w:val="17"/>
              </w:rPr>
              <w:t>4,7,10</w:t>
            </w:r>
          </w:p>
        </w:tc>
      </w:tr>
      <w:tr>
        <w:trPr>
          <w:trHeight w:val="250" w:hRule="exact"/>
        </w:trPr>
        <w:tc>
          <w:tcPr>
            <w:tcW w:w="2931" w:type="dxa"/>
          </w:tcPr>
          <w:p>
            <w:pPr>
              <w:pStyle w:val="TableParagraph"/>
              <w:spacing w:before="42"/>
              <w:ind w:left="668" w:right="671"/>
              <w:rPr>
                <w:sz w:val="17"/>
              </w:rPr>
            </w:pPr>
            <w:r>
              <w:rPr>
                <w:color w:val="231F20"/>
                <w:w w:val="105"/>
                <w:sz w:val="17"/>
              </w:rPr>
              <w:t>Mediana</w:t>
            </w:r>
          </w:p>
        </w:tc>
        <w:tc>
          <w:tcPr>
            <w:tcW w:w="1315" w:type="dxa"/>
          </w:tcPr>
          <w:p>
            <w:pPr>
              <w:pStyle w:val="TableParagraph"/>
              <w:spacing w:before="42"/>
              <w:ind w:left="232" w:right="231"/>
              <w:rPr>
                <w:sz w:val="17"/>
              </w:rPr>
            </w:pPr>
            <w:r>
              <w:rPr>
                <w:color w:val="231F20"/>
                <w:w w:val="105"/>
                <w:sz w:val="17"/>
              </w:rPr>
              <w:t>3.5</w:t>
            </w:r>
          </w:p>
        </w:tc>
        <w:tc>
          <w:tcPr>
            <w:tcW w:w="1506" w:type="dxa"/>
          </w:tcPr>
          <w:p>
            <w:pPr>
              <w:pStyle w:val="TableParagraph"/>
              <w:spacing w:before="42"/>
              <w:ind w:right="1"/>
              <w:rPr>
                <w:sz w:val="17"/>
              </w:rPr>
            </w:pPr>
            <w:r>
              <w:rPr>
                <w:color w:val="231F20"/>
                <w:w w:val="103"/>
                <w:sz w:val="17"/>
              </w:rPr>
              <w:t>7</w:t>
            </w:r>
          </w:p>
        </w:tc>
      </w:tr>
      <w:tr>
        <w:trPr>
          <w:trHeight w:val="248" w:hRule="exact"/>
        </w:trPr>
        <w:tc>
          <w:tcPr>
            <w:tcW w:w="2931" w:type="dxa"/>
          </w:tcPr>
          <w:p>
            <w:pPr>
              <w:pStyle w:val="TableParagraph"/>
              <w:spacing w:before="40"/>
              <w:ind w:left="671" w:right="671"/>
              <w:rPr>
                <w:sz w:val="17"/>
              </w:rPr>
            </w:pPr>
            <w:r>
              <w:rPr>
                <w:color w:val="231F20"/>
                <w:sz w:val="17"/>
              </w:rPr>
              <w:t>Desviación estándar</w:t>
            </w:r>
          </w:p>
        </w:tc>
        <w:tc>
          <w:tcPr>
            <w:tcW w:w="1315" w:type="dxa"/>
          </w:tcPr>
          <w:p>
            <w:pPr>
              <w:pStyle w:val="TableParagraph"/>
              <w:spacing w:before="40"/>
              <w:ind w:left="232" w:right="229"/>
              <w:rPr>
                <w:sz w:val="17"/>
              </w:rPr>
            </w:pPr>
            <w:r>
              <w:rPr>
                <w:color w:val="231F20"/>
                <w:w w:val="105"/>
                <w:sz w:val="17"/>
              </w:rPr>
              <w:t>2.99</w:t>
            </w:r>
          </w:p>
        </w:tc>
        <w:tc>
          <w:tcPr>
            <w:tcW w:w="1506" w:type="dxa"/>
          </w:tcPr>
          <w:p>
            <w:pPr>
              <w:pStyle w:val="TableParagraph"/>
              <w:spacing w:before="40"/>
              <w:ind w:left="321" w:right="321"/>
              <w:rPr>
                <w:sz w:val="17"/>
              </w:rPr>
            </w:pPr>
            <w:r>
              <w:rPr>
                <w:color w:val="231F20"/>
                <w:w w:val="105"/>
                <w:sz w:val="17"/>
              </w:rPr>
              <w:t>2.369</w:t>
            </w:r>
          </w:p>
        </w:tc>
      </w:tr>
      <w:tr>
        <w:trPr>
          <w:trHeight w:val="248" w:hRule="exact"/>
        </w:trPr>
        <w:tc>
          <w:tcPr>
            <w:tcW w:w="2931" w:type="dxa"/>
          </w:tcPr>
          <w:p>
            <w:pPr>
              <w:pStyle w:val="TableParagraph"/>
              <w:spacing w:before="40"/>
              <w:ind w:left="671" w:right="671"/>
              <w:rPr>
                <w:sz w:val="17"/>
              </w:rPr>
            </w:pPr>
            <w:r>
              <w:rPr>
                <w:color w:val="231F20"/>
                <w:w w:val="105"/>
                <w:sz w:val="17"/>
              </w:rPr>
              <w:t>No. Pacientes</w:t>
            </w:r>
          </w:p>
        </w:tc>
        <w:tc>
          <w:tcPr>
            <w:tcW w:w="1315" w:type="dxa"/>
          </w:tcPr>
          <w:p>
            <w:pPr>
              <w:pStyle w:val="TableParagraph"/>
              <w:spacing w:before="40"/>
              <w:ind w:left="232" w:right="228"/>
              <w:rPr>
                <w:sz w:val="17"/>
              </w:rPr>
            </w:pPr>
            <w:r>
              <w:rPr>
                <w:color w:val="231F20"/>
                <w:w w:val="105"/>
                <w:sz w:val="17"/>
              </w:rPr>
              <w:t>n=47</w:t>
            </w:r>
          </w:p>
        </w:tc>
        <w:tc>
          <w:tcPr>
            <w:tcW w:w="1506" w:type="dxa"/>
          </w:tcPr>
          <w:p>
            <w:pPr>
              <w:pStyle w:val="TableParagraph"/>
              <w:spacing w:before="40"/>
              <w:ind w:left="321" w:right="322"/>
              <w:rPr>
                <w:sz w:val="17"/>
              </w:rPr>
            </w:pPr>
            <w:r>
              <w:rPr>
                <w:color w:val="231F20"/>
                <w:w w:val="105"/>
                <w:sz w:val="17"/>
              </w:rPr>
              <w:t>n=9</w:t>
            </w:r>
          </w:p>
        </w:tc>
      </w:tr>
    </w:tbl>
    <w:p>
      <w:pPr>
        <w:spacing w:after="0"/>
        <w:rPr>
          <w:sz w:val="17"/>
        </w:rPr>
        <w:sectPr>
          <w:pgSz w:w="12240" w:h="15840"/>
          <w:pgMar w:header="0" w:footer="1972" w:top="1500" w:bottom="2160" w:left="1720" w:right="1720"/>
        </w:sectPr>
      </w:pPr>
    </w:p>
    <w:p>
      <w:pPr>
        <w:spacing w:before="3"/>
        <w:ind w:left="1680" w:right="-13" w:firstLine="0"/>
        <w:jc w:val="left"/>
        <w:rPr>
          <w:sz w:val="14"/>
        </w:rPr>
      </w:pPr>
      <w:r>
        <w:rPr>
          <w:color w:val="231F20"/>
          <w:w w:val="105"/>
          <w:sz w:val="14"/>
        </w:rPr>
        <w:t>Fuente: Anexo</w:t>
      </w:r>
      <w:r>
        <w:rPr>
          <w:color w:val="231F20"/>
          <w:spacing w:val="-30"/>
          <w:w w:val="105"/>
          <w:sz w:val="14"/>
        </w:rPr>
        <w:t> </w:t>
      </w:r>
      <w:r>
        <w:rPr>
          <w:color w:val="231F20"/>
          <w:w w:val="105"/>
          <w:sz w:val="14"/>
        </w:rPr>
        <w:t>1</w:t>
      </w:r>
    </w:p>
    <w:p>
      <w:pPr>
        <w:pStyle w:val="BodyText"/>
        <w:spacing w:before="10"/>
        <w:rPr>
          <w:sz w:val="13"/>
        </w:rPr>
      </w:pPr>
      <w:r>
        <w:rPr/>
        <w:br w:type="column"/>
      </w:r>
      <w:r>
        <w:rPr>
          <w:sz w:val="13"/>
        </w:rPr>
      </w:r>
    </w:p>
    <w:p>
      <w:pPr>
        <w:spacing w:before="1"/>
        <w:ind w:left="1680" w:right="674" w:firstLine="49"/>
        <w:jc w:val="left"/>
        <w:rPr>
          <w:sz w:val="13"/>
        </w:rPr>
      </w:pPr>
      <w:r>
        <w:rPr>
          <w:color w:val="231F20"/>
          <w:sz w:val="13"/>
        </w:rPr>
        <w:t>SDC: sin disfunción de catéter CDC: con disfunción de catéter</w:t>
      </w:r>
    </w:p>
    <w:p>
      <w:pPr>
        <w:spacing w:after="0"/>
        <w:jc w:val="left"/>
        <w:rPr>
          <w:sz w:val="13"/>
        </w:rPr>
        <w:sectPr>
          <w:type w:val="continuous"/>
          <w:pgSz w:w="12240" w:h="15840"/>
          <w:pgMar w:top="1500" w:bottom="280" w:left="1720" w:right="1720"/>
          <w:cols w:num="2" w:equalWidth="0">
            <w:col w:w="2736" w:space="1614"/>
            <w:col w:w="445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spacing w:before="84"/>
        <w:ind w:left="999" w:right="858" w:firstLine="0"/>
        <w:jc w:val="left"/>
        <w:rPr>
          <w:b/>
          <w:sz w:val="17"/>
        </w:rPr>
      </w:pPr>
      <w:r>
        <w:rPr>
          <w:b/>
          <w:color w:val="231F20"/>
          <w:w w:val="105"/>
          <w:sz w:val="17"/>
        </w:rPr>
        <w:t>Gráfico 3</w:t>
      </w:r>
    </w:p>
    <w:p>
      <w:pPr>
        <w:pStyle w:val="BodyText"/>
        <w:rPr>
          <w:b/>
          <w:sz w:val="20"/>
        </w:rPr>
      </w:pPr>
    </w:p>
    <w:p>
      <w:pPr>
        <w:pStyle w:val="BodyText"/>
        <w:spacing w:before="3"/>
        <w:rPr>
          <w:b/>
          <w:sz w:val="29"/>
        </w:rPr>
      </w:pPr>
      <w:r>
        <w:rPr/>
        <w:pict>
          <v:group style="position:absolute;margin-left:136.811996pt;margin-top:18.816395pt;width:351.05pt;height:196.8pt;mso-position-horizontal-relative:page;mso-position-vertical-relative:paragraph;z-index:1600;mso-wrap-distance-left:0;mso-wrap-distance-right:0" coordorigin="2736,376" coordsize="7021,3936">
            <v:shape style="position:absolute;left:3132;top:3908;width:444;height:14" type="#_x0000_t75" stroked="false">
              <v:imagedata r:id="rId12" o:title=""/>
            </v:shape>
            <v:shape style="position:absolute;left:3132;top:1748;width:906;height:2174" type="#_x0000_t75" stroked="false">
              <v:imagedata r:id="rId13" o:title=""/>
            </v:shape>
            <v:shape style="position:absolute;left:3166;top:3280;width:872;height:642" type="#_x0000_t75" stroked="false">
              <v:imagedata r:id="rId14" o:title=""/>
            </v:shape>
            <v:shape style="position:absolute;left:3166;top:1755;width:380;height:2152" type="#_x0000_t75" stroked="false">
              <v:imagedata r:id="rId15" o:title=""/>
            </v:shape>
            <v:shape style="position:absolute;left:3610;top:3288;width:380;height:628" type="#_x0000_t75" stroked="false">
              <v:imagedata r:id="rId16" o:title=""/>
            </v:shape>
            <v:shape style="position:absolute;left:4462;top:3814;width:906;height:108" type="#_x0000_t75" stroked="false">
              <v:imagedata r:id="rId17" o:title=""/>
            </v:shape>
            <v:shape style="position:absolute;left:5793;top:3852;width:864;height:69" type="#_x0000_t75" stroked="false">
              <v:imagedata r:id="rId18" o:title=""/>
            </v:shape>
            <v:shape style="position:absolute;left:7125;top:3816;width:906;height:106" type="#_x0000_t75" stroked="false">
              <v:imagedata r:id="rId19" o:title=""/>
            </v:shape>
            <v:shape style="position:absolute;left:8456;top:3852;width:906;height:69" type="#_x0000_t75" stroked="false">
              <v:imagedata r:id="rId20" o:title=""/>
            </v:shape>
            <v:line style="position:absolute" from="2920,3906" to="9577,3906" stroked="true" strokeweight=".576pt" strokecolor="#989a9d"/>
            <v:shape style="position:absolute;left:5487;top:1174;width:115;height:115" type="#_x0000_t75" stroked="false">
              <v:imagedata r:id="rId21" o:title=""/>
            </v:shape>
            <v:shape style="position:absolute;left:6328;top:1174;width:115;height:115" type="#_x0000_t75" stroked="false">
              <v:imagedata r:id="rId22" o:title=""/>
            </v:shape>
            <v:rect style="position:absolute;left:2742;top:382;width:7009;height:3924" filled="false" stroked="true" strokeweight=".6pt" strokecolor="#989a9d"/>
            <v:shape style="position:absolute;left:3494;top:541;width:5504;height:781" type="#_x0000_t202" filled="false" stroked="false">
              <v:textbox inset="0,0,0,0">
                <w:txbxContent>
                  <w:p>
                    <w:pPr>
                      <w:spacing w:line="195" w:lineRule="exact" w:before="0"/>
                      <w:ind w:left="0" w:right="0" w:firstLine="0"/>
                      <w:jc w:val="center"/>
                      <w:rPr>
                        <w:rFonts w:ascii="Calibri" w:hAnsi="Calibri"/>
                        <w:b/>
                        <w:sz w:val="19"/>
                      </w:rPr>
                    </w:pPr>
                    <w:r>
                      <w:rPr>
                        <w:rFonts w:ascii="Calibri" w:hAnsi="Calibri"/>
                        <w:b/>
                        <w:color w:val="231F20"/>
                        <w:sz w:val="19"/>
                      </w:rPr>
                      <w:t>Dias hospitalizacion en pacientes con diálisis peritoneal sin evento de</w:t>
                    </w:r>
                  </w:p>
                  <w:p>
                    <w:pPr>
                      <w:spacing w:before="2"/>
                      <w:ind w:left="340" w:right="0" w:firstLine="0"/>
                      <w:jc w:val="left"/>
                      <w:rPr>
                        <w:rFonts w:ascii="Calibri" w:hAnsi="Calibri"/>
                        <w:b/>
                        <w:sz w:val="19"/>
                      </w:rPr>
                    </w:pPr>
                    <w:r>
                      <w:rPr>
                        <w:rFonts w:ascii="Calibri" w:hAnsi="Calibri"/>
                        <w:b/>
                        <w:color w:val="231F20"/>
                        <w:sz w:val="19"/>
                      </w:rPr>
                      <w:t>peritonitis , sin disfunción de catéter vs disfuncion de cateter</w:t>
                    </w:r>
                  </w:p>
                  <w:p>
                    <w:pPr>
                      <w:tabs>
                        <w:tab w:pos="1032" w:val="left" w:leader="none"/>
                      </w:tabs>
                      <w:spacing w:line="192" w:lineRule="exact" w:before="158"/>
                      <w:ind w:left="188" w:right="0" w:firstLine="0"/>
                      <w:jc w:val="center"/>
                      <w:rPr>
                        <w:rFonts w:ascii="Calibri"/>
                        <w:sz w:val="16"/>
                      </w:rPr>
                    </w:pPr>
                    <w:r>
                      <w:rPr>
                        <w:rFonts w:ascii="Calibri"/>
                        <w:color w:val="231F20"/>
                        <w:sz w:val="16"/>
                      </w:rPr>
                      <w:t>Dias</w:t>
                    </w:r>
                    <w:r>
                      <w:rPr>
                        <w:rFonts w:ascii="Calibri"/>
                        <w:color w:val="231F20"/>
                        <w:spacing w:val="-3"/>
                        <w:sz w:val="16"/>
                      </w:rPr>
                      <w:t> </w:t>
                    </w:r>
                    <w:r>
                      <w:rPr>
                        <w:rFonts w:ascii="Calibri"/>
                        <w:color w:val="231F20"/>
                        <w:sz w:val="16"/>
                      </w:rPr>
                      <w:t>SDC</w:t>
                      <w:tab/>
                      <w:t>Dias</w:t>
                    </w:r>
                    <w:r>
                      <w:rPr>
                        <w:rFonts w:ascii="Calibri"/>
                        <w:color w:val="231F20"/>
                        <w:spacing w:val="-10"/>
                        <w:sz w:val="16"/>
                      </w:rPr>
                      <w:t> </w:t>
                    </w:r>
                    <w:r>
                      <w:rPr>
                        <w:rFonts w:ascii="Calibri"/>
                        <w:color w:val="231F20"/>
                        <w:sz w:val="16"/>
                      </w:rPr>
                      <w:t>CDC</w:t>
                    </w:r>
                  </w:p>
                </w:txbxContent>
              </v:textbox>
              <w10:wrap type="none"/>
            </v:shape>
            <v:shape style="position:absolute;left:3241;top:1538;width:243;height:160" type="#_x0000_t202" filled="false" stroked="false">
              <v:textbox inset="0,0,0,0">
                <w:txbxContent>
                  <w:p>
                    <w:pPr>
                      <w:spacing w:line="159" w:lineRule="exact" w:before="0"/>
                      <w:ind w:left="0" w:right="-18" w:firstLine="0"/>
                      <w:jc w:val="left"/>
                      <w:rPr>
                        <w:rFonts w:ascii="Calibri"/>
                        <w:b/>
                        <w:sz w:val="16"/>
                      </w:rPr>
                    </w:pPr>
                    <w:r>
                      <w:rPr>
                        <w:rFonts w:ascii="Calibri"/>
                        <w:b/>
                        <w:color w:val="231F20"/>
                        <w:spacing w:val="-1"/>
                        <w:sz w:val="16"/>
                      </w:rPr>
                      <w:t>227</w:t>
                    </w:r>
                  </w:p>
                </w:txbxContent>
              </v:textbox>
              <w10:wrap type="none"/>
            </v:shape>
            <v:shape style="position:absolute;left:3726;top:3070;width:162;height:160" type="#_x0000_t202" filled="false" stroked="false">
              <v:textbox inset="0,0,0,0">
                <w:txbxContent>
                  <w:p>
                    <w:pPr>
                      <w:spacing w:line="159" w:lineRule="exact" w:before="0"/>
                      <w:ind w:left="0" w:right="-19" w:firstLine="0"/>
                      <w:jc w:val="left"/>
                      <w:rPr>
                        <w:rFonts w:ascii="Calibri"/>
                        <w:b/>
                        <w:sz w:val="16"/>
                      </w:rPr>
                    </w:pPr>
                    <w:r>
                      <w:rPr>
                        <w:rFonts w:ascii="Calibri"/>
                        <w:b/>
                        <w:color w:val="231F20"/>
                        <w:spacing w:val="-1"/>
                        <w:sz w:val="16"/>
                      </w:rPr>
                      <w:t>64</w:t>
                    </w:r>
                  </w:p>
                </w:txbxContent>
              </v:textbox>
              <w10:wrap type="none"/>
            </v:shape>
            <v:shape style="position:absolute;left:4552;top:3604;width:729;height:181" type="#_x0000_t202" filled="false" stroked="false">
              <v:textbox inset="0,0,0,0">
                <w:txbxContent>
                  <w:p>
                    <w:pPr>
                      <w:spacing w:line="181" w:lineRule="exact" w:before="0"/>
                      <w:ind w:left="0" w:right="-8" w:firstLine="0"/>
                      <w:jc w:val="left"/>
                      <w:rPr>
                        <w:rFonts w:ascii="Calibri"/>
                        <w:b/>
                        <w:sz w:val="16"/>
                      </w:rPr>
                    </w:pPr>
                    <w:r>
                      <w:rPr>
                        <w:rFonts w:ascii="Calibri"/>
                        <w:b/>
                        <w:color w:val="231F20"/>
                        <w:position w:val="-1"/>
                        <w:sz w:val="16"/>
                      </w:rPr>
                      <w:t>4.83    </w:t>
                    </w:r>
                    <w:r>
                      <w:rPr>
                        <w:rFonts w:ascii="Calibri"/>
                        <w:b/>
                        <w:color w:val="231F20"/>
                        <w:sz w:val="16"/>
                      </w:rPr>
                      <w:t>7.11</w:t>
                    </w:r>
                  </w:p>
                </w:txbxContent>
              </v:textbox>
              <w10:wrap type="none"/>
            </v:shape>
            <v:shape style="position:absolute;left:5985;top:3643;width:763;height:188" type="#_x0000_t202" filled="false" stroked="false">
              <v:textbox inset="0,0,0,0">
                <w:txbxContent>
                  <w:p>
                    <w:pPr>
                      <w:spacing w:line="187" w:lineRule="exact" w:before="0"/>
                      <w:ind w:left="0" w:right="-7" w:firstLine="0"/>
                      <w:jc w:val="left"/>
                      <w:rPr>
                        <w:rFonts w:ascii="Calibri"/>
                        <w:b/>
                        <w:sz w:val="16"/>
                      </w:rPr>
                    </w:pPr>
                    <w:r>
                      <w:rPr>
                        <w:rFonts w:ascii="Calibri"/>
                        <w:b/>
                        <w:color w:val="231F20"/>
                        <w:position w:val="3"/>
                        <w:sz w:val="16"/>
                      </w:rPr>
                      <w:t>3   </w:t>
                    </w:r>
                    <w:r>
                      <w:rPr>
                        <w:rFonts w:ascii="Calibri"/>
                        <w:b/>
                        <w:color w:val="231F20"/>
                        <w:sz w:val="16"/>
                      </w:rPr>
                      <w:t>7, 10, 14</w:t>
                    </w:r>
                  </w:p>
                </w:txbxContent>
              </v:textbox>
              <w10:wrap type="none"/>
            </v:shape>
            <v:shape style="position:absolute;left:7256;top:3638;width:204;height:160" type="#_x0000_t202" filled="false" stroked="false">
              <v:textbox inset="0,0,0,0">
                <w:txbxContent>
                  <w:p>
                    <w:pPr>
                      <w:spacing w:line="159" w:lineRule="exact" w:before="0"/>
                      <w:ind w:left="0" w:right="-18" w:firstLine="0"/>
                      <w:jc w:val="left"/>
                      <w:rPr>
                        <w:rFonts w:ascii="Calibri"/>
                        <w:b/>
                        <w:sz w:val="16"/>
                      </w:rPr>
                    </w:pPr>
                    <w:r>
                      <w:rPr>
                        <w:rFonts w:ascii="Calibri"/>
                        <w:b/>
                        <w:color w:val="231F20"/>
                        <w:spacing w:val="-1"/>
                        <w:sz w:val="16"/>
                      </w:rPr>
                      <w:t>3.5</w:t>
                    </w:r>
                  </w:p>
                </w:txbxContent>
              </v:textbox>
              <w10:wrap type="none"/>
            </v:shape>
            <v:shape style="position:absolute;left:7761;top:3606;width:81;height:160" type="#_x0000_t202" filled="false" stroked="false">
              <v:textbox inset="0,0,0,0">
                <w:txbxContent>
                  <w:p>
                    <w:pPr>
                      <w:spacing w:line="159" w:lineRule="exact" w:before="0"/>
                      <w:ind w:left="0" w:right="0" w:firstLine="0"/>
                      <w:jc w:val="left"/>
                      <w:rPr>
                        <w:rFonts w:ascii="Calibri"/>
                        <w:b/>
                        <w:sz w:val="16"/>
                      </w:rPr>
                    </w:pPr>
                    <w:r>
                      <w:rPr>
                        <w:rFonts w:ascii="Calibri"/>
                        <w:b/>
                        <w:color w:val="231F20"/>
                        <w:w w:val="99"/>
                        <w:sz w:val="16"/>
                      </w:rPr>
                      <w:t>7</w:t>
                    </w:r>
                  </w:p>
                </w:txbxContent>
              </v:textbox>
              <w10:wrap type="none"/>
            </v:shape>
            <v:shape style="position:absolute;left:8547;top:3643;width:770;height:166" type="#_x0000_t202" filled="false" stroked="false">
              <v:textbox inset="0,0,0,0">
                <w:txbxContent>
                  <w:p>
                    <w:pPr>
                      <w:spacing w:line="165" w:lineRule="exact" w:before="0"/>
                      <w:ind w:left="0" w:right="0" w:firstLine="0"/>
                      <w:jc w:val="left"/>
                      <w:rPr>
                        <w:rFonts w:ascii="Calibri"/>
                        <w:b/>
                        <w:sz w:val="16"/>
                      </w:rPr>
                    </w:pPr>
                    <w:r>
                      <w:rPr>
                        <w:rFonts w:ascii="Calibri"/>
                        <w:b/>
                        <w:color w:val="231F20"/>
                        <w:position w:val="1"/>
                        <w:sz w:val="16"/>
                      </w:rPr>
                      <w:t>2.99  </w:t>
                    </w:r>
                    <w:r>
                      <w:rPr>
                        <w:rFonts w:ascii="Calibri"/>
                        <w:b/>
                        <w:color w:val="231F20"/>
                        <w:sz w:val="16"/>
                      </w:rPr>
                      <w:t>2.369</w:t>
                    </w:r>
                  </w:p>
                </w:txbxContent>
              </v:textbox>
              <w10:wrap type="none"/>
            </v:shape>
            <v:shape style="position:absolute;left:3420;top:4040;width:328;height:160" type="#_x0000_t202" filled="false" stroked="false">
              <v:textbox inset="0,0,0,0">
                <w:txbxContent>
                  <w:p>
                    <w:pPr>
                      <w:spacing w:line="159" w:lineRule="exact" w:before="0"/>
                      <w:ind w:left="0" w:right="-17" w:firstLine="0"/>
                      <w:jc w:val="left"/>
                      <w:rPr>
                        <w:rFonts w:ascii="Calibri"/>
                        <w:sz w:val="16"/>
                      </w:rPr>
                    </w:pPr>
                    <w:r>
                      <w:rPr>
                        <w:rFonts w:ascii="Calibri"/>
                        <w:color w:val="231F20"/>
                        <w:spacing w:val="-1"/>
                        <w:sz w:val="16"/>
                      </w:rPr>
                      <w:t>Total</w:t>
                    </w:r>
                  </w:p>
                </w:txbxContent>
              </v:textbox>
              <w10:wrap type="none"/>
            </v:shape>
            <v:shape style="position:absolute;left:4709;top:4040;width:414;height:160" type="#_x0000_t202" filled="false" stroked="false">
              <v:textbox inset="0,0,0,0">
                <w:txbxContent>
                  <w:p>
                    <w:pPr>
                      <w:spacing w:line="159" w:lineRule="exact" w:before="0"/>
                      <w:ind w:left="0" w:right="0" w:firstLine="0"/>
                      <w:jc w:val="left"/>
                      <w:rPr>
                        <w:rFonts w:ascii="Calibri"/>
                        <w:sz w:val="16"/>
                      </w:rPr>
                    </w:pPr>
                    <w:r>
                      <w:rPr>
                        <w:rFonts w:ascii="Calibri"/>
                        <w:color w:val="231F20"/>
                        <w:w w:val="95"/>
                        <w:sz w:val="16"/>
                      </w:rPr>
                      <w:t>Media</w:t>
                    </w:r>
                  </w:p>
                </w:txbxContent>
              </v:textbox>
              <w10:wrap type="none"/>
            </v:shape>
            <v:shape style="position:absolute;left:6038;top:4040;width:381;height:160" type="#_x0000_t202" filled="false" stroked="false">
              <v:textbox inset="0,0,0,0">
                <w:txbxContent>
                  <w:p>
                    <w:pPr>
                      <w:spacing w:line="159" w:lineRule="exact" w:before="0"/>
                      <w:ind w:left="0" w:right="-2" w:firstLine="0"/>
                      <w:jc w:val="left"/>
                      <w:rPr>
                        <w:rFonts w:ascii="Calibri"/>
                        <w:sz w:val="16"/>
                      </w:rPr>
                    </w:pPr>
                    <w:r>
                      <w:rPr>
                        <w:rFonts w:ascii="Calibri"/>
                        <w:color w:val="231F20"/>
                        <w:w w:val="95"/>
                        <w:sz w:val="16"/>
                      </w:rPr>
                      <w:t>Moda</w:t>
                    </w:r>
                  </w:p>
                </w:txbxContent>
              </v:textbox>
              <w10:wrap type="none"/>
            </v:shape>
            <v:shape style="position:absolute;left:7274;top:4040;width:574;height:160" type="#_x0000_t202" filled="false" stroked="false">
              <v:textbox inset="0,0,0,0">
                <w:txbxContent>
                  <w:p>
                    <w:pPr>
                      <w:spacing w:line="159" w:lineRule="exact" w:before="0"/>
                      <w:ind w:left="0" w:right="0" w:firstLine="0"/>
                      <w:jc w:val="left"/>
                      <w:rPr>
                        <w:rFonts w:ascii="Calibri"/>
                        <w:sz w:val="16"/>
                      </w:rPr>
                    </w:pPr>
                    <w:r>
                      <w:rPr>
                        <w:rFonts w:ascii="Calibri"/>
                        <w:color w:val="231F20"/>
                        <w:w w:val="95"/>
                        <w:sz w:val="16"/>
                      </w:rPr>
                      <w:t>Mediana</w:t>
                    </w:r>
                  </w:p>
                </w:txbxContent>
              </v:textbox>
              <w10:wrap type="none"/>
            </v:shape>
            <v:shape style="position:absolute;left:8257;top:4040;width:1305;height:160" type="#_x0000_t202" filled="false" stroked="false">
              <v:textbox inset="0,0,0,0">
                <w:txbxContent>
                  <w:p>
                    <w:pPr>
                      <w:spacing w:line="159" w:lineRule="exact" w:before="0"/>
                      <w:ind w:left="0" w:right="-15" w:firstLine="0"/>
                      <w:jc w:val="left"/>
                      <w:rPr>
                        <w:rFonts w:ascii="Calibri"/>
                        <w:sz w:val="16"/>
                      </w:rPr>
                    </w:pPr>
                    <w:r>
                      <w:rPr>
                        <w:rFonts w:ascii="Calibri"/>
                        <w:color w:val="231F20"/>
                        <w:sz w:val="16"/>
                      </w:rPr>
                      <w:t>Desviacion</w:t>
                    </w:r>
                    <w:r>
                      <w:rPr>
                        <w:rFonts w:ascii="Calibri"/>
                        <w:color w:val="231F20"/>
                        <w:spacing w:val="-9"/>
                        <w:sz w:val="16"/>
                      </w:rPr>
                      <w:t> </w:t>
                    </w:r>
                    <w:r>
                      <w:rPr>
                        <w:rFonts w:ascii="Calibri"/>
                        <w:color w:val="231F20"/>
                        <w:sz w:val="16"/>
                      </w:rPr>
                      <w:t>estandar</w:t>
                    </w:r>
                  </w:p>
                </w:txbxContent>
              </v:textbox>
              <w10:wrap type="none"/>
            </v:shape>
            <w10:wrap type="topAndBottom"/>
          </v:group>
        </w:pict>
      </w:r>
    </w:p>
    <w:p>
      <w:pPr>
        <w:spacing w:before="135"/>
        <w:ind w:left="1681" w:right="858" w:firstLine="0"/>
        <w:jc w:val="left"/>
        <w:rPr>
          <w:sz w:val="14"/>
        </w:rPr>
      </w:pPr>
      <w:r>
        <w:rPr>
          <w:color w:val="231F20"/>
          <w:w w:val="105"/>
          <w:sz w:val="14"/>
        </w:rPr>
        <w:t>Fuente: Tabla 9</w:t>
      </w:r>
    </w:p>
    <w:p>
      <w:pPr>
        <w:pStyle w:val="BodyText"/>
        <w:spacing w:before="9"/>
        <w:rPr>
          <w:sz w:val="17"/>
        </w:rPr>
      </w:pPr>
    </w:p>
    <w:p>
      <w:pPr>
        <w:spacing w:line="146" w:lineRule="exact" w:before="0"/>
        <w:ind w:left="1565" w:right="5188" w:firstLine="0"/>
        <w:jc w:val="left"/>
        <w:rPr>
          <w:sz w:val="13"/>
        </w:rPr>
      </w:pPr>
      <w:r>
        <w:rPr>
          <w:color w:val="231F20"/>
          <w:sz w:val="13"/>
        </w:rPr>
        <w:t>SDC: sin disfunción de catéter CDC: con disfunción de catéter</w:t>
      </w:r>
    </w:p>
    <w:p>
      <w:pPr>
        <w:pStyle w:val="BodyText"/>
        <w:spacing w:before="11"/>
        <w:rPr>
          <w:sz w:val="17"/>
        </w:rPr>
      </w:pPr>
    </w:p>
    <w:p>
      <w:pPr>
        <w:spacing w:line="249" w:lineRule="auto" w:before="0"/>
        <w:ind w:left="1665" w:right="858" w:hanging="598"/>
        <w:jc w:val="left"/>
        <w:rPr>
          <w:i/>
          <w:sz w:val="17"/>
        </w:rPr>
      </w:pPr>
      <w:r>
        <w:rPr>
          <w:i/>
          <w:color w:val="231F20"/>
          <w:w w:val="105"/>
          <w:sz w:val="17"/>
        </w:rPr>
        <w:t>Nótese</w:t>
      </w:r>
      <w:r>
        <w:rPr>
          <w:i/>
          <w:color w:val="231F20"/>
          <w:spacing w:val="-8"/>
          <w:w w:val="105"/>
          <w:sz w:val="17"/>
        </w:rPr>
        <w:t> </w:t>
      </w:r>
      <w:r>
        <w:rPr>
          <w:i/>
          <w:color w:val="231F20"/>
          <w:w w:val="105"/>
          <w:sz w:val="17"/>
        </w:rPr>
        <w:t>la</w:t>
      </w:r>
      <w:r>
        <w:rPr>
          <w:i/>
          <w:color w:val="231F20"/>
          <w:spacing w:val="-8"/>
          <w:w w:val="105"/>
          <w:sz w:val="17"/>
        </w:rPr>
        <w:t> </w:t>
      </w:r>
      <w:r>
        <w:rPr>
          <w:i/>
          <w:color w:val="231F20"/>
          <w:w w:val="105"/>
          <w:sz w:val="17"/>
        </w:rPr>
        <w:t>diferencia</w:t>
      </w:r>
      <w:r>
        <w:rPr>
          <w:i/>
          <w:color w:val="231F20"/>
          <w:spacing w:val="-8"/>
          <w:w w:val="105"/>
          <w:sz w:val="17"/>
        </w:rPr>
        <w:t> </w:t>
      </w:r>
      <w:r>
        <w:rPr>
          <w:i/>
          <w:color w:val="231F20"/>
          <w:w w:val="105"/>
          <w:sz w:val="17"/>
        </w:rPr>
        <w:t>entre</w:t>
      </w:r>
      <w:r>
        <w:rPr>
          <w:i/>
          <w:color w:val="231F20"/>
          <w:spacing w:val="-8"/>
          <w:w w:val="105"/>
          <w:sz w:val="17"/>
        </w:rPr>
        <w:t> </w:t>
      </w:r>
      <w:r>
        <w:rPr>
          <w:i/>
          <w:color w:val="231F20"/>
          <w:w w:val="105"/>
          <w:sz w:val="17"/>
        </w:rPr>
        <w:t>los</w:t>
      </w:r>
      <w:r>
        <w:rPr>
          <w:i/>
          <w:color w:val="231F20"/>
          <w:spacing w:val="-8"/>
          <w:w w:val="105"/>
          <w:sz w:val="17"/>
        </w:rPr>
        <w:t> </w:t>
      </w:r>
      <w:r>
        <w:rPr>
          <w:i/>
          <w:color w:val="231F20"/>
          <w:w w:val="105"/>
          <w:sz w:val="17"/>
        </w:rPr>
        <w:t>días</w:t>
      </w:r>
      <w:r>
        <w:rPr>
          <w:i/>
          <w:color w:val="231F20"/>
          <w:spacing w:val="-8"/>
          <w:w w:val="105"/>
          <w:sz w:val="17"/>
        </w:rPr>
        <w:t> </w:t>
      </w:r>
      <w:r>
        <w:rPr>
          <w:i/>
          <w:color w:val="231F20"/>
          <w:w w:val="105"/>
          <w:sz w:val="17"/>
        </w:rPr>
        <w:t>promedio,</w:t>
      </w:r>
      <w:r>
        <w:rPr>
          <w:i/>
          <w:color w:val="231F20"/>
          <w:spacing w:val="-13"/>
          <w:w w:val="105"/>
          <w:sz w:val="17"/>
        </w:rPr>
        <w:t> </w:t>
      </w:r>
      <w:r>
        <w:rPr>
          <w:i/>
          <w:color w:val="231F20"/>
          <w:w w:val="105"/>
          <w:sz w:val="17"/>
        </w:rPr>
        <w:t>mediana</w:t>
      </w:r>
      <w:r>
        <w:rPr>
          <w:i/>
          <w:color w:val="231F20"/>
          <w:spacing w:val="-9"/>
          <w:w w:val="105"/>
          <w:sz w:val="17"/>
        </w:rPr>
        <w:t> </w:t>
      </w:r>
      <w:r>
        <w:rPr>
          <w:i/>
          <w:color w:val="231F20"/>
          <w:w w:val="105"/>
          <w:sz w:val="17"/>
        </w:rPr>
        <w:t>y</w:t>
      </w:r>
      <w:r>
        <w:rPr>
          <w:i/>
          <w:color w:val="231F20"/>
          <w:spacing w:val="-8"/>
          <w:w w:val="105"/>
          <w:sz w:val="17"/>
        </w:rPr>
        <w:t> </w:t>
      </w:r>
      <w:r>
        <w:rPr>
          <w:i/>
          <w:color w:val="231F20"/>
          <w:w w:val="105"/>
          <w:sz w:val="17"/>
        </w:rPr>
        <w:t>la</w:t>
      </w:r>
      <w:r>
        <w:rPr>
          <w:i/>
          <w:color w:val="231F20"/>
          <w:spacing w:val="-10"/>
          <w:w w:val="105"/>
          <w:sz w:val="17"/>
        </w:rPr>
        <w:t> </w:t>
      </w:r>
      <w:r>
        <w:rPr>
          <w:i/>
          <w:color w:val="231F20"/>
          <w:w w:val="105"/>
          <w:sz w:val="17"/>
        </w:rPr>
        <w:t>frecuencia</w:t>
      </w:r>
      <w:r>
        <w:rPr>
          <w:i/>
          <w:color w:val="231F20"/>
          <w:spacing w:val="-10"/>
          <w:w w:val="105"/>
          <w:sz w:val="17"/>
        </w:rPr>
        <w:t> </w:t>
      </w:r>
      <w:r>
        <w:rPr>
          <w:i/>
          <w:color w:val="231F20"/>
          <w:w w:val="105"/>
          <w:sz w:val="17"/>
        </w:rPr>
        <w:t>de</w:t>
      </w:r>
      <w:r>
        <w:rPr>
          <w:i/>
          <w:color w:val="231F20"/>
          <w:spacing w:val="-10"/>
          <w:w w:val="105"/>
          <w:sz w:val="17"/>
        </w:rPr>
        <w:t> </w:t>
      </w:r>
      <w:r>
        <w:rPr>
          <w:i/>
          <w:color w:val="231F20"/>
          <w:w w:val="105"/>
          <w:sz w:val="17"/>
        </w:rPr>
        <w:t>días</w:t>
      </w:r>
      <w:r>
        <w:rPr>
          <w:i/>
          <w:color w:val="231F20"/>
          <w:spacing w:val="-8"/>
          <w:w w:val="105"/>
          <w:sz w:val="17"/>
        </w:rPr>
        <w:t> </w:t>
      </w:r>
      <w:r>
        <w:rPr>
          <w:i/>
          <w:color w:val="231F20"/>
          <w:w w:val="105"/>
          <w:sz w:val="17"/>
        </w:rPr>
        <w:t>entre</w:t>
      </w:r>
      <w:r>
        <w:rPr>
          <w:i/>
          <w:color w:val="231F20"/>
          <w:spacing w:val="-10"/>
          <w:w w:val="105"/>
          <w:sz w:val="17"/>
        </w:rPr>
        <w:t> </w:t>
      </w:r>
      <w:r>
        <w:rPr>
          <w:i/>
          <w:color w:val="231F20"/>
          <w:w w:val="105"/>
          <w:sz w:val="17"/>
        </w:rPr>
        <w:t>el </w:t>
      </w:r>
      <w:r>
        <w:rPr>
          <w:i/>
          <w:color w:val="231F20"/>
          <w:w w:val="105"/>
          <w:sz w:val="17"/>
        </w:rPr>
        <w:t>doble</w:t>
      </w:r>
      <w:r>
        <w:rPr>
          <w:i/>
          <w:color w:val="231F20"/>
          <w:spacing w:val="-12"/>
          <w:w w:val="105"/>
          <w:sz w:val="17"/>
        </w:rPr>
        <w:t> </w:t>
      </w:r>
      <w:r>
        <w:rPr>
          <w:i/>
          <w:color w:val="231F20"/>
          <w:w w:val="105"/>
          <w:sz w:val="17"/>
        </w:rPr>
        <w:t>para</w:t>
      </w:r>
      <w:r>
        <w:rPr>
          <w:i/>
          <w:color w:val="231F20"/>
          <w:spacing w:val="-12"/>
          <w:w w:val="105"/>
          <w:sz w:val="17"/>
        </w:rPr>
        <w:t> </w:t>
      </w:r>
      <w:r>
        <w:rPr>
          <w:i/>
          <w:color w:val="231F20"/>
          <w:w w:val="105"/>
          <w:sz w:val="17"/>
        </w:rPr>
        <w:t>los</w:t>
      </w:r>
      <w:r>
        <w:rPr>
          <w:i/>
          <w:color w:val="231F20"/>
          <w:spacing w:val="-13"/>
          <w:w w:val="105"/>
          <w:sz w:val="17"/>
        </w:rPr>
        <w:t> </w:t>
      </w:r>
      <w:r>
        <w:rPr>
          <w:i/>
          <w:color w:val="231F20"/>
          <w:w w:val="105"/>
          <w:sz w:val="17"/>
        </w:rPr>
        <w:t>pacientes</w:t>
      </w:r>
      <w:r>
        <w:rPr>
          <w:i/>
          <w:color w:val="231F20"/>
          <w:spacing w:val="-15"/>
          <w:w w:val="105"/>
          <w:sz w:val="17"/>
        </w:rPr>
        <w:t> </w:t>
      </w:r>
      <w:r>
        <w:rPr>
          <w:i/>
          <w:color w:val="231F20"/>
          <w:w w:val="105"/>
          <w:sz w:val="17"/>
        </w:rPr>
        <w:t>que</w:t>
      </w:r>
      <w:r>
        <w:rPr>
          <w:i/>
          <w:color w:val="231F20"/>
          <w:spacing w:val="-12"/>
          <w:w w:val="105"/>
          <w:sz w:val="17"/>
        </w:rPr>
        <w:t> </w:t>
      </w:r>
      <w:r>
        <w:rPr>
          <w:i/>
          <w:color w:val="231F20"/>
          <w:w w:val="105"/>
          <w:sz w:val="17"/>
        </w:rPr>
        <w:t>tuvieron</w:t>
      </w:r>
      <w:r>
        <w:rPr>
          <w:i/>
          <w:color w:val="231F20"/>
          <w:spacing w:val="-13"/>
          <w:w w:val="105"/>
          <w:sz w:val="17"/>
        </w:rPr>
        <w:t> </w:t>
      </w:r>
      <w:r>
        <w:rPr>
          <w:i/>
          <w:color w:val="231F20"/>
          <w:w w:val="105"/>
          <w:sz w:val="17"/>
        </w:rPr>
        <w:t>disfunción</w:t>
      </w:r>
      <w:r>
        <w:rPr>
          <w:i/>
          <w:color w:val="231F20"/>
          <w:spacing w:val="-12"/>
          <w:w w:val="105"/>
          <w:sz w:val="17"/>
        </w:rPr>
        <w:t> </w:t>
      </w:r>
      <w:r>
        <w:rPr>
          <w:i/>
          <w:color w:val="231F20"/>
          <w:w w:val="105"/>
          <w:sz w:val="17"/>
        </w:rPr>
        <w:t>de</w:t>
      </w:r>
      <w:r>
        <w:rPr>
          <w:i/>
          <w:color w:val="231F20"/>
          <w:spacing w:val="-12"/>
          <w:w w:val="105"/>
          <w:sz w:val="17"/>
        </w:rPr>
        <w:t> </w:t>
      </w:r>
      <w:r>
        <w:rPr>
          <w:i/>
          <w:color w:val="231F20"/>
          <w:w w:val="105"/>
          <w:sz w:val="17"/>
        </w:rPr>
        <w:t>catéter</w:t>
      </w:r>
      <w:r>
        <w:rPr>
          <w:i/>
          <w:color w:val="231F20"/>
          <w:spacing w:val="-13"/>
          <w:w w:val="105"/>
          <w:sz w:val="17"/>
        </w:rPr>
        <w:t> </w:t>
      </w:r>
      <w:r>
        <w:rPr>
          <w:i/>
          <w:color w:val="231F20"/>
          <w:w w:val="105"/>
          <w:sz w:val="17"/>
        </w:rPr>
        <w:t>peritoneal.</w:t>
      </w:r>
    </w:p>
    <w:p>
      <w:pPr>
        <w:pStyle w:val="BodyText"/>
        <w:rPr>
          <w:i/>
          <w:sz w:val="18"/>
        </w:rPr>
      </w:pPr>
    </w:p>
    <w:p>
      <w:pPr>
        <w:pStyle w:val="BodyText"/>
        <w:rPr>
          <w:i/>
          <w:sz w:val="18"/>
        </w:rPr>
      </w:pPr>
    </w:p>
    <w:p>
      <w:pPr>
        <w:pStyle w:val="BodyText"/>
        <w:rPr>
          <w:i/>
          <w:sz w:val="21"/>
        </w:rPr>
      </w:pPr>
    </w:p>
    <w:p>
      <w:pPr>
        <w:pStyle w:val="BodyText"/>
        <w:spacing w:line="242" w:lineRule="auto"/>
        <w:ind w:left="999" w:right="992" w:firstLine="566"/>
        <w:jc w:val="both"/>
      </w:pPr>
      <w:r>
        <w:rPr>
          <w:color w:val="231F20"/>
        </w:rPr>
        <w:t>Mientras que los pacientes con peritonitis asociada a diálisis peritoneal y disfunción de catéter son un total de 14 pacientes (70%), con un total de 180 días de hospitalización acumulada, un promedio de 12.85 días, una moda de  11, 15 y 19 días, mediana de 12.5 días y una desviación estándar de 4.7 días </w:t>
      </w:r>
      <w:r>
        <w:rPr>
          <w:b/>
          <w:color w:val="231F20"/>
        </w:rPr>
        <w:t>(Tabla 10)</w:t>
      </w:r>
      <w:r>
        <w:rPr>
          <w:color w:val="231F20"/>
        </w:rPr>
        <w:t>, así como los pacientes con peritonitis asociada a diálisis peritoneal sin disfunción de catéter: tuvieron un total de 6 pacientes (30%), con un total en días de hospitalización acumulados de 38, un promedio de  6.33  días,  una moda y mediana de 6 días, así como una desviación estándar de 2.42 días </w:t>
      </w:r>
      <w:r>
        <w:rPr>
          <w:b/>
          <w:color w:val="231F20"/>
        </w:rPr>
        <w:t>(Tabla</w:t>
      </w:r>
      <w:r>
        <w:rPr>
          <w:b/>
          <w:color w:val="231F20"/>
          <w:spacing w:val="8"/>
        </w:rPr>
        <w:t> </w:t>
      </w:r>
      <w:r>
        <w:rPr>
          <w:b/>
          <w:color w:val="231F20"/>
        </w:rPr>
        <w:t>11)</w:t>
      </w:r>
      <w:r>
        <w:rPr>
          <w:color w:val="231F20"/>
        </w:rPr>
        <w:t>.</w:t>
      </w:r>
    </w:p>
    <w:p>
      <w:pPr>
        <w:spacing w:after="0" w:line="242" w:lineRule="auto"/>
        <w:jc w:val="both"/>
        <w:sectPr>
          <w:pgSz w:w="12240" w:h="15840"/>
          <w:pgMar w:header="0" w:footer="1972" w:top="1500" w:bottom="216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2"/>
        </w:rPr>
      </w:pPr>
    </w:p>
    <w:p>
      <w:pPr>
        <w:pStyle w:val="BodyText"/>
        <w:spacing w:line="242" w:lineRule="auto" w:before="78"/>
        <w:ind w:left="999" w:right="952"/>
      </w:pPr>
      <w:r>
        <w:rPr>
          <w:b/>
          <w:color w:val="231F20"/>
        </w:rPr>
        <w:t>Tabla 10. </w:t>
      </w:r>
      <w:r>
        <w:rPr>
          <w:color w:val="231F20"/>
        </w:rPr>
        <w:t>Valores estadísticos en días hospitalización para paciente con Peritonitis asociada a diálisis peritoneal y disfunción de catéter.</w:t>
      </w:r>
    </w:p>
    <w:p>
      <w:pPr>
        <w:pStyle w:val="BodyText"/>
        <w:rPr>
          <w:sz w:val="20"/>
        </w:rPr>
      </w:pPr>
    </w:p>
    <w:p>
      <w:pPr>
        <w:pStyle w:val="BodyText"/>
        <w:rPr>
          <w:sz w:val="17"/>
        </w:rPr>
      </w:pPr>
    </w:p>
    <w:tbl>
      <w:tblPr>
        <w:tblW w:w="0" w:type="auto"/>
        <w:jc w:val="left"/>
        <w:tblInd w:w="2003"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3522"/>
        <w:gridCol w:w="1266"/>
      </w:tblGrid>
      <w:tr>
        <w:trPr>
          <w:trHeight w:val="614" w:hRule="exact"/>
        </w:trPr>
        <w:tc>
          <w:tcPr>
            <w:tcW w:w="3522" w:type="dxa"/>
          </w:tcPr>
          <w:p>
            <w:pPr>
              <w:pStyle w:val="TableParagraph"/>
              <w:spacing w:line="249" w:lineRule="auto" w:before="2"/>
              <w:ind w:left="142" w:right="139" w:hanging="1"/>
              <w:rPr>
                <w:b/>
                <w:sz w:val="17"/>
              </w:rPr>
            </w:pPr>
            <w:r>
              <w:rPr>
                <w:b/>
                <w:color w:val="231F20"/>
                <w:w w:val="105"/>
                <w:sz w:val="17"/>
              </w:rPr>
              <w:t>Días</w:t>
            </w:r>
            <w:r>
              <w:rPr>
                <w:b/>
                <w:color w:val="231F20"/>
                <w:spacing w:val="-14"/>
                <w:w w:val="105"/>
                <w:sz w:val="17"/>
              </w:rPr>
              <w:t> </w:t>
            </w:r>
            <w:r>
              <w:rPr>
                <w:b/>
                <w:color w:val="231F20"/>
                <w:w w:val="105"/>
                <w:sz w:val="17"/>
              </w:rPr>
              <w:t>hospitalización</w:t>
            </w:r>
            <w:r>
              <w:rPr>
                <w:b/>
                <w:color w:val="231F20"/>
                <w:spacing w:val="-14"/>
                <w:w w:val="105"/>
                <w:sz w:val="17"/>
              </w:rPr>
              <w:t> </w:t>
            </w:r>
            <w:r>
              <w:rPr>
                <w:b/>
                <w:color w:val="231F20"/>
                <w:w w:val="105"/>
                <w:sz w:val="17"/>
              </w:rPr>
              <w:t>en</w:t>
            </w:r>
            <w:r>
              <w:rPr>
                <w:b/>
                <w:color w:val="231F20"/>
                <w:spacing w:val="-15"/>
                <w:w w:val="105"/>
                <w:sz w:val="17"/>
              </w:rPr>
              <w:t> </w:t>
            </w:r>
            <w:r>
              <w:rPr>
                <w:b/>
                <w:color w:val="231F20"/>
                <w:w w:val="105"/>
                <w:sz w:val="17"/>
              </w:rPr>
              <w:t>pacientes</w:t>
            </w:r>
            <w:r>
              <w:rPr>
                <w:b/>
                <w:color w:val="231F20"/>
                <w:spacing w:val="-14"/>
                <w:w w:val="105"/>
                <w:sz w:val="17"/>
              </w:rPr>
              <w:t> </w:t>
            </w:r>
            <w:r>
              <w:rPr>
                <w:b/>
                <w:color w:val="231F20"/>
                <w:w w:val="105"/>
                <w:sz w:val="17"/>
              </w:rPr>
              <w:t>con peritonitis</w:t>
            </w:r>
            <w:r>
              <w:rPr>
                <w:b/>
                <w:color w:val="231F20"/>
                <w:spacing w:val="-9"/>
                <w:w w:val="105"/>
                <w:sz w:val="17"/>
              </w:rPr>
              <w:t> </w:t>
            </w:r>
            <w:r>
              <w:rPr>
                <w:b/>
                <w:color w:val="231F20"/>
                <w:w w:val="105"/>
                <w:sz w:val="17"/>
              </w:rPr>
              <w:t>asociada</w:t>
            </w:r>
            <w:r>
              <w:rPr>
                <w:b/>
                <w:color w:val="231F20"/>
                <w:spacing w:val="-11"/>
                <w:w w:val="105"/>
                <w:sz w:val="17"/>
              </w:rPr>
              <w:t> </w:t>
            </w:r>
            <w:r>
              <w:rPr>
                <w:b/>
                <w:color w:val="231F20"/>
                <w:w w:val="105"/>
                <w:sz w:val="17"/>
              </w:rPr>
              <w:t>a</w:t>
            </w:r>
            <w:r>
              <w:rPr>
                <w:b/>
                <w:color w:val="231F20"/>
                <w:spacing w:val="-9"/>
                <w:w w:val="105"/>
                <w:sz w:val="17"/>
              </w:rPr>
              <w:t> </w:t>
            </w:r>
            <w:r>
              <w:rPr>
                <w:b/>
                <w:color w:val="231F20"/>
                <w:w w:val="105"/>
                <w:sz w:val="17"/>
              </w:rPr>
              <w:t>diálisis</w:t>
            </w:r>
            <w:r>
              <w:rPr>
                <w:b/>
                <w:color w:val="231F20"/>
                <w:spacing w:val="-11"/>
                <w:w w:val="105"/>
                <w:sz w:val="17"/>
              </w:rPr>
              <w:t> </w:t>
            </w:r>
            <w:r>
              <w:rPr>
                <w:b/>
                <w:color w:val="231F20"/>
                <w:w w:val="105"/>
                <w:sz w:val="17"/>
              </w:rPr>
              <w:t>y</w:t>
            </w:r>
            <w:r>
              <w:rPr>
                <w:b/>
                <w:color w:val="231F20"/>
                <w:spacing w:val="-13"/>
                <w:w w:val="105"/>
                <w:sz w:val="17"/>
              </w:rPr>
              <w:t> </w:t>
            </w:r>
            <w:r>
              <w:rPr>
                <w:b/>
                <w:color w:val="231F20"/>
                <w:w w:val="105"/>
                <w:sz w:val="17"/>
              </w:rPr>
              <w:t>disfun- ción de</w:t>
            </w:r>
            <w:r>
              <w:rPr>
                <w:b/>
                <w:color w:val="231F20"/>
                <w:spacing w:val="-18"/>
                <w:w w:val="105"/>
                <w:sz w:val="17"/>
              </w:rPr>
              <w:t> </w:t>
            </w:r>
            <w:r>
              <w:rPr>
                <w:b/>
                <w:color w:val="231F20"/>
                <w:w w:val="105"/>
                <w:sz w:val="17"/>
              </w:rPr>
              <w:t>catéter</w:t>
            </w:r>
          </w:p>
        </w:tc>
        <w:tc>
          <w:tcPr>
            <w:tcW w:w="1266" w:type="dxa"/>
          </w:tcPr>
          <w:p>
            <w:pPr>
              <w:pStyle w:val="TableParagraph"/>
              <w:jc w:val="left"/>
              <w:rPr>
                <w:sz w:val="18"/>
              </w:rPr>
            </w:pPr>
          </w:p>
          <w:p>
            <w:pPr>
              <w:pStyle w:val="TableParagraph"/>
              <w:spacing w:before="4"/>
              <w:jc w:val="left"/>
              <w:rPr>
                <w:sz w:val="17"/>
              </w:rPr>
            </w:pPr>
          </w:p>
          <w:p>
            <w:pPr>
              <w:pStyle w:val="TableParagraph"/>
              <w:ind w:left="212" w:right="212"/>
              <w:rPr>
                <w:b/>
                <w:sz w:val="17"/>
              </w:rPr>
            </w:pPr>
            <w:r>
              <w:rPr>
                <w:b/>
                <w:color w:val="231F20"/>
                <w:w w:val="105"/>
                <w:sz w:val="17"/>
              </w:rPr>
              <w:t>Días</w:t>
            </w:r>
          </w:p>
        </w:tc>
      </w:tr>
      <w:tr>
        <w:trPr>
          <w:trHeight w:val="236" w:hRule="exact"/>
        </w:trPr>
        <w:tc>
          <w:tcPr>
            <w:tcW w:w="3522" w:type="dxa"/>
          </w:tcPr>
          <w:p>
            <w:pPr>
              <w:pStyle w:val="TableParagraph"/>
              <w:spacing w:before="30"/>
              <w:ind w:left="928" w:right="928"/>
              <w:rPr>
                <w:sz w:val="17"/>
              </w:rPr>
            </w:pPr>
            <w:r>
              <w:rPr>
                <w:color w:val="231F20"/>
                <w:w w:val="105"/>
                <w:sz w:val="17"/>
              </w:rPr>
              <w:t>Total</w:t>
            </w:r>
          </w:p>
        </w:tc>
        <w:tc>
          <w:tcPr>
            <w:tcW w:w="1266" w:type="dxa"/>
          </w:tcPr>
          <w:p>
            <w:pPr>
              <w:pStyle w:val="TableParagraph"/>
              <w:spacing w:before="30"/>
              <w:ind w:left="212" w:right="212"/>
              <w:rPr>
                <w:sz w:val="17"/>
              </w:rPr>
            </w:pPr>
            <w:r>
              <w:rPr>
                <w:color w:val="231F20"/>
                <w:w w:val="105"/>
                <w:sz w:val="17"/>
              </w:rPr>
              <w:t>180</w:t>
            </w:r>
          </w:p>
        </w:tc>
      </w:tr>
      <w:tr>
        <w:trPr>
          <w:trHeight w:val="259" w:hRule="exact"/>
        </w:trPr>
        <w:tc>
          <w:tcPr>
            <w:tcW w:w="3522" w:type="dxa"/>
          </w:tcPr>
          <w:p>
            <w:pPr>
              <w:pStyle w:val="TableParagraph"/>
              <w:spacing w:before="31"/>
              <w:ind w:left="928" w:right="927"/>
              <w:rPr>
                <w:sz w:val="19"/>
              </w:rPr>
            </w:pPr>
            <w:r>
              <w:rPr>
                <w:color w:val="231F20"/>
                <w:sz w:val="19"/>
              </w:rPr>
              <w:t>Media</w:t>
            </w:r>
          </w:p>
        </w:tc>
        <w:tc>
          <w:tcPr>
            <w:tcW w:w="1266" w:type="dxa"/>
          </w:tcPr>
          <w:p>
            <w:pPr>
              <w:pStyle w:val="TableParagraph"/>
              <w:spacing w:before="53"/>
              <w:ind w:left="212" w:right="211"/>
              <w:rPr>
                <w:sz w:val="17"/>
              </w:rPr>
            </w:pPr>
            <w:r>
              <w:rPr>
                <w:color w:val="231F20"/>
                <w:w w:val="105"/>
                <w:sz w:val="17"/>
              </w:rPr>
              <w:t>12.85</w:t>
            </w:r>
          </w:p>
        </w:tc>
      </w:tr>
      <w:tr>
        <w:trPr>
          <w:trHeight w:val="250" w:hRule="exact"/>
        </w:trPr>
        <w:tc>
          <w:tcPr>
            <w:tcW w:w="3522" w:type="dxa"/>
          </w:tcPr>
          <w:p>
            <w:pPr>
              <w:pStyle w:val="TableParagraph"/>
              <w:spacing w:before="42"/>
              <w:ind w:left="928" w:right="929"/>
              <w:rPr>
                <w:sz w:val="17"/>
              </w:rPr>
            </w:pPr>
            <w:r>
              <w:rPr>
                <w:color w:val="231F20"/>
                <w:w w:val="105"/>
                <w:sz w:val="17"/>
              </w:rPr>
              <w:t>Moda</w:t>
            </w:r>
          </w:p>
        </w:tc>
        <w:tc>
          <w:tcPr>
            <w:tcW w:w="1266" w:type="dxa"/>
          </w:tcPr>
          <w:p>
            <w:pPr>
              <w:pStyle w:val="TableParagraph"/>
              <w:spacing w:before="42"/>
              <w:ind w:left="212" w:right="212"/>
              <w:rPr>
                <w:sz w:val="17"/>
              </w:rPr>
            </w:pPr>
            <w:r>
              <w:rPr>
                <w:color w:val="231F20"/>
                <w:w w:val="105"/>
                <w:sz w:val="17"/>
              </w:rPr>
              <w:t>11, 15, 19</w:t>
            </w:r>
          </w:p>
        </w:tc>
      </w:tr>
      <w:tr>
        <w:trPr>
          <w:trHeight w:val="248" w:hRule="exact"/>
        </w:trPr>
        <w:tc>
          <w:tcPr>
            <w:tcW w:w="3522" w:type="dxa"/>
          </w:tcPr>
          <w:p>
            <w:pPr>
              <w:pStyle w:val="TableParagraph"/>
              <w:spacing w:before="40"/>
              <w:ind w:left="928" w:right="929"/>
              <w:rPr>
                <w:sz w:val="17"/>
              </w:rPr>
            </w:pPr>
            <w:r>
              <w:rPr>
                <w:color w:val="231F20"/>
                <w:w w:val="105"/>
                <w:sz w:val="17"/>
              </w:rPr>
              <w:t>Mediana</w:t>
            </w:r>
          </w:p>
        </w:tc>
        <w:tc>
          <w:tcPr>
            <w:tcW w:w="1266" w:type="dxa"/>
          </w:tcPr>
          <w:p>
            <w:pPr>
              <w:pStyle w:val="TableParagraph"/>
              <w:spacing w:before="40"/>
              <w:ind w:left="212" w:right="212"/>
              <w:rPr>
                <w:sz w:val="17"/>
              </w:rPr>
            </w:pPr>
            <w:r>
              <w:rPr>
                <w:color w:val="231F20"/>
                <w:w w:val="105"/>
                <w:sz w:val="17"/>
              </w:rPr>
              <w:t>12.5</w:t>
            </w:r>
          </w:p>
        </w:tc>
      </w:tr>
      <w:tr>
        <w:trPr>
          <w:trHeight w:val="248" w:hRule="exact"/>
        </w:trPr>
        <w:tc>
          <w:tcPr>
            <w:tcW w:w="3522" w:type="dxa"/>
          </w:tcPr>
          <w:p>
            <w:pPr>
              <w:pStyle w:val="TableParagraph"/>
              <w:spacing w:before="42"/>
              <w:ind w:left="928" w:right="929"/>
              <w:rPr>
                <w:sz w:val="17"/>
              </w:rPr>
            </w:pPr>
            <w:r>
              <w:rPr>
                <w:color w:val="231F20"/>
                <w:w w:val="105"/>
                <w:sz w:val="17"/>
              </w:rPr>
              <w:t>Desviación estándar</w:t>
            </w:r>
          </w:p>
        </w:tc>
        <w:tc>
          <w:tcPr>
            <w:tcW w:w="1266" w:type="dxa"/>
          </w:tcPr>
          <w:p>
            <w:pPr>
              <w:pStyle w:val="TableParagraph"/>
              <w:spacing w:before="42"/>
              <w:ind w:left="212" w:right="211"/>
              <w:rPr>
                <w:sz w:val="17"/>
              </w:rPr>
            </w:pPr>
            <w:r>
              <w:rPr>
                <w:color w:val="231F20"/>
                <w:w w:val="105"/>
                <w:sz w:val="17"/>
              </w:rPr>
              <w:t>4.7</w:t>
            </w:r>
          </w:p>
        </w:tc>
      </w:tr>
      <w:tr>
        <w:trPr>
          <w:trHeight w:val="248" w:hRule="exact"/>
        </w:trPr>
        <w:tc>
          <w:tcPr>
            <w:tcW w:w="3522" w:type="dxa"/>
          </w:tcPr>
          <w:p>
            <w:pPr>
              <w:pStyle w:val="TableParagraph"/>
              <w:spacing w:before="42"/>
              <w:ind w:left="928" w:right="928"/>
              <w:rPr>
                <w:sz w:val="17"/>
              </w:rPr>
            </w:pPr>
            <w:r>
              <w:rPr>
                <w:color w:val="231F20"/>
                <w:w w:val="105"/>
                <w:sz w:val="17"/>
              </w:rPr>
              <w:t>n=14 (70%)</w:t>
            </w:r>
          </w:p>
        </w:tc>
        <w:tc>
          <w:tcPr>
            <w:tcW w:w="1266" w:type="dxa"/>
          </w:tcPr>
          <w:p>
            <w:pPr/>
          </w:p>
        </w:tc>
      </w:tr>
    </w:tbl>
    <w:p>
      <w:pPr>
        <w:pStyle w:val="BodyText"/>
        <w:spacing w:before="4"/>
        <w:rPr>
          <w:sz w:val="7"/>
        </w:rPr>
      </w:pPr>
    </w:p>
    <w:p>
      <w:pPr>
        <w:spacing w:before="85"/>
        <w:ind w:left="2322" w:right="858" w:firstLine="0"/>
        <w:jc w:val="left"/>
        <w:rPr>
          <w:sz w:val="14"/>
        </w:rPr>
      </w:pPr>
      <w:r>
        <w:rPr>
          <w:color w:val="231F20"/>
          <w:w w:val="105"/>
          <w:sz w:val="14"/>
        </w:rPr>
        <w:t>Fuente: Anexo 1</w:t>
      </w:r>
    </w:p>
    <w:p>
      <w:pPr>
        <w:pStyle w:val="BodyText"/>
        <w:spacing w:before="3"/>
        <w:rPr>
          <w:sz w:val="17"/>
        </w:rPr>
      </w:pPr>
    </w:p>
    <w:p>
      <w:pPr>
        <w:spacing w:before="0"/>
        <w:ind w:left="2331" w:right="858" w:hanging="1258"/>
        <w:jc w:val="left"/>
        <w:rPr>
          <w:i/>
          <w:sz w:val="16"/>
        </w:rPr>
      </w:pPr>
      <w:r>
        <w:rPr>
          <w:i/>
          <w:color w:val="231F20"/>
          <w:sz w:val="16"/>
        </w:rPr>
        <w:t>La estancia hospitalaria en pacientes con peritonitis asociada a diálisis y disfunción de catéter </w:t>
      </w:r>
      <w:r>
        <w:rPr>
          <w:i/>
          <w:color w:val="231F20"/>
          <w:sz w:val="16"/>
        </w:rPr>
        <w:t>tuvo una variación de 5 hasta 21 días, según este estudio.</w:t>
      </w:r>
    </w:p>
    <w:p>
      <w:pPr>
        <w:pStyle w:val="BodyText"/>
        <w:rPr>
          <w:i/>
          <w:sz w:val="16"/>
        </w:rPr>
      </w:pPr>
    </w:p>
    <w:p>
      <w:pPr>
        <w:pStyle w:val="BodyText"/>
        <w:rPr>
          <w:i/>
          <w:sz w:val="16"/>
        </w:rPr>
      </w:pPr>
    </w:p>
    <w:p>
      <w:pPr>
        <w:pStyle w:val="BodyText"/>
        <w:rPr>
          <w:i/>
          <w:sz w:val="16"/>
        </w:rPr>
      </w:pPr>
    </w:p>
    <w:p>
      <w:pPr>
        <w:pStyle w:val="BodyText"/>
        <w:spacing w:line="242" w:lineRule="auto" w:before="113"/>
        <w:ind w:left="999" w:right="952"/>
      </w:pPr>
      <w:r>
        <w:rPr>
          <w:b/>
          <w:color w:val="231F20"/>
        </w:rPr>
        <w:t>Tabla 11. </w:t>
      </w:r>
      <w:r>
        <w:rPr>
          <w:color w:val="231F20"/>
        </w:rPr>
        <w:t>Valores estadísticos en días hospitalización para paciente con Peritonitis asociada a diálisis peritoneal sin disfunción de catéter.</w:t>
      </w:r>
    </w:p>
    <w:p>
      <w:pPr>
        <w:pStyle w:val="BodyText"/>
        <w:rPr>
          <w:sz w:val="20"/>
        </w:rPr>
      </w:pPr>
    </w:p>
    <w:p>
      <w:pPr>
        <w:pStyle w:val="BodyText"/>
        <w:spacing w:before="4"/>
        <w:rPr>
          <w:sz w:val="15"/>
        </w:rPr>
      </w:pPr>
    </w:p>
    <w:tbl>
      <w:tblPr>
        <w:tblW w:w="0" w:type="auto"/>
        <w:jc w:val="left"/>
        <w:tblInd w:w="1868"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3989"/>
        <w:gridCol w:w="1068"/>
      </w:tblGrid>
      <w:tr>
        <w:trPr>
          <w:trHeight w:val="614" w:hRule="exact"/>
        </w:trPr>
        <w:tc>
          <w:tcPr>
            <w:tcW w:w="3989" w:type="dxa"/>
          </w:tcPr>
          <w:p>
            <w:pPr>
              <w:pStyle w:val="TableParagraph"/>
              <w:spacing w:line="249" w:lineRule="auto" w:before="2"/>
              <w:ind w:left="119" w:right="115"/>
              <w:rPr>
                <w:b/>
                <w:sz w:val="17"/>
              </w:rPr>
            </w:pPr>
            <w:r>
              <w:rPr>
                <w:b/>
                <w:color w:val="231F20"/>
                <w:w w:val="105"/>
                <w:sz w:val="17"/>
              </w:rPr>
              <w:t>Días hospitalización para paciente con peri- tonitis asociada a diálisis peritoneal sin dis- función de catéter</w:t>
            </w:r>
          </w:p>
        </w:tc>
        <w:tc>
          <w:tcPr>
            <w:tcW w:w="1068" w:type="dxa"/>
          </w:tcPr>
          <w:p>
            <w:pPr>
              <w:pStyle w:val="TableParagraph"/>
              <w:jc w:val="left"/>
              <w:rPr>
                <w:sz w:val="18"/>
              </w:rPr>
            </w:pPr>
          </w:p>
          <w:p>
            <w:pPr>
              <w:pStyle w:val="TableParagraph"/>
              <w:spacing w:before="4"/>
              <w:jc w:val="left"/>
              <w:rPr>
                <w:sz w:val="17"/>
              </w:rPr>
            </w:pPr>
          </w:p>
          <w:p>
            <w:pPr>
              <w:pStyle w:val="TableParagraph"/>
              <w:ind w:left="286" w:right="286"/>
              <w:rPr>
                <w:b/>
                <w:sz w:val="17"/>
              </w:rPr>
            </w:pPr>
            <w:r>
              <w:rPr>
                <w:b/>
                <w:color w:val="231F20"/>
                <w:w w:val="105"/>
                <w:sz w:val="17"/>
              </w:rPr>
              <w:t>Días</w:t>
            </w:r>
          </w:p>
        </w:tc>
      </w:tr>
      <w:tr>
        <w:trPr>
          <w:trHeight w:val="248" w:hRule="exact"/>
        </w:trPr>
        <w:tc>
          <w:tcPr>
            <w:tcW w:w="3989" w:type="dxa"/>
          </w:tcPr>
          <w:p>
            <w:pPr>
              <w:pStyle w:val="TableParagraph"/>
              <w:spacing w:before="42"/>
              <w:ind w:left="115" w:right="115"/>
              <w:rPr>
                <w:sz w:val="17"/>
              </w:rPr>
            </w:pPr>
            <w:r>
              <w:rPr>
                <w:color w:val="231F20"/>
                <w:w w:val="105"/>
                <w:sz w:val="17"/>
              </w:rPr>
              <w:t>Total</w:t>
            </w:r>
          </w:p>
        </w:tc>
        <w:tc>
          <w:tcPr>
            <w:tcW w:w="1068" w:type="dxa"/>
          </w:tcPr>
          <w:p>
            <w:pPr>
              <w:pStyle w:val="TableParagraph"/>
              <w:spacing w:before="42"/>
              <w:ind w:left="286" w:right="286"/>
              <w:rPr>
                <w:sz w:val="17"/>
              </w:rPr>
            </w:pPr>
            <w:r>
              <w:rPr>
                <w:color w:val="231F20"/>
                <w:w w:val="105"/>
                <w:sz w:val="17"/>
              </w:rPr>
              <w:t>38</w:t>
            </w:r>
          </w:p>
        </w:tc>
      </w:tr>
      <w:tr>
        <w:trPr>
          <w:trHeight w:val="261" w:hRule="exact"/>
        </w:trPr>
        <w:tc>
          <w:tcPr>
            <w:tcW w:w="3989" w:type="dxa"/>
          </w:tcPr>
          <w:p>
            <w:pPr>
              <w:pStyle w:val="TableParagraph"/>
              <w:spacing w:before="31"/>
              <w:ind w:left="115" w:right="115"/>
              <w:rPr>
                <w:sz w:val="19"/>
              </w:rPr>
            </w:pPr>
            <w:r>
              <w:rPr>
                <w:color w:val="231F20"/>
                <w:sz w:val="19"/>
              </w:rPr>
              <w:t>Media</w:t>
            </w:r>
          </w:p>
        </w:tc>
        <w:tc>
          <w:tcPr>
            <w:tcW w:w="1068" w:type="dxa"/>
          </w:tcPr>
          <w:p>
            <w:pPr>
              <w:pStyle w:val="TableParagraph"/>
              <w:spacing w:before="53"/>
              <w:ind w:left="286" w:right="284"/>
              <w:rPr>
                <w:sz w:val="17"/>
              </w:rPr>
            </w:pPr>
            <w:r>
              <w:rPr>
                <w:color w:val="231F20"/>
                <w:w w:val="105"/>
                <w:sz w:val="17"/>
              </w:rPr>
              <w:t>6.33</w:t>
            </w:r>
          </w:p>
        </w:tc>
      </w:tr>
      <w:tr>
        <w:trPr>
          <w:trHeight w:val="248" w:hRule="exact"/>
        </w:trPr>
        <w:tc>
          <w:tcPr>
            <w:tcW w:w="3989" w:type="dxa"/>
          </w:tcPr>
          <w:p>
            <w:pPr>
              <w:pStyle w:val="TableParagraph"/>
              <w:spacing w:before="40"/>
              <w:ind w:left="114" w:right="115"/>
              <w:rPr>
                <w:sz w:val="17"/>
              </w:rPr>
            </w:pPr>
            <w:r>
              <w:rPr>
                <w:color w:val="231F20"/>
                <w:w w:val="105"/>
                <w:sz w:val="17"/>
              </w:rPr>
              <w:t>Moda</w:t>
            </w:r>
          </w:p>
        </w:tc>
        <w:tc>
          <w:tcPr>
            <w:tcW w:w="1068" w:type="dxa"/>
          </w:tcPr>
          <w:p>
            <w:pPr>
              <w:pStyle w:val="TableParagraph"/>
              <w:spacing w:before="40"/>
              <w:ind w:right="1"/>
              <w:rPr>
                <w:sz w:val="17"/>
              </w:rPr>
            </w:pPr>
            <w:r>
              <w:rPr>
                <w:color w:val="231F20"/>
                <w:w w:val="103"/>
                <w:sz w:val="17"/>
              </w:rPr>
              <w:t>6</w:t>
            </w:r>
          </w:p>
        </w:tc>
      </w:tr>
      <w:tr>
        <w:trPr>
          <w:trHeight w:val="248" w:hRule="exact"/>
        </w:trPr>
        <w:tc>
          <w:tcPr>
            <w:tcW w:w="3989" w:type="dxa"/>
          </w:tcPr>
          <w:p>
            <w:pPr>
              <w:pStyle w:val="TableParagraph"/>
              <w:spacing w:before="42"/>
              <w:ind w:left="114" w:right="115"/>
              <w:rPr>
                <w:sz w:val="17"/>
              </w:rPr>
            </w:pPr>
            <w:r>
              <w:rPr>
                <w:color w:val="231F20"/>
                <w:w w:val="105"/>
                <w:sz w:val="17"/>
              </w:rPr>
              <w:t>Mediana</w:t>
            </w:r>
          </w:p>
        </w:tc>
        <w:tc>
          <w:tcPr>
            <w:tcW w:w="1068" w:type="dxa"/>
          </w:tcPr>
          <w:p>
            <w:pPr>
              <w:pStyle w:val="TableParagraph"/>
              <w:spacing w:before="42"/>
              <w:ind w:right="1"/>
              <w:rPr>
                <w:sz w:val="17"/>
              </w:rPr>
            </w:pPr>
            <w:r>
              <w:rPr>
                <w:color w:val="231F20"/>
                <w:w w:val="103"/>
                <w:sz w:val="17"/>
              </w:rPr>
              <w:t>6</w:t>
            </w:r>
          </w:p>
        </w:tc>
      </w:tr>
      <w:tr>
        <w:trPr>
          <w:trHeight w:val="248" w:hRule="exact"/>
        </w:trPr>
        <w:tc>
          <w:tcPr>
            <w:tcW w:w="3989" w:type="dxa"/>
          </w:tcPr>
          <w:p>
            <w:pPr>
              <w:pStyle w:val="TableParagraph"/>
              <w:spacing w:before="42"/>
              <w:ind w:left="115" w:right="115"/>
              <w:rPr>
                <w:sz w:val="17"/>
              </w:rPr>
            </w:pPr>
            <w:r>
              <w:rPr>
                <w:color w:val="231F20"/>
                <w:sz w:val="17"/>
              </w:rPr>
              <w:t>Desviación estándar</w:t>
            </w:r>
          </w:p>
        </w:tc>
        <w:tc>
          <w:tcPr>
            <w:tcW w:w="1068" w:type="dxa"/>
          </w:tcPr>
          <w:p>
            <w:pPr>
              <w:pStyle w:val="TableParagraph"/>
              <w:spacing w:before="42"/>
              <w:ind w:left="286" w:right="286"/>
              <w:rPr>
                <w:sz w:val="17"/>
              </w:rPr>
            </w:pPr>
            <w:r>
              <w:rPr>
                <w:color w:val="231F20"/>
                <w:w w:val="105"/>
                <w:sz w:val="17"/>
              </w:rPr>
              <w:t>2.422</w:t>
            </w:r>
          </w:p>
        </w:tc>
      </w:tr>
      <w:tr>
        <w:trPr>
          <w:trHeight w:val="248" w:hRule="exact"/>
        </w:trPr>
        <w:tc>
          <w:tcPr>
            <w:tcW w:w="3989" w:type="dxa"/>
          </w:tcPr>
          <w:p>
            <w:pPr>
              <w:pStyle w:val="TableParagraph"/>
              <w:spacing w:before="42"/>
              <w:ind w:left="114" w:right="115"/>
              <w:rPr>
                <w:sz w:val="17"/>
              </w:rPr>
            </w:pPr>
            <w:r>
              <w:rPr>
                <w:color w:val="231F20"/>
                <w:w w:val="105"/>
                <w:sz w:val="17"/>
              </w:rPr>
              <w:t>n=6 (30%)</w:t>
            </w:r>
          </w:p>
        </w:tc>
        <w:tc>
          <w:tcPr>
            <w:tcW w:w="1068" w:type="dxa"/>
          </w:tcPr>
          <w:p>
            <w:pPr/>
          </w:p>
        </w:tc>
      </w:tr>
    </w:tbl>
    <w:p>
      <w:pPr>
        <w:pStyle w:val="BodyText"/>
        <w:spacing w:before="10"/>
        <w:rPr>
          <w:sz w:val="8"/>
        </w:rPr>
      </w:pPr>
    </w:p>
    <w:p>
      <w:pPr>
        <w:spacing w:before="86"/>
        <w:ind w:left="2322" w:right="858" w:firstLine="0"/>
        <w:jc w:val="left"/>
        <w:rPr>
          <w:sz w:val="14"/>
        </w:rPr>
      </w:pPr>
      <w:r>
        <w:rPr>
          <w:color w:val="231F20"/>
          <w:w w:val="105"/>
          <w:sz w:val="14"/>
        </w:rPr>
        <w:t>Fuente: Anexo 1</w:t>
      </w:r>
    </w:p>
    <w:p>
      <w:pPr>
        <w:pStyle w:val="BodyText"/>
        <w:spacing w:before="8"/>
        <w:rPr>
          <w:sz w:val="15"/>
        </w:rPr>
      </w:pPr>
    </w:p>
    <w:p>
      <w:pPr>
        <w:spacing w:before="0"/>
        <w:ind w:left="1001" w:right="997" w:hanging="10"/>
        <w:jc w:val="center"/>
        <w:rPr>
          <w:i/>
          <w:sz w:val="16"/>
        </w:rPr>
      </w:pPr>
      <w:r>
        <w:rPr>
          <w:i/>
          <w:color w:val="231F20"/>
          <w:sz w:val="16"/>
        </w:rPr>
        <w:t>La variación en días hospitalización en el grupo de pacientes con peritonitis asociada a diálisis </w:t>
      </w:r>
      <w:r>
        <w:rPr>
          <w:i/>
          <w:color w:val="231F20"/>
          <w:sz w:val="16"/>
        </w:rPr>
        <w:t>pero sin disfunción de catéter oscilo entre los días 3 al 10º, tan solo la mitad de días comparado a la disfunción de catéter.</w:t>
      </w:r>
    </w:p>
    <w:p>
      <w:pPr>
        <w:spacing w:after="0"/>
        <w:jc w:val="center"/>
        <w:rPr>
          <w:sz w:val="16"/>
        </w:rPr>
        <w:sectPr>
          <w:pgSz w:w="12240" w:h="15840"/>
          <w:pgMar w:header="0" w:footer="1972" w:top="1500" w:bottom="2160" w:left="1720" w:right="1720"/>
        </w:sectPr>
      </w:pPr>
    </w:p>
    <w:p>
      <w:pPr>
        <w:pStyle w:val="BodyText"/>
        <w:rPr>
          <w:i/>
          <w:sz w:val="20"/>
        </w:rPr>
      </w:pPr>
    </w:p>
    <w:p>
      <w:pPr>
        <w:pStyle w:val="BodyText"/>
        <w:rPr>
          <w:i/>
          <w:sz w:val="20"/>
        </w:rPr>
      </w:pPr>
    </w:p>
    <w:p>
      <w:pPr>
        <w:pStyle w:val="BodyText"/>
        <w:rPr>
          <w:i/>
          <w:sz w:val="20"/>
        </w:rPr>
      </w:pPr>
    </w:p>
    <w:p>
      <w:pPr>
        <w:pStyle w:val="BodyText"/>
        <w:spacing w:before="7"/>
        <w:rPr>
          <w:i/>
          <w:sz w:val="23"/>
        </w:rPr>
      </w:pPr>
    </w:p>
    <w:p>
      <w:pPr>
        <w:pStyle w:val="BodyText"/>
        <w:spacing w:line="278" w:lineRule="auto" w:before="77"/>
        <w:ind w:left="999" w:right="1002" w:firstLine="566"/>
        <w:jc w:val="both"/>
        <w:rPr>
          <w:b/>
        </w:rPr>
      </w:pPr>
      <w:r>
        <w:rPr>
          <w:color w:val="231F20"/>
        </w:rPr>
        <w:t>La comparativa de días hospitalización en estos pacientes da una diferencial promedio de 6.52 días, lo cual implica el doble días hospitalización cuando hay disfunción de catéter agregada ala peritonitis </w:t>
      </w:r>
      <w:r>
        <w:rPr>
          <w:b/>
          <w:color w:val="231F20"/>
        </w:rPr>
        <w:t>(Tabla 12, Gráfico</w:t>
      </w:r>
      <w:r>
        <w:rPr>
          <w:b/>
          <w:color w:val="231F20"/>
          <w:spacing w:val="50"/>
        </w:rPr>
        <w:t> </w:t>
      </w:r>
      <w:r>
        <w:rPr>
          <w:b/>
          <w:color w:val="231F20"/>
        </w:rPr>
        <w:t>3)</w:t>
      </w:r>
    </w:p>
    <w:p>
      <w:pPr>
        <w:pStyle w:val="BodyText"/>
        <w:rPr>
          <w:b/>
          <w:sz w:val="18"/>
        </w:rPr>
      </w:pPr>
    </w:p>
    <w:p>
      <w:pPr>
        <w:pStyle w:val="BodyText"/>
        <w:spacing w:before="3"/>
        <w:rPr>
          <w:b/>
          <w:sz w:val="20"/>
        </w:rPr>
      </w:pPr>
    </w:p>
    <w:p>
      <w:pPr>
        <w:pStyle w:val="BodyText"/>
        <w:spacing w:line="242" w:lineRule="auto"/>
        <w:ind w:left="1513" w:right="858" w:hanging="221"/>
      </w:pPr>
      <w:r>
        <w:rPr>
          <w:b/>
          <w:color w:val="231F20"/>
        </w:rPr>
        <w:t>Tabla 12. </w:t>
      </w:r>
      <w:r>
        <w:rPr>
          <w:color w:val="231F20"/>
        </w:rPr>
        <w:t>Días de hospitalización en pacientes con peritonitis asociada a diálisis peritoneal, disfunción de catéter vs sin disfunción de catéter.</w:t>
      </w:r>
    </w:p>
    <w:p>
      <w:pPr>
        <w:pStyle w:val="BodyText"/>
        <w:rPr>
          <w:sz w:val="20"/>
        </w:rPr>
      </w:pPr>
    </w:p>
    <w:p>
      <w:pPr>
        <w:pStyle w:val="BodyText"/>
        <w:spacing w:before="4"/>
        <w:rPr>
          <w:sz w:val="15"/>
        </w:rPr>
      </w:pPr>
    </w:p>
    <w:tbl>
      <w:tblPr>
        <w:tblW w:w="0" w:type="auto"/>
        <w:jc w:val="left"/>
        <w:tblInd w:w="1358"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3215"/>
        <w:gridCol w:w="1453"/>
        <w:gridCol w:w="1410"/>
      </w:tblGrid>
      <w:tr>
        <w:trPr>
          <w:trHeight w:val="615" w:hRule="exact"/>
        </w:trPr>
        <w:tc>
          <w:tcPr>
            <w:tcW w:w="3215" w:type="dxa"/>
          </w:tcPr>
          <w:p>
            <w:pPr>
              <w:pStyle w:val="TableParagraph"/>
              <w:spacing w:line="249" w:lineRule="auto" w:before="2"/>
              <w:ind w:left="41" w:right="38"/>
              <w:rPr>
                <w:b/>
                <w:sz w:val="17"/>
              </w:rPr>
            </w:pPr>
            <w:r>
              <w:rPr>
                <w:b/>
                <w:color w:val="231F20"/>
                <w:w w:val="105"/>
                <w:sz w:val="17"/>
              </w:rPr>
              <w:t>Días de hospitalización en pacientes con peritonitis asociada a diálisis peritoneal</w:t>
            </w:r>
          </w:p>
        </w:tc>
        <w:tc>
          <w:tcPr>
            <w:tcW w:w="1453" w:type="dxa"/>
          </w:tcPr>
          <w:p>
            <w:pPr>
              <w:pStyle w:val="TableParagraph"/>
              <w:jc w:val="left"/>
              <w:rPr>
                <w:sz w:val="18"/>
              </w:rPr>
            </w:pPr>
          </w:p>
          <w:p>
            <w:pPr>
              <w:pStyle w:val="TableParagraph"/>
              <w:spacing w:before="4"/>
              <w:jc w:val="left"/>
              <w:rPr>
                <w:sz w:val="17"/>
              </w:rPr>
            </w:pPr>
          </w:p>
          <w:p>
            <w:pPr>
              <w:pStyle w:val="TableParagraph"/>
              <w:ind w:left="296" w:right="296"/>
              <w:rPr>
                <w:b/>
                <w:sz w:val="17"/>
              </w:rPr>
            </w:pPr>
            <w:r>
              <w:rPr>
                <w:b/>
                <w:color w:val="231F20"/>
                <w:w w:val="105"/>
                <w:sz w:val="17"/>
              </w:rPr>
              <w:t>Días CDC</w:t>
            </w:r>
          </w:p>
        </w:tc>
        <w:tc>
          <w:tcPr>
            <w:tcW w:w="1410" w:type="dxa"/>
          </w:tcPr>
          <w:p>
            <w:pPr>
              <w:pStyle w:val="TableParagraph"/>
              <w:jc w:val="left"/>
              <w:rPr>
                <w:sz w:val="18"/>
              </w:rPr>
            </w:pPr>
          </w:p>
          <w:p>
            <w:pPr>
              <w:pStyle w:val="TableParagraph"/>
              <w:spacing w:before="4"/>
              <w:jc w:val="left"/>
              <w:rPr>
                <w:sz w:val="17"/>
              </w:rPr>
            </w:pPr>
          </w:p>
          <w:p>
            <w:pPr>
              <w:pStyle w:val="TableParagraph"/>
              <w:ind w:left="278" w:right="279"/>
              <w:rPr>
                <w:b/>
                <w:sz w:val="17"/>
              </w:rPr>
            </w:pPr>
            <w:r>
              <w:rPr>
                <w:b/>
                <w:color w:val="231F20"/>
                <w:w w:val="105"/>
                <w:sz w:val="17"/>
              </w:rPr>
              <w:t>Días SDC</w:t>
            </w:r>
          </w:p>
        </w:tc>
      </w:tr>
      <w:tr>
        <w:trPr>
          <w:trHeight w:val="248" w:hRule="exact"/>
        </w:trPr>
        <w:tc>
          <w:tcPr>
            <w:tcW w:w="3215" w:type="dxa"/>
          </w:tcPr>
          <w:p>
            <w:pPr>
              <w:pStyle w:val="TableParagraph"/>
              <w:spacing w:before="42"/>
              <w:ind w:left="38" w:right="38"/>
              <w:rPr>
                <w:sz w:val="17"/>
              </w:rPr>
            </w:pPr>
            <w:r>
              <w:rPr>
                <w:color w:val="231F20"/>
                <w:w w:val="105"/>
                <w:sz w:val="17"/>
              </w:rPr>
              <w:t>Total</w:t>
            </w:r>
          </w:p>
        </w:tc>
        <w:tc>
          <w:tcPr>
            <w:tcW w:w="1453" w:type="dxa"/>
          </w:tcPr>
          <w:p>
            <w:pPr>
              <w:pStyle w:val="TableParagraph"/>
              <w:spacing w:before="42"/>
              <w:ind w:left="295" w:right="296"/>
              <w:rPr>
                <w:sz w:val="17"/>
              </w:rPr>
            </w:pPr>
            <w:r>
              <w:rPr>
                <w:color w:val="231F20"/>
                <w:w w:val="105"/>
                <w:sz w:val="17"/>
              </w:rPr>
              <w:t>180</w:t>
            </w:r>
          </w:p>
        </w:tc>
        <w:tc>
          <w:tcPr>
            <w:tcW w:w="1410" w:type="dxa"/>
          </w:tcPr>
          <w:p>
            <w:pPr>
              <w:pStyle w:val="TableParagraph"/>
              <w:spacing w:before="42"/>
              <w:ind w:left="278" w:right="278"/>
              <w:rPr>
                <w:sz w:val="17"/>
              </w:rPr>
            </w:pPr>
            <w:r>
              <w:rPr>
                <w:color w:val="231F20"/>
                <w:w w:val="105"/>
                <w:sz w:val="17"/>
              </w:rPr>
              <w:t>38</w:t>
            </w:r>
          </w:p>
        </w:tc>
      </w:tr>
      <w:tr>
        <w:trPr>
          <w:trHeight w:val="261" w:hRule="exact"/>
        </w:trPr>
        <w:tc>
          <w:tcPr>
            <w:tcW w:w="3215" w:type="dxa"/>
          </w:tcPr>
          <w:p>
            <w:pPr>
              <w:pStyle w:val="TableParagraph"/>
              <w:spacing w:before="31"/>
              <w:ind w:left="39" w:right="38"/>
              <w:rPr>
                <w:sz w:val="19"/>
              </w:rPr>
            </w:pPr>
            <w:r>
              <w:rPr>
                <w:color w:val="231F20"/>
                <w:sz w:val="19"/>
              </w:rPr>
              <w:t>Media</w:t>
            </w:r>
          </w:p>
        </w:tc>
        <w:tc>
          <w:tcPr>
            <w:tcW w:w="1453" w:type="dxa"/>
          </w:tcPr>
          <w:p>
            <w:pPr>
              <w:pStyle w:val="TableParagraph"/>
              <w:spacing w:before="53"/>
              <w:ind w:left="295" w:right="296"/>
              <w:rPr>
                <w:sz w:val="17"/>
              </w:rPr>
            </w:pPr>
            <w:r>
              <w:rPr>
                <w:color w:val="231F20"/>
                <w:w w:val="105"/>
                <w:sz w:val="17"/>
              </w:rPr>
              <w:t>12.85</w:t>
            </w:r>
          </w:p>
        </w:tc>
        <w:tc>
          <w:tcPr>
            <w:tcW w:w="1410" w:type="dxa"/>
          </w:tcPr>
          <w:p>
            <w:pPr>
              <w:pStyle w:val="TableParagraph"/>
              <w:spacing w:before="53"/>
              <w:ind w:left="278" w:right="276"/>
              <w:rPr>
                <w:sz w:val="17"/>
              </w:rPr>
            </w:pPr>
            <w:r>
              <w:rPr>
                <w:color w:val="231F20"/>
                <w:w w:val="105"/>
                <w:sz w:val="17"/>
              </w:rPr>
              <w:t>6.33</w:t>
            </w:r>
          </w:p>
        </w:tc>
      </w:tr>
      <w:tr>
        <w:trPr>
          <w:trHeight w:val="248" w:hRule="exact"/>
        </w:trPr>
        <w:tc>
          <w:tcPr>
            <w:tcW w:w="3215" w:type="dxa"/>
          </w:tcPr>
          <w:p>
            <w:pPr>
              <w:pStyle w:val="TableParagraph"/>
              <w:spacing w:before="42"/>
              <w:ind w:left="37" w:right="38"/>
              <w:rPr>
                <w:sz w:val="17"/>
              </w:rPr>
            </w:pPr>
            <w:r>
              <w:rPr>
                <w:color w:val="231F20"/>
                <w:w w:val="105"/>
                <w:sz w:val="17"/>
              </w:rPr>
              <w:t>Moda</w:t>
            </w:r>
          </w:p>
        </w:tc>
        <w:tc>
          <w:tcPr>
            <w:tcW w:w="1453" w:type="dxa"/>
          </w:tcPr>
          <w:p>
            <w:pPr>
              <w:pStyle w:val="TableParagraph"/>
              <w:spacing w:before="42"/>
              <w:ind w:left="296" w:right="296"/>
              <w:rPr>
                <w:sz w:val="17"/>
              </w:rPr>
            </w:pPr>
            <w:r>
              <w:rPr>
                <w:color w:val="231F20"/>
                <w:w w:val="105"/>
                <w:sz w:val="17"/>
              </w:rPr>
              <w:t>11, 15, 19</w:t>
            </w:r>
          </w:p>
        </w:tc>
        <w:tc>
          <w:tcPr>
            <w:tcW w:w="1410" w:type="dxa"/>
          </w:tcPr>
          <w:p>
            <w:pPr>
              <w:pStyle w:val="TableParagraph"/>
              <w:spacing w:before="42"/>
              <w:ind w:right="1"/>
              <w:rPr>
                <w:sz w:val="17"/>
              </w:rPr>
            </w:pPr>
            <w:r>
              <w:rPr>
                <w:color w:val="231F20"/>
                <w:w w:val="103"/>
                <w:sz w:val="17"/>
              </w:rPr>
              <w:t>6</w:t>
            </w:r>
          </w:p>
        </w:tc>
      </w:tr>
      <w:tr>
        <w:trPr>
          <w:trHeight w:val="248" w:hRule="exact"/>
        </w:trPr>
        <w:tc>
          <w:tcPr>
            <w:tcW w:w="3215" w:type="dxa"/>
          </w:tcPr>
          <w:p>
            <w:pPr>
              <w:pStyle w:val="TableParagraph"/>
              <w:spacing w:before="42"/>
              <w:ind w:left="37" w:right="38"/>
              <w:rPr>
                <w:sz w:val="17"/>
              </w:rPr>
            </w:pPr>
            <w:r>
              <w:rPr>
                <w:color w:val="231F20"/>
                <w:w w:val="105"/>
                <w:sz w:val="17"/>
              </w:rPr>
              <w:t>Mediana</w:t>
            </w:r>
          </w:p>
        </w:tc>
        <w:tc>
          <w:tcPr>
            <w:tcW w:w="1453" w:type="dxa"/>
          </w:tcPr>
          <w:p>
            <w:pPr>
              <w:pStyle w:val="TableParagraph"/>
              <w:spacing w:before="42"/>
              <w:ind w:left="296" w:right="296"/>
              <w:rPr>
                <w:sz w:val="17"/>
              </w:rPr>
            </w:pPr>
            <w:r>
              <w:rPr>
                <w:color w:val="231F20"/>
                <w:w w:val="105"/>
                <w:sz w:val="17"/>
              </w:rPr>
              <w:t>12.5</w:t>
            </w:r>
          </w:p>
        </w:tc>
        <w:tc>
          <w:tcPr>
            <w:tcW w:w="1410" w:type="dxa"/>
          </w:tcPr>
          <w:p>
            <w:pPr>
              <w:pStyle w:val="TableParagraph"/>
              <w:spacing w:before="42"/>
              <w:ind w:right="1"/>
              <w:rPr>
                <w:sz w:val="17"/>
              </w:rPr>
            </w:pPr>
            <w:r>
              <w:rPr>
                <w:color w:val="231F20"/>
                <w:w w:val="103"/>
                <w:sz w:val="17"/>
              </w:rPr>
              <w:t>6</w:t>
            </w:r>
          </w:p>
        </w:tc>
      </w:tr>
      <w:tr>
        <w:trPr>
          <w:trHeight w:val="248" w:hRule="exact"/>
        </w:trPr>
        <w:tc>
          <w:tcPr>
            <w:tcW w:w="3215" w:type="dxa"/>
          </w:tcPr>
          <w:p>
            <w:pPr>
              <w:pStyle w:val="TableParagraph"/>
              <w:spacing w:before="42"/>
              <w:ind w:left="38" w:right="38"/>
              <w:rPr>
                <w:sz w:val="17"/>
              </w:rPr>
            </w:pPr>
            <w:r>
              <w:rPr>
                <w:color w:val="231F20"/>
                <w:sz w:val="17"/>
              </w:rPr>
              <w:t>Desviación estándar</w:t>
            </w:r>
          </w:p>
        </w:tc>
        <w:tc>
          <w:tcPr>
            <w:tcW w:w="1453" w:type="dxa"/>
          </w:tcPr>
          <w:p>
            <w:pPr>
              <w:pStyle w:val="TableParagraph"/>
              <w:spacing w:before="42"/>
              <w:ind w:left="296" w:right="296"/>
              <w:rPr>
                <w:sz w:val="17"/>
              </w:rPr>
            </w:pPr>
            <w:r>
              <w:rPr>
                <w:color w:val="231F20"/>
                <w:w w:val="105"/>
                <w:sz w:val="17"/>
              </w:rPr>
              <w:t>4.7</w:t>
            </w:r>
          </w:p>
        </w:tc>
        <w:tc>
          <w:tcPr>
            <w:tcW w:w="1410" w:type="dxa"/>
          </w:tcPr>
          <w:p>
            <w:pPr>
              <w:pStyle w:val="TableParagraph"/>
              <w:spacing w:before="42"/>
              <w:ind w:left="278" w:right="278"/>
              <w:rPr>
                <w:sz w:val="17"/>
              </w:rPr>
            </w:pPr>
            <w:r>
              <w:rPr>
                <w:color w:val="231F20"/>
                <w:w w:val="105"/>
                <w:sz w:val="17"/>
              </w:rPr>
              <w:t>2.422</w:t>
            </w:r>
          </w:p>
        </w:tc>
      </w:tr>
      <w:tr>
        <w:trPr>
          <w:trHeight w:val="250" w:hRule="exact"/>
        </w:trPr>
        <w:tc>
          <w:tcPr>
            <w:tcW w:w="3215" w:type="dxa"/>
          </w:tcPr>
          <w:p>
            <w:pPr>
              <w:pStyle w:val="TableParagraph"/>
              <w:spacing w:before="42"/>
              <w:ind w:left="38" w:right="38"/>
              <w:rPr>
                <w:sz w:val="17"/>
              </w:rPr>
            </w:pPr>
            <w:r>
              <w:rPr>
                <w:color w:val="231F20"/>
                <w:w w:val="105"/>
                <w:sz w:val="17"/>
              </w:rPr>
              <w:t>No pacientes</w:t>
            </w:r>
          </w:p>
        </w:tc>
        <w:tc>
          <w:tcPr>
            <w:tcW w:w="1453" w:type="dxa"/>
          </w:tcPr>
          <w:p>
            <w:pPr>
              <w:pStyle w:val="TableParagraph"/>
              <w:spacing w:before="42"/>
              <w:ind w:left="296" w:right="296"/>
              <w:rPr>
                <w:sz w:val="17"/>
              </w:rPr>
            </w:pPr>
            <w:r>
              <w:rPr>
                <w:color w:val="231F20"/>
                <w:w w:val="105"/>
                <w:sz w:val="17"/>
              </w:rPr>
              <w:t>n=14</w:t>
            </w:r>
          </w:p>
        </w:tc>
        <w:tc>
          <w:tcPr>
            <w:tcW w:w="1410" w:type="dxa"/>
          </w:tcPr>
          <w:p>
            <w:pPr>
              <w:pStyle w:val="TableParagraph"/>
              <w:spacing w:before="42"/>
              <w:ind w:left="278" w:right="278"/>
              <w:rPr>
                <w:sz w:val="17"/>
              </w:rPr>
            </w:pPr>
            <w:r>
              <w:rPr>
                <w:color w:val="231F20"/>
                <w:w w:val="105"/>
                <w:sz w:val="17"/>
              </w:rPr>
              <w:t>n=6</w:t>
            </w:r>
          </w:p>
        </w:tc>
      </w:tr>
    </w:tbl>
    <w:p>
      <w:pPr>
        <w:pStyle w:val="BodyText"/>
        <w:spacing w:before="2"/>
        <w:rPr>
          <w:sz w:val="7"/>
        </w:rPr>
      </w:pPr>
    </w:p>
    <w:p>
      <w:pPr>
        <w:spacing w:line="159" w:lineRule="exact" w:before="85"/>
        <w:ind w:left="1561" w:right="858" w:firstLine="0"/>
        <w:jc w:val="left"/>
        <w:rPr>
          <w:sz w:val="14"/>
        </w:rPr>
      </w:pPr>
      <w:r>
        <w:rPr>
          <w:color w:val="231F20"/>
          <w:w w:val="105"/>
          <w:sz w:val="14"/>
        </w:rPr>
        <w:t>Fuente: Anexo 1</w:t>
      </w:r>
    </w:p>
    <w:p>
      <w:pPr>
        <w:spacing w:before="0"/>
        <w:ind w:left="1565" w:right="5188" w:firstLine="0"/>
        <w:jc w:val="left"/>
        <w:rPr>
          <w:sz w:val="13"/>
        </w:rPr>
      </w:pPr>
      <w:r>
        <w:rPr>
          <w:color w:val="231F20"/>
          <w:sz w:val="13"/>
        </w:rPr>
        <w:t>SDC: sin disfunción de catéter CDC: con disfunción de catéter</w:t>
      </w:r>
    </w:p>
    <w:p>
      <w:pPr>
        <w:pStyle w:val="BodyText"/>
        <w:spacing w:before="7"/>
        <w:rPr>
          <w:sz w:val="17"/>
        </w:rPr>
      </w:pPr>
    </w:p>
    <w:p>
      <w:pPr>
        <w:pStyle w:val="Heading1"/>
        <w:ind w:left="999" w:right="858"/>
      </w:pPr>
      <w:r>
        <w:rPr>
          <w:color w:val="231F20"/>
        </w:rPr>
        <w:t>Gráfico 3</w:t>
      </w:r>
    </w:p>
    <w:p>
      <w:pPr>
        <w:pStyle w:val="BodyText"/>
        <w:spacing w:before="6"/>
        <w:rPr>
          <w:b/>
          <w:sz w:val="15"/>
        </w:rPr>
      </w:pPr>
      <w:r>
        <w:rPr/>
        <w:pict>
          <v:group style="position:absolute;margin-left:136.811996pt;margin-top:10.887132pt;width:354.15pt;height:187.4pt;mso-position-horizontal-relative:page;mso-position-vertical-relative:paragraph;z-index:1984;mso-wrap-distance-left:0;mso-wrap-distance-right:0" coordorigin="2736,218" coordsize="7083,3748">
            <v:shape style="position:absolute;left:3185;top:1641;width:363;height:1934" type="#_x0000_t75" stroked="false">
              <v:imagedata r:id="rId23" o:title=""/>
            </v:shape>
            <v:shape style="position:absolute;left:3187;top:1614;width:358;height:1945" type="#_x0000_t75" stroked="false">
              <v:imagedata r:id="rId24" o:title=""/>
            </v:shape>
            <v:shape style="position:absolute;left:4529;top:3448;width:361;height:127" type="#_x0000_t75" stroked="false">
              <v:imagedata r:id="rId25" o:title=""/>
            </v:shape>
            <v:shape style="position:absolute;left:4531;top:3420;width:358;height:139" type="#_x0000_t75" stroked="false">
              <v:imagedata r:id="rId26" o:title=""/>
            </v:shape>
            <v:shape style="position:absolute;left:7215;top:3451;width:363;height:124" type="#_x0000_t75" stroked="false">
              <v:imagedata r:id="rId27" o:title=""/>
            </v:shape>
            <v:shape style="position:absolute;left:7218;top:3424;width:358;height:135" type="#_x0000_t75" stroked="false">
              <v:imagedata r:id="rId28" o:title=""/>
            </v:shape>
            <v:shape style="position:absolute;left:8559;top:3536;width:363;height:39" type="#_x0000_t75" stroked="false">
              <v:imagedata r:id="rId29" o:title=""/>
            </v:shape>
            <v:shape style="position:absolute;left:8562;top:3508;width:358;height:51" type="#_x0000_t75" stroked="false">
              <v:imagedata r:id="rId30" o:title=""/>
            </v:shape>
            <v:shape style="position:absolute;left:3633;top:3175;width:363;height:400" type="#_x0000_t75" stroked="false">
              <v:imagedata r:id="rId31" o:title=""/>
            </v:shape>
            <v:shape style="position:absolute;left:3635;top:3148;width:358;height:411" type="#_x0000_t75" stroked="false">
              <v:imagedata r:id="rId32" o:title=""/>
            </v:shape>
            <v:shape style="position:absolute;left:4977;top:3517;width:363;height:58" type="#_x0000_t75" stroked="false">
              <v:imagedata r:id="rId33" o:title=""/>
            </v:shape>
            <v:shape style="position:absolute;left:4979;top:3491;width:358;height:68" type="#_x0000_t75" stroked="false">
              <v:imagedata r:id="rId34" o:title=""/>
            </v:shape>
            <v:shape style="position:absolute;left:6321;top:3521;width:361;height:54" type="#_x0000_t75" stroked="false">
              <v:imagedata r:id="rId35" o:title=""/>
            </v:shape>
            <v:shape style="position:absolute;left:6322;top:3494;width:358;height:65" type="#_x0000_t75" stroked="false">
              <v:imagedata r:id="rId36" o:title=""/>
            </v:shape>
            <v:shape style="position:absolute;left:7665;top:3521;width:361;height:54" type="#_x0000_t75" stroked="false">
              <v:imagedata r:id="rId37" o:title=""/>
            </v:shape>
            <v:shape style="position:absolute;left:7666;top:3494;width:358;height:65" type="#_x0000_t75" stroked="false">
              <v:imagedata r:id="rId38" o:title=""/>
            </v:shape>
            <v:shape style="position:absolute;left:9007;top:3559;width:363;height:16" type="#_x0000_t75" stroked="false">
              <v:imagedata r:id="rId39" o:title=""/>
            </v:shape>
            <v:shape style="position:absolute;left:9010;top:3533;width:358;height:26" type="#_x0000_t75" stroked="false">
              <v:imagedata r:id="rId40" o:title=""/>
            </v:shape>
            <v:line style="position:absolute" from="2920,3559" to="9638,3559" stroked="true" strokeweight=".576pt" strokecolor="#989a9d"/>
            <v:shape style="position:absolute;left:5534;top:1033;width:88;height:88" type="#_x0000_t75" stroked="false">
              <v:imagedata r:id="rId41" o:title=""/>
            </v:shape>
            <v:shape style="position:absolute;left:6389;top:1033;width:88;height:88" type="#_x0000_t75" stroked="false">
              <v:imagedata r:id="rId42" o:title=""/>
            </v:shape>
            <v:rect style="position:absolute;left:2742;top:224;width:7070;height:3736" filled="false" stroked="true" strokeweight=".6pt" strokecolor="#989a9d"/>
            <v:shape style="position:absolute;left:3642;top:383;width:5270;height:781" type="#_x0000_t202" filled="false" stroked="false">
              <v:textbox inset="0,0,0,0">
                <w:txbxContent>
                  <w:p>
                    <w:pPr>
                      <w:spacing w:line="195" w:lineRule="exact" w:before="0"/>
                      <w:ind w:left="-1" w:right="0" w:firstLine="0"/>
                      <w:jc w:val="center"/>
                      <w:rPr>
                        <w:rFonts w:ascii="Calibri"/>
                        <w:b/>
                        <w:sz w:val="19"/>
                      </w:rPr>
                    </w:pPr>
                    <w:r>
                      <w:rPr>
                        <w:rFonts w:ascii="Calibri"/>
                        <w:b/>
                        <w:color w:val="231F20"/>
                        <w:sz w:val="19"/>
                      </w:rPr>
                      <w:t>Dias hospitalizacion en pacientes con Peritonitis asociada a</w:t>
                    </w:r>
                    <w:r>
                      <w:rPr>
                        <w:rFonts w:ascii="Calibri"/>
                        <w:b/>
                        <w:color w:val="231F20"/>
                        <w:spacing w:val="7"/>
                        <w:sz w:val="19"/>
                      </w:rPr>
                      <w:t> </w:t>
                    </w:r>
                    <w:r>
                      <w:rPr>
                        <w:rFonts w:ascii="Calibri"/>
                        <w:b/>
                        <w:color w:val="231F20"/>
                        <w:sz w:val="19"/>
                      </w:rPr>
                      <w:t>dialisis</w:t>
                    </w:r>
                  </w:p>
                  <w:p>
                    <w:pPr>
                      <w:spacing w:before="2"/>
                      <w:ind w:left="243" w:right="0" w:firstLine="0"/>
                      <w:jc w:val="left"/>
                      <w:rPr>
                        <w:rFonts w:ascii="Calibri" w:hAnsi="Calibri"/>
                        <w:b/>
                        <w:sz w:val="19"/>
                      </w:rPr>
                    </w:pPr>
                    <w:r>
                      <w:rPr>
                        <w:rFonts w:ascii="Calibri" w:hAnsi="Calibri"/>
                        <w:b/>
                        <w:color w:val="231F20"/>
                        <w:sz w:val="19"/>
                      </w:rPr>
                      <w:t>peritoneal, disfunción de catéter vs sin disfuncion de cateter</w:t>
                    </w:r>
                  </w:p>
                  <w:p>
                    <w:pPr>
                      <w:tabs>
                        <w:tab w:pos="1042" w:val="left" w:leader="none"/>
                      </w:tabs>
                      <w:spacing w:line="192" w:lineRule="exact" w:before="158"/>
                      <w:ind w:left="187" w:right="0" w:firstLine="0"/>
                      <w:jc w:val="center"/>
                      <w:rPr>
                        <w:rFonts w:ascii="Calibri"/>
                        <w:sz w:val="16"/>
                      </w:rPr>
                    </w:pPr>
                    <w:r>
                      <w:rPr>
                        <w:rFonts w:ascii="Calibri"/>
                        <w:color w:val="231F20"/>
                        <w:sz w:val="16"/>
                      </w:rPr>
                      <w:t>Dias</w:t>
                    </w:r>
                    <w:r>
                      <w:rPr>
                        <w:rFonts w:ascii="Calibri"/>
                        <w:color w:val="231F20"/>
                        <w:spacing w:val="-3"/>
                        <w:sz w:val="16"/>
                      </w:rPr>
                      <w:t> </w:t>
                    </w:r>
                    <w:r>
                      <w:rPr>
                        <w:rFonts w:ascii="Calibri"/>
                        <w:color w:val="231F20"/>
                        <w:sz w:val="16"/>
                      </w:rPr>
                      <w:t>CDC</w:t>
                      <w:tab/>
                      <w:t>Dias</w:t>
                    </w:r>
                    <w:r>
                      <w:rPr>
                        <w:rFonts w:ascii="Calibri"/>
                        <w:color w:val="231F20"/>
                        <w:spacing w:val="-10"/>
                        <w:sz w:val="16"/>
                      </w:rPr>
                      <w:t> </w:t>
                    </w:r>
                    <w:r>
                      <w:rPr>
                        <w:rFonts w:ascii="Calibri"/>
                        <w:color w:val="231F20"/>
                        <w:sz w:val="16"/>
                      </w:rPr>
                      <w:t>SDC</w:t>
                    </w:r>
                  </w:p>
                </w:txbxContent>
              </v:textbox>
              <w10:wrap type="none"/>
            </v:shape>
            <v:shape style="position:absolute;left:3245;top:1380;width:243;height:160" type="#_x0000_t202" filled="false" stroked="false">
              <v:textbox inset="0,0,0,0">
                <w:txbxContent>
                  <w:p>
                    <w:pPr>
                      <w:spacing w:line="159" w:lineRule="exact" w:before="0"/>
                      <w:ind w:left="0" w:right="-18" w:firstLine="0"/>
                      <w:jc w:val="left"/>
                      <w:rPr>
                        <w:rFonts w:ascii="Calibri"/>
                        <w:sz w:val="16"/>
                      </w:rPr>
                    </w:pPr>
                    <w:r>
                      <w:rPr>
                        <w:rFonts w:ascii="Calibri"/>
                        <w:color w:val="231F20"/>
                        <w:spacing w:val="-1"/>
                        <w:sz w:val="16"/>
                      </w:rPr>
                      <w:t>180</w:t>
                    </w:r>
                  </w:p>
                </w:txbxContent>
              </v:textbox>
              <w10:wrap type="none"/>
            </v:shape>
            <v:shape style="position:absolute;left:3734;top:2914;width:162;height:160" type="#_x0000_t202" filled="false" stroked="false">
              <v:textbox inset="0,0,0,0">
                <w:txbxContent>
                  <w:p>
                    <w:pPr>
                      <w:spacing w:line="159" w:lineRule="exact" w:before="0"/>
                      <w:ind w:left="0" w:right="-19" w:firstLine="0"/>
                      <w:jc w:val="left"/>
                      <w:rPr>
                        <w:rFonts w:ascii="Calibri"/>
                        <w:sz w:val="16"/>
                      </w:rPr>
                    </w:pPr>
                    <w:r>
                      <w:rPr>
                        <w:rFonts w:ascii="Calibri"/>
                        <w:color w:val="231F20"/>
                        <w:spacing w:val="-1"/>
                        <w:sz w:val="16"/>
                      </w:rPr>
                      <w:t>38</w:t>
                    </w:r>
                  </w:p>
                </w:txbxContent>
              </v:textbox>
              <w10:wrap type="none"/>
            </v:shape>
            <v:shape style="position:absolute;left:4528;top:3186;width:364;height:160" type="#_x0000_t202" filled="false" stroked="false">
              <v:textbox inset="0,0,0,0">
                <w:txbxContent>
                  <w:p>
                    <w:pPr>
                      <w:spacing w:line="159" w:lineRule="exact" w:before="0"/>
                      <w:ind w:left="0" w:right="-3" w:firstLine="0"/>
                      <w:jc w:val="left"/>
                      <w:rPr>
                        <w:rFonts w:ascii="Calibri"/>
                        <w:sz w:val="16"/>
                      </w:rPr>
                    </w:pPr>
                    <w:r>
                      <w:rPr>
                        <w:rFonts w:ascii="Calibri"/>
                        <w:color w:val="231F20"/>
                        <w:w w:val="95"/>
                        <w:sz w:val="16"/>
                      </w:rPr>
                      <w:t>12.85</w:t>
                    </w:r>
                  </w:p>
                </w:txbxContent>
              </v:textbox>
              <w10:wrap type="none"/>
            </v:shape>
            <v:shape style="position:absolute;left:5671;top:3101;width:637;height:160" type="#_x0000_t202" filled="false" stroked="false">
              <v:textbox inset="0,0,0,0">
                <w:txbxContent>
                  <w:p>
                    <w:pPr>
                      <w:spacing w:line="159" w:lineRule="exact" w:before="0"/>
                      <w:ind w:left="0" w:right="-17" w:firstLine="0"/>
                      <w:jc w:val="left"/>
                      <w:rPr>
                        <w:rFonts w:ascii="Calibri"/>
                        <w:sz w:val="16"/>
                      </w:rPr>
                    </w:pPr>
                    <w:r>
                      <w:rPr>
                        <w:rFonts w:ascii="Calibri"/>
                        <w:color w:val="231F20"/>
                        <w:sz w:val="16"/>
                      </w:rPr>
                      <w:t>11, 15,</w:t>
                    </w:r>
                    <w:r>
                      <w:rPr>
                        <w:rFonts w:ascii="Calibri"/>
                        <w:color w:val="231F20"/>
                        <w:spacing w:val="-5"/>
                        <w:sz w:val="16"/>
                      </w:rPr>
                      <w:t> </w:t>
                    </w:r>
                    <w:r>
                      <w:rPr>
                        <w:rFonts w:ascii="Calibri"/>
                        <w:color w:val="231F20"/>
                        <w:sz w:val="16"/>
                      </w:rPr>
                      <w:t>19</w:t>
                    </w:r>
                  </w:p>
                </w:txbxContent>
              </v:textbox>
              <w10:wrap type="none"/>
            </v:shape>
            <v:shape style="position:absolute;left:5016;top:3257;width:283;height:160" type="#_x0000_t202" filled="false" stroked="false">
              <v:textbox inset="0,0,0,0">
                <w:txbxContent>
                  <w:p>
                    <w:pPr>
                      <w:spacing w:line="159" w:lineRule="exact" w:before="0"/>
                      <w:ind w:left="0" w:right="-17" w:firstLine="0"/>
                      <w:jc w:val="left"/>
                      <w:rPr>
                        <w:rFonts w:ascii="Calibri"/>
                        <w:sz w:val="16"/>
                      </w:rPr>
                    </w:pPr>
                    <w:r>
                      <w:rPr>
                        <w:rFonts w:ascii="Calibri"/>
                        <w:color w:val="231F20"/>
                        <w:spacing w:val="-1"/>
                        <w:sz w:val="16"/>
                      </w:rPr>
                      <w:t>6.33</w:t>
                    </w:r>
                  </w:p>
                </w:txbxContent>
              </v:textbox>
              <w10:wrap type="none"/>
            </v:shape>
            <v:shape style="position:absolute;left:6462;top:3261;width:81;height:160" type="#_x0000_t202" filled="false" stroked="false">
              <v:textbox inset="0,0,0,0">
                <w:txbxContent>
                  <w:p>
                    <w:pPr>
                      <w:spacing w:line="159" w:lineRule="exact" w:before="0"/>
                      <w:ind w:left="0" w:right="0" w:firstLine="0"/>
                      <w:jc w:val="left"/>
                      <w:rPr>
                        <w:rFonts w:ascii="Calibri"/>
                        <w:sz w:val="16"/>
                      </w:rPr>
                    </w:pPr>
                    <w:r>
                      <w:rPr>
                        <w:rFonts w:ascii="Calibri"/>
                        <w:color w:val="231F20"/>
                        <w:w w:val="99"/>
                        <w:sz w:val="16"/>
                      </w:rPr>
                      <w:t>6</w:t>
                    </w:r>
                  </w:p>
                </w:txbxContent>
              </v:textbox>
              <w10:wrap type="none"/>
            </v:shape>
            <v:shape style="position:absolute;left:7256;top:3190;width:283;height:160" type="#_x0000_t202" filled="false" stroked="false">
              <v:textbox inset="0,0,0,0">
                <w:txbxContent>
                  <w:p>
                    <w:pPr>
                      <w:spacing w:line="159" w:lineRule="exact" w:before="0"/>
                      <w:ind w:left="0" w:right="-17" w:firstLine="0"/>
                      <w:jc w:val="left"/>
                      <w:rPr>
                        <w:rFonts w:ascii="Calibri"/>
                        <w:sz w:val="16"/>
                      </w:rPr>
                    </w:pPr>
                    <w:r>
                      <w:rPr>
                        <w:rFonts w:ascii="Calibri"/>
                        <w:color w:val="231F20"/>
                        <w:spacing w:val="-1"/>
                        <w:sz w:val="16"/>
                      </w:rPr>
                      <w:t>12.5</w:t>
                    </w:r>
                  </w:p>
                </w:txbxContent>
              </v:textbox>
              <w10:wrap type="none"/>
            </v:shape>
            <v:shape style="position:absolute;left:7806;top:3261;width:81;height:160" type="#_x0000_t202" filled="false" stroked="false">
              <v:textbox inset="0,0,0,0">
                <w:txbxContent>
                  <w:p>
                    <w:pPr>
                      <w:spacing w:line="159" w:lineRule="exact" w:before="0"/>
                      <w:ind w:left="0" w:right="0" w:firstLine="0"/>
                      <w:jc w:val="left"/>
                      <w:rPr>
                        <w:rFonts w:ascii="Calibri"/>
                        <w:sz w:val="16"/>
                      </w:rPr>
                    </w:pPr>
                    <w:r>
                      <w:rPr>
                        <w:rFonts w:ascii="Calibri"/>
                        <w:color w:val="231F20"/>
                        <w:w w:val="99"/>
                        <w:sz w:val="16"/>
                      </w:rPr>
                      <w:t>6</w:t>
                    </w:r>
                  </w:p>
                </w:txbxContent>
              </v:textbox>
              <w10:wrap type="none"/>
            </v:shape>
            <v:shape style="position:absolute;left:8640;top:3274;width:731;height:184" type="#_x0000_t202" filled="false" stroked="false">
              <v:textbox inset="0,0,0,0">
                <w:txbxContent>
                  <w:p>
                    <w:pPr>
                      <w:spacing w:line="184" w:lineRule="exact" w:before="0"/>
                      <w:ind w:left="0" w:right="-2" w:firstLine="0"/>
                      <w:jc w:val="left"/>
                      <w:rPr>
                        <w:rFonts w:ascii="Calibri"/>
                        <w:sz w:val="16"/>
                      </w:rPr>
                    </w:pPr>
                    <w:r>
                      <w:rPr>
                        <w:rFonts w:ascii="Calibri"/>
                        <w:color w:val="231F20"/>
                        <w:position w:val="2"/>
                        <w:sz w:val="16"/>
                      </w:rPr>
                      <w:t>4.7    </w:t>
                    </w:r>
                    <w:r>
                      <w:rPr>
                        <w:rFonts w:ascii="Calibri"/>
                        <w:color w:val="231F20"/>
                        <w:sz w:val="16"/>
                      </w:rPr>
                      <w:t>2.422</w:t>
                    </w:r>
                  </w:p>
                </w:txbxContent>
              </v:textbox>
              <w10:wrap type="none"/>
            </v:shape>
            <v:shape style="position:absolute;left:3426;top:3694;width:328;height:160" type="#_x0000_t202" filled="false" stroked="false">
              <v:textbox inset="0,0,0,0">
                <w:txbxContent>
                  <w:p>
                    <w:pPr>
                      <w:spacing w:line="159" w:lineRule="exact" w:before="0"/>
                      <w:ind w:left="0" w:right="-17" w:firstLine="0"/>
                      <w:jc w:val="left"/>
                      <w:rPr>
                        <w:rFonts w:ascii="Calibri"/>
                        <w:sz w:val="16"/>
                      </w:rPr>
                    </w:pPr>
                    <w:r>
                      <w:rPr>
                        <w:rFonts w:ascii="Calibri"/>
                        <w:color w:val="231F20"/>
                        <w:spacing w:val="-1"/>
                        <w:sz w:val="16"/>
                      </w:rPr>
                      <w:t>Total</w:t>
                    </w:r>
                  </w:p>
                </w:txbxContent>
              </v:textbox>
              <w10:wrap type="none"/>
            </v:shape>
            <v:shape style="position:absolute;left:4727;top:3694;width:414;height:160" type="#_x0000_t202" filled="false" stroked="false">
              <v:textbox inset="0,0,0,0">
                <w:txbxContent>
                  <w:p>
                    <w:pPr>
                      <w:spacing w:line="159" w:lineRule="exact" w:before="0"/>
                      <w:ind w:left="0" w:right="0" w:firstLine="0"/>
                      <w:jc w:val="left"/>
                      <w:rPr>
                        <w:rFonts w:ascii="Calibri"/>
                        <w:sz w:val="16"/>
                      </w:rPr>
                    </w:pPr>
                    <w:r>
                      <w:rPr>
                        <w:rFonts w:ascii="Calibri"/>
                        <w:color w:val="231F20"/>
                        <w:w w:val="95"/>
                        <w:sz w:val="16"/>
                      </w:rPr>
                      <w:t>Media</w:t>
                    </w:r>
                  </w:p>
                </w:txbxContent>
              </v:textbox>
              <w10:wrap type="none"/>
            </v:shape>
            <v:shape style="position:absolute;left:6069;top:3694;width:381;height:160" type="#_x0000_t202" filled="false" stroked="false">
              <v:textbox inset="0,0,0,0">
                <w:txbxContent>
                  <w:p>
                    <w:pPr>
                      <w:spacing w:line="159" w:lineRule="exact" w:before="0"/>
                      <w:ind w:left="0" w:right="-2" w:firstLine="0"/>
                      <w:jc w:val="left"/>
                      <w:rPr>
                        <w:rFonts w:ascii="Calibri"/>
                        <w:sz w:val="16"/>
                      </w:rPr>
                    </w:pPr>
                    <w:r>
                      <w:rPr>
                        <w:rFonts w:ascii="Calibri"/>
                        <w:color w:val="231F20"/>
                        <w:w w:val="95"/>
                        <w:sz w:val="16"/>
                      </w:rPr>
                      <w:t>Moda</w:t>
                    </w:r>
                  </w:p>
                </w:txbxContent>
              </v:textbox>
              <w10:wrap type="none"/>
            </v:shape>
            <v:shape style="position:absolute;left:7317;top:3694;width:574;height:160" type="#_x0000_t202" filled="false" stroked="false">
              <v:textbox inset="0,0,0,0">
                <w:txbxContent>
                  <w:p>
                    <w:pPr>
                      <w:spacing w:line="159" w:lineRule="exact" w:before="0"/>
                      <w:ind w:left="0" w:right="0" w:firstLine="0"/>
                      <w:jc w:val="left"/>
                      <w:rPr>
                        <w:rFonts w:ascii="Calibri"/>
                        <w:sz w:val="16"/>
                      </w:rPr>
                    </w:pPr>
                    <w:r>
                      <w:rPr>
                        <w:rFonts w:ascii="Calibri"/>
                        <w:color w:val="231F20"/>
                        <w:w w:val="95"/>
                        <w:sz w:val="16"/>
                      </w:rPr>
                      <w:t>Mediana</w:t>
                    </w:r>
                  </w:p>
                </w:txbxContent>
              </v:textbox>
              <w10:wrap type="none"/>
            </v:shape>
            <v:shape style="position:absolute;left:8314;top:3694;width:1307;height:160" type="#_x0000_t202" filled="false" stroked="false">
              <v:textbox inset="0,0,0,0">
                <w:txbxContent>
                  <w:p>
                    <w:pPr>
                      <w:spacing w:line="159" w:lineRule="exact" w:before="0"/>
                      <w:ind w:left="0" w:right="-13" w:firstLine="0"/>
                      <w:jc w:val="left"/>
                      <w:rPr>
                        <w:rFonts w:ascii="Calibri"/>
                        <w:sz w:val="16"/>
                      </w:rPr>
                    </w:pPr>
                    <w:r>
                      <w:rPr>
                        <w:rFonts w:ascii="Calibri"/>
                        <w:color w:val="231F20"/>
                        <w:sz w:val="16"/>
                      </w:rPr>
                      <w:t>Desviacion</w:t>
                    </w:r>
                    <w:r>
                      <w:rPr>
                        <w:rFonts w:ascii="Calibri"/>
                        <w:color w:val="231F20"/>
                        <w:spacing w:val="-9"/>
                        <w:sz w:val="16"/>
                      </w:rPr>
                      <w:t> </w:t>
                    </w:r>
                    <w:r>
                      <w:rPr>
                        <w:rFonts w:ascii="Calibri"/>
                        <w:color w:val="231F20"/>
                        <w:sz w:val="16"/>
                      </w:rPr>
                      <w:t>estandar</w:t>
                    </w:r>
                  </w:p>
                </w:txbxContent>
              </v:textbox>
              <w10:wrap type="none"/>
            </v:shape>
            <w10:wrap type="topAndBottom"/>
          </v:group>
        </w:pict>
      </w:r>
    </w:p>
    <w:p>
      <w:pPr>
        <w:spacing w:before="0"/>
        <w:ind w:left="1600" w:right="858" w:firstLine="0"/>
        <w:jc w:val="left"/>
        <w:rPr>
          <w:sz w:val="14"/>
        </w:rPr>
      </w:pPr>
      <w:r>
        <w:rPr>
          <w:color w:val="231F20"/>
          <w:w w:val="105"/>
          <w:sz w:val="14"/>
        </w:rPr>
        <w:t>Fuente: Tabla 12</w:t>
      </w:r>
    </w:p>
    <w:p>
      <w:pPr>
        <w:pStyle w:val="BodyText"/>
        <w:spacing w:before="11"/>
        <w:rPr>
          <w:sz w:val="12"/>
        </w:rPr>
      </w:pPr>
    </w:p>
    <w:p>
      <w:pPr>
        <w:spacing w:line="146" w:lineRule="exact" w:before="0"/>
        <w:ind w:left="1565" w:right="5188" w:firstLine="0"/>
        <w:jc w:val="left"/>
        <w:rPr>
          <w:sz w:val="13"/>
        </w:rPr>
      </w:pPr>
      <w:r>
        <w:rPr>
          <w:color w:val="231F20"/>
          <w:sz w:val="13"/>
        </w:rPr>
        <w:t>SDC: sin disfunción de catéter CDC: con disfunción de catéter</w:t>
      </w:r>
    </w:p>
    <w:p>
      <w:pPr>
        <w:pStyle w:val="BodyText"/>
        <w:spacing w:before="7"/>
        <w:rPr>
          <w:sz w:val="12"/>
        </w:rPr>
      </w:pPr>
    </w:p>
    <w:p>
      <w:pPr>
        <w:spacing w:before="0"/>
        <w:ind w:left="1083" w:right="1080" w:hanging="6"/>
        <w:jc w:val="center"/>
        <w:rPr>
          <w:i/>
          <w:sz w:val="16"/>
        </w:rPr>
      </w:pPr>
      <w:r>
        <w:rPr>
          <w:i/>
          <w:color w:val="231F20"/>
          <w:sz w:val="16"/>
        </w:rPr>
        <w:t>En la Gráfica se demuestra el mayor número de días de estancia para los pacientes con </w:t>
      </w:r>
      <w:r>
        <w:rPr>
          <w:i/>
          <w:color w:val="231F20"/>
          <w:sz w:val="16"/>
        </w:rPr>
        <w:t>peritonitis y disfunción de catéter peritoneal, que los pacientes sin disfunción de catéter, este incremento corresponde al doble de días estipulados para un evento de peritonitis asociada a diálisis peritoneal.</w:t>
      </w:r>
    </w:p>
    <w:p>
      <w:pPr>
        <w:spacing w:after="0"/>
        <w:jc w:val="center"/>
        <w:rPr>
          <w:sz w:val="16"/>
        </w:rPr>
        <w:sectPr>
          <w:pgSz w:w="12240" w:h="15840"/>
          <w:pgMar w:header="0" w:footer="1972" w:top="1500" w:bottom="2160" w:left="1720" w:right="1720"/>
        </w:sectPr>
      </w:pPr>
    </w:p>
    <w:p>
      <w:pPr>
        <w:pStyle w:val="BodyText"/>
        <w:rPr>
          <w:i/>
          <w:sz w:val="20"/>
        </w:rPr>
      </w:pPr>
    </w:p>
    <w:p>
      <w:pPr>
        <w:pStyle w:val="BodyText"/>
        <w:rPr>
          <w:i/>
          <w:sz w:val="20"/>
        </w:rPr>
      </w:pPr>
    </w:p>
    <w:p>
      <w:pPr>
        <w:pStyle w:val="BodyText"/>
        <w:spacing w:before="2"/>
        <w:rPr>
          <w:i/>
          <w:sz w:val="24"/>
        </w:rPr>
      </w:pPr>
    </w:p>
    <w:p>
      <w:pPr>
        <w:pStyle w:val="BodyText"/>
        <w:spacing w:line="242" w:lineRule="auto" w:before="78"/>
        <w:ind w:left="999" w:right="994" w:firstLine="566"/>
        <w:jc w:val="both"/>
        <w:rPr>
          <w:b/>
        </w:rPr>
      </w:pPr>
      <w:r>
        <w:rPr>
          <w:color w:val="231F20"/>
        </w:rPr>
        <w:t>La mortalidad de peritonitis asociada a diálisis peritoneal durante el 2011 solo fue de un caso, correspondiente a 1.35 muertes por cada 100 pacientes con IRC en diálisis durante el 2011 </w:t>
      </w:r>
      <w:r>
        <w:rPr>
          <w:b/>
          <w:color w:val="231F20"/>
        </w:rPr>
        <w:t>(Tabla</w:t>
      </w:r>
      <w:r>
        <w:rPr>
          <w:b/>
          <w:color w:val="231F20"/>
          <w:spacing w:val="34"/>
        </w:rPr>
        <w:t> </w:t>
      </w:r>
      <w:r>
        <w:rPr>
          <w:b/>
          <w:color w:val="231F20"/>
        </w:rPr>
        <w:t>12).</w:t>
      </w:r>
    </w:p>
    <w:p>
      <w:pPr>
        <w:pStyle w:val="BodyText"/>
        <w:rPr>
          <w:b/>
          <w:sz w:val="18"/>
        </w:rPr>
      </w:pPr>
    </w:p>
    <w:p>
      <w:pPr>
        <w:pStyle w:val="BodyText"/>
        <w:spacing w:before="4"/>
        <w:rPr>
          <w:b/>
          <w:sz w:val="20"/>
        </w:rPr>
      </w:pPr>
    </w:p>
    <w:p>
      <w:pPr>
        <w:pStyle w:val="BodyText"/>
        <w:spacing w:line="242" w:lineRule="auto" w:before="1"/>
        <w:ind w:left="2873" w:right="858" w:hanging="1827"/>
      </w:pPr>
      <w:r>
        <w:rPr>
          <w:b/>
          <w:color w:val="231F20"/>
        </w:rPr>
        <w:t>Tabla 12. </w:t>
      </w:r>
      <w:r>
        <w:rPr>
          <w:color w:val="231F20"/>
        </w:rPr>
        <w:t>Mortalidad por peritonitis asociada a diálisis peritoneal en el Hospital General de Tlalnepantla en el 2011.</w:t>
      </w:r>
    </w:p>
    <w:p>
      <w:pPr>
        <w:pStyle w:val="BodyText"/>
        <w:rPr>
          <w:sz w:val="20"/>
        </w:rPr>
      </w:pPr>
    </w:p>
    <w:p>
      <w:pPr>
        <w:pStyle w:val="BodyText"/>
        <w:spacing w:before="4"/>
        <w:rPr>
          <w:sz w:val="15"/>
        </w:rPr>
      </w:pPr>
    </w:p>
    <w:tbl>
      <w:tblPr>
        <w:tblW w:w="0" w:type="auto"/>
        <w:jc w:val="left"/>
        <w:tblInd w:w="1743"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2487"/>
        <w:gridCol w:w="2819"/>
      </w:tblGrid>
      <w:tr>
        <w:trPr>
          <w:trHeight w:val="616" w:hRule="exact"/>
        </w:trPr>
        <w:tc>
          <w:tcPr>
            <w:tcW w:w="5306" w:type="dxa"/>
            <w:gridSpan w:val="2"/>
          </w:tcPr>
          <w:p>
            <w:pPr>
              <w:pStyle w:val="TableParagraph"/>
              <w:spacing w:line="249" w:lineRule="auto" w:before="2"/>
              <w:ind w:left="113" w:right="115" w:hanging="1"/>
              <w:rPr>
                <w:b/>
                <w:sz w:val="17"/>
              </w:rPr>
            </w:pPr>
            <w:r>
              <w:rPr>
                <w:b/>
                <w:color w:val="231F20"/>
                <w:w w:val="105"/>
                <w:sz w:val="17"/>
              </w:rPr>
              <w:t>No.</w:t>
            </w:r>
            <w:r>
              <w:rPr>
                <w:b/>
                <w:color w:val="231F20"/>
                <w:spacing w:val="-10"/>
                <w:w w:val="105"/>
                <w:sz w:val="17"/>
              </w:rPr>
              <w:t> </w:t>
            </w:r>
            <w:r>
              <w:rPr>
                <w:b/>
                <w:color w:val="231F20"/>
                <w:w w:val="105"/>
                <w:sz w:val="17"/>
              </w:rPr>
              <w:t>De</w:t>
            </w:r>
            <w:r>
              <w:rPr>
                <w:b/>
                <w:color w:val="231F20"/>
                <w:spacing w:val="-10"/>
                <w:w w:val="105"/>
                <w:sz w:val="17"/>
              </w:rPr>
              <w:t> </w:t>
            </w:r>
            <w:r>
              <w:rPr>
                <w:b/>
                <w:color w:val="231F20"/>
                <w:w w:val="105"/>
                <w:sz w:val="17"/>
              </w:rPr>
              <w:t>casos</w:t>
            </w:r>
            <w:r>
              <w:rPr>
                <w:b/>
                <w:color w:val="231F20"/>
                <w:spacing w:val="-12"/>
                <w:w w:val="105"/>
                <w:sz w:val="17"/>
              </w:rPr>
              <w:t> </w:t>
            </w:r>
            <w:r>
              <w:rPr>
                <w:b/>
                <w:color w:val="231F20"/>
                <w:w w:val="105"/>
                <w:sz w:val="17"/>
              </w:rPr>
              <w:t>de</w:t>
            </w:r>
            <w:r>
              <w:rPr>
                <w:b/>
                <w:color w:val="231F20"/>
                <w:spacing w:val="-12"/>
                <w:w w:val="105"/>
                <w:sz w:val="17"/>
              </w:rPr>
              <w:t> </w:t>
            </w:r>
            <w:r>
              <w:rPr>
                <w:b/>
                <w:color w:val="231F20"/>
                <w:w w:val="105"/>
                <w:sz w:val="17"/>
              </w:rPr>
              <w:t>muerte</w:t>
            </w:r>
            <w:r>
              <w:rPr>
                <w:b/>
                <w:color w:val="231F20"/>
                <w:spacing w:val="-10"/>
                <w:w w:val="105"/>
                <w:sz w:val="17"/>
              </w:rPr>
              <w:t> </w:t>
            </w:r>
            <w:r>
              <w:rPr>
                <w:b/>
                <w:color w:val="231F20"/>
                <w:w w:val="105"/>
                <w:sz w:val="17"/>
              </w:rPr>
              <w:t>asociada</w:t>
            </w:r>
            <w:r>
              <w:rPr>
                <w:b/>
                <w:color w:val="231F20"/>
                <w:spacing w:val="-12"/>
                <w:w w:val="105"/>
                <w:sz w:val="17"/>
              </w:rPr>
              <w:t> </w:t>
            </w:r>
            <w:r>
              <w:rPr>
                <w:b/>
                <w:color w:val="231F20"/>
                <w:w w:val="105"/>
                <w:sz w:val="17"/>
              </w:rPr>
              <w:t>a</w:t>
            </w:r>
            <w:r>
              <w:rPr>
                <w:b/>
                <w:color w:val="231F20"/>
                <w:spacing w:val="-10"/>
                <w:w w:val="105"/>
                <w:sz w:val="17"/>
              </w:rPr>
              <w:t> </w:t>
            </w:r>
            <w:r>
              <w:rPr>
                <w:b/>
                <w:color w:val="231F20"/>
                <w:w w:val="105"/>
                <w:sz w:val="17"/>
              </w:rPr>
              <w:t>peritonitis</w:t>
            </w:r>
            <w:r>
              <w:rPr>
                <w:b/>
                <w:color w:val="231F20"/>
                <w:spacing w:val="-12"/>
                <w:w w:val="105"/>
                <w:sz w:val="17"/>
              </w:rPr>
              <w:t> </w:t>
            </w:r>
            <w:r>
              <w:rPr>
                <w:b/>
                <w:color w:val="231F20"/>
                <w:w w:val="105"/>
                <w:sz w:val="17"/>
              </w:rPr>
              <w:t>en</w:t>
            </w:r>
            <w:r>
              <w:rPr>
                <w:b/>
                <w:color w:val="231F20"/>
                <w:spacing w:val="-10"/>
                <w:w w:val="105"/>
                <w:sz w:val="17"/>
              </w:rPr>
              <w:t> </w:t>
            </w:r>
            <w:r>
              <w:rPr>
                <w:b/>
                <w:color w:val="231F20"/>
                <w:w w:val="105"/>
                <w:sz w:val="17"/>
              </w:rPr>
              <w:t>pacientes con</w:t>
            </w:r>
            <w:r>
              <w:rPr>
                <w:b/>
                <w:color w:val="231F20"/>
                <w:spacing w:val="-9"/>
                <w:w w:val="105"/>
                <w:sz w:val="17"/>
              </w:rPr>
              <w:t> </w:t>
            </w:r>
            <w:r>
              <w:rPr>
                <w:b/>
                <w:color w:val="231F20"/>
                <w:w w:val="105"/>
                <w:sz w:val="17"/>
              </w:rPr>
              <w:t>diálisis</w:t>
            </w:r>
            <w:r>
              <w:rPr>
                <w:b/>
                <w:color w:val="231F20"/>
                <w:spacing w:val="-9"/>
                <w:w w:val="105"/>
                <w:sz w:val="17"/>
              </w:rPr>
              <w:t> </w:t>
            </w:r>
            <w:r>
              <w:rPr>
                <w:b/>
                <w:color w:val="231F20"/>
                <w:w w:val="105"/>
                <w:sz w:val="17"/>
              </w:rPr>
              <w:t>peritoneal</w:t>
            </w:r>
            <w:r>
              <w:rPr>
                <w:b/>
                <w:color w:val="231F20"/>
                <w:spacing w:val="-10"/>
                <w:w w:val="105"/>
                <w:sz w:val="17"/>
              </w:rPr>
              <w:t> </w:t>
            </w:r>
            <w:r>
              <w:rPr>
                <w:b/>
                <w:color w:val="231F20"/>
                <w:w w:val="105"/>
                <w:sz w:val="17"/>
              </w:rPr>
              <w:t>/</w:t>
            </w:r>
            <w:r>
              <w:rPr>
                <w:b/>
                <w:color w:val="231F20"/>
                <w:spacing w:val="-10"/>
                <w:w w:val="105"/>
                <w:sz w:val="17"/>
              </w:rPr>
              <w:t> </w:t>
            </w:r>
            <w:r>
              <w:rPr>
                <w:b/>
                <w:color w:val="231F20"/>
                <w:w w:val="105"/>
                <w:sz w:val="17"/>
              </w:rPr>
              <w:t>No.</w:t>
            </w:r>
            <w:r>
              <w:rPr>
                <w:b/>
                <w:color w:val="231F20"/>
                <w:spacing w:val="-8"/>
                <w:w w:val="105"/>
                <w:sz w:val="17"/>
              </w:rPr>
              <w:t> </w:t>
            </w:r>
            <w:r>
              <w:rPr>
                <w:b/>
                <w:color w:val="231F20"/>
                <w:w w:val="105"/>
                <w:sz w:val="17"/>
              </w:rPr>
              <w:t>de</w:t>
            </w:r>
            <w:r>
              <w:rPr>
                <w:b/>
                <w:color w:val="231F20"/>
                <w:spacing w:val="-12"/>
                <w:w w:val="105"/>
                <w:sz w:val="17"/>
              </w:rPr>
              <w:t> </w:t>
            </w:r>
            <w:r>
              <w:rPr>
                <w:b/>
                <w:color w:val="231F20"/>
                <w:w w:val="105"/>
                <w:sz w:val="17"/>
              </w:rPr>
              <w:t>casos</w:t>
            </w:r>
            <w:r>
              <w:rPr>
                <w:b/>
                <w:color w:val="231F20"/>
                <w:spacing w:val="-11"/>
                <w:w w:val="105"/>
                <w:sz w:val="17"/>
              </w:rPr>
              <w:t> </w:t>
            </w:r>
            <w:r>
              <w:rPr>
                <w:b/>
                <w:color w:val="231F20"/>
                <w:w w:val="105"/>
                <w:sz w:val="17"/>
              </w:rPr>
              <w:t>de</w:t>
            </w:r>
            <w:r>
              <w:rPr>
                <w:b/>
                <w:color w:val="231F20"/>
                <w:spacing w:val="-9"/>
                <w:w w:val="105"/>
                <w:sz w:val="17"/>
              </w:rPr>
              <w:t> </w:t>
            </w:r>
            <w:r>
              <w:rPr>
                <w:b/>
                <w:color w:val="231F20"/>
                <w:w w:val="105"/>
                <w:sz w:val="17"/>
              </w:rPr>
              <w:t>riesgo</w:t>
            </w:r>
            <w:r>
              <w:rPr>
                <w:b/>
                <w:color w:val="231F20"/>
                <w:spacing w:val="-9"/>
                <w:w w:val="105"/>
                <w:sz w:val="17"/>
              </w:rPr>
              <w:t> </w:t>
            </w:r>
            <w:r>
              <w:rPr>
                <w:b/>
                <w:color w:val="231F20"/>
                <w:w w:val="105"/>
                <w:sz w:val="17"/>
              </w:rPr>
              <w:t>de</w:t>
            </w:r>
            <w:r>
              <w:rPr>
                <w:b/>
                <w:color w:val="231F20"/>
                <w:spacing w:val="-9"/>
                <w:w w:val="105"/>
                <w:sz w:val="17"/>
              </w:rPr>
              <w:t> </w:t>
            </w:r>
            <w:r>
              <w:rPr>
                <w:b/>
                <w:color w:val="231F20"/>
                <w:w w:val="105"/>
                <w:sz w:val="17"/>
              </w:rPr>
              <w:t>peritonitis asociada a diálisis x</w:t>
            </w:r>
            <w:r>
              <w:rPr>
                <w:b/>
                <w:color w:val="231F20"/>
                <w:spacing w:val="-36"/>
                <w:w w:val="105"/>
                <w:sz w:val="17"/>
              </w:rPr>
              <w:t> </w:t>
            </w:r>
            <w:r>
              <w:rPr>
                <w:b/>
                <w:color w:val="231F20"/>
                <w:w w:val="105"/>
                <w:sz w:val="17"/>
              </w:rPr>
              <w:t>100</w:t>
            </w:r>
          </w:p>
        </w:tc>
      </w:tr>
      <w:tr>
        <w:trPr>
          <w:trHeight w:val="615" w:hRule="exact"/>
        </w:trPr>
        <w:tc>
          <w:tcPr>
            <w:tcW w:w="2487" w:type="dxa"/>
          </w:tcPr>
          <w:p>
            <w:pPr>
              <w:pStyle w:val="TableParagraph"/>
              <w:spacing w:line="249" w:lineRule="auto" w:before="3"/>
              <w:ind w:left="80" w:right="81"/>
              <w:rPr>
                <w:sz w:val="17"/>
              </w:rPr>
            </w:pPr>
            <w:r>
              <w:rPr>
                <w:color w:val="231F20"/>
                <w:w w:val="105"/>
                <w:sz w:val="17"/>
              </w:rPr>
              <w:t>1 caso de muerte asociada a peritonitis en paciente con </w:t>
            </w:r>
            <w:r>
              <w:rPr>
                <w:color w:val="231F20"/>
                <w:sz w:val="17"/>
              </w:rPr>
              <w:t>diálisis peritoneal</w:t>
            </w:r>
          </w:p>
        </w:tc>
        <w:tc>
          <w:tcPr>
            <w:tcW w:w="2819" w:type="dxa"/>
          </w:tcPr>
          <w:p>
            <w:pPr>
              <w:pStyle w:val="TableParagraph"/>
              <w:spacing w:before="10"/>
              <w:jc w:val="left"/>
              <w:rPr>
                <w:sz w:val="17"/>
              </w:rPr>
            </w:pPr>
          </w:p>
          <w:p>
            <w:pPr>
              <w:pStyle w:val="TableParagraph"/>
              <w:spacing w:line="249" w:lineRule="auto"/>
              <w:ind w:left="280" w:right="-1" w:hanging="139"/>
              <w:jc w:val="left"/>
              <w:rPr>
                <w:sz w:val="17"/>
              </w:rPr>
            </w:pPr>
            <w:r>
              <w:rPr>
                <w:color w:val="231F20"/>
                <w:w w:val="105"/>
                <w:sz w:val="17"/>
              </w:rPr>
              <w:t>74 casos de riesgo de peritonitis asociada a diálisis peritoneal</w:t>
            </w:r>
          </w:p>
        </w:tc>
      </w:tr>
      <w:tr>
        <w:trPr>
          <w:trHeight w:val="261" w:hRule="exact"/>
        </w:trPr>
        <w:tc>
          <w:tcPr>
            <w:tcW w:w="5306" w:type="dxa"/>
            <w:gridSpan w:val="2"/>
          </w:tcPr>
          <w:p>
            <w:pPr>
              <w:pStyle w:val="TableParagraph"/>
              <w:spacing w:before="29"/>
              <w:ind w:left="1102" w:right="48"/>
              <w:jc w:val="left"/>
              <w:rPr>
                <w:sz w:val="19"/>
              </w:rPr>
            </w:pPr>
            <w:r>
              <w:rPr>
                <w:color w:val="231F20"/>
                <w:sz w:val="19"/>
              </w:rPr>
              <w:t>TASA MORTALIDAD = 1/74 X (100)</w:t>
            </w:r>
          </w:p>
        </w:tc>
      </w:tr>
    </w:tbl>
    <w:p>
      <w:pPr>
        <w:pStyle w:val="BodyText"/>
        <w:spacing w:before="2"/>
        <w:rPr>
          <w:sz w:val="7"/>
        </w:rPr>
      </w:pPr>
    </w:p>
    <w:p>
      <w:pPr>
        <w:spacing w:before="85"/>
        <w:ind w:left="2120" w:right="858" w:firstLine="0"/>
        <w:jc w:val="left"/>
        <w:rPr>
          <w:sz w:val="14"/>
        </w:rPr>
      </w:pPr>
      <w:r>
        <w:rPr>
          <w:color w:val="231F20"/>
          <w:w w:val="105"/>
          <w:sz w:val="14"/>
        </w:rPr>
        <w:t>Fuente: Anexo 1</w:t>
      </w:r>
    </w:p>
    <w:p>
      <w:pPr>
        <w:pStyle w:val="BodyText"/>
        <w:spacing w:before="10"/>
        <w:rPr>
          <w:sz w:val="18"/>
        </w:rPr>
      </w:pPr>
    </w:p>
    <w:p>
      <w:pPr>
        <w:spacing w:before="0"/>
        <w:ind w:left="1273" w:right="1254" w:firstLine="168"/>
        <w:jc w:val="left"/>
        <w:rPr>
          <w:i/>
          <w:sz w:val="16"/>
        </w:rPr>
      </w:pPr>
      <w:r>
        <w:rPr>
          <w:i/>
          <w:color w:val="231F20"/>
          <w:sz w:val="16"/>
        </w:rPr>
        <w:t>La mortalidad por peritonitis asociada a diálisis peritoneal en el Hospital General de </w:t>
      </w:r>
      <w:r>
        <w:rPr>
          <w:i/>
          <w:color w:val="231F20"/>
          <w:sz w:val="16"/>
        </w:rPr>
        <w:t>Tlalnepantla en el 2011 fue de 1.35 muertes por cada 100 pacientes con IRC en diálisis.</w:t>
      </w:r>
    </w:p>
    <w:p>
      <w:pPr>
        <w:pStyle w:val="BodyText"/>
        <w:rPr>
          <w:i/>
          <w:sz w:val="16"/>
        </w:rPr>
      </w:pPr>
    </w:p>
    <w:p>
      <w:pPr>
        <w:pStyle w:val="BodyText"/>
        <w:rPr>
          <w:i/>
          <w:sz w:val="16"/>
        </w:rPr>
      </w:pPr>
    </w:p>
    <w:p>
      <w:pPr>
        <w:pStyle w:val="BodyText"/>
        <w:rPr>
          <w:i/>
          <w:sz w:val="16"/>
        </w:rPr>
      </w:pPr>
    </w:p>
    <w:p>
      <w:pPr>
        <w:pStyle w:val="BodyText"/>
        <w:rPr>
          <w:i/>
          <w:sz w:val="16"/>
        </w:rPr>
      </w:pPr>
    </w:p>
    <w:p>
      <w:pPr>
        <w:pStyle w:val="BodyText"/>
        <w:rPr>
          <w:i/>
          <w:sz w:val="13"/>
        </w:rPr>
      </w:pPr>
    </w:p>
    <w:p>
      <w:pPr>
        <w:pStyle w:val="Heading1"/>
        <w:ind w:left="999" w:right="858"/>
      </w:pPr>
      <w:r>
        <w:rPr>
          <w:color w:val="231F20"/>
        </w:rPr>
        <w:t>DISCUSIÓN</w:t>
      </w:r>
    </w:p>
    <w:p>
      <w:pPr>
        <w:pStyle w:val="BodyText"/>
        <w:rPr>
          <w:b/>
          <w:sz w:val="18"/>
        </w:rPr>
      </w:pPr>
    </w:p>
    <w:p>
      <w:pPr>
        <w:pStyle w:val="BodyText"/>
        <w:spacing w:before="7"/>
        <w:rPr>
          <w:b/>
          <w:sz w:val="20"/>
        </w:rPr>
      </w:pPr>
    </w:p>
    <w:p>
      <w:pPr>
        <w:pStyle w:val="BodyText"/>
        <w:spacing w:line="242" w:lineRule="auto"/>
        <w:ind w:left="999" w:right="996" w:firstLine="566"/>
        <w:jc w:val="both"/>
      </w:pPr>
      <w:r>
        <w:rPr>
          <w:color w:val="231F20"/>
        </w:rPr>
        <w:t>En este estudio se registraron 119 pacientes en diálisis peritoneal, de los cuales 43 pacientes se excluyeron por falta de información en sus expedientes clínicos, mientras que 76 pacientes en diálisis peritoneal cumplieron con los criterios de inclusión para riesgo de desarrollar peritonitis asociada a diálisis peritoneal.</w:t>
      </w:r>
    </w:p>
    <w:p>
      <w:pPr>
        <w:pStyle w:val="BodyText"/>
        <w:rPr>
          <w:sz w:val="18"/>
        </w:rPr>
      </w:pPr>
    </w:p>
    <w:p>
      <w:pPr>
        <w:pStyle w:val="BodyText"/>
        <w:spacing w:before="4"/>
        <w:rPr>
          <w:sz w:val="20"/>
        </w:rPr>
      </w:pPr>
    </w:p>
    <w:p>
      <w:pPr>
        <w:pStyle w:val="BodyText"/>
        <w:spacing w:line="242" w:lineRule="auto" w:before="1"/>
        <w:ind w:left="999" w:right="993" w:firstLine="566"/>
        <w:jc w:val="both"/>
      </w:pPr>
      <w:r>
        <w:rPr>
          <w:color w:val="231F20"/>
        </w:rPr>
        <w:t>La frecuencia de peritonitis asociada a diálisis peritoneal en el servicio   de Medicina Interna del Hospital General de Tlalnepantla tiene importancia relevante, dado que es uno de los subgrupos de pacientes con los más altos porcentajes de ingresos y reingresos, y siendo la peritonitis la principal complicación de estos pacientes, teniendo gran impacto en  el  pronóstico  a largo plazo de los mismos, disminuyendo así, el tiempo de vida útil de la membrana peritoneal y por ende de su</w:t>
      </w:r>
      <w:r>
        <w:rPr>
          <w:color w:val="231F20"/>
          <w:spacing w:val="26"/>
        </w:rPr>
        <w:t> </w:t>
      </w:r>
      <w:r>
        <w:rPr>
          <w:color w:val="231F20"/>
        </w:rPr>
        <w:t>pronóstico.</w:t>
      </w:r>
    </w:p>
    <w:p>
      <w:pPr>
        <w:pStyle w:val="BodyText"/>
        <w:rPr>
          <w:sz w:val="18"/>
        </w:rPr>
      </w:pPr>
    </w:p>
    <w:p>
      <w:pPr>
        <w:pStyle w:val="BodyText"/>
        <w:spacing w:before="4"/>
        <w:rPr>
          <w:sz w:val="20"/>
        </w:rPr>
      </w:pPr>
    </w:p>
    <w:p>
      <w:pPr>
        <w:pStyle w:val="BodyText"/>
        <w:spacing w:line="242" w:lineRule="auto" w:before="1"/>
        <w:ind w:left="999" w:right="995" w:firstLine="566"/>
        <w:jc w:val="both"/>
      </w:pPr>
      <w:r>
        <w:rPr>
          <w:color w:val="231F20"/>
        </w:rPr>
        <w:t>La frecuencia de casos de peritonitis asociada a diálisis peritoneal fue de 20 casos durante el año 2011, siendo un promedio de 1.6 casos por mes, por lo cual denota la existencia del evento en nuestro hospital y la importancia de llevar a cabo medidas preventivas para que no aumente la cifra o inclusive pueda</w:t>
      </w:r>
      <w:r>
        <w:rPr>
          <w:color w:val="231F20"/>
          <w:spacing w:val="7"/>
        </w:rPr>
        <w:t> </w:t>
      </w:r>
      <w:r>
        <w:rPr>
          <w:color w:val="231F20"/>
        </w:rPr>
        <w:t>disminuir.</w:t>
      </w:r>
    </w:p>
    <w:p>
      <w:pPr>
        <w:spacing w:after="0" w:line="242" w:lineRule="auto"/>
        <w:jc w:val="both"/>
        <w:sectPr>
          <w:pgSz w:w="12240" w:h="15840"/>
          <w:pgMar w:header="0" w:footer="1972" w:top="1500" w:bottom="2160" w:left="1720" w:right="1720"/>
        </w:sectPr>
      </w:pPr>
    </w:p>
    <w:p>
      <w:pPr>
        <w:pStyle w:val="BodyText"/>
        <w:rPr>
          <w:sz w:val="20"/>
        </w:rPr>
      </w:pPr>
    </w:p>
    <w:p>
      <w:pPr>
        <w:pStyle w:val="BodyText"/>
        <w:rPr>
          <w:sz w:val="20"/>
        </w:rPr>
      </w:pPr>
    </w:p>
    <w:p>
      <w:pPr>
        <w:pStyle w:val="BodyText"/>
        <w:spacing w:before="2"/>
        <w:rPr>
          <w:sz w:val="24"/>
        </w:rPr>
      </w:pPr>
    </w:p>
    <w:p>
      <w:pPr>
        <w:pStyle w:val="BodyText"/>
        <w:spacing w:line="242" w:lineRule="auto" w:before="78"/>
        <w:ind w:left="999" w:right="996" w:firstLine="566"/>
        <w:jc w:val="both"/>
        <w:rPr>
          <w:sz w:val="17"/>
        </w:rPr>
      </w:pPr>
      <w:r>
        <w:rPr>
          <w:color w:val="231F20"/>
        </w:rPr>
        <w:t>La Tasa anual de peritonitis asociada a diálisis peritoneal calculada fue  de 26.31 casos de peritonitis por cada 100 pacientes con IRC en diálisis peritoneal, siendo esta la base para futuras mediciones de frecuencia del  evento en el Hospital General de Tlalnepantla, ya que para poder saber si las medidas de prevención y vigilancia epidemiológica tiene impacto en la disminución del fenómeno, debe tomarse una base</w:t>
      </w:r>
      <w:r>
        <w:rPr>
          <w:color w:val="231F20"/>
          <w:spacing w:val="34"/>
        </w:rPr>
        <w:t> </w:t>
      </w:r>
      <w:r>
        <w:rPr>
          <w:color w:val="231F20"/>
        </w:rPr>
        <w:t>anual</w:t>
      </w:r>
      <w:r>
        <w:rPr>
          <w:color w:val="231F20"/>
          <w:sz w:val="17"/>
        </w:rPr>
        <w:t>.</w:t>
      </w:r>
    </w:p>
    <w:p>
      <w:pPr>
        <w:pStyle w:val="BodyText"/>
        <w:rPr>
          <w:sz w:val="18"/>
        </w:rPr>
      </w:pPr>
    </w:p>
    <w:p>
      <w:pPr>
        <w:pStyle w:val="BodyText"/>
        <w:spacing w:before="2"/>
        <w:rPr>
          <w:sz w:val="17"/>
        </w:rPr>
      </w:pPr>
    </w:p>
    <w:p>
      <w:pPr>
        <w:pStyle w:val="BodyText"/>
        <w:spacing w:line="242" w:lineRule="auto" w:before="1"/>
        <w:ind w:left="999" w:right="996" w:firstLine="566"/>
        <w:jc w:val="both"/>
      </w:pPr>
      <w:r>
        <w:rPr>
          <w:color w:val="231F20"/>
        </w:rPr>
        <w:t>El género más afectado para peritonitis asociada a diálisis peritoneal es  el femenino, con una relación de 1.45 casos por cada varón, lo cual refleja el mayor número de mujeres que se someten a diálisis peritoneal en el Hospital General de Tlalnepantla (59% vs</w:t>
      </w:r>
      <w:r>
        <w:rPr>
          <w:color w:val="231F20"/>
          <w:spacing w:val="24"/>
        </w:rPr>
        <w:t> </w:t>
      </w:r>
      <w:r>
        <w:rPr>
          <w:color w:val="231F20"/>
        </w:rPr>
        <w:t>41%),</w:t>
      </w:r>
    </w:p>
    <w:p>
      <w:pPr>
        <w:pStyle w:val="BodyText"/>
        <w:rPr>
          <w:sz w:val="18"/>
        </w:rPr>
      </w:pPr>
    </w:p>
    <w:p>
      <w:pPr>
        <w:pStyle w:val="BodyText"/>
        <w:spacing w:before="5"/>
        <w:rPr>
          <w:sz w:val="20"/>
        </w:rPr>
      </w:pPr>
    </w:p>
    <w:p>
      <w:pPr>
        <w:pStyle w:val="BodyText"/>
        <w:spacing w:line="242" w:lineRule="auto"/>
        <w:ind w:left="999" w:right="998" w:firstLine="566"/>
        <w:jc w:val="both"/>
      </w:pPr>
      <w:r>
        <w:rPr>
          <w:color w:val="231F20"/>
        </w:rPr>
        <w:t>El rango de edad para  los  pacientes en diálisis peritoneal estuvo  entre los 54-65 años, lo cual denota en la mayoría de los pacientes que se encuentra en las etapas finales de su actividad económicamente productiva, además muchos de ellos tienen historial de enfermedad renal crónica requirente de diálisis de por lo menos 2 años.</w:t>
      </w:r>
    </w:p>
    <w:p>
      <w:pPr>
        <w:pStyle w:val="BodyText"/>
        <w:rPr>
          <w:sz w:val="18"/>
        </w:rPr>
      </w:pPr>
    </w:p>
    <w:p>
      <w:pPr>
        <w:pStyle w:val="BodyText"/>
        <w:spacing w:before="4"/>
        <w:rPr>
          <w:sz w:val="20"/>
        </w:rPr>
      </w:pPr>
    </w:p>
    <w:p>
      <w:pPr>
        <w:pStyle w:val="BodyText"/>
        <w:spacing w:line="242" w:lineRule="auto" w:before="1"/>
        <w:ind w:left="999" w:right="996" w:firstLine="566"/>
        <w:jc w:val="both"/>
      </w:pPr>
      <w:r>
        <w:rPr>
          <w:color w:val="231F20"/>
        </w:rPr>
        <w:t>El agente etiológico más común concuerda con lo reportado en la literatura médica y distintos estudios epidemiológicos, siendo en nuestro  Hospital General de Tlalnepantla en el año 2011, S aureus y P aeruginosa son los más frecuentes, estos dos son los que mayormente  causan  falla  terapéutica de diálisis peritoneal (disfunción de catéter o disfunción de membrana</w:t>
      </w:r>
      <w:r>
        <w:rPr>
          <w:color w:val="231F20"/>
          <w:spacing w:val="10"/>
        </w:rPr>
        <w:t> </w:t>
      </w:r>
      <w:r>
        <w:rPr>
          <w:color w:val="231F20"/>
        </w:rPr>
        <w:t>peritoneal).</w:t>
      </w:r>
    </w:p>
    <w:p>
      <w:pPr>
        <w:pStyle w:val="BodyText"/>
        <w:rPr>
          <w:sz w:val="18"/>
        </w:rPr>
      </w:pPr>
    </w:p>
    <w:p>
      <w:pPr>
        <w:pStyle w:val="BodyText"/>
        <w:spacing w:before="4"/>
        <w:rPr>
          <w:sz w:val="20"/>
        </w:rPr>
      </w:pPr>
    </w:p>
    <w:p>
      <w:pPr>
        <w:pStyle w:val="BodyText"/>
        <w:spacing w:line="242" w:lineRule="auto" w:before="1"/>
        <w:ind w:left="999" w:right="991" w:firstLine="566"/>
        <w:jc w:val="both"/>
      </w:pPr>
      <w:r>
        <w:rPr>
          <w:color w:val="231F20"/>
        </w:rPr>
        <w:t>Sin embargo cabe mencionar que la mayoría de los pacientes con peritonitis asociada a diálisis peritoneal (n=10, 50%) no tuvieron un cultivo, por lo que debe hacerse la recomendación de tomarse cultivos en tiempo y forma adecuada, ya que </w:t>
      </w:r>
      <w:r>
        <w:rPr>
          <w:color w:val="221A21"/>
        </w:rPr>
        <w:t>dependiendo de la técnica de siembra, se puede tener un 5- 20% de resultados negativos</w:t>
      </w:r>
      <w:r>
        <w:rPr>
          <w:color w:val="231F20"/>
        </w:rPr>
        <w:t>, con la importancia que </w:t>
      </w:r>
      <w:r>
        <w:rPr>
          <w:color w:val="221A21"/>
        </w:rPr>
        <w:t>un cultivo negativo no excluye el diagnóstico de peritonitis, y está justificado tomar la siembra ante  todo liquido o cuadro clínico</w:t>
      </w:r>
      <w:r>
        <w:rPr>
          <w:color w:val="221A21"/>
          <w:spacing w:val="23"/>
        </w:rPr>
        <w:t> </w:t>
      </w:r>
      <w:r>
        <w:rPr>
          <w:color w:val="221A21"/>
        </w:rPr>
        <w:t>sospechoso.</w:t>
      </w:r>
    </w:p>
    <w:p>
      <w:pPr>
        <w:pStyle w:val="BodyText"/>
        <w:rPr>
          <w:sz w:val="18"/>
        </w:rPr>
      </w:pPr>
    </w:p>
    <w:p>
      <w:pPr>
        <w:pStyle w:val="BodyText"/>
        <w:spacing w:before="5"/>
        <w:rPr>
          <w:sz w:val="20"/>
        </w:rPr>
      </w:pPr>
    </w:p>
    <w:p>
      <w:pPr>
        <w:pStyle w:val="BodyText"/>
        <w:spacing w:line="242" w:lineRule="auto"/>
        <w:ind w:left="999" w:right="996" w:firstLine="566"/>
        <w:jc w:val="both"/>
      </w:pPr>
      <w:r>
        <w:rPr>
          <w:color w:val="221A21"/>
        </w:rPr>
        <w:t>Entre los pacientes de diálisis peritoneal sin evento de peritonitis, se encuentran pacientes que presentaron disfunción de catéter  peritoneal  (</w:t>
      </w:r>
      <w:r>
        <w:rPr>
          <w:color w:val="231F20"/>
          <w:sz w:val="17"/>
        </w:rPr>
        <w:t>16.01%</w:t>
      </w:r>
      <w:r>
        <w:rPr>
          <w:color w:val="221A21"/>
        </w:rPr>
        <w:t>), mientras que los que tuvieron peritonitis asociada a diálisis, su disfunción fue mayor (70%), destacando que los pacientes con infección peritoneal asociada a diálisis tienen 4 veces más riesgo de desarrollar  disfunción de catéter, por ende, mayor días de estancia hospitalaria, mayor costo hospitalario, mayor posibilidad de desarrollar disfunción de membrana peritoneal y quedarse sin tratamiento de sustitución renal, ya que muchos de ellos no tienen posibilidad de llevarse a hemodiálisis por falta de equipo en nuestro hospital, así como bajos recursos</w:t>
      </w:r>
      <w:r>
        <w:rPr>
          <w:color w:val="221A21"/>
          <w:spacing w:val="29"/>
        </w:rPr>
        <w:t> </w:t>
      </w:r>
      <w:r>
        <w:rPr>
          <w:color w:val="221A21"/>
        </w:rPr>
        <w:t>económicos.</w:t>
      </w:r>
    </w:p>
    <w:p>
      <w:pPr>
        <w:spacing w:after="0" w:line="242" w:lineRule="auto"/>
        <w:jc w:val="both"/>
        <w:sectPr>
          <w:pgSz w:w="12240" w:h="15840"/>
          <w:pgMar w:header="0" w:footer="1972" w:top="1500" w:bottom="2160" w:left="1720" w:right="1720"/>
        </w:sectPr>
      </w:pPr>
    </w:p>
    <w:p>
      <w:pPr>
        <w:pStyle w:val="BodyText"/>
        <w:rPr>
          <w:sz w:val="20"/>
        </w:rPr>
      </w:pPr>
    </w:p>
    <w:p>
      <w:pPr>
        <w:pStyle w:val="BodyText"/>
        <w:rPr>
          <w:sz w:val="20"/>
        </w:rPr>
      </w:pPr>
    </w:p>
    <w:p>
      <w:pPr>
        <w:pStyle w:val="BodyText"/>
        <w:rPr>
          <w:sz w:val="20"/>
        </w:rPr>
      </w:pPr>
    </w:p>
    <w:p>
      <w:pPr>
        <w:pStyle w:val="BodyText"/>
        <w:spacing w:before="5"/>
        <w:rPr>
          <w:sz w:val="23"/>
        </w:rPr>
      </w:pPr>
    </w:p>
    <w:p>
      <w:pPr>
        <w:pStyle w:val="BodyText"/>
        <w:spacing w:line="242" w:lineRule="auto" w:before="77"/>
        <w:ind w:left="999" w:right="994" w:firstLine="566"/>
        <w:jc w:val="both"/>
      </w:pPr>
      <w:r>
        <w:rPr>
          <w:color w:val="231F20"/>
        </w:rPr>
        <w:t>La comunidad en diálisis peritoneal sigue siendo el centro de atención en la prevención y tratamiento de las infecciones relacionadas al peritoneo, con especial atención en los factores desencadenantes, en últimos años ha tomado relevancia el costo de mantenimiento en el tratamiento de diálisis peritoneal, siendo un claro ejemplo los días de estancia hospitalaria que tiene que ocupar un paciente en diálisis peritoneal y otro con peritonitis asociada a diálisis peritoneal, razón por la que en nuestro estudio detallamos este punto; los pacientes del actual estudio en diálisis peritoneal sin peritonitis tuvieron una estancia promedio de 4.83 días, siendo los días máximos de estancia 16, este ultimo paciente con estancia prolongada, fue por iniciar en el programa de diálisis peritoneal intermitente, colocación de catéter blando peritoneal y espera de turno para dializar, debido a ocupación total en sala de diálisis por pacientes graves que requirieron diálisis en agudo, por lo cual se detalla otro problema para los pacientes de este grupo, la falta de infraestructura para su tratamiento de sustitución renal.</w:t>
      </w:r>
    </w:p>
    <w:p>
      <w:pPr>
        <w:pStyle w:val="BodyText"/>
        <w:rPr>
          <w:sz w:val="18"/>
        </w:rPr>
      </w:pPr>
    </w:p>
    <w:p>
      <w:pPr>
        <w:pStyle w:val="BodyText"/>
        <w:spacing w:before="4"/>
        <w:rPr>
          <w:sz w:val="20"/>
        </w:rPr>
      </w:pPr>
    </w:p>
    <w:p>
      <w:pPr>
        <w:pStyle w:val="BodyText"/>
        <w:spacing w:line="242" w:lineRule="auto" w:before="1"/>
        <w:ind w:left="999" w:right="1001" w:firstLine="566"/>
        <w:jc w:val="both"/>
      </w:pPr>
      <w:r>
        <w:rPr>
          <w:color w:val="231F20"/>
        </w:rPr>
        <w:t>Para los pacientes que estuvieron en diálisis peritoneal sin peritonitis, pero que presentaron disfunción de catéter, tuvieron un promedio de 7.11 días de estancia hospitalaria, siendo 1.47 veces mayor el tiempo que permanece hospitalizado que aquel paciente que no tuvo disfunción de</w:t>
      </w:r>
      <w:r>
        <w:rPr>
          <w:color w:val="231F20"/>
          <w:spacing w:val="27"/>
        </w:rPr>
        <w:t> </w:t>
      </w:r>
      <w:r>
        <w:rPr>
          <w:color w:val="231F20"/>
        </w:rPr>
        <w:t>catéter.</w:t>
      </w:r>
    </w:p>
    <w:p>
      <w:pPr>
        <w:pStyle w:val="BodyText"/>
        <w:rPr>
          <w:sz w:val="18"/>
        </w:rPr>
      </w:pPr>
    </w:p>
    <w:p>
      <w:pPr>
        <w:pStyle w:val="BodyText"/>
        <w:spacing w:before="4"/>
        <w:rPr>
          <w:sz w:val="20"/>
        </w:rPr>
      </w:pPr>
    </w:p>
    <w:p>
      <w:pPr>
        <w:pStyle w:val="BodyText"/>
        <w:spacing w:line="242" w:lineRule="auto" w:before="1"/>
        <w:ind w:left="999" w:right="995" w:firstLine="566"/>
        <w:jc w:val="both"/>
      </w:pPr>
      <w:r>
        <w:rPr>
          <w:color w:val="231F20"/>
        </w:rPr>
        <w:t>Los pacientes en diálisis peritoneal sin disfunción de catéter tuvieron una estancia acumulada de 277 días (n=47), mientras que los de disfunción de catéter con apenas una quinta parte de representación (n=9) y tan solo 64 días de hospitalización acumulados tuvieron casi el 23% de la estancia con respecto a pacientes sin disfunción de catéter,</w:t>
      </w:r>
    </w:p>
    <w:p>
      <w:pPr>
        <w:pStyle w:val="BodyText"/>
        <w:rPr>
          <w:sz w:val="18"/>
        </w:rPr>
      </w:pPr>
    </w:p>
    <w:p>
      <w:pPr>
        <w:pStyle w:val="BodyText"/>
        <w:spacing w:before="4"/>
        <w:rPr>
          <w:sz w:val="20"/>
        </w:rPr>
      </w:pPr>
    </w:p>
    <w:p>
      <w:pPr>
        <w:pStyle w:val="BodyText"/>
        <w:spacing w:line="242" w:lineRule="auto" w:before="1"/>
        <w:ind w:left="999" w:right="994" w:firstLine="566"/>
        <w:jc w:val="both"/>
      </w:pPr>
      <w:r>
        <w:rPr>
          <w:color w:val="231F20"/>
        </w:rPr>
        <w:t>Entre los pacientes con peritonitis asociada a diálisis peritoneal con disfunción de catéter, se incremento notablemente la estancia hospitalaria, siendo un promedio de 12.85 días, esto es 2.03 veces mayor el tiempo de hospitalización comparado a los pacientes con peritonitis asociada a diálisis peritoneal sin disfunción de catéter (6.33 días); la máxima estancia hospitalaria en este rubro de pacientes fue de 21 días debido a persistencia de </w:t>
      </w:r>
      <w:r>
        <w:rPr>
          <w:color w:val="231F20"/>
          <w:spacing w:val="3"/>
        </w:rPr>
        <w:t>P. </w:t>
      </w:r>
      <w:r>
        <w:rPr>
          <w:color w:val="231F20"/>
        </w:rPr>
        <w:t>aeruginosa en el cultivo de liquido</w:t>
      </w:r>
      <w:r>
        <w:rPr>
          <w:color w:val="231F20"/>
          <w:spacing w:val="22"/>
        </w:rPr>
        <w:t> </w:t>
      </w:r>
      <w:r>
        <w:rPr>
          <w:color w:val="231F20"/>
        </w:rPr>
        <w:t>peritoneal.</w:t>
      </w:r>
    </w:p>
    <w:p>
      <w:pPr>
        <w:pStyle w:val="BodyText"/>
        <w:rPr>
          <w:sz w:val="18"/>
        </w:rPr>
      </w:pPr>
    </w:p>
    <w:p>
      <w:pPr>
        <w:pStyle w:val="BodyText"/>
        <w:spacing w:before="4"/>
        <w:rPr>
          <w:sz w:val="20"/>
        </w:rPr>
      </w:pPr>
    </w:p>
    <w:p>
      <w:pPr>
        <w:pStyle w:val="BodyText"/>
        <w:spacing w:line="242" w:lineRule="auto" w:before="1"/>
        <w:ind w:left="999" w:right="996" w:firstLine="566"/>
        <w:jc w:val="both"/>
      </w:pPr>
      <w:r>
        <w:rPr>
          <w:color w:val="231F20"/>
        </w:rPr>
        <w:t>En el estudio llama la atención que con tan solo 16 pacientes con peritonitis asociada a diálisis peritoneal y disfunción de catéter (70%), se cubre casi el 65% de estancia hospitalaria acumulada que tienen los pacientes en diálisis peritoneal sin evento de peritonitis y sin disfunción de catéter (n=47), según la tabla 8 y 14, lo que implica un gasto económico del 65% en la mitad   de tiempo que es destinado para un paciente en diálisis sin peritonitis y sin disfunción de</w:t>
      </w:r>
      <w:r>
        <w:rPr>
          <w:color w:val="231F20"/>
          <w:spacing w:val="13"/>
        </w:rPr>
        <w:t> </w:t>
      </w:r>
      <w:r>
        <w:rPr>
          <w:color w:val="231F20"/>
        </w:rPr>
        <w:t>catéter.</w:t>
      </w:r>
    </w:p>
    <w:p>
      <w:pPr>
        <w:spacing w:after="0" w:line="242" w:lineRule="auto"/>
        <w:jc w:val="both"/>
        <w:sectPr>
          <w:pgSz w:w="12240" w:h="15840"/>
          <w:pgMar w:header="0" w:footer="1972" w:top="1500" w:bottom="2160" w:left="1720" w:right="1720"/>
        </w:sectPr>
      </w:pPr>
    </w:p>
    <w:p>
      <w:pPr>
        <w:pStyle w:val="BodyText"/>
        <w:rPr>
          <w:sz w:val="20"/>
        </w:rPr>
      </w:pPr>
    </w:p>
    <w:p>
      <w:pPr>
        <w:pStyle w:val="BodyText"/>
        <w:rPr>
          <w:sz w:val="20"/>
        </w:rPr>
      </w:pPr>
    </w:p>
    <w:p>
      <w:pPr>
        <w:pStyle w:val="BodyText"/>
        <w:spacing w:before="2"/>
        <w:rPr>
          <w:sz w:val="24"/>
        </w:rPr>
      </w:pPr>
    </w:p>
    <w:p>
      <w:pPr>
        <w:pStyle w:val="BodyText"/>
        <w:spacing w:line="242" w:lineRule="auto" w:before="78"/>
        <w:ind w:left="999" w:right="1001" w:firstLine="566"/>
        <w:jc w:val="both"/>
      </w:pPr>
      <w:r>
        <w:rPr>
          <w:color w:val="231F20"/>
        </w:rPr>
        <w:t>La frecuencia de peritonitis asociada a diálisis peritoneal en el Hospital General de Tlalnepantla en el 2011, tuvo una muerte en el año, lo que corresponde a 1.35 muertes por cada 100 habitantes.</w:t>
      </w:r>
    </w:p>
    <w:p>
      <w:pPr>
        <w:pStyle w:val="BodyText"/>
        <w:rPr>
          <w:sz w:val="18"/>
        </w:rPr>
      </w:pPr>
    </w:p>
    <w:p>
      <w:pPr>
        <w:pStyle w:val="BodyText"/>
        <w:spacing w:before="4"/>
        <w:rPr>
          <w:sz w:val="20"/>
        </w:rPr>
      </w:pPr>
    </w:p>
    <w:p>
      <w:pPr>
        <w:pStyle w:val="BodyText"/>
        <w:spacing w:line="242" w:lineRule="auto" w:before="1"/>
        <w:ind w:left="999" w:right="1000" w:firstLine="566"/>
        <w:jc w:val="both"/>
      </w:pPr>
      <w:r>
        <w:rPr>
          <w:color w:val="231F20"/>
        </w:rPr>
        <w:t>La muerte ocurrió en un paciente masculino de 84 años de edad quien  se le dio tratamiento por 19 días debido a la persistencia de infección, no tuvo toma de cultivo para identificar agente</w:t>
      </w:r>
      <w:r>
        <w:rPr>
          <w:color w:val="231F20"/>
          <w:spacing w:val="25"/>
        </w:rPr>
        <w:t> </w:t>
      </w:r>
      <w:r>
        <w:rPr>
          <w:color w:val="231F20"/>
        </w:rPr>
        <w:t>etiológico.</w:t>
      </w:r>
    </w:p>
    <w:p>
      <w:pPr>
        <w:pStyle w:val="BodyText"/>
        <w:rPr>
          <w:sz w:val="18"/>
        </w:rPr>
      </w:pPr>
    </w:p>
    <w:p>
      <w:pPr>
        <w:pStyle w:val="BodyText"/>
        <w:spacing w:before="2"/>
        <w:rPr>
          <w:sz w:val="17"/>
        </w:rPr>
      </w:pPr>
    </w:p>
    <w:p>
      <w:pPr>
        <w:pStyle w:val="BodyText"/>
        <w:spacing w:line="242" w:lineRule="auto" w:before="1"/>
        <w:ind w:left="999" w:right="994" w:firstLine="566"/>
        <w:jc w:val="both"/>
      </w:pPr>
      <w:r>
        <w:rPr>
          <w:color w:val="231F20"/>
        </w:rPr>
        <w:t>Es de notar que los datos presentados tuvieron causas modificables en su distribución y frecuencia, tomando en cuenta que en el año 2011 se cambio  el área de diálisis peritoneal, previamente llevado en la unidad de terapia intensiva, posteriormente con improvisaciones en urgencias y piso de medicina interna, además se acondicionaron 2 camas en medicina interna para sala de diálisis, y por último, durante el año del estudio hubo un paro de labores en el hospital de aproximadamente 2 meses, donde los pacientes de diálisis peritoneal se enviaron a otras unidades, y se dieron diálisis en urgencias, así como casos de peritonitis que no se registraron en este estudio por tener información incompleta de los expedientes y registros sub óptimos de aquellos eventos.</w:t>
      </w:r>
    </w:p>
    <w:p>
      <w:pPr>
        <w:pStyle w:val="BodyText"/>
        <w:rPr>
          <w:sz w:val="18"/>
        </w:rPr>
      </w:pPr>
    </w:p>
    <w:p>
      <w:pPr>
        <w:pStyle w:val="BodyText"/>
        <w:rPr>
          <w:sz w:val="18"/>
        </w:rPr>
      </w:pPr>
    </w:p>
    <w:p>
      <w:pPr>
        <w:pStyle w:val="BodyText"/>
        <w:rPr>
          <w:sz w:val="18"/>
        </w:rPr>
      </w:pPr>
    </w:p>
    <w:p>
      <w:pPr>
        <w:pStyle w:val="BodyText"/>
        <w:spacing w:before="7"/>
      </w:pPr>
    </w:p>
    <w:p>
      <w:pPr>
        <w:pStyle w:val="Heading1"/>
        <w:spacing w:before="1"/>
        <w:ind w:left="999" w:right="858"/>
      </w:pPr>
      <w:r>
        <w:rPr>
          <w:color w:val="231F20"/>
        </w:rPr>
        <w:t>CONCLUSIONES</w:t>
      </w:r>
    </w:p>
    <w:p>
      <w:pPr>
        <w:pStyle w:val="BodyText"/>
        <w:rPr>
          <w:b/>
          <w:sz w:val="18"/>
        </w:rPr>
      </w:pPr>
    </w:p>
    <w:p>
      <w:pPr>
        <w:pStyle w:val="BodyText"/>
        <w:spacing w:before="10"/>
        <w:rPr>
          <w:b/>
          <w:sz w:val="18"/>
        </w:rPr>
      </w:pPr>
    </w:p>
    <w:p>
      <w:pPr>
        <w:pStyle w:val="ListParagraph"/>
        <w:numPr>
          <w:ilvl w:val="1"/>
          <w:numId w:val="12"/>
        </w:numPr>
        <w:tabs>
          <w:tab w:pos="1841" w:val="left" w:leader="none"/>
        </w:tabs>
        <w:spacing w:line="242" w:lineRule="auto" w:before="0" w:after="0"/>
        <w:ind w:left="999" w:right="994" w:firstLine="566"/>
        <w:jc w:val="both"/>
        <w:rPr>
          <w:color w:val="231F20"/>
          <w:sz w:val="19"/>
        </w:rPr>
      </w:pPr>
      <w:r>
        <w:rPr>
          <w:color w:val="231F20"/>
          <w:sz w:val="19"/>
        </w:rPr>
        <w:t>En el Hospital General de Tlalnepantla durante el año 2011 hubo una frecuencia de 20 casos de peritonitis asociada a diálisis peritoneal, los datos obtenidos demuestran que hay razones claras para hacer prevención de casos, lo que disminuiría los días de estancia hospitalaria, los gastos en insumos de pacientes con diálisis peritoneal, así como la optimización de  recursos  humanos para la atención hospitalaria, ya que los pacientes que estuvieron con peritonitis asociada a diálisis, tuvieron el doble de días de  hospitalización,  mayor atención médica y de enfermería que otros pacientes sometidos  a  diálisis</w:t>
      </w:r>
      <w:r>
        <w:rPr>
          <w:color w:val="231F20"/>
          <w:spacing w:val="13"/>
          <w:sz w:val="19"/>
        </w:rPr>
        <w:t> </w:t>
      </w:r>
      <w:r>
        <w:rPr>
          <w:color w:val="231F20"/>
          <w:sz w:val="19"/>
        </w:rPr>
        <w:t>peritoneal.</w:t>
      </w:r>
    </w:p>
    <w:p>
      <w:pPr>
        <w:pStyle w:val="BodyText"/>
        <w:rPr>
          <w:sz w:val="18"/>
        </w:rPr>
      </w:pPr>
    </w:p>
    <w:p>
      <w:pPr>
        <w:pStyle w:val="BodyText"/>
        <w:spacing w:before="5"/>
        <w:rPr>
          <w:sz w:val="20"/>
        </w:rPr>
      </w:pPr>
    </w:p>
    <w:p>
      <w:pPr>
        <w:pStyle w:val="ListParagraph"/>
        <w:numPr>
          <w:ilvl w:val="1"/>
          <w:numId w:val="12"/>
        </w:numPr>
        <w:tabs>
          <w:tab w:pos="1897" w:val="left" w:leader="none"/>
        </w:tabs>
        <w:spacing w:line="242" w:lineRule="auto" w:before="0" w:after="0"/>
        <w:ind w:left="999" w:right="994" w:firstLine="566"/>
        <w:jc w:val="both"/>
        <w:rPr>
          <w:color w:val="231F20"/>
          <w:sz w:val="19"/>
        </w:rPr>
      </w:pPr>
      <w:r>
        <w:rPr>
          <w:color w:val="231F20"/>
          <w:sz w:val="19"/>
        </w:rPr>
        <w:t>Si la frecuencia de peritonitis asociada a diálisis peritoneal correspondió a 1.6 casos por mes se debe reforzar la capacitación para todo el personal médico y paramédico involucrado en el proceso de diálisis, ya que con estas medidas podría disminuir la tasa de peritonitis asociada a diálisis peritoneal registrada en el año 2011. Cabe mencionar que las infecciones hospitalarias tienen como definición general aquella que se adquiere en medio hospitalaria alas 48 hrs de su ingreso o con antecedente de 4-6 semanas de haber estado hospitalizado, y desarrollar infección posteriormente, por lo tanto, nuestros pacientes al dializarse semanal o quincenalmente entran en esta definición operacional, reflejando un mal indicador de atención médica hospitalaria.</w:t>
      </w:r>
    </w:p>
    <w:p>
      <w:pPr>
        <w:spacing w:after="0" w:line="242" w:lineRule="auto"/>
        <w:jc w:val="both"/>
        <w:rPr>
          <w:sz w:val="19"/>
        </w:rPr>
        <w:sectPr>
          <w:pgSz w:w="12240" w:h="15840"/>
          <w:pgMar w:header="0" w:footer="1972" w:top="1500" w:bottom="2160" w:left="1720" w:right="1720"/>
        </w:sectPr>
      </w:pPr>
    </w:p>
    <w:p>
      <w:pPr>
        <w:pStyle w:val="BodyText"/>
        <w:rPr>
          <w:sz w:val="20"/>
        </w:rPr>
      </w:pPr>
    </w:p>
    <w:p>
      <w:pPr>
        <w:pStyle w:val="BodyText"/>
        <w:rPr>
          <w:sz w:val="20"/>
        </w:rPr>
      </w:pPr>
    </w:p>
    <w:p>
      <w:pPr>
        <w:pStyle w:val="BodyText"/>
        <w:rPr>
          <w:sz w:val="20"/>
        </w:rPr>
      </w:pPr>
    </w:p>
    <w:p>
      <w:pPr>
        <w:pStyle w:val="BodyText"/>
        <w:spacing w:before="5"/>
        <w:rPr>
          <w:sz w:val="23"/>
        </w:rPr>
      </w:pPr>
    </w:p>
    <w:p>
      <w:pPr>
        <w:pStyle w:val="ListParagraph"/>
        <w:numPr>
          <w:ilvl w:val="1"/>
          <w:numId w:val="12"/>
        </w:numPr>
        <w:tabs>
          <w:tab w:pos="1931" w:val="left" w:leader="none"/>
        </w:tabs>
        <w:spacing w:line="242" w:lineRule="auto" w:before="77" w:after="0"/>
        <w:ind w:left="999" w:right="994" w:firstLine="566"/>
        <w:jc w:val="both"/>
        <w:rPr>
          <w:color w:val="231F20"/>
          <w:sz w:val="19"/>
        </w:rPr>
      </w:pPr>
      <w:r>
        <w:rPr>
          <w:color w:val="231F20"/>
          <w:sz w:val="19"/>
        </w:rPr>
        <w:t>Ante estos resultados concluimos que debe mejorarse la disponibilidad y utilización de recursos diagnósticos para identificar el agente causal de la infección, ya que el 50% de pacientes con peritonitis asociada a diálisis peritoneal no tuvieron toma de cultivos, recordando que esta  ultima  debe hacerse en liquido peritoneal y hemocultivo, por lo cual se deja con poca posibilidad de orientar al tratamiento antimicrobiano de elección, y así poder disminuir la falla terapéutica, el tiempo prolongado de hospitalización, así como la disfunción de catéter peritoneal o en el mayor de los casos, la muerte de los pacientes.</w:t>
      </w:r>
    </w:p>
    <w:p>
      <w:pPr>
        <w:pStyle w:val="BodyText"/>
        <w:spacing w:before="2"/>
      </w:pPr>
    </w:p>
    <w:p>
      <w:pPr>
        <w:pStyle w:val="ListParagraph"/>
        <w:numPr>
          <w:ilvl w:val="1"/>
          <w:numId w:val="12"/>
        </w:numPr>
        <w:tabs>
          <w:tab w:pos="1869" w:val="left" w:leader="none"/>
        </w:tabs>
        <w:spacing w:line="242" w:lineRule="auto" w:before="0" w:after="0"/>
        <w:ind w:left="999" w:right="993" w:firstLine="566"/>
        <w:jc w:val="both"/>
        <w:rPr>
          <w:color w:val="231F20"/>
          <w:sz w:val="19"/>
        </w:rPr>
      </w:pPr>
      <w:r>
        <w:rPr>
          <w:color w:val="231F20"/>
          <w:sz w:val="19"/>
        </w:rPr>
        <w:t>Otros aspecto importante en la conclusión del estudio es la relación  de pacientes que están en diálisis peritoneal sin que exista un programa especifico ni personal capacitado o especializado para su atención, ya que desde trabajo social, enfermería, psicología y medicina deben partir acciones preventivas para disminuir el número de eventos de disfunción de catéter peritoneal y peritonitis asociada a diálisis, causantes de los mayores días de permanencia hospitalaria, y llevando al paciente a un estado depresivo que puede empeorar los auto cuidados orientados a la prevención de</w:t>
      </w:r>
      <w:r>
        <w:rPr>
          <w:color w:val="231F20"/>
          <w:spacing w:val="41"/>
          <w:sz w:val="19"/>
        </w:rPr>
        <w:t> </w:t>
      </w:r>
      <w:r>
        <w:rPr>
          <w:color w:val="231F20"/>
          <w:sz w:val="19"/>
        </w:rPr>
        <w:t>infecciones.</w:t>
      </w:r>
    </w:p>
    <w:p>
      <w:pPr>
        <w:pStyle w:val="BodyText"/>
        <w:rPr>
          <w:sz w:val="18"/>
        </w:rPr>
      </w:pPr>
    </w:p>
    <w:p>
      <w:pPr>
        <w:pStyle w:val="ListParagraph"/>
        <w:numPr>
          <w:ilvl w:val="1"/>
          <w:numId w:val="12"/>
        </w:numPr>
        <w:tabs>
          <w:tab w:pos="1900" w:val="left" w:leader="none"/>
        </w:tabs>
        <w:spacing w:line="242" w:lineRule="auto" w:before="129" w:after="0"/>
        <w:ind w:left="999" w:right="993" w:firstLine="566"/>
        <w:jc w:val="both"/>
        <w:rPr>
          <w:color w:val="231F20"/>
          <w:sz w:val="19"/>
        </w:rPr>
      </w:pPr>
      <w:r>
        <w:rPr>
          <w:color w:val="231F20"/>
          <w:sz w:val="19"/>
        </w:rPr>
        <w:t>Dentro de las medidas que deben implementarse a cada paciente  que presente disfunción de catéter y/o peritonitis asociada a diálisis peritoneal se encuentra la </w:t>
      </w:r>
      <w:r>
        <w:rPr>
          <w:color w:val="221A21"/>
          <w:sz w:val="19"/>
        </w:rPr>
        <w:t>re educación y entrenamiento de los cuidadores encargados de la </w:t>
      </w:r>
      <w:r>
        <w:rPr>
          <w:color w:val="231F20"/>
          <w:sz w:val="19"/>
        </w:rPr>
        <w:t>diálisis peritoneal</w:t>
      </w:r>
      <w:r>
        <w:rPr>
          <w:color w:val="221A21"/>
          <w:sz w:val="19"/>
        </w:rPr>
        <w:t>, así como al mismo paciente orientarlo en la importancia de su auto cuidado, detectar y tratar a los portadores de </w:t>
      </w:r>
      <w:r>
        <w:rPr>
          <w:i/>
          <w:color w:val="221A21"/>
          <w:sz w:val="19"/>
        </w:rPr>
        <w:t>S. aureus, </w:t>
      </w:r>
      <w:r>
        <w:rPr>
          <w:color w:val="221A21"/>
          <w:sz w:val="19"/>
        </w:rPr>
        <w:t>evitar la manipulación innecesaria del catéter, mantener el orificio de salida seco  y limpio, utilizar técnica estéril para su curación, la frecuencia de curación con agente no irritante (por ejemplo clorhexidina), así como </w:t>
      </w:r>
      <w:r>
        <w:rPr>
          <w:i/>
          <w:color w:val="221A21"/>
          <w:sz w:val="19"/>
        </w:rPr>
        <w:t>c</w:t>
      </w:r>
      <w:r>
        <w:rPr>
          <w:color w:val="221A21"/>
          <w:sz w:val="19"/>
        </w:rPr>
        <w:t>ubrir con apósitos no oclusivos y absorbentes, </w:t>
      </w:r>
      <w:r>
        <w:rPr>
          <w:i/>
          <w:color w:val="221A21"/>
          <w:sz w:val="19"/>
        </w:rPr>
        <w:t>e</w:t>
      </w:r>
      <w:r>
        <w:rPr>
          <w:color w:val="221A21"/>
          <w:sz w:val="19"/>
        </w:rPr>
        <w:t>vitando baños por</w:t>
      </w:r>
      <w:r>
        <w:rPr>
          <w:color w:val="221A21"/>
          <w:spacing w:val="30"/>
          <w:sz w:val="19"/>
        </w:rPr>
        <w:t> </w:t>
      </w:r>
      <w:r>
        <w:rPr>
          <w:color w:val="221A21"/>
          <w:sz w:val="19"/>
        </w:rPr>
        <w:t>sumersión.</w:t>
      </w:r>
    </w:p>
    <w:p>
      <w:pPr>
        <w:pStyle w:val="BodyText"/>
        <w:rPr>
          <w:sz w:val="18"/>
        </w:rPr>
      </w:pPr>
    </w:p>
    <w:p>
      <w:pPr>
        <w:pStyle w:val="ListParagraph"/>
        <w:numPr>
          <w:ilvl w:val="1"/>
          <w:numId w:val="12"/>
        </w:numPr>
        <w:tabs>
          <w:tab w:pos="1855" w:val="left" w:leader="none"/>
        </w:tabs>
        <w:spacing w:line="242" w:lineRule="auto" w:before="131" w:after="0"/>
        <w:ind w:left="999" w:right="992" w:firstLine="566"/>
        <w:jc w:val="both"/>
        <w:rPr>
          <w:color w:val="231F20"/>
          <w:sz w:val="19"/>
        </w:rPr>
      </w:pPr>
      <w:r>
        <w:rPr>
          <w:color w:val="231F20"/>
          <w:sz w:val="19"/>
        </w:rPr>
        <w:t>La disfunción de catéter fue la complicación más frecuente en pacientes con peritonitis asociada a diálisis peritoneal, por lo cual fisiopatológicamente, el exudado peritoneal que contiene fibrinógeno, favorece la formación de placas de fibrina en las superficies del catéter, así como vía intraluminal, destacando que en este estudio hubo un riesgo de disfunción de catéter hasta de 4 veces ante</w:t>
      </w:r>
      <w:r>
        <w:rPr>
          <w:color w:val="231F20"/>
          <w:spacing w:val="23"/>
          <w:sz w:val="19"/>
        </w:rPr>
        <w:t> </w:t>
      </w:r>
      <w:r>
        <w:rPr>
          <w:color w:val="231F20"/>
          <w:sz w:val="19"/>
        </w:rPr>
        <w:t>peritonitis.</w:t>
      </w:r>
    </w:p>
    <w:p>
      <w:pPr>
        <w:pStyle w:val="BodyText"/>
        <w:rPr>
          <w:sz w:val="18"/>
        </w:rPr>
      </w:pPr>
    </w:p>
    <w:p>
      <w:pPr>
        <w:pStyle w:val="ListParagraph"/>
        <w:numPr>
          <w:ilvl w:val="1"/>
          <w:numId w:val="12"/>
        </w:numPr>
        <w:tabs>
          <w:tab w:pos="1882" w:val="left" w:leader="none"/>
        </w:tabs>
        <w:spacing w:line="242" w:lineRule="auto" w:before="129" w:after="0"/>
        <w:ind w:left="999" w:right="994" w:firstLine="566"/>
        <w:jc w:val="both"/>
        <w:rPr>
          <w:color w:val="221A21"/>
          <w:sz w:val="19"/>
        </w:rPr>
      </w:pPr>
      <w:r>
        <w:rPr>
          <w:color w:val="221A21"/>
          <w:sz w:val="19"/>
        </w:rPr>
        <w:t>Los programas de diálisis peritoneal deben estar encaminados a la prevención de peritonitis y disfunción de catéter, lo que requiere un equipo multidisciplinario que </w:t>
      </w:r>
      <w:r>
        <w:rPr>
          <w:color w:val="231F20"/>
          <w:sz w:val="19"/>
        </w:rPr>
        <w:t>ubique situaciones de riesgo para hallar una ruptura en la técnica de limpieza o de cuidados, aun en nuestro hospital debe sensibilizarse   al personal médico y paramédico para recalcar la importancia de estas medidas y poder disminuir la frecuencia de eventos que puede ser  potencialmente  mayor en años siguientes si no se tiene un control estadístico de la frecuencia de peritonitis asociada a diálisis</w:t>
      </w:r>
      <w:r>
        <w:rPr>
          <w:color w:val="231F20"/>
          <w:spacing w:val="29"/>
          <w:sz w:val="19"/>
        </w:rPr>
        <w:t> </w:t>
      </w:r>
      <w:r>
        <w:rPr>
          <w:color w:val="231F20"/>
          <w:sz w:val="19"/>
        </w:rPr>
        <w:t>peritoneal.</w:t>
      </w:r>
    </w:p>
    <w:p>
      <w:pPr>
        <w:spacing w:after="0" w:line="242" w:lineRule="auto"/>
        <w:jc w:val="both"/>
        <w:rPr>
          <w:sz w:val="19"/>
        </w:rPr>
        <w:sectPr>
          <w:pgSz w:w="12240" w:h="15840"/>
          <w:pgMar w:header="0" w:footer="1972" w:top="1500" w:bottom="2160" w:left="1720" w:right="1720"/>
        </w:sectPr>
      </w:pPr>
    </w:p>
    <w:p>
      <w:pPr>
        <w:pStyle w:val="BodyText"/>
        <w:rPr>
          <w:sz w:val="20"/>
        </w:rPr>
      </w:pPr>
    </w:p>
    <w:p>
      <w:pPr>
        <w:pStyle w:val="BodyText"/>
        <w:rPr>
          <w:sz w:val="20"/>
        </w:rPr>
      </w:pPr>
    </w:p>
    <w:p>
      <w:pPr>
        <w:pStyle w:val="BodyText"/>
        <w:spacing w:before="4"/>
        <w:rPr>
          <w:sz w:val="24"/>
        </w:rPr>
      </w:pPr>
    </w:p>
    <w:p>
      <w:pPr>
        <w:pStyle w:val="Heading1"/>
        <w:numPr>
          <w:ilvl w:val="0"/>
          <w:numId w:val="13"/>
        </w:numPr>
        <w:tabs>
          <w:tab w:pos="1289" w:val="left" w:leader="none"/>
        </w:tabs>
        <w:spacing w:line="240" w:lineRule="auto" w:before="78" w:after="0"/>
        <w:ind w:left="1288" w:right="0" w:hanging="289"/>
        <w:jc w:val="both"/>
      </w:pPr>
      <w:r>
        <w:rPr>
          <w:color w:val="231F20"/>
        </w:rPr>
        <w:t>BIBLIOGRAFÍA</w:t>
      </w:r>
    </w:p>
    <w:p>
      <w:pPr>
        <w:pStyle w:val="BodyText"/>
        <w:rPr>
          <w:b/>
          <w:sz w:val="18"/>
        </w:rPr>
      </w:pPr>
    </w:p>
    <w:p>
      <w:pPr>
        <w:pStyle w:val="BodyText"/>
        <w:spacing w:before="11"/>
        <w:rPr>
          <w:b/>
          <w:sz w:val="20"/>
        </w:rPr>
      </w:pPr>
    </w:p>
    <w:p>
      <w:pPr>
        <w:pStyle w:val="ListParagraph"/>
        <w:numPr>
          <w:ilvl w:val="1"/>
          <w:numId w:val="13"/>
        </w:numPr>
        <w:tabs>
          <w:tab w:pos="1218" w:val="left" w:leader="none"/>
        </w:tabs>
        <w:spacing w:line="242" w:lineRule="auto" w:before="0" w:after="0"/>
        <w:ind w:left="999" w:right="993" w:firstLine="0"/>
        <w:jc w:val="both"/>
        <w:rPr>
          <w:color w:val="231F20"/>
          <w:sz w:val="19"/>
        </w:rPr>
      </w:pPr>
      <w:r>
        <w:rPr>
          <w:color w:val="231F20"/>
          <w:sz w:val="19"/>
        </w:rPr>
        <w:t>Fried LF, Bernardini J, Johnston JR, Piraino B. Peritonitis influences mortality in peritoneal dialysis patients. J Am Soc Nephrol 1996;</w:t>
      </w:r>
      <w:r>
        <w:rPr>
          <w:color w:val="231F20"/>
          <w:spacing w:val="39"/>
          <w:sz w:val="19"/>
        </w:rPr>
        <w:t> </w:t>
      </w:r>
      <w:r>
        <w:rPr>
          <w:color w:val="231F20"/>
          <w:sz w:val="19"/>
        </w:rPr>
        <w:t>7:2176–82.</w:t>
      </w:r>
    </w:p>
    <w:p>
      <w:pPr>
        <w:pStyle w:val="BodyText"/>
        <w:rPr>
          <w:sz w:val="18"/>
        </w:rPr>
      </w:pPr>
    </w:p>
    <w:p>
      <w:pPr>
        <w:pStyle w:val="ListParagraph"/>
        <w:numPr>
          <w:ilvl w:val="1"/>
          <w:numId w:val="13"/>
        </w:numPr>
        <w:tabs>
          <w:tab w:pos="1264" w:val="left" w:leader="none"/>
        </w:tabs>
        <w:spacing w:line="242" w:lineRule="auto" w:before="129" w:after="0"/>
        <w:ind w:left="999" w:right="1001" w:firstLine="0"/>
        <w:jc w:val="both"/>
        <w:rPr>
          <w:color w:val="231F20"/>
          <w:sz w:val="19"/>
        </w:rPr>
      </w:pPr>
      <w:r>
        <w:rPr>
          <w:color w:val="231F20"/>
          <w:sz w:val="19"/>
        </w:rPr>
        <w:t>Woodrow G, Turney JH, Brownjohn AM. Technique failure in peritoneal dialysis and its impact on patient survival. Perit Dial Int 1997;</w:t>
      </w:r>
      <w:r>
        <w:rPr>
          <w:color w:val="231F20"/>
          <w:spacing w:val="48"/>
          <w:sz w:val="19"/>
        </w:rPr>
        <w:t> </w:t>
      </w:r>
      <w:r>
        <w:rPr>
          <w:color w:val="231F20"/>
          <w:sz w:val="19"/>
        </w:rPr>
        <w:t>17:360–4.</w:t>
      </w:r>
    </w:p>
    <w:p>
      <w:pPr>
        <w:pStyle w:val="BodyText"/>
        <w:rPr>
          <w:sz w:val="18"/>
        </w:rPr>
      </w:pPr>
    </w:p>
    <w:p>
      <w:pPr>
        <w:pStyle w:val="ListParagraph"/>
        <w:numPr>
          <w:ilvl w:val="1"/>
          <w:numId w:val="13"/>
        </w:numPr>
        <w:tabs>
          <w:tab w:pos="1264" w:val="left" w:leader="none"/>
        </w:tabs>
        <w:spacing w:line="242" w:lineRule="auto" w:before="129" w:after="0"/>
        <w:ind w:left="999" w:right="998" w:firstLine="0"/>
        <w:jc w:val="both"/>
        <w:rPr>
          <w:color w:val="231F20"/>
          <w:sz w:val="19"/>
        </w:rPr>
      </w:pPr>
      <w:r>
        <w:rPr>
          <w:color w:val="231F20"/>
          <w:sz w:val="19"/>
        </w:rPr>
        <w:t>Choi P, Nemati E, Banerjee A, Preston E, Levy J, Brown E.  Peritoneal dialysis catheter removal for acute peritonitis: a retrospective analysis of factors associated with catheter removal and prolonged postoperative hospitalization. Am J Kidney Dis 2004;</w:t>
      </w:r>
      <w:r>
        <w:rPr>
          <w:color w:val="231F20"/>
          <w:spacing w:val="20"/>
          <w:sz w:val="19"/>
        </w:rPr>
        <w:t> </w:t>
      </w:r>
      <w:r>
        <w:rPr>
          <w:color w:val="231F20"/>
          <w:sz w:val="19"/>
        </w:rPr>
        <w:t>43:103–11.</w:t>
      </w:r>
    </w:p>
    <w:p>
      <w:pPr>
        <w:pStyle w:val="BodyText"/>
        <w:rPr>
          <w:sz w:val="18"/>
        </w:rPr>
      </w:pPr>
    </w:p>
    <w:p>
      <w:pPr>
        <w:pStyle w:val="ListParagraph"/>
        <w:numPr>
          <w:ilvl w:val="1"/>
          <w:numId w:val="13"/>
        </w:numPr>
        <w:tabs>
          <w:tab w:pos="1220" w:val="left" w:leader="none"/>
        </w:tabs>
        <w:spacing w:line="242" w:lineRule="auto" w:before="129" w:after="0"/>
        <w:ind w:left="999" w:right="1001" w:firstLine="0"/>
        <w:jc w:val="both"/>
        <w:rPr>
          <w:color w:val="231F20"/>
          <w:sz w:val="19"/>
        </w:rPr>
      </w:pPr>
      <w:r>
        <w:rPr>
          <w:color w:val="231F20"/>
          <w:sz w:val="19"/>
        </w:rPr>
        <w:t>Johnson DW, Dent H, Hawley CM, McDonald SP, Rosman JB, Brown FG, et al. Associations of dialysis modality and infectious mortality in incident dialysis patients in Australia and New Zealand. Am J Kidney Dis 2009;</w:t>
      </w:r>
      <w:r>
        <w:rPr>
          <w:color w:val="231F20"/>
          <w:spacing w:val="43"/>
          <w:sz w:val="19"/>
        </w:rPr>
        <w:t> </w:t>
      </w:r>
      <w:r>
        <w:rPr>
          <w:color w:val="231F20"/>
          <w:sz w:val="19"/>
        </w:rPr>
        <w:t>53:290–7.</w:t>
      </w:r>
    </w:p>
    <w:p>
      <w:pPr>
        <w:pStyle w:val="BodyText"/>
        <w:rPr>
          <w:sz w:val="18"/>
        </w:rPr>
      </w:pPr>
    </w:p>
    <w:p>
      <w:pPr>
        <w:pStyle w:val="ListParagraph"/>
        <w:numPr>
          <w:ilvl w:val="1"/>
          <w:numId w:val="13"/>
        </w:numPr>
        <w:tabs>
          <w:tab w:pos="1254" w:val="left" w:leader="none"/>
        </w:tabs>
        <w:spacing w:line="242" w:lineRule="auto" w:before="129" w:after="0"/>
        <w:ind w:left="999" w:right="996" w:firstLine="0"/>
        <w:jc w:val="both"/>
        <w:rPr>
          <w:color w:val="231F20"/>
          <w:sz w:val="19"/>
        </w:rPr>
      </w:pPr>
      <w:r>
        <w:rPr>
          <w:color w:val="231F20"/>
          <w:sz w:val="19"/>
        </w:rPr>
        <w:t>Borg D, Shetty A, Williams D, Faber MD. Fivefold reduction in peritonitis  using a multifaceted continuous quality initiative program. Adv Perit Dial 2003; 19:202–5.</w:t>
      </w:r>
    </w:p>
    <w:p>
      <w:pPr>
        <w:pStyle w:val="BodyText"/>
        <w:rPr>
          <w:sz w:val="18"/>
        </w:rPr>
      </w:pPr>
    </w:p>
    <w:p>
      <w:pPr>
        <w:pStyle w:val="ListParagraph"/>
        <w:numPr>
          <w:ilvl w:val="1"/>
          <w:numId w:val="13"/>
        </w:numPr>
        <w:tabs>
          <w:tab w:pos="1224" w:val="left" w:leader="none"/>
        </w:tabs>
        <w:spacing w:line="242" w:lineRule="auto" w:before="129" w:after="0"/>
        <w:ind w:left="999" w:right="1000" w:firstLine="0"/>
        <w:jc w:val="both"/>
        <w:rPr>
          <w:color w:val="231F20"/>
          <w:sz w:val="19"/>
        </w:rPr>
      </w:pPr>
      <w:r>
        <w:rPr>
          <w:color w:val="231F20"/>
          <w:sz w:val="19"/>
        </w:rPr>
        <w:t>Schaefer F, Kandert M, Feneberg R. Methodological issues in assessing the incidence of peritoneal dialysis-associated peritonitis in children. Perit Dial Int 2002;</w:t>
      </w:r>
      <w:r>
        <w:rPr>
          <w:color w:val="231F20"/>
          <w:spacing w:val="8"/>
          <w:sz w:val="19"/>
        </w:rPr>
        <w:t> </w:t>
      </w:r>
      <w:r>
        <w:rPr>
          <w:color w:val="231F20"/>
          <w:sz w:val="19"/>
        </w:rPr>
        <w:t>22:234–8.</w:t>
      </w:r>
    </w:p>
    <w:p>
      <w:pPr>
        <w:pStyle w:val="BodyText"/>
        <w:rPr>
          <w:sz w:val="18"/>
        </w:rPr>
      </w:pPr>
    </w:p>
    <w:p>
      <w:pPr>
        <w:pStyle w:val="ListParagraph"/>
        <w:numPr>
          <w:ilvl w:val="1"/>
          <w:numId w:val="13"/>
        </w:numPr>
        <w:tabs>
          <w:tab w:pos="1289" w:val="left" w:leader="none"/>
        </w:tabs>
        <w:spacing w:line="242" w:lineRule="auto" w:before="129" w:after="0"/>
        <w:ind w:left="999" w:right="993" w:firstLine="0"/>
        <w:jc w:val="both"/>
        <w:rPr>
          <w:color w:val="231F20"/>
          <w:sz w:val="19"/>
        </w:rPr>
      </w:pPr>
      <w:r>
        <w:rPr>
          <w:color w:val="231F20"/>
          <w:sz w:val="19"/>
        </w:rPr>
        <w:t>Li PK, Law MC, Chow KM, Chan WK, Szeto CC, Cheng YL, et al.  Comparison of clinical outcome and ease of handling in two  double-bag  systems in continuous ambulatory peritoneal dialysis: a prospective,  randomized, controlled, multicenter study. Am J Kidney Dis 2002; </w:t>
      </w:r>
      <w:r>
        <w:rPr>
          <w:color w:val="231F20"/>
          <w:spacing w:val="2"/>
          <w:sz w:val="19"/>
        </w:rPr>
        <w:t> </w:t>
      </w:r>
      <w:r>
        <w:rPr>
          <w:color w:val="231F20"/>
          <w:sz w:val="19"/>
        </w:rPr>
        <w:t>40:373–80</w:t>
      </w:r>
    </w:p>
    <w:p>
      <w:pPr>
        <w:pStyle w:val="BodyText"/>
        <w:rPr>
          <w:sz w:val="18"/>
        </w:rPr>
      </w:pPr>
    </w:p>
    <w:p>
      <w:pPr>
        <w:pStyle w:val="ListParagraph"/>
        <w:numPr>
          <w:ilvl w:val="1"/>
          <w:numId w:val="13"/>
        </w:numPr>
        <w:tabs>
          <w:tab w:pos="1254" w:val="left" w:leader="none"/>
        </w:tabs>
        <w:spacing w:line="242" w:lineRule="auto" w:before="129" w:after="0"/>
        <w:ind w:left="999" w:right="998" w:firstLine="0"/>
        <w:jc w:val="both"/>
        <w:rPr>
          <w:color w:val="231F20"/>
          <w:sz w:val="19"/>
        </w:rPr>
      </w:pPr>
      <w:r>
        <w:rPr>
          <w:color w:val="231F20"/>
          <w:sz w:val="19"/>
        </w:rPr>
        <w:t>Kim DK, Yoo TH, Ryu DR, Xu ZG, Kim HJ, Choi KH, et al. Changes in causative organisms and their antimicrobial susceptibilities in CAPD peritonitis:   a single center’s experience over one decade. Perit Dial Int 2004;</w:t>
      </w:r>
      <w:r>
        <w:rPr>
          <w:color w:val="231F20"/>
          <w:spacing w:val="50"/>
          <w:sz w:val="19"/>
        </w:rPr>
        <w:t> </w:t>
      </w:r>
      <w:r>
        <w:rPr>
          <w:color w:val="231F20"/>
          <w:sz w:val="19"/>
        </w:rPr>
        <w:t>24:424–32.</w:t>
      </w:r>
    </w:p>
    <w:p>
      <w:pPr>
        <w:pStyle w:val="BodyText"/>
        <w:rPr>
          <w:sz w:val="18"/>
        </w:rPr>
      </w:pPr>
    </w:p>
    <w:p>
      <w:pPr>
        <w:pStyle w:val="ListParagraph"/>
        <w:numPr>
          <w:ilvl w:val="1"/>
          <w:numId w:val="13"/>
        </w:numPr>
        <w:tabs>
          <w:tab w:pos="1277" w:val="left" w:leader="none"/>
        </w:tabs>
        <w:spacing w:line="242" w:lineRule="auto" w:before="129" w:after="0"/>
        <w:ind w:left="999" w:right="1000" w:firstLine="0"/>
        <w:jc w:val="both"/>
        <w:rPr>
          <w:color w:val="231F20"/>
          <w:sz w:val="19"/>
        </w:rPr>
      </w:pPr>
      <w:r>
        <w:rPr>
          <w:color w:val="231F20"/>
          <w:sz w:val="19"/>
        </w:rPr>
        <w:t>Gould IM, Casewell MW. The laboratory diagnosis of peritonitis during continuous ambulatory peritoneal dialysis. J Hosp Infect 1986;</w:t>
      </w:r>
      <w:r>
        <w:rPr>
          <w:color w:val="231F20"/>
          <w:spacing w:val="43"/>
          <w:sz w:val="19"/>
        </w:rPr>
        <w:t> </w:t>
      </w:r>
      <w:r>
        <w:rPr>
          <w:color w:val="231F20"/>
          <w:sz w:val="19"/>
        </w:rPr>
        <w:t>7:155–60.</w:t>
      </w:r>
    </w:p>
    <w:p>
      <w:pPr>
        <w:pStyle w:val="BodyText"/>
        <w:rPr>
          <w:sz w:val="18"/>
        </w:rPr>
      </w:pPr>
    </w:p>
    <w:p>
      <w:pPr>
        <w:pStyle w:val="ListParagraph"/>
        <w:numPr>
          <w:ilvl w:val="1"/>
          <w:numId w:val="13"/>
        </w:numPr>
        <w:tabs>
          <w:tab w:pos="1335" w:val="left" w:leader="none"/>
        </w:tabs>
        <w:spacing w:line="242" w:lineRule="auto" w:before="129" w:after="0"/>
        <w:ind w:left="999" w:right="1000" w:firstLine="0"/>
        <w:jc w:val="both"/>
        <w:rPr>
          <w:color w:val="231F20"/>
          <w:sz w:val="19"/>
        </w:rPr>
      </w:pPr>
      <w:r>
        <w:rPr>
          <w:color w:val="231F20"/>
          <w:sz w:val="19"/>
        </w:rPr>
        <w:t>Flanigan MJ, Freeman RM, Lim VS. Cellular response to peritonitis among peritoneal dialysis patients. Am J Kidney Dis 1985;</w:t>
      </w:r>
      <w:r>
        <w:rPr>
          <w:color w:val="231F20"/>
          <w:spacing w:val="32"/>
          <w:sz w:val="19"/>
        </w:rPr>
        <w:t> </w:t>
      </w:r>
      <w:r>
        <w:rPr>
          <w:color w:val="231F20"/>
          <w:sz w:val="19"/>
        </w:rPr>
        <w:t>6:420–4.</w:t>
      </w:r>
    </w:p>
    <w:p>
      <w:pPr>
        <w:pStyle w:val="BodyText"/>
        <w:rPr>
          <w:sz w:val="18"/>
        </w:rPr>
      </w:pPr>
    </w:p>
    <w:p>
      <w:pPr>
        <w:pStyle w:val="ListParagraph"/>
        <w:numPr>
          <w:ilvl w:val="1"/>
          <w:numId w:val="13"/>
        </w:numPr>
        <w:tabs>
          <w:tab w:pos="1363" w:val="left" w:leader="none"/>
        </w:tabs>
        <w:spacing w:line="242" w:lineRule="auto" w:before="129" w:after="0"/>
        <w:ind w:left="999" w:right="1003" w:firstLine="0"/>
        <w:jc w:val="both"/>
        <w:rPr>
          <w:color w:val="231F20"/>
          <w:sz w:val="19"/>
        </w:rPr>
      </w:pPr>
      <w:r>
        <w:rPr>
          <w:color w:val="231F20"/>
          <w:sz w:val="19"/>
        </w:rPr>
        <w:t>Fussholler A, zur Nieden S, Grabensee B, Plum J. Peritoneal fluid and solute transport: influence of treatment time, peritoneal dialysis modality, and peritonitis incidence. J Am Soc Nephrol 2002;</w:t>
      </w:r>
      <w:r>
        <w:rPr>
          <w:color w:val="231F20"/>
          <w:spacing w:val="39"/>
          <w:sz w:val="19"/>
        </w:rPr>
        <w:t> </w:t>
      </w:r>
      <w:r>
        <w:rPr>
          <w:color w:val="231F20"/>
          <w:sz w:val="19"/>
        </w:rPr>
        <w:t>13:1055–60.</w:t>
      </w:r>
    </w:p>
    <w:p>
      <w:pPr>
        <w:spacing w:after="0" w:line="242" w:lineRule="auto"/>
        <w:jc w:val="both"/>
        <w:rPr>
          <w:sz w:val="19"/>
        </w:rPr>
        <w:sectPr>
          <w:pgSz w:w="12240" w:h="15840"/>
          <w:pgMar w:header="0" w:footer="1972" w:top="1500" w:bottom="2160" w:left="1720" w:right="1720"/>
        </w:sectPr>
      </w:pPr>
    </w:p>
    <w:p>
      <w:pPr>
        <w:pStyle w:val="BodyText"/>
        <w:rPr>
          <w:sz w:val="20"/>
        </w:rPr>
      </w:pPr>
    </w:p>
    <w:p>
      <w:pPr>
        <w:pStyle w:val="BodyText"/>
        <w:rPr>
          <w:sz w:val="20"/>
        </w:rPr>
      </w:pPr>
    </w:p>
    <w:p>
      <w:pPr>
        <w:pStyle w:val="BodyText"/>
        <w:spacing w:before="2"/>
        <w:rPr>
          <w:sz w:val="24"/>
        </w:rPr>
      </w:pPr>
    </w:p>
    <w:p>
      <w:pPr>
        <w:pStyle w:val="ListParagraph"/>
        <w:numPr>
          <w:ilvl w:val="1"/>
          <w:numId w:val="13"/>
        </w:numPr>
        <w:tabs>
          <w:tab w:pos="1398" w:val="left" w:leader="none"/>
        </w:tabs>
        <w:spacing w:line="242" w:lineRule="auto" w:before="78" w:after="0"/>
        <w:ind w:left="999" w:right="1001" w:firstLine="0"/>
        <w:jc w:val="both"/>
        <w:rPr>
          <w:color w:val="231F20"/>
          <w:sz w:val="19"/>
        </w:rPr>
      </w:pPr>
      <w:r>
        <w:rPr>
          <w:color w:val="231F20"/>
          <w:sz w:val="19"/>
        </w:rPr>
        <w:t>Rocklin MA, Teitelbaum I. Noninfectious causes of cloudy peritoneal dialysate. Semin Dial 2001;</w:t>
      </w:r>
      <w:r>
        <w:rPr>
          <w:color w:val="231F20"/>
          <w:spacing w:val="22"/>
          <w:sz w:val="19"/>
        </w:rPr>
        <w:t> </w:t>
      </w:r>
      <w:r>
        <w:rPr>
          <w:color w:val="231F20"/>
          <w:sz w:val="19"/>
        </w:rPr>
        <w:t>14:37–40.</w:t>
      </w:r>
    </w:p>
    <w:p>
      <w:pPr>
        <w:pStyle w:val="BodyText"/>
        <w:rPr>
          <w:sz w:val="18"/>
        </w:rPr>
      </w:pPr>
    </w:p>
    <w:p>
      <w:pPr>
        <w:pStyle w:val="ListParagraph"/>
        <w:numPr>
          <w:ilvl w:val="1"/>
          <w:numId w:val="13"/>
        </w:numPr>
        <w:tabs>
          <w:tab w:pos="1331" w:val="left" w:leader="none"/>
        </w:tabs>
        <w:spacing w:line="242" w:lineRule="auto" w:before="129" w:after="0"/>
        <w:ind w:left="999" w:right="1000" w:firstLine="0"/>
        <w:jc w:val="both"/>
        <w:rPr>
          <w:color w:val="231F20"/>
          <w:sz w:val="19"/>
        </w:rPr>
      </w:pPr>
      <w:r>
        <w:rPr>
          <w:color w:val="231F20"/>
          <w:sz w:val="19"/>
        </w:rPr>
        <w:t>Alfa MJ, Degagne P, Olson N, Harding GK. Improved detection of bacterial growth in continuous ambulatory peritoneal dialysis effluent by  use  of BacT/Alert FAN bottles. J Clin Microbiol 1997;</w:t>
      </w:r>
      <w:r>
        <w:rPr>
          <w:color w:val="231F20"/>
          <w:spacing w:val="35"/>
          <w:sz w:val="19"/>
        </w:rPr>
        <w:t> </w:t>
      </w:r>
      <w:r>
        <w:rPr>
          <w:color w:val="231F20"/>
          <w:sz w:val="19"/>
        </w:rPr>
        <w:t>35:862–6.</w:t>
      </w:r>
    </w:p>
    <w:p>
      <w:pPr>
        <w:pStyle w:val="BodyText"/>
        <w:rPr>
          <w:sz w:val="18"/>
        </w:rPr>
      </w:pPr>
    </w:p>
    <w:p>
      <w:pPr>
        <w:pStyle w:val="ListParagraph"/>
        <w:numPr>
          <w:ilvl w:val="1"/>
          <w:numId w:val="13"/>
        </w:numPr>
        <w:tabs>
          <w:tab w:pos="1321" w:val="left" w:leader="none"/>
        </w:tabs>
        <w:spacing w:line="242" w:lineRule="auto" w:before="129" w:after="0"/>
        <w:ind w:left="999" w:right="994" w:firstLine="0"/>
        <w:jc w:val="both"/>
        <w:rPr>
          <w:color w:val="231F20"/>
          <w:sz w:val="19"/>
        </w:rPr>
      </w:pPr>
      <w:r>
        <w:rPr>
          <w:color w:val="231F20"/>
          <w:sz w:val="19"/>
        </w:rPr>
        <w:t>Sewell DL, Golper TA, Hulman PB, Thomas CM, </w:t>
      </w:r>
      <w:r>
        <w:rPr>
          <w:color w:val="231F20"/>
          <w:spacing w:val="2"/>
          <w:sz w:val="19"/>
        </w:rPr>
        <w:t>West </w:t>
      </w:r>
      <w:r>
        <w:rPr>
          <w:color w:val="231F20"/>
          <w:sz w:val="19"/>
        </w:rPr>
        <w:t>LM, Kubey </w:t>
      </w:r>
      <w:r>
        <w:rPr>
          <w:color w:val="231F20"/>
          <w:spacing w:val="2"/>
          <w:sz w:val="19"/>
        </w:rPr>
        <w:t>WY, </w:t>
      </w:r>
      <w:r>
        <w:rPr>
          <w:color w:val="231F20"/>
          <w:sz w:val="19"/>
        </w:rPr>
        <w:t>et al. Comparison of large volume culture to other methods for isolation of microorganisms from dialysate. Perit Dial Int 1990;</w:t>
      </w:r>
      <w:r>
        <w:rPr>
          <w:color w:val="231F20"/>
          <w:spacing w:val="44"/>
          <w:sz w:val="19"/>
        </w:rPr>
        <w:t> </w:t>
      </w:r>
      <w:r>
        <w:rPr>
          <w:color w:val="231F20"/>
          <w:sz w:val="19"/>
        </w:rPr>
        <w:t>10:49–52.</w:t>
      </w:r>
    </w:p>
    <w:p>
      <w:pPr>
        <w:pStyle w:val="BodyText"/>
        <w:rPr>
          <w:sz w:val="18"/>
        </w:rPr>
      </w:pPr>
    </w:p>
    <w:p>
      <w:pPr>
        <w:pStyle w:val="ListParagraph"/>
        <w:numPr>
          <w:ilvl w:val="1"/>
          <w:numId w:val="13"/>
        </w:numPr>
        <w:tabs>
          <w:tab w:pos="1325" w:val="left" w:leader="none"/>
        </w:tabs>
        <w:spacing w:line="242" w:lineRule="auto" w:before="129" w:after="0"/>
        <w:ind w:left="999" w:right="999" w:firstLine="0"/>
        <w:jc w:val="both"/>
        <w:rPr>
          <w:color w:val="231F20"/>
          <w:sz w:val="19"/>
        </w:rPr>
      </w:pPr>
      <w:r>
        <w:rPr>
          <w:color w:val="231F20"/>
          <w:sz w:val="19"/>
        </w:rPr>
        <w:t>Azap OK, Timurkaynak F, Sezer S, Cagir U, Yapar G, Arslan H, et al. Value of automatized blood culture systems in the diagnosis of continuous ambulatory peritoneal dialysis peritonitis. Transplant Proc 2006;</w:t>
      </w:r>
      <w:r>
        <w:rPr>
          <w:color w:val="231F20"/>
          <w:spacing w:val="40"/>
          <w:sz w:val="19"/>
        </w:rPr>
        <w:t> </w:t>
      </w:r>
      <w:r>
        <w:rPr>
          <w:color w:val="231F20"/>
          <w:sz w:val="19"/>
        </w:rPr>
        <w:t>38:411–12.</w:t>
      </w:r>
    </w:p>
    <w:p>
      <w:pPr>
        <w:pStyle w:val="BodyText"/>
        <w:rPr>
          <w:sz w:val="18"/>
        </w:rPr>
      </w:pPr>
    </w:p>
    <w:p>
      <w:pPr>
        <w:pStyle w:val="ListParagraph"/>
        <w:numPr>
          <w:ilvl w:val="1"/>
          <w:numId w:val="13"/>
        </w:numPr>
        <w:tabs>
          <w:tab w:pos="1332" w:val="left" w:leader="none"/>
        </w:tabs>
        <w:spacing w:line="242" w:lineRule="auto" w:before="129" w:after="0"/>
        <w:ind w:left="999" w:right="1002" w:firstLine="0"/>
        <w:jc w:val="both"/>
        <w:rPr>
          <w:color w:val="231F20"/>
          <w:sz w:val="19"/>
        </w:rPr>
      </w:pPr>
      <w:r>
        <w:rPr>
          <w:color w:val="231F20"/>
          <w:sz w:val="19"/>
        </w:rPr>
        <w:t>Park SJ, Lee JY, Tak WT, Lee JH. Using reagent strips for rapid diagnosis  of peritonitis in peritoneal dialysis patients. Adv Perit Dial 2005;</w:t>
      </w:r>
      <w:r>
        <w:rPr>
          <w:color w:val="231F20"/>
          <w:spacing w:val="48"/>
          <w:sz w:val="19"/>
        </w:rPr>
        <w:t> </w:t>
      </w:r>
      <w:r>
        <w:rPr>
          <w:color w:val="231F20"/>
          <w:sz w:val="19"/>
        </w:rPr>
        <w:t>21:69–71</w:t>
      </w:r>
    </w:p>
    <w:p>
      <w:pPr>
        <w:pStyle w:val="BodyText"/>
        <w:rPr>
          <w:sz w:val="18"/>
        </w:rPr>
      </w:pPr>
    </w:p>
    <w:p>
      <w:pPr>
        <w:pStyle w:val="ListParagraph"/>
        <w:numPr>
          <w:ilvl w:val="1"/>
          <w:numId w:val="13"/>
        </w:numPr>
        <w:tabs>
          <w:tab w:pos="1332" w:val="left" w:leader="none"/>
        </w:tabs>
        <w:spacing w:line="242" w:lineRule="auto" w:before="129" w:after="0"/>
        <w:ind w:left="999" w:right="1000" w:firstLine="0"/>
        <w:jc w:val="both"/>
        <w:rPr>
          <w:color w:val="231F20"/>
          <w:sz w:val="19"/>
        </w:rPr>
      </w:pPr>
      <w:r>
        <w:rPr>
          <w:color w:val="231F20"/>
          <w:sz w:val="19"/>
        </w:rPr>
        <w:t>Yoo TH, Chang KH, Ryu DR, Kim JS, Choi HY, Park HC, et al. Usefulness  of 23S rRNA amplification by PCR in the detection of bacteria in CAPD peritonitis. Am J Nephrol</w:t>
      </w:r>
      <w:r>
        <w:rPr>
          <w:color w:val="231F20"/>
          <w:spacing w:val="21"/>
          <w:sz w:val="19"/>
        </w:rPr>
        <w:t> </w:t>
      </w:r>
      <w:r>
        <w:rPr>
          <w:color w:val="231F20"/>
          <w:sz w:val="19"/>
        </w:rPr>
        <w:t>2006</w:t>
      </w:r>
    </w:p>
    <w:p>
      <w:pPr>
        <w:pStyle w:val="BodyText"/>
        <w:rPr>
          <w:sz w:val="18"/>
        </w:rPr>
      </w:pPr>
    </w:p>
    <w:p>
      <w:pPr>
        <w:pStyle w:val="ListParagraph"/>
        <w:numPr>
          <w:ilvl w:val="1"/>
          <w:numId w:val="13"/>
        </w:numPr>
        <w:tabs>
          <w:tab w:pos="1336" w:val="left" w:leader="none"/>
        </w:tabs>
        <w:spacing w:line="242" w:lineRule="auto" w:before="129" w:after="0"/>
        <w:ind w:left="999" w:right="998" w:firstLine="0"/>
        <w:jc w:val="both"/>
        <w:rPr>
          <w:color w:val="231F20"/>
          <w:sz w:val="19"/>
        </w:rPr>
      </w:pPr>
      <w:r>
        <w:rPr>
          <w:color w:val="231F20"/>
          <w:sz w:val="19"/>
        </w:rPr>
        <w:t>Johnson G, Wilks M, Warwick S, Millar MR, Fan SL. Comparative study of diagnosis of PD peritonitis by quantitative polymerase chain reaction  for bacterial DNA vs culture methods. J Nephrol 2006;</w:t>
      </w:r>
      <w:r>
        <w:rPr>
          <w:color w:val="231F20"/>
          <w:spacing w:val="36"/>
          <w:sz w:val="19"/>
        </w:rPr>
        <w:t> </w:t>
      </w:r>
      <w:r>
        <w:rPr>
          <w:color w:val="231F20"/>
          <w:sz w:val="19"/>
        </w:rPr>
        <w:t>19:45–9.</w:t>
      </w:r>
    </w:p>
    <w:p>
      <w:pPr>
        <w:pStyle w:val="BodyText"/>
        <w:rPr>
          <w:sz w:val="18"/>
        </w:rPr>
      </w:pPr>
    </w:p>
    <w:p>
      <w:pPr>
        <w:pStyle w:val="ListParagraph"/>
        <w:numPr>
          <w:ilvl w:val="1"/>
          <w:numId w:val="13"/>
        </w:numPr>
        <w:tabs>
          <w:tab w:pos="1323" w:val="left" w:leader="none"/>
        </w:tabs>
        <w:spacing w:line="242" w:lineRule="auto" w:before="129" w:after="0"/>
        <w:ind w:left="999" w:right="1001" w:firstLine="0"/>
        <w:jc w:val="both"/>
        <w:rPr>
          <w:color w:val="231F20"/>
          <w:sz w:val="19"/>
        </w:rPr>
      </w:pPr>
      <w:r>
        <w:rPr>
          <w:color w:val="231F20"/>
          <w:sz w:val="19"/>
        </w:rPr>
        <w:t>Krishnan M, Thodis E, Ikonomopoulos D, Vidgen E, Chu M, Bargman JM, et al. Predictors of outcome following bacterial peritonitis in peritoneal  dialysis.  Perit Dial Int 2002;</w:t>
      </w:r>
      <w:r>
        <w:rPr>
          <w:color w:val="231F20"/>
          <w:spacing w:val="20"/>
          <w:sz w:val="19"/>
        </w:rPr>
        <w:t> </w:t>
      </w:r>
      <w:r>
        <w:rPr>
          <w:color w:val="231F20"/>
          <w:sz w:val="19"/>
        </w:rPr>
        <w:t>22:573–81.</w:t>
      </w:r>
    </w:p>
    <w:p>
      <w:pPr>
        <w:pStyle w:val="BodyText"/>
        <w:rPr>
          <w:sz w:val="18"/>
        </w:rPr>
      </w:pPr>
    </w:p>
    <w:p>
      <w:pPr>
        <w:pStyle w:val="ListParagraph"/>
        <w:numPr>
          <w:ilvl w:val="1"/>
          <w:numId w:val="13"/>
        </w:numPr>
        <w:tabs>
          <w:tab w:pos="1350" w:val="left" w:leader="none"/>
        </w:tabs>
        <w:spacing w:line="242" w:lineRule="auto" w:before="129" w:after="0"/>
        <w:ind w:left="999" w:right="999" w:firstLine="0"/>
        <w:jc w:val="both"/>
        <w:rPr>
          <w:color w:val="231F20"/>
          <w:sz w:val="19"/>
        </w:rPr>
      </w:pPr>
      <w:r>
        <w:rPr>
          <w:color w:val="231F20"/>
          <w:sz w:val="19"/>
        </w:rPr>
        <w:t>Chow KM, Szeto CC, Cheung KK, Leung CB, Wong SS, Law MC, et al. Predictive value of dialysate cell counts in peritonitis complicating peritoneal dialysis. Clin J Am Soc Nephrol 2006;</w:t>
      </w:r>
      <w:r>
        <w:rPr>
          <w:color w:val="231F20"/>
          <w:spacing w:val="30"/>
          <w:sz w:val="19"/>
        </w:rPr>
        <w:t> </w:t>
      </w:r>
      <w:r>
        <w:rPr>
          <w:color w:val="231F20"/>
          <w:sz w:val="19"/>
        </w:rPr>
        <w:t>1:768–73.</w:t>
      </w:r>
    </w:p>
    <w:p>
      <w:pPr>
        <w:pStyle w:val="BodyText"/>
        <w:rPr>
          <w:sz w:val="18"/>
        </w:rPr>
      </w:pPr>
    </w:p>
    <w:p>
      <w:pPr>
        <w:pStyle w:val="ListParagraph"/>
        <w:numPr>
          <w:ilvl w:val="1"/>
          <w:numId w:val="13"/>
        </w:numPr>
        <w:tabs>
          <w:tab w:pos="1331" w:val="left" w:leader="none"/>
        </w:tabs>
        <w:spacing w:line="242" w:lineRule="auto" w:before="129" w:after="0"/>
        <w:ind w:left="999" w:right="1001" w:firstLine="0"/>
        <w:jc w:val="both"/>
        <w:rPr>
          <w:color w:val="231F20"/>
          <w:sz w:val="19"/>
        </w:rPr>
      </w:pPr>
      <w:r>
        <w:rPr>
          <w:color w:val="231F20"/>
          <w:sz w:val="19"/>
        </w:rPr>
        <w:t>Steiner RW, Halasz NA. Abdominal catastrophes and other unusual events in continuous ambulatory peritoneal dialysis patients. Am J Kidney Dis 1990; 15:1–7.</w:t>
      </w:r>
    </w:p>
    <w:p>
      <w:pPr>
        <w:pStyle w:val="BodyText"/>
        <w:rPr>
          <w:sz w:val="18"/>
        </w:rPr>
      </w:pPr>
    </w:p>
    <w:p>
      <w:pPr>
        <w:pStyle w:val="ListParagraph"/>
        <w:numPr>
          <w:ilvl w:val="1"/>
          <w:numId w:val="13"/>
        </w:numPr>
        <w:tabs>
          <w:tab w:pos="1339" w:val="left" w:leader="none"/>
        </w:tabs>
        <w:spacing w:line="242" w:lineRule="auto" w:before="129" w:after="0"/>
        <w:ind w:left="999" w:right="1000" w:firstLine="0"/>
        <w:jc w:val="both"/>
        <w:rPr>
          <w:color w:val="231F20"/>
          <w:sz w:val="19"/>
        </w:rPr>
      </w:pPr>
      <w:r>
        <w:rPr>
          <w:color w:val="231F20"/>
          <w:sz w:val="19"/>
        </w:rPr>
        <w:t>Wakeen MJ, Zimmerman SW, Bidwell D. Viscous perforation in peritoneal dialysis patients: diagnosis and outcome. Perit Dial Int 1994;</w:t>
      </w:r>
      <w:r>
        <w:rPr>
          <w:color w:val="231F20"/>
          <w:spacing w:val="45"/>
          <w:sz w:val="19"/>
        </w:rPr>
        <w:t> </w:t>
      </w:r>
      <w:r>
        <w:rPr>
          <w:color w:val="231F20"/>
          <w:sz w:val="19"/>
        </w:rPr>
        <w:t>14:371–7.</w:t>
      </w:r>
    </w:p>
    <w:p>
      <w:pPr>
        <w:pStyle w:val="BodyText"/>
        <w:rPr>
          <w:sz w:val="18"/>
        </w:rPr>
      </w:pPr>
    </w:p>
    <w:p>
      <w:pPr>
        <w:pStyle w:val="ListParagraph"/>
        <w:numPr>
          <w:ilvl w:val="1"/>
          <w:numId w:val="13"/>
        </w:numPr>
        <w:tabs>
          <w:tab w:pos="1371" w:val="left" w:leader="none"/>
        </w:tabs>
        <w:spacing w:line="242" w:lineRule="auto" w:before="129" w:after="0"/>
        <w:ind w:left="999" w:right="999" w:firstLine="0"/>
        <w:jc w:val="both"/>
        <w:rPr>
          <w:color w:val="231F20"/>
          <w:sz w:val="19"/>
        </w:rPr>
      </w:pPr>
      <w:r>
        <w:rPr>
          <w:color w:val="231F20"/>
          <w:sz w:val="19"/>
        </w:rPr>
        <w:t>Kern EO, Newman LN, Cacho CP, Schulak JA, Weiss MF. Abdominal catastrophe revisited: the risk and outcome of enteric peritoneal contamination. Perit Dial Int 2002;</w:t>
      </w:r>
      <w:r>
        <w:rPr>
          <w:color w:val="231F20"/>
          <w:spacing w:val="19"/>
          <w:sz w:val="19"/>
        </w:rPr>
        <w:t> </w:t>
      </w:r>
      <w:r>
        <w:rPr>
          <w:color w:val="231F20"/>
          <w:sz w:val="19"/>
        </w:rPr>
        <w:t>22:323–34.</w:t>
      </w:r>
    </w:p>
    <w:p>
      <w:pPr>
        <w:spacing w:after="0" w:line="242" w:lineRule="auto"/>
        <w:jc w:val="both"/>
        <w:rPr>
          <w:sz w:val="19"/>
        </w:rPr>
        <w:sectPr>
          <w:pgSz w:w="12240" w:h="15840"/>
          <w:pgMar w:header="0" w:footer="1972" w:top="1500" w:bottom="2160" w:left="1720" w:right="1720"/>
        </w:sectPr>
      </w:pPr>
    </w:p>
    <w:p>
      <w:pPr>
        <w:pStyle w:val="BodyText"/>
        <w:rPr>
          <w:sz w:val="20"/>
        </w:rPr>
      </w:pPr>
    </w:p>
    <w:p>
      <w:pPr>
        <w:pStyle w:val="BodyText"/>
        <w:rPr>
          <w:sz w:val="20"/>
        </w:rPr>
      </w:pPr>
    </w:p>
    <w:p>
      <w:pPr>
        <w:pStyle w:val="BodyText"/>
        <w:spacing w:before="2"/>
        <w:rPr>
          <w:sz w:val="24"/>
        </w:rPr>
      </w:pPr>
    </w:p>
    <w:p>
      <w:pPr>
        <w:pStyle w:val="ListParagraph"/>
        <w:numPr>
          <w:ilvl w:val="1"/>
          <w:numId w:val="13"/>
        </w:numPr>
        <w:tabs>
          <w:tab w:pos="1329" w:val="left" w:leader="none"/>
        </w:tabs>
        <w:spacing w:line="242" w:lineRule="auto" w:before="78" w:after="0"/>
        <w:ind w:left="999" w:right="995" w:firstLine="0"/>
        <w:jc w:val="both"/>
        <w:rPr>
          <w:color w:val="231F20"/>
          <w:sz w:val="19"/>
        </w:rPr>
      </w:pPr>
      <w:r>
        <w:rPr>
          <w:color w:val="231F20"/>
          <w:sz w:val="19"/>
        </w:rPr>
        <w:t>Kiernan L, Kliger A, Gorban-Brennan N, Juergensen P, Tesin D, Vonesh E, et al. Comparison of continuous ambulatory peritoneal dialysis-related infections with different “Y-tubing” exchange systems. J Am Soc Nephrol 1995;</w:t>
      </w:r>
      <w:r>
        <w:rPr>
          <w:color w:val="231F20"/>
          <w:spacing w:val="48"/>
          <w:sz w:val="19"/>
        </w:rPr>
        <w:t> </w:t>
      </w:r>
      <w:r>
        <w:rPr>
          <w:color w:val="231F20"/>
          <w:sz w:val="19"/>
        </w:rPr>
        <w:t>5:1835–8.</w:t>
      </w:r>
    </w:p>
    <w:p>
      <w:pPr>
        <w:pStyle w:val="BodyText"/>
        <w:rPr>
          <w:sz w:val="18"/>
        </w:rPr>
      </w:pPr>
    </w:p>
    <w:p>
      <w:pPr>
        <w:pStyle w:val="ListParagraph"/>
        <w:numPr>
          <w:ilvl w:val="1"/>
          <w:numId w:val="13"/>
        </w:numPr>
        <w:tabs>
          <w:tab w:pos="1375" w:val="left" w:leader="none"/>
        </w:tabs>
        <w:spacing w:line="242" w:lineRule="auto" w:before="129" w:after="0"/>
        <w:ind w:left="999" w:right="1000" w:firstLine="0"/>
        <w:jc w:val="both"/>
        <w:rPr>
          <w:color w:val="231F20"/>
          <w:sz w:val="19"/>
        </w:rPr>
      </w:pPr>
      <w:r>
        <w:rPr>
          <w:color w:val="231F20"/>
          <w:sz w:val="19"/>
        </w:rPr>
        <w:t>Kim GC, Korbet SM. Polymicrobial peritonitis in continuous ambulatory peritoneal dialysis patients. Am J Kidney Dis 2000;</w:t>
      </w:r>
      <w:r>
        <w:rPr>
          <w:color w:val="231F20"/>
          <w:spacing w:val="40"/>
          <w:sz w:val="19"/>
        </w:rPr>
        <w:t> </w:t>
      </w:r>
      <w:r>
        <w:rPr>
          <w:color w:val="231F20"/>
          <w:sz w:val="19"/>
        </w:rPr>
        <w:t>36:1000–8.</w:t>
      </w:r>
    </w:p>
    <w:p>
      <w:pPr>
        <w:pStyle w:val="BodyText"/>
        <w:rPr>
          <w:sz w:val="18"/>
        </w:rPr>
      </w:pPr>
    </w:p>
    <w:p>
      <w:pPr>
        <w:pStyle w:val="ListParagraph"/>
        <w:numPr>
          <w:ilvl w:val="1"/>
          <w:numId w:val="13"/>
        </w:numPr>
        <w:tabs>
          <w:tab w:pos="1375" w:val="left" w:leader="none"/>
        </w:tabs>
        <w:spacing w:line="242" w:lineRule="auto" w:before="129" w:after="0"/>
        <w:ind w:left="999" w:right="994" w:firstLine="0"/>
        <w:jc w:val="both"/>
        <w:rPr>
          <w:color w:val="231F20"/>
          <w:sz w:val="19"/>
        </w:rPr>
      </w:pPr>
      <w:r>
        <w:rPr>
          <w:color w:val="231F20"/>
          <w:sz w:val="19"/>
        </w:rPr>
        <w:t>Faber MD, Yee J. Diagnosis and management of enteric disease and abdominal catastrophe in peritoneal dialysis patients with peritonitis. Adv  Chronic Kidney Dis 2006; 13:</w:t>
      </w:r>
      <w:r>
        <w:rPr>
          <w:color w:val="231F20"/>
          <w:spacing w:val="21"/>
          <w:sz w:val="19"/>
        </w:rPr>
        <w:t> </w:t>
      </w:r>
      <w:r>
        <w:rPr>
          <w:color w:val="231F20"/>
          <w:sz w:val="19"/>
        </w:rPr>
        <w:t>271–9.</w:t>
      </w:r>
    </w:p>
    <w:p>
      <w:pPr>
        <w:pStyle w:val="BodyText"/>
        <w:rPr>
          <w:sz w:val="18"/>
        </w:rPr>
      </w:pPr>
    </w:p>
    <w:p>
      <w:pPr>
        <w:pStyle w:val="ListParagraph"/>
        <w:numPr>
          <w:ilvl w:val="1"/>
          <w:numId w:val="13"/>
        </w:numPr>
        <w:tabs>
          <w:tab w:pos="1323" w:val="left" w:leader="none"/>
        </w:tabs>
        <w:spacing w:line="242" w:lineRule="auto" w:before="129" w:after="0"/>
        <w:ind w:left="999" w:right="999" w:firstLine="0"/>
        <w:jc w:val="both"/>
        <w:rPr>
          <w:color w:val="231F20"/>
          <w:sz w:val="19"/>
        </w:rPr>
      </w:pPr>
      <w:r>
        <w:rPr>
          <w:color w:val="231F20"/>
          <w:sz w:val="19"/>
        </w:rPr>
        <w:t>Barraclough K, Hawley CM, McDonald SP, Brown FG, Rosman JB, Wiggins KJ, et al. Polymicrobial peritonitis in peritoneal dialysis patients in Australia: predictors, treatment, and outcomes. Am J Kidney Dis</w:t>
      </w:r>
      <w:r>
        <w:rPr>
          <w:color w:val="231F20"/>
          <w:spacing w:val="32"/>
          <w:sz w:val="19"/>
        </w:rPr>
        <w:t> </w:t>
      </w:r>
      <w:r>
        <w:rPr>
          <w:color w:val="231F20"/>
          <w:sz w:val="19"/>
        </w:rPr>
        <w:t>2010</w:t>
      </w:r>
    </w:p>
    <w:p>
      <w:pPr>
        <w:pStyle w:val="BodyText"/>
        <w:rPr>
          <w:sz w:val="18"/>
        </w:rPr>
      </w:pPr>
    </w:p>
    <w:p>
      <w:pPr>
        <w:pStyle w:val="ListParagraph"/>
        <w:numPr>
          <w:ilvl w:val="1"/>
          <w:numId w:val="13"/>
        </w:numPr>
        <w:tabs>
          <w:tab w:pos="1323" w:val="left" w:leader="none"/>
        </w:tabs>
        <w:spacing w:line="242" w:lineRule="auto" w:before="129" w:after="0"/>
        <w:ind w:left="999" w:right="1000" w:firstLine="0"/>
        <w:jc w:val="both"/>
        <w:rPr>
          <w:color w:val="231F20"/>
          <w:sz w:val="19"/>
        </w:rPr>
      </w:pPr>
      <w:r>
        <w:rPr>
          <w:color w:val="231F20"/>
          <w:sz w:val="19"/>
        </w:rPr>
        <w:t>Prasad KN, Prasad N, Gupta A, Sharma RK, Verma AK, Ayyagari A. Fungal peritonitis in patients on continuous ambulatory peritoneal dialysis: a single centre Indian experience. J Infect 2004;</w:t>
      </w:r>
      <w:r>
        <w:rPr>
          <w:color w:val="231F20"/>
          <w:spacing w:val="29"/>
          <w:sz w:val="19"/>
        </w:rPr>
        <w:t> </w:t>
      </w:r>
      <w:r>
        <w:rPr>
          <w:color w:val="231F20"/>
          <w:sz w:val="19"/>
        </w:rPr>
        <w:t>48:96–101.</w:t>
      </w:r>
    </w:p>
    <w:p>
      <w:pPr>
        <w:pStyle w:val="BodyText"/>
        <w:rPr>
          <w:sz w:val="18"/>
        </w:rPr>
      </w:pPr>
    </w:p>
    <w:p>
      <w:pPr>
        <w:pStyle w:val="ListParagraph"/>
        <w:numPr>
          <w:ilvl w:val="1"/>
          <w:numId w:val="13"/>
        </w:numPr>
        <w:tabs>
          <w:tab w:pos="1365" w:val="left" w:leader="none"/>
        </w:tabs>
        <w:spacing w:line="242" w:lineRule="auto" w:before="129" w:after="0"/>
        <w:ind w:left="999" w:right="992" w:firstLine="0"/>
        <w:jc w:val="both"/>
        <w:rPr>
          <w:color w:val="231F20"/>
          <w:sz w:val="19"/>
        </w:rPr>
      </w:pPr>
      <w:r>
        <w:rPr>
          <w:color w:val="231F20"/>
          <w:sz w:val="19"/>
        </w:rPr>
        <w:t>Wang AY, Yu AW, Li PK, Lam PK, Leung CB, Lai KN, et al. Factors predicting outcome of fungal peritonitis in peritoneal dialysis: analysis of a </w:t>
      </w:r>
      <w:r>
        <w:rPr>
          <w:color w:val="231F20"/>
          <w:spacing w:val="4"/>
          <w:sz w:val="19"/>
        </w:rPr>
        <w:t>9- </w:t>
      </w:r>
      <w:r>
        <w:rPr>
          <w:color w:val="231F20"/>
          <w:sz w:val="19"/>
        </w:rPr>
        <w:t>year experience of fungal peritonitis in a single center. Am J Kidney Dis</w:t>
      </w:r>
      <w:r>
        <w:rPr>
          <w:color w:val="231F20"/>
          <w:spacing w:val="43"/>
          <w:sz w:val="19"/>
        </w:rPr>
        <w:t> </w:t>
      </w:r>
      <w:r>
        <w:rPr>
          <w:color w:val="231F20"/>
          <w:sz w:val="19"/>
        </w:rPr>
        <w:t>2000;</w:t>
      </w:r>
    </w:p>
    <w:p>
      <w:pPr>
        <w:pStyle w:val="BodyText"/>
        <w:rPr>
          <w:sz w:val="18"/>
        </w:rPr>
      </w:pPr>
    </w:p>
    <w:p>
      <w:pPr>
        <w:pStyle w:val="ListParagraph"/>
        <w:numPr>
          <w:ilvl w:val="1"/>
          <w:numId w:val="13"/>
        </w:numPr>
        <w:tabs>
          <w:tab w:pos="1326" w:val="left" w:leader="none"/>
        </w:tabs>
        <w:spacing w:line="242" w:lineRule="auto" w:before="129" w:after="0"/>
        <w:ind w:left="999" w:right="999" w:firstLine="0"/>
        <w:jc w:val="both"/>
        <w:rPr>
          <w:color w:val="231F20"/>
          <w:sz w:val="19"/>
        </w:rPr>
      </w:pPr>
      <w:r>
        <w:rPr>
          <w:color w:val="231F20"/>
          <w:sz w:val="19"/>
        </w:rPr>
        <w:t>Miles R, Hawley CM, McDonald SP, Brown FG, Rosman JB, Wiggins KJ, et al. Predictors and outcomes of fungal peritonitis in peritoneal dialysis patients. Kidney Int</w:t>
      </w:r>
      <w:r>
        <w:rPr>
          <w:color w:val="231F20"/>
          <w:spacing w:val="7"/>
          <w:sz w:val="19"/>
        </w:rPr>
        <w:t> </w:t>
      </w:r>
      <w:r>
        <w:rPr>
          <w:color w:val="231F20"/>
          <w:sz w:val="19"/>
        </w:rPr>
        <w:t>2009</w:t>
      </w:r>
    </w:p>
    <w:p>
      <w:pPr>
        <w:pStyle w:val="BodyText"/>
        <w:rPr>
          <w:sz w:val="18"/>
        </w:rPr>
      </w:pPr>
    </w:p>
    <w:p>
      <w:pPr>
        <w:pStyle w:val="ListParagraph"/>
        <w:numPr>
          <w:ilvl w:val="1"/>
          <w:numId w:val="13"/>
        </w:numPr>
        <w:tabs>
          <w:tab w:pos="1363" w:val="left" w:leader="none"/>
        </w:tabs>
        <w:spacing w:line="242" w:lineRule="auto" w:before="129" w:after="0"/>
        <w:ind w:left="999" w:right="993" w:firstLine="0"/>
        <w:jc w:val="both"/>
        <w:rPr>
          <w:color w:val="231F20"/>
          <w:sz w:val="19"/>
        </w:rPr>
      </w:pPr>
      <w:r>
        <w:rPr>
          <w:color w:val="231F20"/>
          <w:sz w:val="19"/>
        </w:rPr>
        <w:t>Strippoli GFM, Tong A, Johnson D, Schena FP, Craig JC. Técnicas de inserción, colocación y tipo de catéter para la prevención de la peritonitis en pacientes con diálisis peritoneal (Revisión Cochrane traducida). En:  </w:t>
      </w:r>
      <w:r>
        <w:rPr>
          <w:i/>
          <w:color w:val="231F20"/>
          <w:sz w:val="19"/>
        </w:rPr>
        <w:t>La </w:t>
      </w:r>
      <w:r>
        <w:rPr>
          <w:i/>
          <w:color w:val="231F20"/>
          <w:sz w:val="19"/>
        </w:rPr>
        <w:t>Biblioteca Cochrane Plus</w:t>
      </w:r>
      <w:r>
        <w:rPr>
          <w:color w:val="231F20"/>
          <w:sz w:val="19"/>
        </w:rPr>
        <w:t>,</w:t>
      </w:r>
      <w:r>
        <w:rPr>
          <w:color w:val="231F20"/>
          <w:spacing w:val="19"/>
          <w:sz w:val="19"/>
        </w:rPr>
        <w:t> </w:t>
      </w:r>
      <w:r>
        <w:rPr>
          <w:color w:val="231F20"/>
          <w:sz w:val="19"/>
        </w:rPr>
        <w:t>2008</w:t>
      </w:r>
    </w:p>
    <w:p>
      <w:pPr>
        <w:pStyle w:val="BodyText"/>
        <w:rPr>
          <w:sz w:val="18"/>
        </w:rPr>
      </w:pPr>
    </w:p>
    <w:p>
      <w:pPr>
        <w:pStyle w:val="ListParagraph"/>
        <w:numPr>
          <w:ilvl w:val="1"/>
          <w:numId w:val="13"/>
        </w:numPr>
        <w:tabs>
          <w:tab w:pos="1326" w:val="left" w:leader="none"/>
        </w:tabs>
        <w:spacing w:line="242" w:lineRule="auto" w:before="112" w:after="0"/>
        <w:ind w:left="999" w:right="990" w:firstLine="0"/>
        <w:jc w:val="both"/>
        <w:rPr>
          <w:color w:val="231F20"/>
          <w:sz w:val="17"/>
        </w:rPr>
      </w:pPr>
      <w:r>
        <w:rPr>
          <w:color w:val="231F20"/>
          <w:sz w:val="19"/>
        </w:rPr>
        <w:t>Danielsson A, Blohme, L, Tranaeus A et al. </w:t>
      </w:r>
      <w:r>
        <w:rPr>
          <w:i/>
          <w:color w:val="231F20"/>
          <w:sz w:val="19"/>
        </w:rPr>
        <w:t>The CARI Guidelines </w:t>
      </w:r>
      <w:r>
        <w:rPr>
          <w:color w:val="231F20"/>
          <w:sz w:val="19"/>
        </w:rPr>
        <w:t>A pro- spective randomized study of the effect of a subcutaneously "buried" peritoneal dialysis catheter technique versus standard technique on the incidence of peritonitis and exit-site infection. Perit Dial Int 2002; 22(2):</w:t>
      </w:r>
      <w:r>
        <w:rPr>
          <w:color w:val="231F20"/>
          <w:spacing w:val="43"/>
          <w:sz w:val="19"/>
        </w:rPr>
        <w:t> </w:t>
      </w:r>
      <w:r>
        <w:rPr>
          <w:color w:val="231F20"/>
          <w:sz w:val="19"/>
        </w:rPr>
        <w:t>211-19.</w:t>
      </w:r>
    </w:p>
    <w:p>
      <w:pPr>
        <w:pStyle w:val="BodyText"/>
        <w:rPr>
          <w:sz w:val="18"/>
        </w:rPr>
      </w:pPr>
    </w:p>
    <w:p>
      <w:pPr>
        <w:pStyle w:val="ListParagraph"/>
        <w:numPr>
          <w:ilvl w:val="1"/>
          <w:numId w:val="13"/>
        </w:numPr>
        <w:tabs>
          <w:tab w:pos="1389" w:val="left" w:leader="none"/>
        </w:tabs>
        <w:spacing w:line="244" w:lineRule="auto" w:before="125" w:after="0"/>
        <w:ind w:left="999" w:right="995" w:firstLine="0"/>
        <w:jc w:val="both"/>
        <w:rPr>
          <w:color w:val="231F20"/>
          <w:sz w:val="19"/>
        </w:rPr>
      </w:pPr>
      <w:r>
        <w:rPr>
          <w:color w:val="231F20"/>
          <w:sz w:val="19"/>
        </w:rPr>
        <w:t>Wikdahl AM, Engman U, Stegmayr BG et al. </w:t>
      </w:r>
      <w:r>
        <w:rPr>
          <w:i/>
          <w:color w:val="231F20"/>
          <w:sz w:val="19"/>
        </w:rPr>
        <w:t>The CARI Guidelines. </w:t>
      </w:r>
      <w:r>
        <w:rPr>
          <w:color w:val="231F20"/>
          <w:sz w:val="19"/>
        </w:rPr>
        <w:t>One-dose cefuroxime i.v. and i.p. reduces microbial growth in PD patients after catheter insertion. Nephrol Dial Transplant 1997; 12:</w:t>
      </w:r>
      <w:r>
        <w:rPr>
          <w:color w:val="231F20"/>
          <w:spacing w:val="38"/>
          <w:sz w:val="19"/>
        </w:rPr>
        <w:t> </w:t>
      </w:r>
      <w:r>
        <w:rPr>
          <w:color w:val="231F20"/>
          <w:sz w:val="19"/>
        </w:rPr>
        <w:t>157-60.</w:t>
      </w:r>
    </w:p>
    <w:p>
      <w:pPr>
        <w:pStyle w:val="BodyText"/>
        <w:rPr>
          <w:sz w:val="18"/>
        </w:rPr>
      </w:pPr>
    </w:p>
    <w:p>
      <w:pPr>
        <w:pStyle w:val="ListParagraph"/>
        <w:numPr>
          <w:ilvl w:val="1"/>
          <w:numId w:val="13"/>
        </w:numPr>
        <w:tabs>
          <w:tab w:pos="1396" w:val="left" w:leader="none"/>
        </w:tabs>
        <w:spacing w:line="242" w:lineRule="auto" w:before="127" w:after="0"/>
        <w:ind w:left="999" w:right="993" w:firstLine="0"/>
        <w:jc w:val="both"/>
        <w:rPr>
          <w:color w:val="231F20"/>
          <w:sz w:val="19"/>
        </w:rPr>
      </w:pPr>
      <w:r>
        <w:rPr>
          <w:color w:val="231F20"/>
          <w:sz w:val="19"/>
        </w:rPr>
        <w:t>Strippoli GFM, Tong A, Johnson D, Schena FP, Craig JC. Agentes antimicrobianos para la prevención de la peritonitis en pacientes con diálisis peritoneal (Revisión Cochrane traducida). En: </w:t>
      </w:r>
      <w:r>
        <w:rPr>
          <w:i/>
          <w:color w:val="231F20"/>
          <w:sz w:val="19"/>
        </w:rPr>
        <w:t>La Biblioteca Cochrane Plus</w:t>
      </w:r>
      <w:r>
        <w:rPr>
          <w:color w:val="231F20"/>
          <w:sz w:val="19"/>
        </w:rPr>
        <w:t>, 2008.</w:t>
      </w:r>
    </w:p>
    <w:p>
      <w:pPr>
        <w:spacing w:after="0" w:line="242" w:lineRule="auto"/>
        <w:jc w:val="both"/>
        <w:rPr>
          <w:sz w:val="19"/>
        </w:rPr>
        <w:sectPr>
          <w:pgSz w:w="12240" w:h="15840"/>
          <w:pgMar w:header="0" w:footer="1972" w:top="1500" w:bottom="2160" w:left="1720" w:right="1720"/>
        </w:sectPr>
      </w:pPr>
    </w:p>
    <w:p>
      <w:pPr>
        <w:pStyle w:val="BodyText"/>
        <w:rPr>
          <w:sz w:val="20"/>
        </w:rPr>
      </w:pPr>
    </w:p>
    <w:p>
      <w:pPr>
        <w:pStyle w:val="BodyText"/>
        <w:rPr>
          <w:sz w:val="20"/>
        </w:rPr>
      </w:pPr>
    </w:p>
    <w:p>
      <w:pPr>
        <w:pStyle w:val="BodyText"/>
        <w:rPr>
          <w:sz w:val="20"/>
        </w:rPr>
      </w:pPr>
    </w:p>
    <w:p>
      <w:pPr>
        <w:pStyle w:val="BodyText"/>
        <w:rPr>
          <w:sz w:val="13"/>
        </w:rPr>
      </w:pPr>
    </w:p>
    <w:p>
      <w:pPr>
        <w:pStyle w:val="BodyText"/>
        <w:ind w:left="112"/>
        <w:rPr>
          <w:sz w:val="20"/>
        </w:rPr>
      </w:pPr>
      <w:r>
        <w:rPr>
          <w:sz w:val="20"/>
        </w:rPr>
        <w:drawing>
          <wp:inline distT="0" distB="0" distL="0" distR="0">
            <wp:extent cx="1213142" cy="453009"/>
            <wp:effectExtent l="0" t="0" r="0" b="0"/>
            <wp:docPr id="21" name="image37.jpeg" descr=""/>
            <wp:cNvGraphicFramePr>
              <a:graphicFrameLocks noChangeAspect="1"/>
            </wp:cNvGraphicFramePr>
            <a:graphic>
              <a:graphicData uri="http://schemas.openxmlformats.org/drawingml/2006/picture">
                <pic:pic>
                  <pic:nvPicPr>
                    <pic:cNvPr id="22" name="image37.jpeg"/>
                    <pic:cNvPicPr/>
                  </pic:nvPicPr>
                  <pic:blipFill>
                    <a:blip r:embed="rId44" cstate="print"/>
                    <a:stretch>
                      <a:fillRect/>
                    </a:stretch>
                  </pic:blipFill>
                  <pic:spPr>
                    <a:xfrm>
                      <a:off x="0" y="0"/>
                      <a:ext cx="1213142" cy="453009"/>
                    </a:xfrm>
                    <a:prstGeom prst="rect">
                      <a:avLst/>
                    </a:prstGeom>
                  </pic:spPr>
                </pic:pic>
              </a:graphicData>
            </a:graphic>
          </wp:inline>
        </w:drawing>
      </w:r>
      <w:r>
        <w:rPr>
          <w:sz w:val="20"/>
        </w:rPr>
      </w:r>
    </w:p>
    <w:p>
      <w:pPr>
        <w:pStyle w:val="BodyText"/>
        <w:spacing w:before="10"/>
        <w:rPr>
          <w:sz w:val="18"/>
        </w:rPr>
      </w:pPr>
    </w:p>
    <w:p>
      <w:pPr>
        <w:pStyle w:val="Heading1"/>
        <w:spacing w:before="78"/>
        <w:ind w:left="4411" w:right="4470"/>
        <w:jc w:val="center"/>
      </w:pPr>
      <w:r>
        <w:rPr/>
        <w:drawing>
          <wp:anchor distT="0" distB="0" distL="0" distR="0" allowOverlap="1" layoutInCell="1" locked="0" behindDoc="0" simplePos="0" relativeHeight="2008">
            <wp:simplePos x="0" y="0"/>
            <wp:positionH relativeFrom="page">
              <wp:posOffset>7139940</wp:posOffset>
            </wp:positionH>
            <wp:positionV relativeFrom="paragraph">
              <wp:posOffset>-720818</wp:posOffset>
            </wp:positionV>
            <wp:extent cx="1737359" cy="861060"/>
            <wp:effectExtent l="0" t="0" r="0" b="0"/>
            <wp:wrapNone/>
            <wp:docPr id="23" name="image38.jpeg" descr=""/>
            <wp:cNvGraphicFramePr>
              <a:graphicFrameLocks noChangeAspect="1"/>
            </wp:cNvGraphicFramePr>
            <a:graphic>
              <a:graphicData uri="http://schemas.openxmlformats.org/drawingml/2006/picture">
                <pic:pic>
                  <pic:nvPicPr>
                    <pic:cNvPr id="24" name="image38.jpeg"/>
                    <pic:cNvPicPr/>
                  </pic:nvPicPr>
                  <pic:blipFill>
                    <a:blip r:embed="rId45" cstate="print"/>
                    <a:stretch>
                      <a:fillRect/>
                    </a:stretch>
                  </pic:blipFill>
                  <pic:spPr>
                    <a:xfrm>
                      <a:off x="0" y="0"/>
                      <a:ext cx="1737359" cy="861060"/>
                    </a:xfrm>
                    <a:prstGeom prst="rect">
                      <a:avLst/>
                    </a:prstGeom>
                  </pic:spPr>
                </pic:pic>
              </a:graphicData>
            </a:graphic>
          </wp:anchor>
        </w:drawing>
      </w:r>
      <w:r>
        <w:rPr>
          <w:color w:val="231F20"/>
        </w:rPr>
        <w:t>ANEXO 1</w:t>
      </w:r>
    </w:p>
    <w:p>
      <w:pPr>
        <w:pStyle w:val="Heading2"/>
        <w:spacing w:before="2"/>
        <w:ind w:left="4413" w:right="4470"/>
        <w:jc w:val="center"/>
        <w:rPr>
          <w:i/>
        </w:rPr>
      </w:pPr>
      <w:r>
        <w:rPr>
          <w:i/>
          <w:color w:val="231F20"/>
        </w:rPr>
        <w:t>HOJA DE RECOLECCIÓN DE DATOS</w:t>
      </w:r>
    </w:p>
    <w:p>
      <w:pPr>
        <w:pStyle w:val="BodyText"/>
        <w:spacing w:before="7"/>
        <w:rPr>
          <w:b/>
          <w:i/>
          <w:sz w:val="12"/>
        </w:rPr>
      </w:pPr>
    </w:p>
    <w:p>
      <w:pPr>
        <w:spacing w:line="242" w:lineRule="auto" w:before="78"/>
        <w:ind w:left="3080" w:right="947" w:hanging="1934"/>
        <w:jc w:val="left"/>
        <w:rPr>
          <w:b/>
          <w:sz w:val="19"/>
        </w:rPr>
      </w:pPr>
      <w:r>
        <w:rPr>
          <w:b/>
          <w:color w:val="231F20"/>
          <w:sz w:val="19"/>
        </w:rPr>
        <w:t>“PERITONITIS ASOCIADA A DIÁLISIS PERITONEAL, FRECUENCIA EN EL SERVICIO DE MEDICINA INTERNA DEL  HOSPITAL GENERAL DE TLALNEPANTLA EN EL AÑO 2011”</w:t>
      </w:r>
    </w:p>
    <w:p>
      <w:pPr>
        <w:pStyle w:val="BodyText"/>
        <w:spacing w:before="10"/>
        <w:rPr>
          <w:b/>
          <w:sz w:val="17"/>
        </w:rPr>
      </w:pPr>
    </w:p>
    <w:p>
      <w:pPr>
        <w:tabs>
          <w:tab w:pos="2550" w:val="left" w:leader="none"/>
          <w:tab w:pos="3321" w:val="left" w:leader="none"/>
        </w:tabs>
        <w:spacing w:before="0"/>
        <w:ind w:left="1125" w:right="947" w:firstLine="0"/>
        <w:jc w:val="left"/>
        <w:rPr>
          <w:b/>
          <w:sz w:val="17"/>
        </w:rPr>
      </w:pPr>
      <w:r>
        <w:rPr>
          <w:b/>
          <w:color w:val="231F20"/>
          <w:w w:val="105"/>
          <w:sz w:val="17"/>
        </w:rPr>
        <w:t>1º </w:t>
      </w:r>
      <w:r>
        <w:rPr>
          <w:b/>
          <w:color w:val="231F20"/>
          <w:spacing w:val="-4"/>
          <w:w w:val="105"/>
          <w:sz w:val="17"/>
        </w:rPr>
        <w:t>AL</w:t>
      </w:r>
      <w:r>
        <w:rPr>
          <w:b/>
          <w:color w:val="231F20"/>
          <w:spacing w:val="-5"/>
          <w:w w:val="105"/>
          <w:sz w:val="17"/>
        </w:rPr>
        <w:t> </w:t>
      </w:r>
      <w:r>
        <w:rPr>
          <w:b/>
          <w:color w:val="231F20"/>
          <w:w w:val="105"/>
          <w:sz w:val="17"/>
        </w:rPr>
        <w:t>31</w:t>
      </w:r>
      <w:r>
        <w:rPr>
          <w:b/>
          <w:color w:val="231F20"/>
          <w:spacing w:val="-3"/>
          <w:w w:val="105"/>
          <w:sz w:val="17"/>
        </w:rPr>
        <w:t> </w:t>
      </w:r>
      <w:r>
        <w:rPr>
          <w:b/>
          <w:color w:val="231F20"/>
          <w:w w:val="105"/>
          <w:sz w:val="17"/>
        </w:rPr>
        <w:t>DE</w:t>
      </w:r>
      <w:r>
        <w:rPr>
          <w:b/>
          <w:color w:val="231F20"/>
          <w:w w:val="105"/>
          <w:sz w:val="17"/>
          <w:u w:val="double" w:color="231F20"/>
        </w:rPr>
        <w:t> </w:t>
        <w:tab/>
        <w:t>MES</w:t>
        <w:tab/>
      </w:r>
      <w:r>
        <w:rPr>
          <w:b/>
          <w:color w:val="231F20"/>
          <w:w w:val="105"/>
          <w:sz w:val="17"/>
        </w:rPr>
        <w:t>2011</w:t>
      </w:r>
    </w:p>
    <w:p>
      <w:pPr>
        <w:spacing w:before="108"/>
        <w:ind w:left="1125" w:right="947" w:firstLine="0"/>
        <w:jc w:val="left"/>
        <w:rPr>
          <w:b/>
          <w:sz w:val="17"/>
        </w:rPr>
      </w:pPr>
      <w:r>
        <w:rPr>
          <w:b/>
          <w:color w:val="231F20"/>
          <w:w w:val="105"/>
          <w:sz w:val="17"/>
        </w:rPr>
        <w:t>ELABORA: DR VÍCTOR MANUEL DOMÍNGUEZ DE LA CRUZ</w:t>
      </w:r>
    </w:p>
    <w:p>
      <w:pPr>
        <w:pStyle w:val="BodyText"/>
        <w:spacing w:before="10"/>
        <w:rPr>
          <w:b/>
          <w:sz w:val="26"/>
        </w:rPr>
      </w:pPr>
    </w:p>
    <w:tbl>
      <w:tblPr>
        <w:tblW w:w="0" w:type="auto"/>
        <w:jc w:val="left"/>
        <w:tblInd w:w="779" w:type="dxa"/>
        <w:tblBorders>
          <w:top w:val="single" w:sz="3" w:space="0" w:color="231F20"/>
          <w:left w:val="single" w:sz="3" w:space="0" w:color="231F20"/>
          <w:bottom w:val="single" w:sz="3" w:space="0" w:color="231F20"/>
          <w:right w:val="single" w:sz="3" w:space="0" w:color="231F20"/>
          <w:insideH w:val="single" w:sz="3" w:space="0" w:color="231F20"/>
          <w:insideV w:val="single" w:sz="3" w:space="0" w:color="231F20"/>
        </w:tblBorders>
        <w:tblLayout w:type="fixed"/>
        <w:tblCellMar>
          <w:top w:w="0" w:type="dxa"/>
          <w:left w:w="0" w:type="dxa"/>
          <w:bottom w:w="0" w:type="dxa"/>
          <w:right w:w="0" w:type="dxa"/>
        </w:tblCellMar>
        <w:tblLook w:val="01E0"/>
      </w:tblPr>
      <w:tblGrid>
        <w:gridCol w:w="1817"/>
        <w:gridCol w:w="1133"/>
        <w:gridCol w:w="795"/>
        <w:gridCol w:w="1133"/>
        <w:gridCol w:w="1135"/>
        <w:gridCol w:w="1814"/>
        <w:gridCol w:w="909"/>
        <w:gridCol w:w="1135"/>
        <w:gridCol w:w="1133"/>
      </w:tblGrid>
      <w:tr>
        <w:trPr>
          <w:trHeight w:val="559" w:hRule="exact"/>
        </w:trPr>
        <w:tc>
          <w:tcPr>
            <w:tcW w:w="1817" w:type="dxa"/>
          </w:tcPr>
          <w:p>
            <w:pPr>
              <w:pStyle w:val="TableParagraph"/>
              <w:spacing w:line="180" w:lineRule="exact"/>
              <w:ind w:left="601"/>
              <w:jc w:val="left"/>
              <w:rPr>
                <w:b/>
                <w:sz w:val="16"/>
              </w:rPr>
            </w:pPr>
            <w:r>
              <w:rPr>
                <w:b/>
                <w:color w:val="231F20"/>
                <w:sz w:val="16"/>
              </w:rPr>
              <w:t>Nombre</w:t>
            </w:r>
          </w:p>
        </w:tc>
        <w:tc>
          <w:tcPr>
            <w:tcW w:w="1133" w:type="dxa"/>
          </w:tcPr>
          <w:p>
            <w:pPr>
              <w:pStyle w:val="TableParagraph"/>
              <w:spacing w:line="180" w:lineRule="exact"/>
              <w:ind w:left="134"/>
              <w:jc w:val="left"/>
              <w:rPr>
                <w:b/>
                <w:sz w:val="16"/>
              </w:rPr>
            </w:pPr>
            <w:r>
              <w:rPr>
                <w:b/>
                <w:color w:val="231F20"/>
                <w:sz w:val="16"/>
              </w:rPr>
              <w:t>Expediente</w:t>
            </w:r>
          </w:p>
        </w:tc>
        <w:tc>
          <w:tcPr>
            <w:tcW w:w="795" w:type="dxa"/>
          </w:tcPr>
          <w:p>
            <w:pPr>
              <w:pStyle w:val="TableParagraph"/>
              <w:ind w:left="205" w:right="74" w:hanging="116"/>
              <w:jc w:val="left"/>
              <w:rPr>
                <w:b/>
                <w:sz w:val="16"/>
              </w:rPr>
            </w:pPr>
            <w:r>
              <w:rPr>
                <w:b/>
                <w:color w:val="231F20"/>
                <w:sz w:val="16"/>
              </w:rPr>
              <w:t>Genero/ edad</w:t>
            </w:r>
          </w:p>
        </w:tc>
        <w:tc>
          <w:tcPr>
            <w:tcW w:w="1133" w:type="dxa"/>
          </w:tcPr>
          <w:p>
            <w:pPr>
              <w:pStyle w:val="TableParagraph"/>
              <w:ind w:left="172" w:firstLine="32"/>
              <w:jc w:val="left"/>
              <w:rPr>
                <w:b/>
                <w:sz w:val="16"/>
              </w:rPr>
            </w:pPr>
            <w:r>
              <w:rPr>
                <w:b/>
                <w:color w:val="231F20"/>
                <w:sz w:val="16"/>
              </w:rPr>
              <w:t>Fecha Dx </w:t>
            </w:r>
            <w:r>
              <w:rPr>
                <w:b/>
                <w:color w:val="231F20"/>
                <w:w w:val="95"/>
                <w:sz w:val="16"/>
              </w:rPr>
              <w:t>peritonitis</w:t>
            </w:r>
          </w:p>
        </w:tc>
        <w:tc>
          <w:tcPr>
            <w:tcW w:w="1135" w:type="dxa"/>
          </w:tcPr>
          <w:p>
            <w:pPr>
              <w:pStyle w:val="TableParagraph"/>
              <w:ind w:left="216" w:right="82" w:hanging="116"/>
              <w:jc w:val="left"/>
              <w:rPr>
                <w:b/>
                <w:sz w:val="16"/>
              </w:rPr>
            </w:pPr>
            <w:r>
              <w:rPr>
                <w:b/>
                <w:color w:val="231F20"/>
                <w:sz w:val="16"/>
              </w:rPr>
              <w:t>Recurrencia (#meses)</w:t>
            </w:r>
          </w:p>
        </w:tc>
        <w:tc>
          <w:tcPr>
            <w:tcW w:w="1814" w:type="dxa"/>
          </w:tcPr>
          <w:p>
            <w:pPr>
              <w:pStyle w:val="TableParagraph"/>
              <w:spacing w:line="180" w:lineRule="exact"/>
              <w:ind w:left="232"/>
              <w:jc w:val="left"/>
              <w:rPr>
                <w:b/>
                <w:sz w:val="16"/>
              </w:rPr>
            </w:pPr>
            <w:r>
              <w:rPr>
                <w:b/>
                <w:color w:val="231F20"/>
                <w:sz w:val="16"/>
              </w:rPr>
              <w:t>Agente etiológico</w:t>
            </w:r>
          </w:p>
        </w:tc>
        <w:tc>
          <w:tcPr>
            <w:tcW w:w="909" w:type="dxa"/>
          </w:tcPr>
          <w:p>
            <w:pPr>
              <w:pStyle w:val="TableParagraph"/>
              <w:ind w:left="138" w:right="120" w:firstLine="142"/>
              <w:jc w:val="left"/>
              <w:rPr>
                <w:b/>
                <w:sz w:val="16"/>
              </w:rPr>
            </w:pPr>
            <w:r>
              <w:rPr>
                <w:b/>
                <w:color w:val="231F20"/>
                <w:sz w:val="16"/>
              </w:rPr>
              <w:t>Días hospita-</w:t>
            </w:r>
            <w:r>
              <w:rPr>
                <w:b/>
                <w:color w:val="231F20"/>
                <w:w w:val="99"/>
                <w:sz w:val="16"/>
              </w:rPr>
              <w:t> </w:t>
            </w:r>
            <w:r>
              <w:rPr>
                <w:b/>
                <w:color w:val="231F20"/>
                <w:sz w:val="16"/>
              </w:rPr>
              <w:t>lización</w:t>
            </w:r>
          </w:p>
        </w:tc>
        <w:tc>
          <w:tcPr>
            <w:tcW w:w="1135" w:type="dxa"/>
          </w:tcPr>
          <w:p>
            <w:pPr>
              <w:pStyle w:val="TableParagraph"/>
              <w:ind w:left="92" w:right="92" w:hanging="1"/>
              <w:rPr>
                <w:b/>
                <w:sz w:val="16"/>
              </w:rPr>
            </w:pPr>
            <w:r>
              <w:rPr>
                <w:b/>
                <w:color w:val="231F20"/>
                <w:sz w:val="16"/>
              </w:rPr>
              <w:t>Asociación a</w:t>
            </w:r>
            <w:r>
              <w:rPr>
                <w:b/>
                <w:color w:val="231F20"/>
                <w:spacing w:val="-4"/>
                <w:sz w:val="16"/>
              </w:rPr>
              <w:t> </w:t>
            </w:r>
            <w:r>
              <w:rPr>
                <w:b/>
                <w:color w:val="231F20"/>
                <w:sz w:val="16"/>
              </w:rPr>
              <w:t>disfunción</w:t>
            </w:r>
            <w:r>
              <w:rPr>
                <w:b/>
                <w:color w:val="231F20"/>
                <w:w w:val="99"/>
                <w:sz w:val="16"/>
              </w:rPr>
              <w:t> </w:t>
            </w:r>
            <w:r>
              <w:rPr>
                <w:b/>
                <w:color w:val="231F20"/>
                <w:sz w:val="16"/>
              </w:rPr>
              <w:t>de</w:t>
            </w:r>
            <w:r>
              <w:rPr>
                <w:b/>
                <w:color w:val="231F20"/>
                <w:spacing w:val="-4"/>
                <w:sz w:val="16"/>
              </w:rPr>
              <w:t> </w:t>
            </w:r>
            <w:r>
              <w:rPr>
                <w:b/>
                <w:color w:val="231F20"/>
                <w:sz w:val="16"/>
              </w:rPr>
              <w:t>catéter</w:t>
            </w:r>
          </w:p>
        </w:tc>
        <w:tc>
          <w:tcPr>
            <w:tcW w:w="1133" w:type="dxa"/>
          </w:tcPr>
          <w:p>
            <w:pPr>
              <w:pStyle w:val="TableParagraph"/>
              <w:ind w:left="136" w:right="138"/>
              <w:rPr>
                <w:b/>
                <w:sz w:val="16"/>
              </w:rPr>
            </w:pPr>
            <w:r>
              <w:rPr>
                <w:b/>
                <w:color w:val="231F20"/>
                <w:w w:val="95"/>
                <w:sz w:val="16"/>
              </w:rPr>
              <w:t>Asociación </w:t>
            </w:r>
            <w:r>
              <w:rPr>
                <w:b/>
                <w:color w:val="231F20"/>
                <w:sz w:val="16"/>
              </w:rPr>
              <w:t>muerte paciente</w:t>
            </w:r>
          </w:p>
        </w:tc>
      </w:tr>
      <w:tr>
        <w:trPr>
          <w:trHeight w:val="211"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09"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11"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10"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11"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11"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09"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11"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09"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11"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11"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09"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11"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r>
        <w:trPr>
          <w:trHeight w:val="210" w:hRule="exact"/>
        </w:trPr>
        <w:tc>
          <w:tcPr>
            <w:tcW w:w="1817" w:type="dxa"/>
          </w:tcPr>
          <w:p>
            <w:pPr/>
          </w:p>
        </w:tc>
        <w:tc>
          <w:tcPr>
            <w:tcW w:w="1133" w:type="dxa"/>
          </w:tcPr>
          <w:p>
            <w:pPr/>
          </w:p>
        </w:tc>
        <w:tc>
          <w:tcPr>
            <w:tcW w:w="795" w:type="dxa"/>
          </w:tcPr>
          <w:p>
            <w:pPr/>
          </w:p>
        </w:tc>
        <w:tc>
          <w:tcPr>
            <w:tcW w:w="1133" w:type="dxa"/>
          </w:tcPr>
          <w:p>
            <w:pPr/>
          </w:p>
        </w:tc>
        <w:tc>
          <w:tcPr>
            <w:tcW w:w="1135" w:type="dxa"/>
          </w:tcPr>
          <w:p>
            <w:pPr/>
          </w:p>
        </w:tc>
        <w:tc>
          <w:tcPr>
            <w:tcW w:w="1814" w:type="dxa"/>
          </w:tcPr>
          <w:p>
            <w:pPr/>
          </w:p>
        </w:tc>
        <w:tc>
          <w:tcPr>
            <w:tcW w:w="909" w:type="dxa"/>
          </w:tcPr>
          <w:p>
            <w:pPr/>
          </w:p>
        </w:tc>
        <w:tc>
          <w:tcPr>
            <w:tcW w:w="1135" w:type="dxa"/>
          </w:tcPr>
          <w:p>
            <w:pPr/>
          </w:p>
        </w:tc>
        <w:tc>
          <w:tcPr>
            <w:tcW w:w="1133" w:type="dxa"/>
          </w:tcPr>
          <w:p>
            <w:pPr/>
          </w:p>
        </w:tc>
      </w:tr>
    </w:tbl>
    <w:p>
      <w:pPr>
        <w:spacing w:line="182" w:lineRule="exact" w:before="0"/>
        <w:ind w:left="5588" w:right="947" w:firstLine="0"/>
        <w:jc w:val="left"/>
        <w:rPr>
          <w:sz w:val="16"/>
        </w:rPr>
      </w:pPr>
      <w:r>
        <w:rPr>
          <w:color w:val="231F20"/>
          <w:sz w:val="16"/>
        </w:rPr>
        <w:t>Villa Hermosa y Colima Sin Número, Valle de Ceylán, Tlalnepantla, Edo. Méx</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pStyle w:val="BodyText"/>
        <w:spacing w:before="77"/>
        <w:ind w:left="4413" w:right="4469"/>
        <w:jc w:val="center"/>
        <w:rPr>
          <w:rFonts w:ascii="Times New Roman"/>
        </w:rPr>
      </w:pPr>
      <w:r>
        <w:rPr>
          <w:rFonts w:ascii="Times New Roman"/>
          <w:color w:val="231F20"/>
        </w:rPr>
        <w:t>49</w:t>
      </w:r>
    </w:p>
    <w:p>
      <w:pPr>
        <w:spacing w:after="0"/>
        <w:jc w:val="center"/>
        <w:rPr>
          <w:rFonts w:ascii="Times New Roman"/>
        </w:rPr>
        <w:sectPr>
          <w:footerReference w:type="default" r:id="rId43"/>
          <w:pgSz w:w="15840" w:h="12240" w:orient="landscape"/>
          <w:pgMar w:footer="0" w:header="0" w:top="1140" w:bottom="280" w:left="1820" w:right="1760"/>
        </w:sectPr>
      </w:pPr>
    </w:p>
    <w:p>
      <w:pPr>
        <w:pStyle w:val="BodyText"/>
        <w:spacing w:before="4"/>
        <w:rPr>
          <w:rFonts w:ascii="Times New Roman"/>
          <w:sz w:val="17"/>
        </w:rPr>
      </w:pPr>
      <w:r>
        <w:rPr/>
        <w:pict>
          <v:shape style="position:absolute;margin-left:493.644135pt;margin-top:390.143524pt;width:11.6pt;height:11.65pt;mso-position-horizontal-relative:page;mso-position-vertical-relative:page;z-index:2032" type="#_x0000_t202" filled="false" stroked="false">
            <v:textbox inset="0,0,0,0" style="layout-flow:vertical;mso-layout-flow-alt:bottom-to-top">
              <w:txbxContent>
                <w:p>
                  <w:pPr>
                    <w:pStyle w:val="BodyText"/>
                    <w:spacing w:line="216" w:lineRule="exact"/>
                    <w:ind w:left="20"/>
                    <w:rPr>
                      <w:rFonts w:ascii="Times New Roman"/>
                    </w:rPr>
                  </w:pPr>
                  <w:r>
                    <w:rPr>
                      <w:rFonts w:ascii="Times New Roman"/>
                      <w:color w:val="231F20"/>
                      <w:w w:val="101"/>
                    </w:rPr>
                    <w:t>50</w:t>
                  </w:r>
                </w:p>
              </w:txbxContent>
            </v:textbox>
            <w10:wrap type="none"/>
          </v:shape>
        </w:pict>
      </w:r>
    </w:p>
    <w:sectPr>
      <w:footerReference w:type="default" r:id="rId46"/>
      <w:pgSz w:w="12240" w:h="15840"/>
      <w:pgMar w:footer="0" w:header="0"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9.240601pt;margin-top:662.393433pt;width:13.6pt;height:11.6pt;mso-position-horizontal-relative:page;mso-position-vertical-relative:page;z-index:-72784" type="#_x0000_t202" filled="false" stroked="false">
          <v:textbox inset="0,0,0,0">
            <w:txbxContent>
              <w:p>
                <w:pPr>
                  <w:pStyle w:val="BodyText"/>
                  <w:spacing w:line="216" w:lineRule="exact"/>
                  <w:ind w:left="40"/>
                  <w:rPr>
                    <w:rFonts w:ascii="Times New Roman"/>
                  </w:rPr>
                </w:pPr>
                <w:r>
                  <w:rPr/>
                  <w:fldChar w:fldCharType="begin"/>
                </w:r>
                <w:r>
                  <w:rPr>
                    <w:rFonts w:ascii="Times New Roman"/>
                    <w:color w:val="231F20"/>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192596pt;margin-top:682.380432pt;width:13.65pt;height:11.6pt;mso-position-horizontal-relative:page;mso-position-vertical-relative:page;z-index:-72760" type="#_x0000_t202" filled="false" stroked="false">
          <v:textbox inset="0,0,0,0">
            <w:txbxContent>
              <w:p>
                <w:pPr>
                  <w:pStyle w:val="BodyText"/>
                  <w:spacing w:line="216" w:lineRule="exact"/>
                  <w:ind w:left="40"/>
                  <w:rPr>
                    <w:rFonts w:ascii="Times New Roman"/>
                  </w:rPr>
                </w:pPr>
                <w:r>
                  <w:rPr/>
                  <w:fldChar w:fldCharType="begin"/>
                </w:r>
                <w:r>
                  <w:rPr>
                    <w:rFonts w:ascii="Times New Roman"/>
                    <w:color w:val="231F20"/>
                  </w:rPr>
                  <w:instrText> PAGE </w:instrText>
                </w:r>
                <w:r>
                  <w:rPr/>
                  <w:fldChar w:fldCharType="separate"/>
                </w:r>
                <w:r>
                  <w:rPr/>
                  <w:t>32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9"/>
      <w:numFmt w:val="upperRoman"/>
      <w:lvlText w:val="%1."/>
      <w:lvlJc w:val="left"/>
      <w:pPr>
        <w:ind w:left="1288" w:hanging="290"/>
        <w:jc w:val="left"/>
      </w:pPr>
      <w:rPr>
        <w:rFonts w:hint="default" w:ascii="Arial" w:hAnsi="Arial" w:eastAsia="Arial" w:cs="Arial"/>
        <w:b/>
        <w:bCs/>
        <w:color w:val="231F20"/>
        <w:w w:val="101"/>
        <w:sz w:val="19"/>
        <w:szCs w:val="19"/>
      </w:rPr>
    </w:lvl>
    <w:lvl w:ilvl="1">
      <w:start w:val="1"/>
      <w:numFmt w:val="decimal"/>
      <w:lvlText w:val="%2."/>
      <w:lvlJc w:val="left"/>
      <w:pPr>
        <w:ind w:left="999" w:hanging="218"/>
        <w:jc w:val="left"/>
      </w:pPr>
      <w:rPr>
        <w:rFonts w:hint="default"/>
        <w:w w:val="101"/>
      </w:rPr>
    </w:lvl>
    <w:lvl w:ilvl="2">
      <w:start w:val="1"/>
      <w:numFmt w:val="bullet"/>
      <w:lvlText w:val="•"/>
      <w:lvlJc w:val="left"/>
      <w:pPr>
        <w:ind w:left="2115" w:hanging="218"/>
      </w:pPr>
      <w:rPr>
        <w:rFonts w:hint="default"/>
      </w:rPr>
    </w:lvl>
    <w:lvl w:ilvl="3">
      <w:start w:val="1"/>
      <w:numFmt w:val="bullet"/>
      <w:lvlText w:val="•"/>
      <w:lvlJc w:val="left"/>
      <w:pPr>
        <w:ind w:left="2951" w:hanging="218"/>
      </w:pPr>
      <w:rPr>
        <w:rFonts w:hint="default"/>
      </w:rPr>
    </w:lvl>
    <w:lvl w:ilvl="4">
      <w:start w:val="1"/>
      <w:numFmt w:val="bullet"/>
      <w:lvlText w:val="•"/>
      <w:lvlJc w:val="left"/>
      <w:pPr>
        <w:ind w:left="3786" w:hanging="218"/>
      </w:pPr>
      <w:rPr>
        <w:rFonts w:hint="default"/>
      </w:rPr>
    </w:lvl>
    <w:lvl w:ilvl="5">
      <w:start w:val="1"/>
      <w:numFmt w:val="bullet"/>
      <w:lvlText w:val="•"/>
      <w:lvlJc w:val="left"/>
      <w:pPr>
        <w:ind w:left="4622" w:hanging="218"/>
      </w:pPr>
      <w:rPr>
        <w:rFonts w:hint="default"/>
      </w:rPr>
    </w:lvl>
    <w:lvl w:ilvl="6">
      <w:start w:val="1"/>
      <w:numFmt w:val="bullet"/>
      <w:lvlText w:val="•"/>
      <w:lvlJc w:val="left"/>
      <w:pPr>
        <w:ind w:left="5457" w:hanging="218"/>
      </w:pPr>
      <w:rPr>
        <w:rFonts w:hint="default"/>
      </w:rPr>
    </w:lvl>
    <w:lvl w:ilvl="7">
      <w:start w:val="1"/>
      <w:numFmt w:val="bullet"/>
      <w:lvlText w:val="•"/>
      <w:lvlJc w:val="left"/>
      <w:pPr>
        <w:ind w:left="6293" w:hanging="218"/>
      </w:pPr>
      <w:rPr>
        <w:rFonts w:hint="default"/>
      </w:rPr>
    </w:lvl>
    <w:lvl w:ilvl="8">
      <w:start w:val="1"/>
      <w:numFmt w:val="bullet"/>
      <w:lvlText w:val="•"/>
      <w:lvlJc w:val="left"/>
      <w:pPr>
        <w:ind w:left="7128" w:hanging="218"/>
      </w:pPr>
      <w:rPr>
        <w:rFonts w:hint="default"/>
      </w:rPr>
    </w:lvl>
  </w:abstractNum>
  <w:abstractNum w:abstractNumId="11">
    <w:multiLevelType w:val="hybridMultilevel"/>
    <w:lvl w:ilvl="0">
      <w:start w:val="9"/>
      <w:numFmt w:val="decimal"/>
      <w:lvlText w:val="%1)"/>
      <w:lvlJc w:val="left"/>
      <w:pPr>
        <w:ind w:left="999" w:hanging="248"/>
        <w:jc w:val="left"/>
      </w:pPr>
      <w:rPr>
        <w:rFonts w:hint="default" w:ascii="Arial" w:hAnsi="Arial" w:eastAsia="Arial" w:cs="Arial"/>
        <w:color w:val="231F20"/>
        <w:w w:val="101"/>
        <w:sz w:val="19"/>
        <w:szCs w:val="19"/>
      </w:rPr>
    </w:lvl>
    <w:lvl w:ilvl="1">
      <w:start w:val="1"/>
      <w:numFmt w:val="decimal"/>
      <w:lvlText w:val="%2."/>
      <w:lvlJc w:val="left"/>
      <w:pPr>
        <w:ind w:left="999" w:hanging="276"/>
        <w:jc w:val="left"/>
      </w:pPr>
      <w:rPr>
        <w:rFonts w:hint="default"/>
        <w:w w:val="101"/>
      </w:rPr>
    </w:lvl>
    <w:lvl w:ilvl="2">
      <w:start w:val="1"/>
      <w:numFmt w:val="bullet"/>
      <w:lvlText w:val="•"/>
      <w:lvlJc w:val="left"/>
      <w:pPr>
        <w:ind w:left="2560" w:hanging="276"/>
      </w:pPr>
      <w:rPr>
        <w:rFonts w:hint="default"/>
      </w:rPr>
    </w:lvl>
    <w:lvl w:ilvl="3">
      <w:start w:val="1"/>
      <w:numFmt w:val="bullet"/>
      <w:lvlText w:val="•"/>
      <w:lvlJc w:val="left"/>
      <w:pPr>
        <w:ind w:left="3340" w:hanging="276"/>
      </w:pPr>
      <w:rPr>
        <w:rFonts w:hint="default"/>
      </w:rPr>
    </w:lvl>
    <w:lvl w:ilvl="4">
      <w:start w:val="1"/>
      <w:numFmt w:val="bullet"/>
      <w:lvlText w:val="•"/>
      <w:lvlJc w:val="left"/>
      <w:pPr>
        <w:ind w:left="4120" w:hanging="276"/>
      </w:pPr>
      <w:rPr>
        <w:rFonts w:hint="default"/>
      </w:rPr>
    </w:lvl>
    <w:lvl w:ilvl="5">
      <w:start w:val="1"/>
      <w:numFmt w:val="bullet"/>
      <w:lvlText w:val="•"/>
      <w:lvlJc w:val="left"/>
      <w:pPr>
        <w:ind w:left="4900" w:hanging="276"/>
      </w:pPr>
      <w:rPr>
        <w:rFonts w:hint="default"/>
      </w:rPr>
    </w:lvl>
    <w:lvl w:ilvl="6">
      <w:start w:val="1"/>
      <w:numFmt w:val="bullet"/>
      <w:lvlText w:val="•"/>
      <w:lvlJc w:val="left"/>
      <w:pPr>
        <w:ind w:left="5680" w:hanging="276"/>
      </w:pPr>
      <w:rPr>
        <w:rFonts w:hint="default"/>
      </w:rPr>
    </w:lvl>
    <w:lvl w:ilvl="7">
      <w:start w:val="1"/>
      <w:numFmt w:val="bullet"/>
      <w:lvlText w:val="•"/>
      <w:lvlJc w:val="left"/>
      <w:pPr>
        <w:ind w:left="6460" w:hanging="276"/>
      </w:pPr>
      <w:rPr>
        <w:rFonts w:hint="default"/>
      </w:rPr>
    </w:lvl>
    <w:lvl w:ilvl="8">
      <w:start w:val="1"/>
      <w:numFmt w:val="bullet"/>
      <w:lvlText w:val="•"/>
      <w:lvlJc w:val="left"/>
      <w:pPr>
        <w:ind w:left="7240" w:hanging="276"/>
      </w:pPr>
      <w:rPr>
        <w:rFonts w:hint="default"/>
      </w:rPr>
    </w:lvl>
  </w:abstractNum>
  <w:abstractNum w:abstractNumId="10">
    <w:multiLevelType w:val="hybridMultilevel"/>
    <w:lvl w:ilvl="0">
      <w:start w:val="1"/>
      <w:numFmt w:val="bullet"/>
      <w:lvlText w:val=""/>
      <w:lvlJc w:val="left"/>
      <w:pPr>
        <w:ind w:left="2017" w:hanging="289"/>
      </w:pPr>
      <w:rPr>
        <w:rFonts w:hint="default" w:ascii="Wingdings" w:hAnsi="Wingdings" w:eastAsia="Wingdings" w:cs="Wingdings"/>
        <w:color w:val="231F20"/>
        <w:w w:val="100"/>
        <w:sz w:val="19"/>
        <w:szCs w:val="19"/>
      </w:rPr>
    </w:lvl>
    <w:lvl w:ilvl="1">
      <w:start w:val="1"/>
      <w:numFmt w:val="bullet"/>
      <w:lvlText w:val="•"/>
      <w:lvlJc w:val="left"/>
      <w:pPr>
        <w:ind w:left="2698" w:hanging="289"/>
      </w:pPr>
      <w:rPr>
        <w:rFonts w:hint="default"/>
      </w:rPr>
    </w:lvl>
    <w:lvl w:ilvl="2">
      <w:start w:val="1"/>
      <w:numFmt w:val="bullet"/>
      <w:lvlText w:val="•"/>
      <w:lvlJc w:val="left"/>
      <w:pPr>
        <w:ind w:left="3376" w:hanging="289"/>
      </w:pPr>
      <w:rPr>
        <w:rFonts w:hint="default"/>
      </w:rPr>
    </w:lvl>
    <w:lvl w:ilvl="3">
      <w:start w:val="1"/>
      <w:numFmt w:val="bullet"/>
      <w:lvlText w:val="•"/>
      <w:lvlJc w:val="left"/>
      <w:pPr>
        <w:ind w:left="4054" w:hanging="289"/>
      </w:pPr>
      <w:rPr>
        <w:rFonts w:hint="default"/>
      </w:rPr>
    </w:lvl>
    <w:lvl w:ilvl="4">
      <w:start w:val="1"/>
      <w:numFmt w:val="bullet"/>
      <w:lvlText w:val="•"/>
      <w:lvlJc w:val="left"/>
      <w:pPr>
        <w:ind w:left="4732" w:hanging="289"/>
      </w:pPr>
      <w:rPr>
        <w:rFonts w:hint="default"/>
      </w:rPr>
    </w:lvl>
    <w:lvl w:ilvl="5">
      <w:start w:val="1"/>
      <w:numFmt w:val="bullet"/>
      <w:lvlText w:val="•"/>
      <w:lvlJc w:val="left"/>
      <w:pPr>
        <w:ind w:left="5410" w:hanging="289"/>
      </w:pPr>
      <w:rPr>
        <w:rFonts w:hint="default"/>
      </w:rPr>
    </w:lvl>
    <w:lvl w:ilvl="6">
      <w:start w:val="1"/>
      <w:numFmt w:val="bullet"/>
      <w:lvlText w:val="•"/>
      <w:lvlJc w:val="left"/>
      <w:pPr>
        <w:ind w:left="6088" w:hanging="289"/>
      </w:pPr>
      <w:rPr>
        <w:rFonts w:hint="default"/>
      </w:rPr>
    </w:lvl>
    <w:lvl w:ilvl="7">
      <w:start w:val="1"/>
      <w:numFmt w:val="bullet"/>
      <w:lvlText w:val="•"/>
      <w:lvlJc w:val="left"/>
      <w:pPr>
        <w:ind w:left="6766" w:hanging="289"/>
      </w:pPr>
      <w:rPr>
        <w:rFonts w:hint="default"/>
      </w:rPr>
    </w:lvl>
    <w:lvl w:ilvl="8">
      <w:start w:val="1"/>
      <w:numFmt w:val="bullet"/>
      <w:lvlText w:val="•"/>
      <w:lvlJc w:val="left"/>
      <w:pPr>
        <w:ind w:left="7444" w:hanging="289"/>
      </w:pPr>
      <w:rPr>
        <w:rFonts w:hint="default"/>
      </w:rPr>
    </w:lvl>
  </w:abstractNum>
  <w:abstractNum w:abstractNumId="9">
    <w:multiLevelType w:val="hybridMultilevel"/>
    <w:lvl w:ilvl="0">
      <w:start w:val="1"/>
      <w:numFmt w:val="decimal"/>
      <w:lvlText w:val="%1."/>
      <w:lvlJc w:val="left"/>
      <w:pPr>
        <w:ind w:left="1441" w:hanging="288"/>
        <w:jc w:val="left"/>
      </w:pPr>
      <w:rPr>
        <w:rFonts w:hint="default" w:ascii="Arial" w:hAnsi="Arial" w:eastAsia="Arial" w:cs="Arial"/>
        <w:color w:val="231F20"/>
        <w:w w:val="101"/>
        <w:sz w:val="19"/>
        <w:szCs w:val="19"/>
      </w:rPr>
    </w:lvl>
    <w:lvl w:ilvl="1">
      <w:start w:val="1"/>
      <w:numFmt w:val="lowerLetter"/>
      <w:lvlText w:val="%2."/>
      <w:lvlJc w:val="left"/>
      <w:pPr>
        <w:ind w:left="2017" w:hanging="288"/>
        <w:jc w:val="left"/>
      </w:pPr>
      <w:rPr>
        <w:rFonts w:hint="default" w:ascii="Arial" w:hAnsi="Arial" w:eastAsia="Arial" w:cs="Arial"/>
        <w:color w:val="231F20"/>
        <w:w w:val="101"/>
        <w:sz w:val="19"/>
        <w:szCs w:val="19"/>
      </w:rPr>
    </w:lvl>
    <w:lvl w:ilvl="2">
      <w:start w:val="1"/>
      <w:numFmt w:val="bullet"/>
      <w:lvlText w:val="•"/>
      <w:lvlJc w:val="left"/>
      <w:pPr>
        <w:ind w:left="2773" w:hanging="288"/>
      </w:pPr>
      <w:rPr>
        <w:rFonts w:hint="default"/>
      </w:rPr>
    </w:lvl>
    <w:lvl w:ilvl="3">
      <w:start w:val="1"/>
      <w:numFmt w:val="bullet"/>
      <w:lvlText w:val="•"/>
      <w:lvlJc w:val="left"/>
      <w:pPr>
        <w:ind w:left="3526" w:hanging="288"/>
      </w:pPr>
      <w:rPr>
        <w:rFonts w:hint="default"/>
      </w:rPr>
    </w:lvl>
    <w:lvl w:ilvl="4">
      <w:start w:val="1"/>
      <w:numFmt w:val="bullet"/>
      <w:lvlText w:val="•"/>
      <w:lvlJc w:val="left"/>
      <w:pPr>
        <w:ind w:left="4280" w:hanging="288"/>
      </w:pPr>
      <w:rPr>
        <w:rFonts w:hint="default"/>
      </w:rPr>
    </w:lvl>
    <w:lvl w:ilvl="5">
      <w:start w:val="1"/>
      <w:numFmt w:val="bullet"/>
      <w:lvlText w:val="•"/>
      <w:lvlJc w:val="left"/>
      <w:pPr>
        <w:ind w:left="5033" w:hanging="288"/>
      </w:pPr>
      <w:rPr>
        <w:rFonts w:hint="default"/>
      </w:rPr>
    </w:lvl>
    <w:lvl w:ilvl="6">
      <w:start w:val="1"/>
      <w:numFmt w:val="bullet"/>
      <w:lvlText w:val="•"/>
      <w:lvlJc w:val="left"/>
      <w:pPr>
        <w:ind w:left="5786" w:hanging="288"/>
      </w:pPr>
      <w:rPr>
        <w:rFonts w:hint="default"/>
      </w:rPr>
    </w:lvl>
    <w:lvl w:ilvl="7">
      <w:start w:val="1"/>
      <w:numFmt w:val="bullet"/>
      <w:lvlText w:val="•"/>
      <w:lvlJc w:val="left"/>
      <w:pPr>
        <w:ind w:left="6540" w:hanging="288"/>
      </w:pPr>
      <w:rPr>
        <w:rFonts w:hint="default"/>
      </w:rPr>
    </w:lvl>
    <w:lvl w:ilvl="8">
      <w:start w:val="1"/>
      <w:numFmt w:val="bullet"/>
      <w:lvlText w:val="•"/>
      <w:lvlJc w:val="left"/>
      <w:pPr>
        <w:ind w:left="7293" w:hanging="288"/>
      </w:pPr>
      <w:rPr>
        <w:rFonts w:hint="default"/>
      </w:rPr>
    </w:lvl>
  </w:abstractNum>
  <w:abstractNum w:abstractNumId="8">
    <w:multiLevelType w:val="hybridMultilevel"/>
    <w:lvl w:ilvl="0">
      <w:start w:val="1"/>
      <w:numFmt w:val="decimal"/>
      <w:lvlText w:val="%1."/>
      <w:lvlJc w:val="left"/>
      <w:pPr>
        <w:ind w:left="1153" w:hanging="288"/>
        <w:jc w:val="left"/>
      </w:pPr>
      <w:rPr>
        <w:rFonts w:hint="default" w:ascii="Arial" w:hAnsi="Arial" w:eastAsia="Arial" w:cs="Arial"/>
        <w:color w:val="231F20"/>
        <w:w w:val="101"/>
        <w:sz w:val="19"/>
        <w:szCs w:val="19"/>
      </w:rPr>
    </w:lvl>
    <w:lvl w:ilvl="1">
      <w:start w:val="1"/>
      <w:numFmt w:val="decimal"/>
      <w:lvlText w:val="%2."/>
      <w:lvlJc w:val="left"/>
      <w:pPr>
        <w:ind w:left="1441" w:hanging="288"/>
        <w:jc w:val="left"/>
      </w:pPr>
      <w:rPr>
        <w:rFonts w:hint="default" w:ascii="Arial" w:hAnsi="Arial" w:eastAsia="Arial" w:cs="Arial"/>
        <w:color w:val="231F20"/>
        <w:w w:val="101"/>
        <w:sz w:val="19"/>
        <w:szCs w:val="19"/>
      </w:rPr>
    </w:lvl>
    <w:lvl w:ilvl="2">
      <w:start w:val="1"/>
      <w:numFmt w:val="bullet"/>
      <w:lvlText w:val="•"/>
      <w:lvlJc w:val="left"/>
      <w:pPr>
        <w:ind w:left="2257" w:hanging="288"/>
      </w:pPr>
      <w:rPr>
        <w:rFonts w:hint="default"/>
      </w:rPr>
    </w:lvl>
    <w:lvl w:ilvl="3">
      <w:start w:val="1"/>
      <w:numFmt w:val="bullet"/>
      <w:lvlText w:val="•"/>
      <w:lvlJc w:val="left"/>
      <w:pPr>
        <w:ind w:left="3075" w:hanging="288"/>
      </w:pPr>
      <w:rPr>
        <w:rFonts w:hint="default"/>
      </w:rPr>
    </w:lvl>
    <w:lvl w:ilvl="4">
      <w:start w:val="1"/>
      <w:numFmt w:val="bullet"/>
      <w:lvlText w:val="•"/>
      <w:lvlJc w:val="left"/>
      <w:pPr>
        <w:ind w:left="3893" w:hanging="288"/>
      </w:pPr>
      <w:rPr>
        <w:rFonts w:hint="default"/>
      </w:rPr>
    </w:lvl>
    <w:lvl w:ilvl="5">
      <w:start w:val="1"/>
      <w:numFmt w:val="bullet"/>
      <w:lvlText w:val="•"/>
      <w:lvlJc w:val="left"/>
      <w:pPr>
        <w:ind w:left="4711" w:hanging="288"/>
      </w:pPr>
      <w:rPr>
        <w:rFonts w:hint="default"/>
      </w:rPr>
    </w:lvl>
    <w:lvl w:ilvl="6">
      <w:start w:val="1"/>
      <w:numFmt w:val="bullet"/>
      <w:lvlText w:val="•"/>
      <w:lvlJc w:val="left"/>
      <w:pPr>
        <w:ind w:left="5528" w:hanging="288"/>
      </w:pPr>
      <w:rPr>
        <w:rFonts w:hint="default"/>
      </w:rPr>
    </w:lvl>
    <w:lvl w:ilvl="7">
      <w:start w:val="1"/>
      <w:numFmt w:val="bullet"/>
      <w:lvlText w:val="•"/>
      <w:lvlJc w:val="left"/>
      <w:pPr>
        <w:ind w:left="6346" w:hanging="288"/>
      </w:pPr>
      <w:rPr>
        <w:rFonts w:hint="default"/>
      </w:rPr>
    </w:lvl>
    <w:lvl w:ilvl="8">
      <w:start w:val="1"/>
      <w:numFmt w:val="bullet"/>
      <w:lvlText w:val="•"/>
      <w:lvlJc w:val="left"/>
      <w:pPr>
        <w:ind w:left="7164" w:hanging="288"/>
      </w:pPr>
      <w:rPr>
        <w:rFonts w:hint="default"/>
      </w:rPr>
    </w:lvl>
  </w:abstractNum>
  <w:abstractNum w:abstractNumId="7">
    <w:multiLevelType w:val="hybridMultilevel"/>
    <w:lvl w:ilvl="0">
      <w:start w:val="6"/>
      <w:numFmt w:val="upperRoman"/>
      <w:lvlText w:val="%1"/>
      <w:lvlJc w:val="left"/>
      <w:pPr>
        <w:ind w:left="1262" w:hanging="397"/>
        <w:jc w:val="left"/>
      </w:pPr>
      <w:rPr>
        <w:rFonts w:hint="default"/>
      </w:rPr>
    </w:lvl>
    <w:lvl w:ilvl="1">
      <w:start w:val="1"/>
      <w:numFmt w:val="upperRoman"/>
      <w:lvlText w:val="%1.%2"/>
      <w:lvlJc w:val="left"/>
      <w:pPr>
        <w:ind w:left="1262" w:hanging="397"/>
        <w:jc w:val="left"/>
      </w:pPr>
      <w:rPr>
        <w:rFonts w:hint="default" w:ascii="Arial" w:hAnsi="Arial" w:eastAsia="Arial" w:cs="Arial"/>
        <w:b/>
        <w:bCs/>
        <w:color w:val="231F20"/>
        <w:w w:val="101"/>
        <w:sz w:val="19"/>
        <w:szCs w:val="19"/>
      </w:rPr>
    </w:lvl>
    <w:lvl w:ilvl="2">
      <w:start w:val="1"/>
      <w:numFmt w:val="bullet"/>
      <w:lvlText w:val="•"/>
      <w:lvlJc w:val="left"/>
      <w:pPr>
        <w:ind w:left="2768" w:hanging="397"/>
      </w:pPr>
      <w:rPr>
        <w:rFonts w:hint="default"/>
      </w:rPr>
    </w:lvl>
    <w:lvl w:ilvl="3">
      <w:start w:val="1"/>
      <w:numFmt w:val="bullet"/>
      <w:lvlText w:val="•"/>
      <w:lvlJc w:val="left"/>
      <w:pPr>
        <w:ind w:left="3522" w:hanging="397"/>
      </w:pPr>
      <w:rPr>
        <w:rFonts w:hint="default"/>
      </w:rPr>
    </w:lvl>
    <w:lvl w:ilvl="4">
      <w:start w:val="1"/>
      <w:numFmt w:val="bullet"/>
      <w:lvlText w:val="•"/>
      <w:lvlJc w:val="left"/>
      <w:pPr>
        <w:ind w:left="4276" w:hanging="397"/>
      </w:pPr>
      <w:rPr>
        <w:rFonts w:hint="default"/>
      </w:rPr>
    </w:lvl>
    <w:lvl w:ilvl="5">
      <w:start w:val="1"/>
      <w:numFmt w:val="bullet"/>
      <w:lvlText w:val="•"/>
      <w:lvlJc w:val="left"/>
      <w:pPr>
        <w:ind w:left="5030" w:hanging="397"/>
      </w:pPr>
      <w:rPr>
        <w:rFonts w:hint="default"/>
      </w:rPr>
    </w:lvl>
    <w:lvl w:ilvl="6">
      <w:start w:val="1"/>
      <w:numFmt w:val="bullet"/>
      <w:lvlText w:val="•"/>
      <w:lvlJc w:val="left"/>
      <w:pPr>
        <w:ind w:left="5784" w:hanging="397"/>
      </w:pPr>
      <w:rPr>
        <w:rFonts w:hint="default"/>
      </w:rPr>
    </w:lvl>
    <w:lvl w:ilvl="7">
      <w:start w:val="1"/>
      <w:numFmt w:val="bullet"/>
      <w:lvlText w:val="•"/>
      <w:lvlJc w:val="left"/>
      <w:pPr>
        <w:ind w:left="6538" w:hanging="397"/>
      </w:pPr>
      <w:rPr>
        <w:rFonts w:hint="default"/>
      </w:rPr>
    </w:lvl>
    <w:lvl w:ilvl="8">
      <w:start w:val="1"/>
      <w:numFmt w:val="bullet"/>
      <w:lvlText w:val="•"/>
      <w:lvlJc w:val="left"/>
      <w:pPr>
        <w:ind w:left="7292" w:hanging="397"/>
      </w:pPr>
      <w:rPr>
        <w:rFonts w:hint="default"/>
      </w:rPr>
    </w:lvl>
  </w:abstractNum>
  <w:abstractNum w:abstractNumId="6">
    <w:multiLevelType w:val="hybridMultilevel"/>
    <w:lvl w:ilvl="0">
      <w:start w:val="1"/>
      <w:numFmt w:val="decimal"/>
      <w:lvlText w:val="%1."/>
      <w:lvlJc w:val="left"/>
      <w:pPr>
        <w:ind w:left="1079" w:hanging="215"/>
        <w:jc w:val="left"/>
      </w:pPr>
      <w:rPr>
        <w:rFonts w:hint="default" w:ascii="Arial" w:hAnsi="Arial" w:eastAsia="Arial" w:cs="Arial"/>
        <w:color w:val="221A21"/>
        <w:w w:val="101"/>
        <w:sz w:val="19"/>
        <w:szCs w:val="19"/>
      </w:rPr>
    </w:lvl>
    <w:lvl w:ilvl="1">
      <w:start w:val="1"/>
      <w:numFmt w:val="bullet"/>
      <w:lvlText w:val="•"/>
      <w:lvlJc w:val="left"/>
      <w:pPr>
        <w:ind w:left="1852" w:hanging="215"/>
      </w:pPr>
      <w:rPr>
        <w:rFonts w:hint="default"/>
      </w:rPr>
    </w:lvl>
    <w:lvl w:ilvl="2">
      <w:start w:val="1"/>
      <w:numFmt w:val="bullet"/>
      <w:lvlText w:val="•"/>
      <w:lvlJc w:val="left"/>
      <w:pPr>
        <w:ind w:left="2624" w:hanging="215"/>
      </w:pPr>
      <w:rPr>
        <w:rFonts w:hint="default"/>
      </w:rPr>
    </w:lvl>
    <w:lvl w:ilvl="3">
      <w:start w:val="1"/>
      <w:numFmt w:val="bullet"/>
      <w:lvlText w:val="•"/>
      <w:lvlJc w:val="left"/>
      <w:pPr>
        <w:ind w:left="3396" w:hanging="215"/>
      </w:pPr>
      <w:rPr>
        <w:rFonts w:hint="default"/>
      </w:rPr>
    </w:lvl>
    <w:lvl w:ilvl="4">
      <w:start w:val="1"/>
      <w:numFmt w:val="bullet"/>
      <w:lvlText w:val="•"/>
      <w:lvlJc w:val="left"/>
      <w:pPr>
        <w:ind w:left="4168" w:hanging="215"/>
      </w:pPr>
      <w:rPr>
        <w:rFonts w:hint="default"/>
      </w:rPr>
    </w:lvl>
    <w:lvl w:ilvl="5">
      <w:start w:val="1"/>
      <w:numFmt w:val="bullet"/>
      <w:lvlText w:val="•"/>
      <w:lvlJc w:val="left"/>
      <w:pPr>
        <w:ind w:left="4940" w:hanging="215"/>
      </w:pPr>
      <w:rPr>
        <w:rFonts w:hint="default"/>
      </w:rPr>
    </w:lvl>
    <w:lvl w:ilvl="6">
      <w:start w:val="1"/>
      <w:numFmt w:val="bullet"/>
      <w:lvlText w:val="•"/>
      <w:lvlJc w:val="left"/>
      <w:pPr>
        <w:ind w:left="5712" w:hanging="215"/>
      </w:pPr>
      <w:rPr>
        <w:rFonts w:hint="default"/>
      </w:rPr>
    </w:lvl>
    <w:lvl w:ilvl="7">
      <w:start w:val="1"/>
      <w:numFmt w:val="bullet"/>
      <w:lvlText w:val="•"/>
      <w:lvlJc w:val="left"/>
      <w:pPr>
        <w:ind w:left="6484" w:hanging="215"/>
      </w:pPr>
      <w:rPr>
        <w:rFonts w:hint="default"/>
      </w:rPr>
    </w:lvl>
    <w:lvl w:ilvl="8">
      <w:start w:val="1"/>
      <w:numFmt w:val="bullet"/>
      <w:lvlText w:val="•"/>
      <w:lvlJc w:val="left"/>
      <w:pPr>
        <w:ind w:left="7256" w:hanging="215"/>
      </w:pPr>
      <w:rPr>
        <w:rFonts w:hint="default"/>
      </w:rPr>
    </w:lvl>
  </w:abstractNum>
  <w:abstractNum w:abstractNumId="5">
    <w:multiLevelType w:val="hybridMultilevel"/>
    <w:lvl w:ilvl="0">
      <w:start w:val="1"/>
      <w:numFmt w:val="bullet"/>
      <w:lvlText w:val="•"/>
      <w:lvlJc w:val="left"/>
      <w:pPr>
        <w:ind w:left="639" w:hanging="122"/>
      </w:pPr>
      <w:rPr>
        <w:rFonts w:hint="default" w:ascii="Arial" w:hAnsi="Arial" w:eastAsia="Arial" w:cs="Arial"/>
        <w:color w:val="231F20"/>
        <w:w w:val="101"/>
        <w:sz w:val="19"/>
        <w:szCs w:val="19"/>
      </w:rPr>
    </w:lvl>
    <w:lvl w:ilvl="1">
      <w:start w:val="1"/>
      <w:numFmt w:val="bullet"/>
      <w:lvlText w:val="•"/>
      <w:lvlJc w:val="left"/>
      <w:pPr>
        <w:ind w:left="1036" w:hanging="122"/>
      </w:pPr>
      <w:rPr>
        <w:rFonts w:hint="default"/>
      </w:rPr>
    </w:lvl>
    <w:lvl w:ilvl="2">
      <w:start w:val="1"/>
      <w:numFmt w:val="bullet"/>
      <w:lvlText w:val="•"/>
      <w:lvlJc w:val="left"/>
      <w:pPr>
        <w:ind w:left="1432" w:hanging="122"/>
      </w:pPr>
      <w:rPr>
        <w:rFonts w:hint="default"/>
      </w:rPr>
    </w:lvl>
    <w:lvl w:ilvl="3">
      <w:start w:val="1"/>
      <w:numFmt w:val="bullet"/>
      <w:lvlText w:val="•"/>
      <w:lvlJc w:val="left"/>
      <w:pPr>
        <w:ind w:left="1828" w:hanging="122"/>
      </w:pPr>
      <w:rPr>
        <w:rFonts w:hint="default"/>
      </w:rPr>
    </w:lvl>
    <w:lvl w:ilvl="4">
      <w:start w:val="1"/>
      <w:numFmt w:val="bullet"/>
      <w:lvlText w:val="•"/>
      <w:lvlJc w:val="left"/>
      <w:pPr>
        <w:ind w:left="2224" w:hanging="122"/>
      </w:pPr>
      <w:rPr>
        <w:rFonts w:hint="default"/>
      </w:rPr>
    </w:lvl>
    <w:lvl w:ilvl="5">
      <w:start w:val="1"/>
      <w:numFmt w:val="bullet"/>
      <w:lvlText w:val="•"/>
      <w:lvlJc w:val="left"/>
      <w:pPr>
        <w:ind w:left="2620" w:hanging="122"/>
      </w:pPr>
      <w:rPr>
        <w:rFonts w:hint="default"/>
      </w:rPr>
    </w:lvl>
    <w:lvl w:ilvl="6">
      <w:start w:val="1"/>
      <w:numFmt w:val="bullet"/>
      <w:lvlText w:val="•"/>
      <w:lvlJc w:val="left"/>
      <w:pPr>
        <w:ind w:left="3016" w:hanging="122"/>
      </w:pPr>
      <w:rPr>
        <w:rFonts w:hint="default"/>
      </w:rPr>
    </w:lvl>
    <w:lvl w:ilvl="7">
      <w:start w:val="1"/>
      <w:numFmt w:val="bullet"/>
      <w:lvlText w:val="•"/>
      <w:lvlJc w:val="left"/>
      <w:pPr>
        <w:ind w:left="3412" w:hanging="122"/>
      </w:pPr>
      <w:rPr>
        <w:rFonts w:hint="default"/>
      </w:rPr>
    </w:lvl>
    <w:lvl w:ilvl="8">
      <w:start w:val="1"/>
      <w:numFmt w:val="bullet"/>
      <w:lvlText w:val="•"/>
      <w:lvlJc w:val="left"/>
      <w:pPr>
        <w:ind w:left="3808" w:hanging="122"/>
      </w:pPr>
      <w:rPr>
        <w:rFonts w:hint="default"/>
      </w:rPr>
    </w:lvl>
  </w:abstractNum>
  <w:abstractNum w:abstractNumId="4">
    <w:multiLevelType w:val="hybridMultilevel"/>
    <w:lvl w:ilvl="0">
      <w:start w:val="1"/>
      <w:numFmt w:val="decimal"/>
      <w:lvlText w:val="%1."/>
      <w:lvlJc w:val="left"/>
      <w:pPr>
        <w:ind w:left="401" w:hanging="198"/>
        <w:jc w:val="left"/>
      </w:pPr>
      <w:rPr>
        <w:rFonts w:hint="default" w:ascii="Arial" w:hAnsi="Arial" w:eastAsia="Arial" w:cs="Arial"/>
        <w:color w:val="231F20"/>
        <w:w w:val="103"/>
        <w:sz w:val="17"/>
        <w:szCs w:val="17"/>
      </w:rPr>
    </w:lvl>
    <w:lvl w:ilvl="1">
      <w:start w:val="1"/>
      <w:numFmt w:val="bullet"/>
      <w:lvlText w:val="•"/>
      <w:lvlJc w:val="left"/>
      <w:pPr>
        <w:ind w:left="683" w:hanging="125"/>
      </w:pPr>
      <w:rPr>
        <w:rFonts w:hint="default" w:ascii="Arial" w:hAnsi="Arial" w:eastAsia="Arial" w:cs="Arial"/>
        <w:color w:val="231F20"/>
        <w:w w:val="103"/>
        <w:sz w:val="17"/>
        <w:szCs w:val="17"/>
      </w:rPr>
    </w:lvl>
    <w:lvl w:ilvl="2">
      <w:start w:val="1"/>
      <w:numFmt w:val="bullet"/>
      <w:lvlText w:val="•"/>
      <w:lvlJc w:val="left"/>
      <w:pPr>
        <w:ind w:left="1425" w:hanging="125"/>
      </w:pPr>
      <w:rPr>
        <w:rFonts w:hint="default"/>
      </w:rPr>
    </w:lvl>
    <w:lvl w:ilvl="3">
      <w:start w:val="1"/>
      <w:numFmt w:val="bullet"/>
      <w:lvlText w:val="•"/>
      <w:lvlJc w:val="left"/>
      <w:pPr>
        <w:ind w:left="2170" w:hanging="125"/>
      </w:pPr>
      <w:rPr>
        <w:rFonts w:hint="default"/>
      </w:rPr>
    </w:lvl>
    <w:lvl w:ilvl="4">
      <w:start w:val="1"/>
      <w:numFmt w:val="bullet"/>
      <w:lvlText w:val="•"/>
      <w:lvlJc w:val="left"/>
      <w:pPr>
        <w:ind w:left="2915" w:hanging="125"/>
      </w:pPr>
      <w:rPr>
        <w:rFonts w:hint="default"/>
      </w:rPr>
    </w:lvl>
    <w:lvl w:ilvl="5">
      <w:start w:val="1"/>
      <w:numFmt w:val="bullet"/>
      <w:lvlText w:val="•"/>
      <w:lvlJc w:val="left"/>
      <w:pPr>
        <w:ind w:left="3660" w:hanging="125"/>
      </w:pPr>
      <w:rPr>
        <w:rFonts w:hint="default"/>
      </w:rPr>
    </w:lvl>
    <w:lvl w:ilvl="6">
      <w:start w:val="1"/>
      <w:numFmt w:val="bullet"/>
      <w:lvlText w:val="•"/>
      <w:lvlJc w:val="left"/>
      <w:pPr>
        <w:ind w:left="4405" w:hanging="125"/>
      </w:pPr>
      <w:rPr>
        <w:rFonts w:hint="default"/>
      </w:rPr>
    </w:lvl>
    <w:lvl w:ilvl="7">
      <w:start w:val="1"/>
      <w:numFmt w:val="bullet"/>
      <w:lvlText w:val="•"/>
      <w:lvlJc w:val="left"/>
      <w:pPr>
        <w:ind w:left="5150" w:hanging="125"/>
      </w:pPr>
      <w:rPr>
        <w:rFonts w:hint="default"/>
      </w:rPr>
    </w:lvl>
    <w:lvl w:ilvl="8">
      <w:start w:val="1"/>
      <w:numFmt w:val="bullet"/>
      <w:lvlText w:val="•"/>
      <w:lvlJc w:val="left"/>
      <w:pPr>
        <w:ind w:left="5895" w:hanging="125"/>
      </w:pPr>
      <w:rPr>
        <w:rFonts w:hint="default"/>
      </w:rPr>
    </w:lvl>
  </w:abstractNum>
  <w:abstractNum w:abstractNumId="3">
    <w:multiLevelType w:val="hybridMultilevel"/>
    <w:lvl w:ilvl="0">
      <w:start w:val="3"/>
      <w:numFmt w:val="upperRoman"/>
      <w:lvlText w:val="%1."/>
      <w:lvlJc w:val="left"/>
      <w:pPr>
        <w:ind w:left="3853" w:hanging="269"/>
        <w:jc w:val="right"/>
      </w:pPr>
      <w:rPr>
        <w:rFonts w:hint="default" w:ascii="Arial" w:hAnsi="Arial" w:eastAsia="Arial" w:cs="Arial"/>
        <w:b/>
        <w:bCs/>
        <w:color w:val="231F20"/>
        <w:w w:val="101"/>
        <w:sz w:val="19"/>
        <w:szCs w:val="19"/>
      </w:rPr>
    </w:lvl>
    <w:lvl w:ilvl="1">
      <w:start w:val="1"/>
      <w:numFmt w:val="bullet"/>
      <w:lvlText w:val="•"/>
      <w:lvlJc w:val="left"/>
      <w:pPr>
        <w:ind w:left="4354" w:hanging="269"/>
      </w:pPr>
      <w:rPr>
        <w:rFonts w:hint="default"/>
      </w:rPr>
    </w:lvl>
    <w:lvl w:ilvl="2">
      <w:start w:val="1"/>
      <w:numFmt w:val="bullet"/>
      <w:lvlText w:val="•"/>
      <w:lvlJc w:val="left"/>
      <w:pPr>
        <w:ind w:left="4848" w:hanging="269"/>
      </w:pPr>
      <w:rPr>
        <w:rFonts w:hint="default"/>
      </w:rPr>
    </w:lvl>
    <w:lvl w:ilvl="3">
      <w:start w:val="1"/>
      <w:numFmt w:val="bullet"/>
      <w:lvlText w:val="•"/>
      <w:lvlJc w:val="left"/>
      <w:pPr>
        <w:ind w:left="5342" w:hanging="269"/>
      </w:pPr>
      <w:rPr>
        <w:rFonts w:hint="default"/>
      </w:rPr>
    </w:lvl>
    <w:lvl w:ilvl="4">
      <w:start w:val="1"/>
      <w:numFmt w:val="bullet"/>
      <w:lvlText w:val="•"/>
      <w:lvlJc w:val="left"/>
      <w:pPr>
        <w:ind w:left="5836" w:hanging="269"/>
      </w:pPr>
      <w:rPr>
        <w:rFonts w:hint="default"/>
      </w:rPr>
    </w:lvl>
    <w:lvl w:ilvl="5">
      <w:start w:val="1"/>
      <w:numFmt w:val="bullet"/>
      <w:lvlText w:val="•"/>
      <w:lvlJc w:val="left"/>
      <w:pPr>
        <w:ind w:left="6330" w:hanging="269"/>
      </w:pPr>
      <w:rPr>
        <w:rFonts w:hint="default"/>
      </w:rPr>
    </w:lvl>
    <w:lvl w:ilvl="6">
      <w:start w:val="1"/>
      <w:numFmt w:val="bullet"/>
      <w:lvlText w:val="•"/>
      <w:lvlJc w:val="left"/>
      <w:pPr>
        <w:ind w:left="6824" w:hanging="269"/>
      </w:pPr>
      <w:rPr>
        <w:rFonts w:hint="default"/>
      </w:rPr>
    </w:lvl>
    <w:lvl w:ilvl="7">
      <w:start w:val="1"/>
      <w:numFmt w:val="bullet"/>
      <w:lvlText w:val="•"/>
      <w:lvlJc w:val="left"/>
      <w:pPr>
        <w:ind w:left="7318" w:hanging="269"/>
      </w:pPr>
      <w:rPr>
        <w:rFonts w:hint="default"/>
      </w:rPr>
    </w:lvl>
    <w:lvl w:ilvl="8">
      <w:start w:val="1"/>
      <w:numFmt w:val="bullet"/>
      <w:lvlText w:val="•"/>
      <w:lvlJc w:val="left"/>
      <w:pPr>
        <w:ind w:left="7812" w:hanging="269"/>
      </w:pPr>
      <w:rPr>
        <w:rFonts w:hint="default"/>
      </w:rPr>
    </w:lvl>
  </w:abstractNum>
  <w:abstractNum w:abstractNumId="2">
    <w:multiLevelType w:val="hybridMultilevel"/>
    <w:lvl w:ilvl="0">
      <w:start w:val="9"/>
      <w:numFmt w:val="upperRoman"/>
      <w:lvlText w:val="%1"/>
      <w:lvlJc w:val="left"/>
      <w:pPr>
        <w:ind w:left="2029" w:hanging="598"/>
        <w:jc w:val="left"/>
      </w:pPr>
      <w:rPr>
        <w:rFonts w:hint="default"/>
      </w:rPr>
    </w:lvl>
    <w:lvl w:ilvl="1">
      <w:start w:val="12"/>
      <w:numFmt w:val="upperRoman"/>
      <w:lvlText w:val="%1.%2"/>
      <w:lvlJc w:val="left"/>
      <w:pPr>
        <w:ind w:left="2029" w:hanging="598"/>
        <w:jc w:val="left"/>
      </w:pPr>
      <w:rPr>
        <w:rFonts w:hint="default" w:ascii="Times New Roman" w:hAnsi="Times New Roman" w:eastAsia="Times New Roman" w:cs="Times New Roman"/>
        <w:b/>
        <w:bCs/>
        <w:color w:val="231F20"/>
        <w:w w:val="101"/>
        <w:sz w:val="19"/>
        <w:szCs w:val="19"/>
      </w:rPr>
    </w:lvl>
    <w:lvl w:ilvl="2">
      <w:start w:val="1"/>
      <w:numFmt w:val="bullet"/>
      <w:lvlText w:val="•"/>
      <w:lvlJc w:val="left"/>
      <w:pPr>
        <w:ind w:left="3376" w:hanging="598"/>
      </w:pPr>
      <w:rPr>
        <w:rFonts w:hint="default"/>
      </w:rPr>
    </w:lvl>
    <w:lvl w:ilvl="3">
      <w:start w:val="1"/>
      <w:numFmt w:val="bullet"/>
      <w:lvlText w:val="•"/>
      <w:lvlJc w:val="left"/>
      <w:pPr>
        <w:ind w:left="4054" w:hanging="598"/>
      </w:pPr>
      <w:rPr>
        <w:rFonts w:hint="default"/>
      </w:rPr>
    </w:lvl>
    <w:lvl w:ilvl="4">
      <w:start w:val="1"/>
      <w:numFmt w:val="bullet"/>
      <w:lvlText w:val="•"/>
      <w:lvlJc w:val="left"/>
      <w:pPr>
        <w:ind w:left="4732" w:hanging="598"/>
      </w:pPr>
      <w:rPr>
        <w:rFonts w:hint="default"/>
      </w:rPr>
    </w:lvl>
    <w:lvl w:ilvl="5">
      <w:start w:val="1"/>
      <w:numFmt w:val="bullet"/>
      <w:lvlText w:val="•"/>
      <w:lvlJc w:val="left"/>
      <w:pPr>
        <w:ind w:left="5410" w:hanging="598"/>
      </w:pPr>
      <w:rPr>
        <w:rFonts w:hint="default"/>
      </w:rPr>
    </w:lvl>
    <w:lvl w:ilvl="6">
      <w:start w:val="1"/>
      <w:numFmt w:val="bullet"/>
      <w:lvlText w:val="•"/>
      <w:lvlJc w:val="left"/>
      <w:pPr>
        <w:ind w:left="6088" w:hanging="598"/>
      </w:pPr>
      <w:rPr>
        <w:rFonts w:hint="default"/>
      </w:rPr>
    </w:lvl>
    <w:lvl w:ilvl="7">
      <w:start w:val="1"/>
      <w:numFmt w:val="bullet"/>
      <w:lvlText w:val="•"/>
      <w:lvlJc w:val="left"/>
      <w:pPr>
        <w:ind w:left="6766" w:hanging="598"/>
      </w:pPr>
      <w:rPr>
        <w:rFonts w:hint="default"/>
      </w:rPr>
    </w:lvl>
    <w:lvl w:ilvl="8">
      <w:start w:val="1"/>
      <w:numFmt w:val="bullet"/>
      <w:lvlText w:val="•"/>
      <w:lvlJc w:val="left"/>
      <w:pPr>
        <w:ind w:left="7444" w:hanging="598"/>
      </w:pPr>
      <w:rPr>
        <w:rFonts w:hint="default"/>
      </w:rPr>
    </w:lvl>
  </w:abstractNum>
  <w:abstractNum w:abstractNumId="1">
    <w:multiLevelType w:val="hybridMultilevel"/>
    <w:lvl w:ilvl="0">
      <w:start w:val="4"/>
      <w:numFmt w:val="upperRoman"/>
      <w:lvlText w:val="%1."/>
      <w:lvlJc w:val="left"/>
      <w:pPr>
        <w:ind w:left="1222" w:hanging="358"/>
        <w:jc w:val="left"/>
      </w:pPr>
      <w:rPr>
        <w:rFonts w:hint="default" w:ascii="Times New Roman" w:hAnsi="Times New Roman" w:eastAsia="Times New Roman" w:cs="Times New Roman"/>
        <w:b/>
        <w:bCs/>
        <w:color w:val="231F20"/>
        <w:spacing w:val="-1"/>
        <w:w w:val="101"/>
        <w:sz w:val="19"/>
        <w:szCs w:val="19"/>
      </w:rPr>
    </w:lvl>
    <w:lvl w:ilvl="1">
      <w:start w:val="1"/>
      <w:numFmt w:val="upperRoman"/>
      <w:lvlText w:val="%1.%2"/>
      <w:lvlJc w:val="left"/>
      <w:pPr>
        <w:ind w:left="1816" w:hanging="385"/>
        <w:jc w:val="left"/>
      </w:pPr>
      <w:rPr>
        <w:rFonts w:hint="default" w:ascii="Times New Roman" w:hAnsi="Times New Roman" w:eastAsia="Times New Roman" w:cs="Times New Roman"/>
        <w:b/>
        <w:bCs/>
        <w:color w:val="231F20"/>
        <w:w w:val="101"/>
        <w:sz w:val="19"/>
        <w:szCs w:val="19"/>
      </w:rPr>
    </w:lvl>
    <w:lvl w:ilvl="2">
      <w:start w:val="1"/>
      <w:numFmt w:val="bullet"/>
      <w:lvlText w:val="•"/>
      <w:lvlJc w:val="left"/>
      <w:pPr>
        <w:ind w:left="2595" w:hanging="385"/>
      </w:pPr>
      <w:rPr>
        <w:rFonts w:hint="default"/>
      </w:rPr>
    </w:lvl>
    <w:lvl w:ilvl="3">
      <w:start w:val="1"/>
      <w:numFmt w:val="bullet"/>
      <w:lvlText w:val="•"/>
      <w:lvlJc w:val="left"/>
      <w:pPr>
        <w:ind w:left="3371" w:hanging="385"/>
      </w:pPr>
      <w:rPr>
        <w:rFonts w:hint="default"/>
      </w:rPr>
    </w:lvl>
    <w:lvl w:ilvl="4">
      <w:start w:val="1"/>
      <w:numFmt w:val="bullet"/>
      <w:lvlText w:val="•"/>
      <w:lvlJc w:val="left"/>
      <w:pPr>
        <w:ind w:left="4146" w:hanging="385"/>
      </w:pPr>
      <w:rPr>
        <w:rFonts w:hint="default"/>
      </w:rPr>
    </w:lvl>
    <w:lvl w:ilvl="5">
      <w:start w:val="1"/>
      <w:numFmt w:val="bullet"/>
      <w:lvlText w:val="•"/>
      <w:lvlJc w:val="left"/>
      <w:pPr>
        <w:ind w:left="4922" w:hanging="385"/>
      </w:pPr>
      <w:rPr>
        <w:rFonts w:hint="default"/>
      </w:rPr>
    </w:lvl>
    <w:lvl w:ilvl="6">
      <w:start w:val="1"/>
      <w:numFmt w:val="bullet"/>
      <w:lvlText w:val="•"/>
      <w:lvlJc w:val="left"/>
      <w:pPr>
        <w:ind w:left="5697" w:hanging="385"/>
      </w:pPr>
      <w:rPr>
        <w:rFonts w:hint="default"/>
      </w:rPr>
    </w:lvl>
    <w:lvl w:ilvl="7">
      <w:start w:val="1"/>
      <w:numFmt w:val="bullet"/>
      <w:lvlText w:val="•"/>
      <w:lvlJc w:val="left"/>
      <w:pPr>
        <w:ind w:left="6473" w:hanging="385"/>
      </w:pPr>
      <w:rPr>
        <w:rFonts w:hint="default"/>
      </w:rPr>
    </w:lvl>
    <w:lvl w:ilvl="8">
      <w:start w:val="1"/>
      <w:numFmt w:val="bullet"/>
      <w:lvlText w:val="•"/>
      <w:lvlJc w:val="left"/>
      <w:pPr>
        <w:ind w:left="7248" w:hanging="385"/>
      </w:pPr>
      <w:rPr>
        <w:rFonts w:hint="default"/>
      </w:rPr>
    </w:lvl>
  </w:abstractNum>
  <w:abstractNum w:abstractNumId="0">
    <w:multiLevelType w:val="hybridMultilevel"/>
    <w:lvl w:ilvl="0">
      <w:start w:val="1"/>
      <w:numFmt w:val="upperRoman"/>
      <w:lvlText w:val="%1."/>
      <w:lvlJc w:val="left"/>
      <w:pPr>
        <w:ind w:left="1036" w:hanging="171"/>
        <w:jc w:val="left"/>
      </w:pPr>
      <w:rPr>
        <w:rFonts w:hint="default" w:ascii="Times New Roman" w:hAnsi="Times New Roman" w:eastAsia="Times New Roman" w:cs="Times New Roman"/>
        <w:b/>
        <w:bCs/>
        <w:color w:val="231F20"/>
        <w:w w:val="101"/>
        <w:sz w:val="19"/>
        <w:szCs w:val="19"/>
      </w:rPr>
    </w:lvl>
    <w:lvl w:ilvl="1">
      <w:start w:val="1"/>
      <w:numFmt w:val="bullet"/>
      <w:lvlText w:val="•"/>
      <w:lvlJc w:val="left"/>
      <w:pPr>
        <w:ind w:left="1816" w:hanging="171"/>
      </w:pPr>
      <w:rPr>
        <w:rFonts w:hint="default"/>
      </w:rPr>
    </w:lvl>
    <w:lvl w:ilvl="2">
      <w:start w:val="1"/>
      <w:numFmt w:val="bullet"/>
      <w:lvlText w:val="•"/>
      <w:lvlJc w:val="left"/>
      <w:pPr>
        <w:ind w:left="2592" w:hanging="171"/>
      </w:pPr>
      <w:rPr>
        <w:rFonts w:hint="default"/>
      </w:rPr>
    </w:lvl>
    <w:lvl w:ilvl="3">
      <w:start w:val="1"/>
      <w:numFmt w:val="bullet"/>
      <w:lvlText w:val="•"/>
      <w:lvlJc w:val="left"/>
      <w:pPr>
        <w:ind w:left="3368" w:hanging="171"/>
      </w:pPr>
      <w:rPr>
        <w:rFonts w:hint="default"/>
      </w:rPr>
    </w:lvl>
    <w:lvl w:ilvl="4">
      <w:start w:val="1"/>
      <w:numFmt w:val="bullet"/>
      <w:lvlText w:val="•"/>
      <w:lvlJc w:val="left"/>
      <w:pPr>
        <w:ind w:left="4144" w:hanging="171"/>
      </w:pPr>
      <w:rPr>
        <w:rFonts w:hint="default"/>
      </w:rPr>
    </w:lvl>
    <w:lvl w:ilvl="5">
      <w:start w:val="1"/>
      <w:numFmt w:val="bullet"/>
      <w:lvlText w:val="•"/>
      <w:lvlJc w:val="left"/>
      <w:pPr>
        <w:ind w:left="4920" w:hanging="171"/>
      </w:pPr>
      <w:rPr>
        <w:rFonts w:hint="default"/>
      </w:rPr>
    </w:lvl>
    <w:lvl w:ilvl="6">
      <w:start w:val="1"/>
      <w:numFmt w:val="bullet"/>
      <w:lvlText w:val="•"/>
      <w:lvlJc w:val="left"/>
      <w:pPr>
        <w:ind w:left="5696" w:hanging="171"/>
      </w:pPr>
      <w:rPr>
        <w:rFonts w:hint="default"/>
      </w:rPr>
    </w:lvl>
    <w:lvl w:ilvl="7">
      <w:start w:val="1"/>
      <w:numFmt w:val="bullet"/>
      <w:lvlText w:val="•"/>
      <w:lvlJc w:val="left"/>
      <w:pPr>
        <w:ind w:left="6472" w:hanging="171"/>
      </w:pPr>
      <w:rPr>
        <w:rFonts w:hint="default"/>
      </w:rPr>
    </w:lvl>
    <w:lvl w:ilvl="8">
      <w:start w:val="1"/>
      <w:numFmt w:val="bullet"/>
      <w:lvlText w:val="•"/>
      <w:lvlJc w:val="left"/>
      <w:pPr>
        <w:ind w:left="7248" w:hanging="171"/>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1"/>
      <w:ind w:left="1175" w:hanging="459"/>
    </w:pPr>
    <w:rPr>
      <w:rFonts w:ascii="Times New Roman" w:hAnsi="Times New Roman" w:eastAsia="Times New Roman" w:cs="Times New Roman"/>
      <w:b/>
      <w:bCs/>
      <w:sz w:val="19"/>
      <w:szCs w:val="19"/>
    </w:rPr>
  </w:style>
  <w:style w:styleId="TOC2" w:type="paragraph">
    <w:name w:val="TOC 2"/>
    <w:basedOn w:val="Normal"/>
    <w:uiPriority w:val="1"/>
    <w:qFormat/>
    <w:pPr>
      <w:spacing w:before="111"/>
      <w:ind w:left="1954" w:hanging="597"/>
    </w:pPr>
    <w:rPr>
      <w:rFonts w:ascii="Times New Roman" w:hAnsi="Times New Roman" w:eastAsia="Times New Roman" w:cs="Times New Roman"/>
      <w:b/>
      <w:bCs/>
      <w:sz w:val="19"/>
      <w:szCs w:val="19"/>
    </w:rPr>
  </w:style>
  <w:style w:styleId="BodyText" w:type="paragraph">
    <w:name w:val="Body Text"/>
    <w:basedOn w:val="Normal"/>
    <w:uiPriority w:val="1"/>
    <w:qFormat/>
    <w:pPr/>
    <w:rPr>
      <w:rFonts w:ascii="Arial" w:hAnsi="Arial" w:eastAsia="Arial" w:cs="Arial"/>
      <w:sz w:val="19"/>
      <w:szCs w:val="19"/>
    </w:rPr>
  </w:style>
  <w:style w:styleId="Heading1" w:type="paragraph">
    <w:name w:val="Heading 1"/>
    <w:basedOn w:val="Normal"/>
    <w:uiPriority w:val="1"/>
    <w:qFormat/>
    <w:pPr>
      <w:ind w:left="865"/>
      <w:outlineLvl w:val="1"/>
    </w:pPr>
    <w:rPr>
      <w:rFonts w:ascii="Arial" w:hAnsi="Arial" w:eastAsia="Arial" w:cs="Arial"/>
      <w:b/>
      <w:bCs/>
      <w:sz w:val="19"/>
      <w:szCs w:val="19"/>
    </w:rPr>
  </w:style>
  <w:style w:styleId="Heading2" w:type="paragraph">
    <w:name w:val="Heading 2"/>
    <w:basedOn w:val="Normal"/>
    <w:uiPriority w:val="1"/>
    <w:qFormat/>
    <w:pPr>
      <w:ind w:left="865"/>
      <w:jc w:val="both"/>
      <w:outlineLvl w:val="2"/>
    </w:pPr>
    <w:rPr>
      <w:rFonts w:ascii="Arial" w:hAnsi="Arial" w:eastAsia="Arial" w:cs="Arial"/>
      <w:b/>
      <w:bCs/>
      <w:i/>
      <w:sz w:val="19"/>
      <w:szCs w:val="19"/>
    </w:rPr>
  </w:style>
  <w:style w:styleId="ListParagraph" w:type="paragraph">
    <w:name w:val="List Paragraph"/>
    <w:basedOn w:val="Normal"/>
    <w:uiPriority w:val="1"/>
    <w:qFormat/>
    <w:pPr>
      <w:spacing w:before="129"/>
      <w:ind w:left="999"/>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footer" Target="footer2.xml"/><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jpe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footer" Target="footer3.xml"/><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footer" Target="footer4.xml"/><Relationship Id="rId4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dc:title>TESIS UAEM MEDICINA 2013.pdf</dc:title>
  <dcterms:created xsi:type="dcterms:W3CDTF">2017-05-17T19:05:47Z</dcterms:created>
  <dcterms:modified xsi:type="dcterms:W3CDTF">2017-05-17T19:05:47Z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2013-02-02T00:00:00Z</vt:filetime>
  </property>
  <property fmtid="{D5CDD505-2E9C-101B-9397-08002B2CF9AE}" pid="3" name="Creator">
    <vt:lpwstr>Microsoft® Office Word 2007</vt:lpwstr>
  </property>
  <property fmtid="{D5CDD505-2E9C-101B-9397-08002B2CF9AE}" pid="4" name="LastSaved">
    <vt:filetime>2017-05-17T00:00:00Z</vt:filetime>
  </property>
</Properties>
</file>