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7" w:after="1"/>
        <w:rPr>
          <w:rFonts w:ascii="Times New Roman"/>
          <w:sz w:val="16"/>
        </w:rPr>
      </w:pPr>
    </w:p>
    <w:p>
      <w:pPr>
        <w:pStyle w:val="BodyText"/>
        <w:ind w:left="154"/>
        <w:rPr>
          <w:rFonts w:ascii="Times New Roman"/>
          <w:sz w:val="20"/>
        </w:rPr>
      </w:pPr>
      <w:r>
        <w:rPr>
          <w:rFonts w:ascii="Times New Roman"/>
          <w:sz w:val="20"/>
        </w:rPr>
        <w:pict>
          <v:group style="width:440.9pt;height:46.35pt;mso-position-horizontal-relative:char;mso-position-vertical-relative:line" coordorigin="0,0" coordsize="8818,927">
            <v:shape style="position:absolute;left:0;top:0;width:8818;height:926" type="#_x0000_t75" stroked="false">
              <v:imagedata r:id="rId7" o:title=""/>
            </v:shape>
            <v:shape style="position:absolute;left:1264;top:55;width:6246;height:263" type="#_x0000_t75" stroked="false">
              <v:imagedata r:id="rId8" o:title=""/>
            </v:shape>
            <v:shape style="position:absolute;left:6018;top:96;width:247;height:222" type="#_x0000_t75" stroked="false">
              <v:imagedata r:id="rId9" o:title=""/>
            </v:shape>
            <v:shape style="position:absolute;left:5424;top:96;width:213;height:222" type="#_x0000_t75" stroked="false">
              <v:imagedata r:id="rId10" o:title=""/>
            </v:shape>
            <v:shape style="position:absolute;left:4859;top:108;width:188;height:200" coordorigin="4859,108" coordsize="188,200" path="m4859,108l5047,108,5047,157,4984,157,4984,307,4922,307,4922,157,4859,157,4859,108xe" filled="false" stroked="true" strokeweight="1.150pt" strokecolor="#f9faf7">
              <v:path arrowok="t"/>
            </v:shape>
            <v:shape style="position:absolute;left:4564;top:96;width:214;height:226" type="#_x0000_t75" stroked="false">
              <v:imagedata r:id="rId11" o:title=""/>
            </v:shape>
            <v:shape style="position:absolute;left:4277;top:108;width:218;height:200" coordorigin="4277,108" coordsize="218,200" path="m4352,108l4420,108,4494,307,4430,307,4420,274,4350,274,4340,307,4277,307,4352,108xe" filled="false" stroked="true" strokeweight="1.150pt" strokecolor="#f9faf7">
              <v:path arrowok="t"/>
            </v:shape>
            <v:shape style="position:absolute;left:3856;top:108;width:184;height:200" coordorigin="3856,108" coordsize="184,200" path="m3856,108l3948,108,3961,108,4019,136,4035,168,4038,180,4040,193,4040,207,4028,268,4012,286,4004,294,3994,299,3985,302,3971,305,3959,307,3948,307,3856,307,3856,108xe" filled="false" stroked="true" strokeweight="1.150pt" strokecolor="#f9faf7">
              <v:path arrowok="t"/>
            </v:shape>
            <v:shape style="position:absolute;left:3557;top:108;width:218;height:200" coordorigin="3557,108" coordsize="218,200" path="m3632,108l3700,108,3774,307,3710,307,3700,274,3630,274,3620,307,3557,307,3632,108xe" filled="false" stroked="true" strokeweight="1.150pt" strokecolor="#f9faf7">
              <v:path arrowok="t"/>
            </v:shape>
            <v:shape style="position:absolute;left:3295;top:108;width:184;height:200" coordorigin="3295,108" coordsize="184,200" path="m3295,108l3386,108,3399,108,3458,136,3465,145,3470,156,3473,168,3477,180,3478,193,3478,207,3466,268,3451,286,3442,294,3433,299,3423,302,3409,305,3397,307,3386,307,3295,307,3295,108xe" filled="false" stroked="true" strokeweight="1.150pt" strokecolor="#f9faf7">
              <v:path arrowok="t"/>
            </v:shape>
            <v:rect style="position:absolute;left:3124;top:108;width:62;height:199" filled="false" stroked="true" strokeweight="1.150pt" strokecolor="#f9faf7"/>
            <v:shape style="position:absolute;left:2575;top:108;width:196;height:200" coordorigin="2575,108" coordsize="196,200" path="m2575,108l2677,108,2691,108,2752,140,2755,151,2755,163,2755,174,2706,219,2714,222,2719,224,2722,227,2725,228,2728,232,2732,237,2737,243,2739,247,2741,250,2771,307,2701,307,2668,246,2664,239,2660,233,2657,231,2653,228,2648,226,2642,226,2637,226,2637,307,2575,307,2575,108xe" filled="false" stroked="true" strokeweight="1.150pt" strokecolor="#f9faf7">
              <v:path arrowok="t"/>
            </v:shape>
            <v:shape style="position:absolute;left:2310;top:108;width:168;height:200" coordorigin="2310,108" coordsize="168,200" path="m2310,108l2475,108,2475,150,2372,150,2372,182,2467,182,2467,223,2372,223,2372,262,2478,262,2478,307,2310,307,2310,108xe" filled="false" stroked="true" strokeweight="1.150pt" strokecolor="#f9faf7">
              <v:path arrowok="t"/>
            </v:shape>
            <v:shape style="position:absolute;left:1996;top:96;width:239;height:222" type="#_x0000_t75" stroked="false">
              <v:imagedata r:id="rId12" o:title=""/>
            </v:shape>
            <v:rect style="position:absolute;left:1861;top:108;width:62;height:199" filled="false" stroked="true" strokeweight="1.150pt" strokecolor="#f9faf7"/>
            <v:shape style="position:absolute;left:1550;top:96;width:213;height:222" type="#_x0000_t75" stroked="false">
              <v:imagedata r:id="rId13" o:title=""/>
            </v:shape>
            <v:shape style="position:absolute;left:1252;top:96;width:214;height:226" type="#_x0000_t75" stroked="false">
              <v:imagedata r:id="rId14" o:title=""/>
            </v:shape>
            <v:shape style="position:absolute;left:5725;top:105;width:207;height:206" coordorigin="5725,105" coordsize="207,206" path="m5827,105l5889,120,5929,183,5931,206,5930,223,5905,283,5846,310,5830,311,5814,310,5754,286,5725,224,5725,208,5726,185,5767,120,5827,105xe" filled="false" stroked="true" strokeweight="1.150pt" strokecolor="#f9faf7">
              <v:path arrowok="t"/>
            </v:shape>
            <v:shape style="position:absolute;left:5129;top:105;width:207;height:206" coordorigin="5129,105" coordsize="207,206" path="m5232,105l5294,120,5334,183,5336,206,5335,223,5310,283,5251,310,5235,311,5219,310,5159,286,5130,224,5129,208,5131,185,5171,120,5232,105xe" filled="false" stroked="true" strokeweight="1.150pt" strokecolor="#f9faf7">
              <v:path arrowok="t"/>
            </v:shape>
            <v:shape style="position:absolute;left:2835;top:93;width:204;height:229" type="#_x0000_t75" stroked="false">
              <v:imagedata r:id="rId15" o:title=""/>
            </v:shape>
            <v:shape style="position:absolute;left:5208;top:55;width:71;height:41" coordorigin="5208,55" coordsize="71,41" path="m5231,55l5279,55,5235,96,5208,96,5231,55xe" filled="false" stroked="true" strokeweight="1.150pt" strokecolor="#f9faf7">
              <v:path arrowok="t"/>
            </v:shape>
            <v:shape style="position:absolute;left:1040;top:0;width:7070;height:593" type="#_x0000_t75" stroked="false">
              <v:imagedata r:id="rId16" o:title=""/>
            </v:shape>
            <v:shape style="position:absolute;left:2358;top:511;width:4044;height:263" type="#_x0000_t75" stroked="false">
              <v:imagedata r:id="rId17" o:title=""/>
            </v:shape>
            <v:shape style="position:absolute;left:5437;top:552;width:240;height:222" type="#_x0000_t75" stroked="false">
              <v:imagedata r:id="rId18" o:title=""/>
            </v:shape>
            <v:shape style="position:absolute;left:5200;top:564;width:168;height:200" coordorigin="5200,564" coordsize="168,200" path="m5200,564l5364,564,5364,606,5261,606,5261,638,5357,638,5357,679,5261,679,5261,718,5367,718,5367,763,5200,763,5200,564xe" filled="false" stroked="true" strokeweight="1.150pt" strokecolor="#f9faf7">
              <v:path arrowok="t"/>
            </v:shape>
            <v:shape style="position:absolute;left:4861;top:552;width:247;height:222" type="#_x0000_t75" stroked="false">
              <v:imagedata r:id="rId19" o:title=""/>
            </v:shape>
            <v:shape style="position:absolute;left:4451;top:564;width:168;height:200" coordorigin="4451,564" coordsize="168,200" path="m4451,564l4616,564,4616,606,4513,606,4513,638,4608,638,4608,679,4513,679,4513,718,4619,718,4619,763,4451,763,4451,564xe" filled="false" stroked="true" strokeweight="1.150pt" strokecolor="#f9faf7">
              <v:path arrowok="t"/>
            </v:shape>
            <v:shape style="position:absolute;left:4173;top:564;width:184;height:200" coordorigin="4173,564" coordsize="184,200" path="m4173,564l4265,564,4278,564,4336,592,4352,624,4355,636,4357,649,4357,663,4344,724,4329,742,4321,750,4311,755,4301,758,4288,761,4276,763,4265,763,4173,763,4173,564xe" filled="false" stroked="true" strokeweight="1.150pt" strokecolor="#f9faf7">
              <v:path arrowok="t"/>
            </v:shape>
            <v:shape style="position:absolute;left:3439;top:564;width:184;height:200" coordorigin="3439,564" coordsize="184,200" path="m3439,564l3530,564,3543,564,3602,592,3617,624,3621,636,3622,649,3622,663,3610,724,3595,742,3586,750,3577,755,3567,758,3553,761,3541,763,3530,763,3439,763,3439,564xe" filled="false" stroked="true" strokeweight="1.150pt" strokecolor="#f9faf7">
              <v:path arrowok="t"/>
            </v:shape>
            <v:shape style="position:absolute;left:3135;top:564;width:218;height:200" coordorigin="3135,564" coordsize="218,200" path="m3210,564l3277,564,3352,763,3287,763,3277,730,3208,730,3198,763,3135,763,3210,564xe" filled="false" stroked="true" strokeweight="1.150pt" strokecolor="#f9faf7">
              <v:path arrowok="t"/>
            </v:shape>
            <v:shape style="position:absolute;left:2877;top:564;width:188;height:200" coordorigin="2877,564" coordsize="188,200" path="m2877,564l3064,564,3064,613,3001,613,3001,763,2940,763,2940,613,2877,613,2877,564xe" filled="false" stroked="true" strokeweight="1.150pt" strokecolor="#f9faf7">
              <v:path arrowok="t"/>
            </v:shape>
            <v:shape style="position:absolute;left:2358;top:564;width:168;height:200" coordorigin="2358,564" coordsize="168,200" path="m2358,564l2523,564,2523,606,2420,606,2420,638,2515,638,2515,679,2420,679,2420,718,2526,718,2526,763,2358,763,2358,564xe" filled="false" stroked="true" strokeweight="1.150pt" strokecolor="#f9faf7">
              <v:path arrowok="t"/>
            </v:shape>
            <v:shape style="position:absolute;left:6195;top:561;width:207;height:206" coordorigin="6195,561" coordsize="207,206" path="m6298,561l6360,576,6400,639,6402,662,6401,679,6375,739,6316,766,6300,767,6284,766,6224,742,6196,680,6195,664,6197,641,6237,576,6298,561xe" filled="false" stroked="true" strokeweight="1.150pt" strokecolor="#f9faf7">
              <v:path arrowok="t"/>
            </v:shape>
            <v:shape style="position:absolute;left:5901;top:549;width:217;height:229" type="#_x0000_t75" stroked="false">
              <v:imagedata r:id="rId20" o:title=""/>
            </v:shape>
            <v:shape style="position:absolute;left:3709;top:561;width:207;height:206" coordorigin="3709,561" coordsize="207,206" path="m3811,561l3873,576,3913,639,3915,662,3914,679,3889,739,3830,766,3814,767,3798,766,3738,742,3709,680,3709,664,3710,641,3751,576,3811,561xe" filled="false" stroked="true" strokeweight="1.150pt" strokecolor="#f9faf7">
              <v:path arrowok="t"/>
            </v:shape>
            <v:shape style="position:absolute;left:2600;top:549;width:204;height:229" type="#_x0000_t75" stroked="false">
              <v:imagedata r:id="rId21" o:title=""/>
            </v:shape>
            <v:shape style="position:absolute;left:5255;top:511;width:71;height:41" coordorigin="5255,511" coordsize="71,41" path="m5278,511l5326,511,5282,552,5255,552,5278,511xe" filled="false" stroked="true" strokeweight="1.150pt" strokecolor="#f9faf7">
              <v:path arrowok="t"/>
            </v:shape>
            <v:shape style="position:absolute;left:2135;top:353;width:4546;height:573" type="#_x0000_t75" stroked="false">
              <v:imagedata r:id="rId22" o:title=""/>
            </v:shape>
          </v:group>
        </w:pict>
      </w:r>
      <w:r>
        <w:rPr>
          <w:rFonts w:ascii="Times New Roman"/>
          <w:sz w:val="20"/>
        </w:rPr>
      </w:r>
    </w:p>
    <w:p>
      <w:pPr>
        <w:pStyle w:val="BodyText"/>
        <w:spacing w:before="1"/>
        <w:rPr>
          <w:rFonts w:ascii="Times New Roman"/>
          <w:sz w:val="8"/>
        </w:rPr>
      </w:pPr>
    </w:p>
    <w:p>
      <w:pPr>
        <w:pStyle w:val="Heading3"/>
        <w:ind w:left="1765" w:right="1749"/>
        <w:jc w:val="center"/>
      </w:pPr>
      <w:r>
        <w:rPr>
          <w:w w:val="105"/>
        </w:rPr>
        <w:t>Facultad de Medicina</w:t>
      </w:r>
    </w:p>
    <w:p>
      <w:pPr>
        <w:spacing w:line="285" w:lineRule="auto" w:before="51"/>
        <w:ind w:left="1765" w:right="1749" w:firstLine="0"/>
        <w:jc w:val="center"/>
        <w:rPr>
          <w:b/>
          <w:sz w:val="21"/>
        </w:rPr>
      </w:pPr>
      <w:r>
        <w:rPr>
          <w:b/>
          <w:w w:val="105"/>
          <w:sz w:val="21"/>
        </w:rPr>
        <w:t>Coordinación de investigación y estudios avanzados Departamento de estudios avanzados</w:t>
      </w:r>
    </w:p>
    <w:p>
      <w:pPr>
        <w:spacing w:line="285" w:lineRule="auto" w:before="6"/>
        <w:ind w:left="1765" w:right="1749" w:firstLine="0"/>
        <w:jc w:val="center"/>
        <w:rPr>
          <w:b/>
          <w:sz w:val="21"/>
        </w:rPr>
      </w:pPr>
      <w:r>
        <w:rPr>
          <w:b/>
          <w:w w:val="105"/>
          <w:sz w:val="21"/>
        </w:rPr>
        <w:t>Coordinación de la especialidad en Pediatría Departamento de Evaluación Profesional</w:t>
      </w:r>
    </w:p>
    <w:p>
      <w:pPr>
        <w:pStyle w:val="BodyText"/>
        <w:spacing w:before="4"/>
        <w:rPr>
          <w:b/>
          <w:sz w:val="19"/>
        </w:rPr>
      </w:pPr>
      <w:r>
        <w:rPr/>
        <w:drawing>
          <wp:anchor distT="0" distB="0" distL="0" distR="0" allowOverlap="1" layoutInCell="1" locked="0" behindDoc="0" simplePos="0" relativeHeight="1048">
            <wp:simplePos x="0" y="0"/>
            <wp:positionH relativeFrom="page">
              <wp:posOffset>3137535</wp:posOffset>
            </wp:positionH>
            <wp:positionV relativeFrom="paragraph">
              <wp:posOffset>166574</wp:posOffset>
            </wp:positionV>
            <wp:extent cx="1603299" cy="1448657"/>
            <wp:effectExtent l="0" t="0" r="0" b="0"/>
            <wp:wrapTopAndBottom/>
            <wp:docPr id="1" name="image17.jpeg" descr=""/>
            <wp:cNvGraphicFramePr>
              <a:graphicFrameLocks noChangeAspect="1"/>
            </wp:cNvGraphicFramePr>
            <a:graphic>
              <a:graphicData uri="http://schemas.openxmlformats.org/drawingml/2006/picture">
                <pic:pic>
                  <pic:nvPicPr>
                    <pic:cNvPr id="2" name="image17.jpeg"/>
                    <pic:cNvPicPr/>
                  </pic:nvPicPr>
                  <pic:blipFill>
                    <a:blip r:embed="rId23" cstate="print"/>
                    <a:stretch>
                      <a:fillRect/>
                    </a:stretch>
                  </pic:blipFill>
                  <pic:spPr>
                    <a:xfrm>
                      <a:off x="0" y="0"/>
                      <a:ext cx="1603299" cy="1448657"/>
                    </a:xfrm>
                    <a:prstGeom prst="rect">
                      <a:avLst/>
                    </a:prstGeom>
                  </pic:spPr>
                </pic:pic>
              </a:graphicData>
            </a:graphic>
          </wp:anchor>
        </w:drawing>
      </w:r>
    </w:p>
    <w:p>
      <w:pPr>
        <w:pStyle w:val="BodyText"/>
        <w:spacing w:before="1"/>
        <w:rPr>
          <w:b/>
          <w:sz w:val="6"/>
        </w:rPr>
      </w:pPr>
    </w:p>
    <w:p>
      <w:pPr>
        <w:pStyle w:val="BodyText"/>
        <w:ind w:left="514"/>
        <w:rPr>
          <w:sz w:val="20"/>
        </w:rPr>
      </w:pPr>
      <w:r>
        <w:rPr>
          <w:sz w:val="20"/>
        </w:rPr>
        <w:pict>
          <v:group style="width:404.2pt;height:354.25pt;mso-position-horizontal-relative:char;mso-position-vertical-relative:line" coordorigin="0,0" coordsize="8084,7085">
            <v:shape style="position:absolute;left:0;top:0;width:8083;height:7085" type="#_x0000_t75" stroked="false">
              <v:imagedata r:id="rId24" o:title=""/>
            </v:shape>
            <v:shape style="position:absolute;left:182;top:35;width:7714;height:3777" type="#_x0000_t202" filled="false" stroked="false">
              <v:textbox inset="0,0,0,0">
                <w:txbxContent>
                  <w:p>
                    <w:pPr>
                      <w:spacing w:line="265" w:lineRule="exact" w:before="0"/>
                      <w:ind w:left="221" w:right="222" w:firstLine="0"/>
                      <w:jc w:val="center"/>
                      <w:rPr>
                        <w:b/>
                        <w:sz w:val="26"/>
                      </w:rPr>
                    </w:pPr>
                    <w:r>
                      <w:rPr>
                        <w:b/>
                        <w:sz w:val="26"/>
                      </w:rPr>
                      <w:t>“Dos modelos para evaluar los efectos de la cercanía de</w:t>
                    </w:r>
                    <w:r>
                      <w:rPr>
                        <w:b/>
                        <w:spacing w:val="-25"/>
                        <w:sz w:val="26"/>
                      </w:rPr>
                      <w:t> </w:t>
                    </w:r>
                    <w:r>
                      <w:rPr>
                        <w:b/>
                        <w:sz w:val="26"/>
                      </w:rPr>
                      <w:t>la</w:t>
                    </w:r>
                  </w:p>
                  <w:p>
                    <w:pPr>
                      <w:spacing w:before="3"/>
                      <w:ind w:left="-1" w:right="0" w:firstLine="0"/>
                      <w:jc w:val="center"/>
                      <w:rPr>
                        <w:b/>
                        <w:sz w:val="26"/>
                      </w:rPr>
                    </w:pPr>
                    <w:r>
                      <w:rPr>
                        <w:b/>
                        <w:sz w:val="26"/>
                      </w:rPr>
                      <w:t>luna sobre la frecuencia de nacimientos. Estudio en</w:t>
                    </w:r>
                    <w:r>
                      <w:rPr>
                        <w:b/>
                        <w:spacing w:val="-21"/>
                        <w:sz w:val="26"/>
                      </w:rPr>
                      <w:t> </w:t>
                    </w:r>
                    <w:r>
                      <w:rPr>
                        <w:b/>
                        <w:sz w:val="26"/>
                      </w:rPr>
                      <w:t>población mexicana”.</w:t>
                    </w:r>
                  </w:p>
                  <w:p>
                    <w:pPr>
                      <w:spacing w:line="242" w:lineRule="auto" w:before="223"/>
                      <w:ind w:left="2102" w:right="2100" w:firstLine="2"/>
                      <w:jc w:val="center"/>
                      <w:rPr>
                        <w:b/>
                        <w:sz w:val="24"/>
                      </w:rPr>
                    </w:pPr>
                    <w:r>
                      <w:rPr>
                        <w:b/>
                        <w:sz w:val="24"/>
                      </w:rPr>
                      <w:t>Hospital General de Cuautitlán “General José Vicente Villada”</w:t>
                    </w:r>
                  </w:p>
                  <w:p>
                    <w:pPr>
                      <w:spacing w:before="167"/>
                      <w:ind w:left="221" w:right="215" w:firstLine="0"/>
                      <w:jc w:val="center"/>
                      <w:rPr>
                        <w:b/>
                        <w:sz w:val="24"/>
                      </w:rPr>
                    </w:pPr>
                    <w:r>
                      <w:rPr>
                        <w:b/>
                        <w:sz w:val="24"/>
                      </w:rPr>
                      <w:t>TESIS</w:t>
                    </w:r>
                  </w:p>
                  <w:p>
                    <w:pPr>
                      <w:spacing w:line="242" w:lineRule="auto" w:before="137"/>
                      <w:ind w:left="221" w:right="212" w:firstLine="0"/>
                      <w:jc w:val="center"/>
                      <w:rPr>
                        <w:b/>
                        <w:sz w:val="24"/>
                      </w:rPr>
                    </w:pPr>
                    <w:r>
                      <w:rPr>
                        <w:b/>
                        <w:sz w:val="24"/>
                      </w:rPr>
                      <w:t>PARA OBTENER EL DIPLOMA DE POSGRADO DE LA ESPECIALIDAD DE PEDIATRÍA</w:t>
                    </w:r>
                  </w:p>
                  <w:p>
                    <w:pPr>
                      <w:spacing w:line="240" w:lineRule="auto" w:before="0"/>
                      <w:rPr>
                        <w:b/>
                        <w:sz w:val="20"/>
                      </w:rPr>
                    </w:pPr>
                  </w:p>
                  <w:p>
                    <w:pPr>
                      <w:spacing w:before="0"/>
                      <w:ind w:left="221" w:right="221" w:firstLine="0"/>
                      <w:jc w:val="center"/>
                      <w:rPr>
                        <w:b/>
                        <w:sz w:val="26"/>
                      </w:rPr>
                    </w:pPr>
                    <w:r>
                      <w:rPr>
                        <w:b/>
                        <w:sz w:val="26"/>
                      </w:rPr>
                      <w:t>P R E S E N T A :</w:t>
                    </w:r>
                  </w:p>
                  <w:p>
                    <w:pPr>
                      <w:spacing w:line="315" w:lineRule="exact" w:before="148"/>
                      <w:ind w:left="892" w:right="0" w:firstLine="0"/>
                      <w:jc w:val="left"/>
                      <w:rPr>
                        <w:b/>
                        <w:sz w:val="28"/>
                      </w:rPr>
                    </w:pPr>
                    <w:r>
                      <w:rPr>
                        <w:b/>
                        <w:sz w:val="28"/>
                      </w:rPr>
                      <w:t>M.C. SHELLY MARICELA RAMÍREZ DUARTE</w:t>
                    </w:r>
                  </w:p>
                </w:txbxContent>
              </v:textbox>
              <w10:wrap type="none"/>
            </v:shape>
            <v:shape style="position:absolute;left:1829;top:4282;width:6105;height:2700" type="#_x0000_t202" filled="false" stroked="false">
              <v:textbox inset="0,0,0,0">
                <w:txbxContent>
                  <w:p>
                    <w:pPr>
                      <w:spacing w:line="180" w:lineRule="exact" w:before="0"/>
                      <w:ind w:left="1276" w:right="-10" w:firstLine="0"/>
                      <w:jc w:val="left"/>
                      <w:rPr>
                        <w:b/>
                        <w:sz w:val="17"/>
                      </w:rPr>
                    </w:pPr>
                    <w:r>
                      <w:rPr>
                        <w:b/>
                        <w:w w:val="105"/>
                        <w:sz w:val="17"/>
                      </w:rPr>
                      <w:t>DIRECTOR DE TESIS:</w:t>
                    </w:r>
                  </w:p>
                  <w:p>
                    <w:pPr>
                      <w:spacing w:before="39"/>
                      <w:ind w:left="0" w:right="-10" w:firstLine="0"/>
                      <w:jc w:val="left"/>
                      <w:rPr>
                        <w:b/>
                        <w:sz w:val="17"/>
                      </w:rPr>
                    </w:pPr>
                    <w:r>
                      <w:rPr>
                        <w:b/>
                        <w:w w:val="105"/>
                        <w:sz w:val="17"/>
                      </w:rPr>
                      <w:t>E. EN PED. J. ISABEL ARMANDO SALINAS MERITU</w:t>
                    </w:r>
                  </w:p>
                  <w:p>
                    <w:pPr>
                      <w:spacing w:before="150"/>
                      <w:ind w:left="1208" w:right="2883" w:firstLine="0"/>
                      <w:jc w:val="center"/>
                      <w:rPr>
                        <w:b/>
                        <w:sz w:val="17"/>
                      </w:rPr>
                    </w:pPr>
                    <w:r>
                      <w:rPr>
                        <w:b/>
                        <w:w w:val="105"/>
                        <w:sz w:val="17"/>
                      </w:rPr>
                      <w:t>ASESOR DE TESIS:</w:t>
                    </w:r>
                  </w:p>
                  <w:p>
                    <w:pPr>
                      <w:spacing w:before="39"/>
                      <w:ind w:left="81" w:right="-10" w:firstLine="0"/>
                      <w:jc w:val="left"/>
                      <w:rPr>
                        <w:b/>
                        <w:sz w:val="17"/>
                      </w:rPr>
                    </w:pPr>
                    <w:r>
                      <w:rPr>
                        <w:b/>
                        <w:w w:val="105"/>
                        <w:sz w:val="17"/>
                      </w:rPr>
                      <w:t>E. EN HEM. CHRISTIAN OMAR RAMOS PEÑAFIEL</w:t>
                    </w:r>
                  </w:p>
                  <w:p>
                    <w:pPr>
                      <w:spacing w:line="240" w:lineRule="auto" w:before="11"/>
                      <w:rPr>
                        <w:b/>
                        <w:sz w:val="15"/>
                      </w:rPr>
                    </w:pPr>
                  </w:p>
                  <w:p>
                    <w:pPr>
                      <w:spacing w:before="0"/>
                      <w:ind w:left="1208" w:right="2892" w:firstLine="0"/>
                      <w:jc w:val="center"/>
                      <w:rPr>
                        <w:b/>
                        <w:sz w:val="17"/>
                      </w:rPr>
                    </w:pPr>
                    <w:r>
                      <w:rPr>
                        <w:b/>
                        <w:w w:val="105"/>
                        <w:sz w:val="17"/>
                      </w:rPr>
                      <w:t>REVISORES DE TESIS:</w:t>
                    </w:r>
                  </w:p>
                  <w:p>
                    <w:pPr>
                      <w:spacing w:before="39"/>
                      <w:ind w:left="561" w:right="-10" w:firstLine="0"/>
                      <w:jc w:val="left"/>
                      <w:rPr>
                        <w:b/>
                        <w:sz w:val="17"/>
                      </w:rPr>
                    </w:pPr>
                    <w:r>
                      <w:rPr>
                        <w:b/>
                        <w:w w:val="105"/>
                        <w:sz w:val="17"/>
                      </w:rPr>
                      <w:t>E. EN PED. NELLY JARA HERNÁNDEZ</w:t>
                    </w:r>
                  </w:p>
                  <w:p>
                    <w:pPr>
                      <w:spacing w:before="44"/>
                      <w:ind w:left="76" w:right="-10" w:firstLine="0"/>
                      <w:jc w:val="left"/>
                      <w:rPr>
                        <w:b/>
                        <w:sz w:val="17"/>
                      </w:rPr>
                    </w:pPr>
                    <w:r>
                      <w:rPr>
                        <w:b/>
                        <w:w w:val="105"/>
                        <w:sz w:val="17"/>
                      </w:rPr>
                      <w:t>E. EN. PED. SILVIA JOSEFINA CUEVAS ÁLVAREZ</w:t>
                    </w:r>
                  </w:p>
                  <w:p>
                    <w:pPr>
                      <w:spacing w:before="44"/>
                      <w:ind w:left="503" w:right="-10" w:firstLine="0"/>
                      <w:jc w:val="left"/>
                      <w:rPr>
                        <w:b/>
                        <w:sz w:val="17"/>
                      </w:rPr>
                    </w:pPr>
                    <w:r>
                      <w:rPr>
                        <w:b/>
                        <w:w w:val="105"/>
                        <w:sz w:val="17"/>
                      </w:rPr>
                      <w:t>E. EN. PED. FRANCISCO LEYVA LÓPEZ</w:t>
                    </w:r>
                  </w:p>
                  <w:p>
                    <w:pPr>
                      <w:spacing w:line="240" w:lineRule="auto" w:before="0"/>
                      <w:rPr>
                        <w:b/>
                        <w:sz w:val="18"/>
                      </w:rPr>
                    </w:pPr>
                  </w:p>
                  <w:p>
                    <w:pPr>
                      <w:spacing w:line="271" w:lineRule="exact" w:before="132"/>
                      <w:ind w:left="1891" w:right="-10" w:firstLine="0"/>
                      <w:jc w:val="left"/>
                      <w:rPr>
                        <w:b/>
                        <w:sz w:val="24"/>
                      </w:rPr>
                    </w:pPr>
                    <w:r>
                      <w:rPr>
                        <w:b/>
                        <w:sz w:val="24"/>
                      </w:rPr>
                      <w:t>TOLUCA, ESTADO DE MÉXICO,</w:t>
                    </w:r>
                    <w:r>
                      <w:rPr>
                        <w:b/>
                        <w:spacing w:val="-11"/>
                        <w:sz w:val="24"/>
                      </w:rPr>
                      <w:t> </w:t>
                    </w:r>
                    <w:r>
                      <w:rPr>
                        <w:b/>
                        <w:sz w:val="24"/>
                      </w:rPr>
                      <w:t>2014</w:t>
                    </w:r>
                  </w:p>
                </w:txbxContent>
              </v:textbox>
              <w10:wrap type="none"/>
            </v:shape>
          </v:group>
        </w:pict>
      </w:r>
      <w:r>
        <w:rPr>
          <w:sz w:val="20"/>
        </w:rPr>
      </w:r>
    </w:p>
    <w:p>
      <w:pPr>
        <w:spacing w:after="0"/>
        <w:rPr>
          <w:sz w:val="20"/>
        </w:rPr>
        <w:sectPr>
          <w:headerReference w:type="default" r:id="rId5"/>
          <w:footerReference w:type="default" r:id="rId6"/>
          <w:type w:val="continuous"/>
          <w:pgSz w:w="12240" w:h="15840"/>
          <w:pgMar w:header="1209" w:footer="1234" w:top="1400" w:bottom="1420" w:left="1560" w:right="1580"/>
          <w:pgNumType w:start="1"/>
        </w:sectPr>
      </w:pPr>
    </w:p>
    <w:p>
      <w:pPr>
        <w:pStyle w:val="BodyText"/>
        <w:rPr>
          <w:b/>
          <w:sz w:val="20"/>
        </w:rPr>
      </w:pPr>
    </w:p>
    <w:p>
      <w:pPr>
        <w:pStyle w:val="BodyText"/>
        <w:spacing w:before="9"/>
        <w:rPr>
          <w:b/>
          <w:sz w:val="16"/>
        </w:rPr>
      </w:pPr>
    </w:p>
    <w:p>
      <w:pPr>
        <w:spacing w:before="78"/>
        <w:ind w:left="1764" w:right="1749" w:firstLine="0"/>
        <w:jc w:val="center"/>
        <w:rPr>
          <w:b/>
          <w:sz w:val="21"/>
        </w:rPr>
      </w:pPr>
      <w:r>
        <w:rPr>
          <w:b/>
          <w:w w:val="105"/>
          <w:sz w:val="21"/>
        </w:rPr>
        <w:t>Índice General</w:t>
      </w:r>
    </w:p>
    <w:p>
      <w:pPr>
        <w:pStyle w:val="BodyText"/>
        <w:spacing w:before="10"/>
        <w:rPr>
          <w:b/>
          <w:sz w:val="14"/>
        </w:rPr>
      </w:pPr>
    </w:p>
    <w:p>
      <w:pPr>
        <w:spacing w:before="81"/>
        <w:ind w:left="139" w:right="82" w:firstLine="0"/>
        <w:jc w:val="left"/>
        <w:rPr>
          <w:b/>
          <w:sz w:val="19"/>
        </w:rPr>
      </w:pPr>
      <w:r>
        <w:rPr>
          <w:b/>
          <w:w w:val="105"/>
          <w:sz w:val="19"/>
        </w:rPr>
        <w:t>Parte I.  Marco Teórico</w:t>
      </w:r>
    </w:p>
    <w:sdt>
      <w:sdtPr>
        <w:docPartObj>
          <w:docPartGallery w:val="Table of Contents"/>
          <w:docPartUnique/>
        </w:docPartObj>
      </w:sdtPr>
      <w:sdtEndPr/>
      <w:sdtContent>
        <w:p>
          <w:pPr>
            <w:pStyle w:val="TOC2"/>
            <w:numPr>
              <w:ilvl w:val="0"/>
              <w:numId w:val="1"/>
            </w:numPr>
            <w:tabs>
              <w:tab w:pos="859" w:val="left" w:leader="none"/>
              <w:tab w:pos="860" w:val="left" w:leader="none"/>
              <w:tab w:pos="8716" w:val="left" w:leader="dot"/>
            </w:tabs>
            <w:spacing w:line="240" w:lineRule="auto" w:before="248" w:after="0"/>
            <w:ind w:left="859" w:right="0" w:hanging="360"/>
            <w:jc w:val="left"/>
            <w:rPr>
              <w:rFonts w:ascii="Symbol"/>
            </w:rPr>
          </w:pPr>
          <w:r>
            <w:rPr>
              <w:w w:val="105"/>
            </w:rPr>
            <w:t>Historia de la Luna  y</w:t>
          </w:r>
          <w:r>
            <w:rPr>
              <w:spacing w:val="48"/>
              <w:w w:val="105"/>
            </w:rPr>
            <w:t> </w:t>
          </w:r>
          <w:r>
            <w:rPr>
              <w:w w:val="105"/>
            </w:rPr>
            <w:t>los</w:t>
          </w:r>
          <w:r>
            <w:rPr>
              <w:spacing w:val="-1"/>
              <w:w w:val="105"/>
            </w:rPr>
            <w:t> </w:t>
          </w:r>
          <w:r>
            <w:rPr>
              <w:w w:val="105"/>
            </w:rPr>
            <w:t>Nacimientos</w:t>
            <w:tab/>
            <w:t>03</w:t>
          </w:r>
        </w:p>
        <w:p>
          <w:pPr>
            <w:pStyle w:val="TOC2"/>
            <w:numPr>
              <w:ilvl w:val="0"/>
              <w:numId w:val="1"/>
            </w:numPr>
            <w:tabs>
              <w:tab w:pos="859" w:val="left" w:leader="none"/>
              <w:tab w:pos="860" w:val="left" w:leader="none"/>
              <w:tab w:pos="8739" w:val="left" w:leader="dot"/>
            </w:tabs>
            <w:spacing w:line="240" w:lineRule="auto" w:before="41" w:after="0"/>
            <w:ind w:left="859" w:right="0" w:hanging="360"/>
            <w:jc w:val="left"/>
            <w:rPr>
              <w:rFonts w:ascii="Symbol" w:hAnsi="Symbol"/>
            </w:rPr>
          </w:pPr>
          <w:hyperlink w:history="true" w:anchor="_TOC_250021">
            <w:r>
              <w:rPr>
                <w:w w:val="105"/>
              </w:rPr>
              <w:t>Importancia de “Ix Chel” en la</w:t>
            </w:r>
            <w:r>
              <w:rPr>
                <w:spacing w:val="-9"/>
                <w:w w:val="105"/>
              </w:rPr>
              <w:t> </w:t>
            </w:r>
            <w:r>
              <w:rPr>
                <w:w w:val="105"/>
              </w:rPr>
              <w:t>cultura</w:t>
            </w:r>
            <w:r>
              <w:rPr>
                <w:spacing w:val="-2"/>
                <w:w w:val="105"/>
              </w:rPr>
              <w:t> </w:t>
            </w:r>
            <w:r>
              <w:rPr>
                <w:w w:val="105"/>
              </w:rPr>
              <w:t>maya</w:t>
              <w:tab/>
              <w:t>03</w:t>
            </w:r>
          </w:hyperlink>
        </w:p>
        <w:p>
          <w:pPr>
            <w:pStyle w:val="TOC2"/>
            <w:numPr>
              <w:ilvl w:val="0"/>
              <w:numId w:val="1"/>
            </w:numPr>
            <w:tabs>
              <w:tab w:pos="859" w:val="left" w:leader="none"/>
              <w:tab w:pos="860" w:val="left" w:leader="none"/>
              <w:tab w:pos="8750" w:val="left" w:leader="dot"/>
            </w:tabs>
            <w:spacing w:line="240" w:lineRule="auto" w:before="45" w:after="0"/>
            <w:ind w:left="859" w:right="0" w:hanging="360"/>
            <w:jc w:val="left"/>
            <w:rPr>
              <w:rFonts w:ascii="Symbol" w:hAnsi="Symbol"/>
            </w:rPr>
          </w:pPr>
          <w:hyperlink w:history="true" w:anchor="_TOC_250020">
            <w:r>
              <w:rPr>
                <w:w w:val="105"/>
              </w:rPr>
              <w:t>Relación entre la luna  y diversas</w:t>
            </w:r>
            <w:r>
              <w:rPr>
                <w:spacing w:val="-12"/>
                <w:w w:val="105"/>
              </w:rPr>
              <w:t> </w:t>
            </w:r>
            <w:r>
              <w:rPr>
                <w:w w:val="105"/>
              </w:rPr>
              <w:t>situaciones</w:t>
            </w:r>
            <w:r>
              <w:rPr>
                <w:spacing w:val="-2"/>
                <w:w w:val="105"/>
              </w:rPr>
              <w:t> </w:t>
            </w:r>
            <w:r>
              <w:rPr>
                <w:w w:val="105"/>
              </w:rPr>
              <w:t>clínicas</w:t>
              <w:tab/>
              <w:t>04</w:t>
            </w:r>
          </w:hyperlink>
        </w:p>
        <w:p>
          <w:pPr>
            <w:pStyle w:val="TOC2"/>
            <w:numPr>
              <w:ilvl w:val="0"/>
              <w:numId w:val="1"/>
            </w:numPr>
            <w:tabs>
              <w:tab w:pos="859" w:val="left" w:leader="none"/>
              <w:tab w:pos="860" w:val="left" w:leader="none"/>
              <w:tab w:pos="8717" w:val="left" w:leader="dot"/>
            </w:tabs>
            <w:spacing w:line="240" w:lineRule="auto" w:before="45" w:after="0"/>
            <w:ind w:left="859" w:right="0" w:hanging="360"/>
            <w:jc w:val="left"/>
            <w:rPr>
              <w:rFonts w:ascii="Symbol" w:hAnsi="Symbol"/>
            </w:rPr>
          </w:pPr>
          <w:hyperlink w:history="true" w:anchor="_TOC_250019">
            <w:r>
              <w:rPr>
                <w:w w:val="105"/>
              </w:rPr>
              <w:t>Relación entre la luna y diversas</w:t>
            </w:r>
            <w:r>
              <w:rPr>
                <w:spacing w:val="-13"/>
                <w:w w:val="105"/>
              </w:rPr>
              <w:t> </w:t>
            </w:r>
            <w:r>
              <w:rPr>
                <w:w w:val="105"/>
              </w:rPr>
              <w:t>situaciones</w:t>
            </w:r>
            <w:r>
              <w:rPr>
                <w:spacing w:val="-2"/>
                <w:w w:val="105"/>
              </w:rPr>
              <w:t> </w:t>
            </w:r>
            <w:r>
              <w:rPr>
                <w:w w:val="105"/>
              </w:rPr>
              <w:t>biológicas</w:t>
              <w:tab/>
              <w:t>05</w:t>
            </w:r>
          </w:hyperlink>
        </w:p>
        <w:p>
          <w:pPr>
            <w:pStyle w:val="TOC2"/>
            <w:numPr>
              <w:ilvl w:val="0"/>
              <w:numId w:val="1"/>
            </w:numPr>
            <w:tabs>
              <w:tab w:pos="859" w:val="left" w:leader="none"/>
              <w:tab w:pos="860" w:val="left" w:leader="none"/>
              <w:tab w:pos="8728" w:val="left" w:leader="dot"/>
            </w:tabs>
            <w:spacing w:line="240" w:lineRule="auto" w:before="45" w:after="0"/>
            <w:ind w:left="859" w:right="0" w:hanging="360"/>
            <w:jc w:val="left"/>
            <w:rPr>
              <w:rFonts w:ascii="Symbol" w:hAnsi="Symbol"/>
            </w:rPr>
          </w:pPr>
          <w:hyperlink w:history="true" w:anchor="_TOC_250018">
            <w:r>
              <w:rPr>
                <w:w w:val="105"/>
              </w:rPr>
              <w:t>Física del desplazamiento de la Luna  y su relación con</w:t>
            </w:r>
            <w:r>
              <w:rPr>
                <w:spacing w:val="-15"/>
                <w:w w:val="105"/>
              </w:rPr>
              <w:t> </w:t>
            </w:r>
            <w:r>
              <w:rPr>
                <w:w w:val="105"/>
              </w:rPr>
              <w:t>la</w:t>
            </w:r>
            <w:r>
              <w:rPr>
                <w:spacing w:val="-2"/>
                <w:w w:val="105"/>
              </w:rPr>
              <w:t> </w:t>
            </w:r>
            <w:r>
              <w:rPr>
                <w:w w:val="105"/>
              </w:rPr>
              <w:t>Tierra</w:t>
              <w:tab/>
              <w:t>06</w:t>
            </w:r>
          </w:hyperlink>
        </w:p>
        <w:p>
          <w:pPr>
            <w:pStyle w:val="TOC2"/>
            <w:numPr>
              <w:ilvl w:val="0"/>
              <w:numId w:val="1"/>
            </w:numPr>
            <w:tabs>
              <w:tab w:pos="859" w:val="left" w:leader="none"/>
              <w:tab w:pos="860" w:val="left" w:leader="none"/>
              <w:tab w:pos="8740" w:val="left" w:leader="dot"/>
            </w:tabs>
            <w:spacing w:line="240" w:lineRule="auto" w:before="45" w:after="0"/>
            <w:ind w:left="859" w:right="0" w:hanging="360"/>
            <w:jc w:val="left"/>
            <w:rPr>
              <w:rFonts w:ascii="Symbol" w:hAnsi="Symbol"/>
            </w:rPr>
          </w:pPr>
          <w:hyperlink w:history="true" w:anchor="_TOC_250017">
            <w:r>
              <w:rPr>
                <w:w w:val="105"/>
              </w:rPr>
              <w:t>Luminosidad acorde a las etapas lunares y el movimiento luna</w:t>
            </w:r>
            <w:r>
              <w:rPr>
                <w:spacing w:val="-16"/>
                <w:w w:val="105"/>
              </w:rPr>
              <w:t> </w:t>
            </w:r>
            <w:r>
              <w:rPr>
                <w:w w:val="105"/>
              </w:rPr>
              <w:t>–</w:t>
            </w:r>
            <w:r>
              <w:rPr>
                <w:spacing w:val="-2"/>
                <w:w w:val="105"/>
              </w:rPr>
              <w:t> </w:t>
            </w:r>
            <w:r>
              <w:rPr>
                <w:w w:val="105"/>
              </w:rPr>
              <w:t>Tierra.</w:t>
              <w:tab/>
              <w:t>09</w:t>
            </w:r>
          </w:hyperlink>
        </w:p>
        <w:p>
          <w:pPr>
            <w:pStyle w:val="TOC2"/>
            <w:numPr>
              <w:ilvl w:val="0"/>
              <w:numId w:val="1"/>
            </w:numPr>
            <w:tabs>
              <w:tab w:pos="859" w:val="left" w:leader="none"/>
              <w:tab w:pos="860" w:val="left" w:leader="none"/>
              <w:tab w:pos="8684" w:val="left" w:leader="dot"/>
            </w:tabs>
            <w:spacing w:line="240" w:lineRule="auto" w:before="45" w:after="0"/>
            <w:ind w:left="859" w:right="0" w:hanging="360"/>
            <w:jc w:val="left"/>
            <w:rPr>
              <w:rFonts w:ascii="Symbol" w:hAnsi="Symbol"/>
            </w:rPr>
          </w:pPr>
          <w:hyperlink w:history="true" w:anchor="_TOC_250016">
            <w:r>
              <w:rPr>
                <w:w w:val="105"/>
              </w:rPr>
              <w:t>Movimiento Tierra-Luna –Sol  y su efecto sobre los</w:t>
            </w:r>
            <w:r>
              <w:rPr>
                <w:spacing w:val="-14"/>
                <w:w w:val="105"/>
              </w:rPr>
              <w:t> </w:t>
            </w:r>
            <w:r>
              <w:rPr>
                <w:w w:val="105"/>
              </w:rPr>
              <w:t>cuerpos</w:t>
            </w:r>
            <w:r>
              <w:rPr>
                <w:spacing w:val="-2"/>
                <w:w w:val="105"/>
              </w:rPr>
              <w:t> </w:t>
            </w:r>
            <w:r>
              <w:rPr>
                <w:w w:val="105"/>
              </w:rPr>
              <w:t>líquidos</w:t>
              <w:tab/>
              <w:t>12</w:t>
            </w:r>
          </w:hyperlink>
        </w:p>
        <w:p>
          <w:pPr>
            <w:pStyle w:val="TOC2"/>
            <w:numPr>
              <w:ilvl w:val="0"/>
              <w:numId w:val="1"/>
            </w:numPr>
            <w:tabs>
              <w:tab w:pos="859" w:val="left" w:leader="none"/>
              <w:tab w:pos="860" w:val="left" w:leader="none"/>
              <w:tab w:pos="8695" w:val="left" w:leader="dot"/>
            </w:tabs>
            <w:spacing w:line="240" w:lineRule="auto" w:before="45" w:after="0"/>
            <w:ind w:left="859" w:right="0" w:hanging="360"/>
            <w:jc w:val="left"/>
            <w:rPr>
              <w:rFonts w:ascii="Symbol"/>
            </w:rPr>
          </w:pPr>
          <w:r>
            <w:rPr>
              <w:w w:val="105"/>
            </w:rPr>
            <w:t>Efecto de la Luna sobre los sistemas fluidos</w:t>
          </w:r>
          <w:r>
            <w:rPr>
              <w:spacing w:val="-13"/>
              <w:w w:val="105"/>
            </w:rPr>
            <w:t> </w:t>
          </w:r>
          <w:r>
            <w:rPr>
              <w:w w:val="105"/>
            </w:rPr>
            <w:t>en</w:t>
          </w:r>
          <w:r>
            <w:rPr>
              <w:spacing w:val="-2"/>
              <w:w w:val="105"/>
            </w:rPr>
            <w:t> </w:t>
          </w:r>
          <w:r>
            <w:rPr>
              <w:w w:val="105"/>
            </w:rPr>
            <w:t>animales</w:t>
            <w:tab/>
            <w:t>14</w:t>
          </w:r>
        </w:p>
        <w:p>
          <w:pPr>
            <w:pStyle w:val="TOC2"/>
            <w:numPr>
              <w:ilvl w:val="0"/>
              <w:numId w:val="1"/>
            </w:numPr>
            <w:tabs>
              <w:tab w:pos="859" w:val="left" w:leader="none"/>
              <w:tab w:pos="860" w:val="left" w:leader="none"/>
              <w:tab w:pos="8708" w:val="left" w:leader="dot"/>
            </w:tabs>
            <w:spacing w:line="240" w:lineRule="auto" w:before="45" w:after="0"/>
            <w:ind w:left="859" w:right="0" w:hanging="360"/>
            <w:jc w:val="left"/>
            <w:rPr>
              <w:rFonts w:ascii="Symbol" w:hAnsi="Symbol"/>
            </w:rPr>
          </w:pPr>
          <w:hyperlink w:history="true" w:anchor="_TOC_250015">
            <w:r>
              <w:rPr>
                <w:w w:val="105"/>
              </w:rPr>
              <w:t>Factores que influyen en la presentación de un</w:t>
            </w:r>
            <w:r>
              <w:rPr>
                <w:spacing w:val="-16"/>
                <w:w w:val="105"/>
              </w:rPr>
              <w:t> </w:t>
            </w:r>
            <w:r>
              <w:rPr>
                <w:w w:val="105"/>
              </w:rPr>
              <w:t>producto</w:t>
            </w:r>
            <w:r>
              <w:rPr>
                <w:spacing w:val="-2"/>
                <w:w w:val="105"/>
              </w:rPr>
              <w:t> </w:t>
            </w:r>
            <w:r>
              <w:rPr>
                <w:w w:val="105"/>
              </w:rPr>
              <w:t>pre-término</w:t>
              <w:tab/>
              <w:t>15</w:t>
            </w:r>
          </w:hyperlink>
        </w:p>
        <w:p>
          <w:pPr>
            <w:pStyle w:val="TOC1"/>
            <w:spacing w:before="505"/>
          </w:pPr>
          <w:r>
            <w:rPr>
              <w:w w:val="105"/>
            </w:rPr>
            <w:t>Parte II. Estructura del Protocolo</w:t>
          </w:r>
        </w:p>
        <w:p>
          <w:pPr>
            <w:pStyle w:val="TOC2"/>
            <w:numPr>
              <w:ilvl w:val="0"/>
              <w:numId w:val="1"/>
            </w:numPr>
            <w:tabs>
              <w:tab w:pos="859" w:val="left" w:leader="none"/>
              <w:tab w:pos="860" w:val="left" w:leader="none"/>
              <w:tab w:pos="8738" w:val="left" w:leader="dot"/>
            </w:tabs>
            <w:spacing w:line="240" w:lineRule="auto" w:before="248" w:after="0"/>
            <w:ind w:left="859" w:right="0" w:hanging="360"/>
            <w:jc w:val="left"/>
            <w:rPr>
              <w:rFonts w:ascii="Symbol"/>
            </w:rPr>
          </w:pPr>
          <w:r>
            <w:rPr>
              <w:w w:val="105"/>
            </w:rPr>
            <w:t>Planteamiento</w:t>
          </w:r>
          <w:r>
            <w:rPr>
              <w:spacing w:val="-2"/>
              <w:w w:val="105"/>
            </w:rPr>
            <w:t> </w:t>
          </w:r>
          <w:r>
            <w:rPr>
              <w:w w:val="105"/>
            </w:rPr>
            <w:t>del</w:t>
          </w:r>
          <w:r>
            <w:rPr>
              <w:spacing w:val="-3"/>
              <w:w w:val="105"/>
            </w:rPr>
            <w:t> </w:t>
          </w:r>
          <w:r>
            <w:rPr>
              <w:w w:val="105"/>
            </w:rPr>
            <w:t>Problema</w:t>
            <w:tab/>
            <w:t>16</w:t>
          </w:r>
        </w:p>
        <w:p>
          <w:pPr>
            <w:pStyle w:val="TOC2"/>
            <w:numPr>
              <w:ilvl w:val="0"/>
              <w:numId w:val="1"/>
            </w:numPr>
            <w:tabs>
              <w:tab w:pos="859" w:val="left" w:leader="none"/>
              <w:tab w:pos="860" w:val="left" w:leader="none"/>
              <w:tab w:pos="8737" w:val="left" w:leader="dot"/>
            </w:tabs>
            <w:spacing w:line="240" w:lineRule="auto" w:before="45" w:after="0"/>
            <w:ind w:left="859" w:right="0" w:hanging="360"/>
            <w:jc w:val="left"/>
            <w:rPr>
              <w:rFonts w:ascii="Symbol" w:hAnsi="Symbol"/>
            </w:rPr>
          </w:pPr>
          <w:hyperlink w:history="true" w:anchor="_TOC_250014">
            <w:r>
              <w:rPr>
                <w:w w:val="105"/>
              </w:rPr>
              <w:t>Justificación</w:t>
              <w:tab/>
              <w:t>17</w:t>
            </w:r>
          </w:hyperlink>
        </w:p>
        <w:p>
          <w:pPr>
            <w:pStyle w:val="TOC2"/>
            <w:numPr>
              <w:ilvl w:val="0"/>
              <w:numId w:val="1"/>
            </w:numPr>
            <w:tabs>
              <w:tab w:pos="859" w:val="left" w:leader="none"/>
              <w:tab w:pos="860" w:val="left" w:leader="none"/>
              <w:tab w:pos="8726" w:val="left" w:leader="dot"/>
            </w:tabs>
            <w:spacing w:line="240" w:lineRule="auto" w:before="45" w:after="0"/>
            <w:ind w:left="859" w:right="0" w:hanging="360"/>
            <w:jc w:val="left"/>
            <w:rPr>
              <w:rFonts w:ascii="Symbol" w:hAnsi="Symbol"/>
            </w:rPr>
          </w:pPr>
          <w:r>
            <w:rPr>
              <w:w w:val="105"/>
            </w:rPr>
            <w:t>Diseño</w:t>
          </w:r>
          <w:r>
            <w:rPr>
              <w:spacing w:val="-2"/>
              <w:w w:val="105"/>
            </w:rPr>
            <w:t> </w:t>
          </w:r>
          <w:r>
            <w:rPr>
              <w:w w:val="105"/>
            </w:rPr>
            <w:t>del</w:t>
          </w:r>
          <w:r>
            <w:rPr>
              <w:spacing w:val="-3"/>
              <w:w w:val="105"/>
            </w:rPr>
            <w:t> </w:t>
          </w:r>
          <w:r>
            <w:rPr>
              <w:w w:val="105"/>
            </w:rPr>
            <w:t>estudio</w:t>
            <w:tab/>
            <w:t>18</w:t>
          </w:r>
        </w:p>
        <w:p>
          <w:pPr>
            <w:pStyle w:val="TOC2"/>
            <w:numPr>
              <w:ilvl w:val="0"/>
              <w:numId w:val="1"/>
            </w:numPr>
            <w:tabs>
              <w:tab w:pos="859" w:val="left" w:leader="none"/>
              <w:tab w:pos="860" w:val="left" w:leader="none"/>
              <w:tab w:pos="8737" w:val="left" w:leader="dot"/>
            </w:tabs>
            <w:spacing w:line="240" w:lineRule="auto" w:before="45" w:after="0"/>
            <w:ind w:left="859" w:right="0" w:hanging="360"/>
            <w:jc w:val="left"/>
            <w:rPr>
              <w:rFonts w:ascii="Symbol" w:hAnsi="Symbol"/>
            </w:rPr>
          </w:pPr>
          <w:hyperlink w:history="true" w:anchor="_TOC_250013">
            <w:r>
              <w:rPr>
                <w:w w:val="105"/>
              </w:rPr>
              <w:t>Hipótesis</w:t>
              <w:tab/>
              <w:t>19</w:t>
            </w:r>
          </w:hyperlink>
        </w:p>
        <w:p>
          <w:pPr>
            <w:pStyle w:val="TOC2"/>
            <w:numPr>
              <w:ilvl w:val="0"/>
              <w:numId w:val="1"/>
            </w:numPr>
            <w:tabs>
              <w:tab w:pos="859" w:val="left" w:leader="none"/>
              <w:tab w:pos="860" w:val="left" w:leader="none"/>
              <w:tab w:pos="8726" w:val="left" w:leader="dot"/>
            </w:tabs>
            <w:spacing w:line="240" w:lineRule="auto" w:before="45" w:after="0"/>
            <w:ind w:left="859" w:right="0" w:hanging="360"/>
            <w:jc w:val="left"/>
            <w:rPr>
              <w:rFonts w:ascii="Symbol"/>
            </w:rPr>
          </w:pPr>
          <w:hyperlink w:history="true" w:anchor="_TOC_250012">
            <w:r>
              <w:rPr>
                <w:w w:val="105"/>
              </w:rPr>
              <w:t>Objetivo</w:t>
            </w:r>
            <w:r>
              <w:rPr>
                <w:spacing w:val="-2"/>
                <w:w w:val="105"/>
              </w:rPr>
              <w:t> </w:t>
            </w:r>
            <w:r>
              <w:rPr>
                <w:w w:val="105"/>
              </w:rPr>
              <w:t>General</w:t>
              <w:tab/>
              <w:t>19</w:t>
            </w:r>
          </w:hyperlink>
        </w:p>
        <w:p>
          <w:pPr>
            <w:pStyle w:val="TOC2"/>
            <w:numPr>
              <w:ilvl w:val="0"/>
              <w:numId w:val="1"/>
            </w:numPr>
            <w:tabs>
              <w:tab w:pos="859" w:val="left" w:leader="none"/>
              <w:tab w:pos="860" w:val="left" w:leader="none"/>
              <w:tab w:pos="8704" w:val="left" w:leader="dot"/>
            </w:tabs>
            <w:spacing w:line="240" w:lineRule="auto" w:before="45" w:after="0"/>
            <w:ind w:left="859" w:right="0" w:hanging="360"/>
            <w:jc w:val="left"/>
            <w:rPr>
              <w:rFonts w:ascii="Symbol"/>
            </w:rPr>
          </w:pPr>
          <w:hyperlink w:history="true" w:anchor="_TOC_250011">
            <w:r>
              <w:rPr>
                <w:w w:val="105"/>
              </w:rPr>
              <w:t>Objetivo</w:t>
            </w:r>
            <w:r>
              <w:rPr>
                <w:spacing w:val="-3"/>
                <w:w w:val="105"/>
              </w:rPr>
              <w:t> </w:t>
            </w:r>
            <w:r>
              <w:rPr>
                <w:w w:val="105"/>
              </w:rPr>
              <w:t>secundario</w:t>
              <w:tab/>
              <w:t>19</w:t>
            </w:r>
          </w:hyperlink>
        </w:p>
        <w:p>
          <w:pPr>
            <w:pStyle w:val="TOC2"/>
            <w:numPr>
              <w:ilvl w:val="0"/>
              <w:numId w:val="1"/>
            </w:numPr>
            <w:tabs>
              <w:tab w:pos="859" w:val="left" w:leader="none"/>
              <w:tab w:pos="860" w:val="left" w:leader="none"/>
              <w:tab w:pos="8749" w:val="left" w:leader="dot"/>
            </w:tabs>
            <w:spacing w:line="240" w:lineRule="auto" w:before="45" w:after="0"/>
            <w:ind w:left="859" w:right="0" w:hanging="360"/>
            <w:jc w:val="left"/>
            <w:rPr>
              <w:rFonts w:ascii="Symbol"/>
            </w:rPr>
          </w:pPr>
          <w:hyperlink w:history="true" w:anchor="_TOC_250010">
            <w:r>
              <w:rPr>
                <w:w w:val="105"/>
              </w:rPr>
              <w:t>Variables</w:t>
            </w:r>
            <w:r>
              <w:rPr>
                <w:spacing w:val="-2"/>
                <w:w w:val="105"/>
              </w:rPr>
              <w:t> </w:t>
            </w:r>
            <w:r>
              <w:rPr>
                <w:w w:val="105"/>
              </w:rPr>
              <w:t>de</w:t>
            </w:r>
            <w:r>
              <w:rPr>
                <w:spacing w:val="-2"/>
                <w:w w:val="105"/>
              </w:rPr>
              <w:t> </w:t>
            </w:r>
            <w:r>
              <w:rPr>
                <w:w w:val="105"/>
              </w:rPr>
              <w:t>estudio</w:t>
              <w:tab/>
              <w:t>20</w:t>
            </w:r>
          </w:hyperlink>
        </w:p>
        <w:p>
          <w:pPr>
            <w:pStyle w:val="TOC2"/>
            <w:numPr>
              <w:ilvl w:val="0"/>
              <w:numId w:val="1"/>
            </w:numPr>
            <w:tabs>
              <w:tab w:pos="859" w:val="left" w:leader="none"/>
              <w:tab w:pos="860" w:val="left" w:leader="none"/>
              <w:tab w:pos="8716" w:val="left" w:leader="dot"/>
            </w:tabs>
            <w:spacing w:line="240" w:lineRule="auto" w:before="45" w:after="0"/>
            <w:ind w:left="859" w:right="0" w:hanging="360"/>
            <w:jc w:val="left"/>
            <w:rPr>
              <w:rFonts w:ascii="Symbol" w:hAnsi="Symbol"/>
            </w:rPr>
          </w:pPr>
          <w:hyperlink w:history="true" w:anchor="_TOC_250009">
            <w:r>
              <w:rPr>
                <w:w w:val="105"/>
              </w:rPr>
              <w:t>Cálculo de Tamaño de</w:t>
            </w:r>
            <w:r>
              <w:rPr>
                <w:spacing w:val="-5"/>
                <w:w w:val="105"/>
              </w:rPr>
              <w:t> </w:t>
            </w:r>
            <w:r>
              <w:rPr>
                <w:w w:val="105"/>
              </w:rPr>
              <w:t>la</w:t>
            </w:r>
            <w:r>
              <w:rPr>
                <w:spacing w:val="-2"/>
                <w:w w:val="105"/>
              </w:rPr>
              <w:t> </w:t>
            </w:r>
            <w:r>
              <w:rPr>
                <w:w w:val="105"/>
              </w:rPr>
              <w:t>muestra</w:t>
              <w:tab/>
              <w:t>21</w:t>
            </w:r>
          </w:hyperlink>
        </w:p>
        <w:p>
          <w:pPr>
            <w:pStyle w:val="TOC2"/>
            <w:numPr>
              <w:ilvl w:val="0"/>
              <w:numId w:val="1"/>
            </w:numPr>
            <w:tabs>
              <w:tab w:pos="859" w:val="left" w:leader="none"/>
              <w:tab w:pos="860" w:val="left" w:leader="none"/>
              <w:tab w:pos="8727" w:val="left" w:leader="dot"/>
            </w:tabs>
            <w:spacing w:line="240" w:lineRule="auto" w:before="41" w:after="0"/>
            <w:ind w:left="859" w:right="0" w:hanging="360"/>
            <w:jc w:val="left"/>
            <w:rPr>
              <w:rFonts w:ascii="Symbol" w:hAnsi="Symbol"/>
            </w:rPr>
          </w:pPr>
          <w:hyperlink w:history="true" w:anchor="_TOC_250008">
            <w:r>
              <w:rPr>
                <w:w w:val="105"/>
              </w:rPr>
              <w:t>Criterios de inclusión, exclusión</w:t>
            </w:r>
            <w:r>
              <w:rPr>
                <w:spacing w:val="-10"/>
                <w:w w:val="105"/>
              </w:rPr>
              <w:t> </w:t>
            </w:r>
            <w:r>
              <w:rPr>
                <w:w w:val="105"/>
              </w:rPr>
              <w:t>y</w:t>
            </w:r>
            <w:r>
              <w:rPr>
                <w:spacing w:val="-3"/>
                <w:w w:val="105"/>
              </w:rPr>
              <w:t> </w:t>
            </w:r>
            <w:r>
              <w:rPr>
                <w:w w:val="105"/>
              </w:rPr>
              <w:t>eliminación</w:t>
              <w:tab/>
              <w:t>21</w:t>
            </w:r>
          </w:hyperlink>
        </w:p>
        <w:p>
          <w:pPr>
            <w:pStyle w:val="TOC2"/>
            <w:numPr>
              <w:ilvl w:val="0"/>
              <w:numId w:val="1"/>
            </w:numPr>
            <w:tabs>
              <w:tab w:pos="859" w:val="left" w:leader="none"/>
              <w:tab w:pos="860" w:val="left" w:leader="none"/>
              <w:tab w:pos="8727" w:val="left" w:leader="dot"/>
            </w:tabs>
            <w:spacing w:line="240" w:lineRule="auto" w:before="45" w:after="0"/>
            <w:ind w:left="859" w:right="0" w:hanging="360"/>
            <w:jc w:val="left"/>
            <w:rPr>
              <w:rFonts w:ascii="Symbol" w:hAnsi="Symbol"/>
            </w:rPr>
          </w:pPr>
          <w:hyperlink w:history="true" w:anchor="_TOC_250007">
            <w:r>
              <w:rPr>
                <w:w w:val="105"/>
              </w:rPr>
              <w:t>Consideraciones</w:t>
            </w:r>
            <w:r>
              <w:rPr>
                <w:spacing w:val="-3"/>
                <w:w w:val="105"/>
              </w:rPr>
              <w:t> </w:t>
            </w:r>
            <w:r>
              <w:rPr>
                <w:w w:val="105"/>
              </w:rPr>
              <w:t>éticas</w:t>
              <w:tab/>
              <w:t>22</w:t>
            </w:r>
          </w:hyperlink>
        </w:p>
        <w:p>
          <w:pPr>
            <w:pStyle w:val="TOC2"/>
            <w:numPr>
              <w:ilvl w:val="0"/>
              <w:numId w:val="1"/>
            </w:numPr>
            <w:tabs>
              <w:tab w:pos="859" w:val="left" w:leader="none"/>
              <w:tab w:pos="860" w:val="left" w:leader="none"/>
              <w:tab w:pos="8726" w:val="left" w:leader="dot"/>
            </w:tabs>
            <w:spacing w:line="240" w:lineRule="auto" w:before="45" w:after="0"/>
            <w:ind w:left="859" w:right="0" w:hanging="360"/>
            <w:jc w:val="left"/>
            <w:rPr>
              <w:rFonts w:ascii="Symbol" w:hAnsi="Symbol"/>
            </w:rPr>
          </w:pPr>
          <w:hyperlink w:history="true" w:anchor="_TOC_250006">
            <w:r>
              <w:rPr>
                <w:w w:val="105"/>
              </w:rPr>
              <w:t>Análisis</w:t>
            </w:r>
            <w:r>
              <w:rPr>
                <w:spacing w:val="-3"/>
                <w:w w:val="105"/>
              </w:rPr>
              <w:t> </w:t>
            </w:r>
            <w:r>
              <w:rPr>
                <w:w w:val="105"/>
              </w:rPr>
              <w:t>estadístico</w:t>
              <w:tab/>
              <w:t>23</w:t>
            </w:r>
          </w:hyperlink>
        </w:p>
        <w:p>
          <w:pPr>
            <w:pStyle w:val="TOC2"/>
            <w:numPr>
              <w:ilvl w:val="0"/>
              <w:numId w:val="1"/>
            </w:numPr>
            <w:tabs>
              <w:tab w:pos="859" w:val="left" w:leader="none"/>
              <w:tab w:pos="860" w:val="left" w:leader="none"/>
              <w:tab w:pos="8717" w:val="left" w:leader="dot"/>
            </w:tabs>
            <w:spacing w:line="240" w:lineRule="auto" w:before="45" w:after="0"/>
            <w:ind w:left="859" w:right="0" w:hanging="360"/>
            <w:jc w:val="left"/>
            <w:rPr>
              <w:rFonts w:ascii="Symbol"/>
            </w:rPr>
          </w:pPr>
          <w:r>
            <w:rPr>
              <w:w w:val="105"/>
            </w:rPr>
            <w:t>Carta</w:t>
          </w:r>
          <w:r>
            <w:rPr>
              <w:spacing w:val="-2"/>
              <w:w w:val="105"/>
            </w:rPr>
            <w:t> </w:t>
          </w:r>
          <w:r>
            <w:rPr>
              <w:w w:val="105"/>
            </w:rPr>
            <w:t>compromiso</w:t>
            <w:tab/>
            <w:t>24</w:t>
          </w:r>
        </w:p>
        <w:p>
          <w:pPr>
            <w:pStyle w:val="TOC1"/>
          </w:pPr>
          <w:r>
            <w:rPr>
              <w:w w:val="105"/>
            </w:rPr>
            <w:t>Parte III. Resultados Finales</w:t>
          </w:r>
        </w:p>
        <w:p>
          <w:pPr>
            <w:pStyle w:val="TOC2"/>
            <w:numPr>
              <w:ilvl w:val="0"/>
              <w:numId w:val="1"/>
            </w:numPr>
            <w:tabs>
              <w:tab w:pos="859" w:val="left" w:leader="none"/>
              <w:tab w:pos="860" w:val="left" w:leader="none"/>
              <w:tab w:pos="8749" w:val="left" w:leader="dot"/>
            </w:tabs>
            <w:spacing w:line="240" w:lineRule="auto" w:before="248" w:after="0"/>
            <w:ind w:left="859" w:right="0" w:hanging="360"/>
            <w:jc w:val="left"/>
            <w:rPr>
              <w:rFonts w:ascii="Symbol" w:hAnsi="Symbol"/>
            </w:rPr>
          </w:pPr>
          <w:r>
            <w:rPr>
              <w:w w:val="105"/>
            </w:rPr>
            <w:t>Datos</w:t>
          </w:r>
          <w:r>
            <w:rPr>
              <w:spacing w:val="-2"/>
              <w:w w:val="105"/>
            </w:rPr>
            <w:t> </w:t>
          </w:r>
          <w:r>
            <w:rPr>
              <w:w w:val="105"/>
            </w:rPr>
            <w:t>demográficos</w:t>
            <w:tab/>
            <w:t>25</w:t>
          </w:r>
        </w:p>
        <w:p>
          <w:pPr>
            <w:pStyle w:val="TOC2"/>
            <w:numPr>
              <w:ilvl w:val="0"/>
              <w:numId w:val="1"/>
            </w:numPr>
            <w:tabs>
              <w:tab w:pos="859" w:val="left" w:leader="none"/>
              <w:tab w:pos="860" w:val="left" w:leader="none"/>
              <w:tab w:pos="8749" w:val="left" w:leader="dot"/>
            </w:tabs>
            <w:spacing w:line="240" w:lineRule="auto" w:before="45" w:after="0"/>
            <w:ind w:left="859" w:right="0" w:hanging="360"/>
            <w:jc w:val="left"/>
            <w:rPr>
              <w:rFonts w:ascii="Symbol" w:hAnsi="Symbol"/>
            </w:rPr>
          </w:pPr>
          <w:hyperlink w:history="true" w:anchor="_TOC_250005">
            <w:r>
              <w:rPr>
                <w:w w:val="105"/>
              </w:rPr>
              <w:t>Características de los</w:t>
            </w:r>
            <w:r>
              <w:rPr>
                <w:spacing w:val="-6"/>
                <w:w w:val="105"/>
              </w:rPr>
              <w:t> </w:t>
            </w:r>
            <w:r>
              <w:rPr>
                <w:w w:val="105"/>
              </w:rPr>
              <w:t>recién</w:t>
            </w:r>
            <w:r>
              <w:rPr>
                <w:spacing w:val="-2"/>
                <w:w w:val="105"/>
              </w:rPr>
              <w:t> </w:t>
            </w:r>
            <w:r>
              <w:rPr>
                <w:w w:val="105"/>
              </w:rPr>
              <w:t>nacidos</w:t>
              <w:tab/>
              <w:t>25</w:t>
            </w:r>
          </w:hyperlink>
        </w:p>
        <w:p>
          <w:pPr>
            <w:pStyle w:val="TOC2"/>
            <w:numPr>
              <w:ilvl w:val="0"/>
              <w:numId w:val="1"/>
            </w:numPr>
            <w:tabs>
              <w:tab w:pos="859" w:val="left" w:leader="none"/>
              <w:tab w:pos="860" w:val="left" w:leader="none"/>
              <w:tab w:pos="8706" w:val="left" w:leader="dot"/>
            </w:tabs>
            <w:spacing w:line="240" w:lineRule="auto" w:before="41" w:after="0"/>
            <w:ind w:left="859" w:right="0" w:hanging="360"/>
            <w:jc w:val="left"/>
            <w:rPr>
              <w:rFonts w:ascii="Symbol" w:hAnsi="Symbol"/>
            </w:rPr>
          </w:pPr>
          <w:hyperlink w:history="true" w:anchor="_TOC_250004">
            <w:r>
              <w:rPr>
                <w:w w:val="105"/>
              </w:rPr>
              <w:t>Modelo de Análisis para la asociación</w:t>
            </w:r>
            <w:r>
              <w:rPr>
                <w:spacing w:val="-12"/>
                <w:w w:val="105"/>
              </w:rPr>
              <w:t> </w:t>
            </w:r>
            <w:r>
              <w:rPr>
                <w:w w:val="105"/>
              </w:rPr>
              <w:t>entre</w:t>
            </w:r>
            <w:r>
              <w:rPr>
                <w:spacing w:val="-2"/>
                <w:w w:val="105"/>
              </w:rPr>
              <w:t> </w:t>
            </w:r>
            <w:r>
              <w:rPr>
                <w:w w:val="105"/>
              </w:rPr>
              <w:t>Luna-Nacimientos</w:t>
              <w:tab/>
              <w:t>25</w:t>
            </w:r>
          </w:hyperlink>
        </w:p>
        <w:p>
          <w:pPr>
            <w:pStyle w:val="TOC2"/>
            <w:numPr>
              <w:ilvl w:val="0"/>
              <w:numId w:val="1"/>
            </w:numPr>
            <w:tabs>
              <w:tab w:pos="859" w:val="left" w:leader="none"/>
              <w:tab w:pos="860" w:val="left" w:leader="none"/>
              <w:tab w:pos="8740" w:val="left" w:leader="dot"/>
            </w:tabs>
            <w:spacing w:line="240" w:lineRule="auto" w:before="45" w:after="0"/>
            <w:ind w:left="859" w:right="0" w:hanging="360"/>
            <w:jc w:val="left"/>
            <w:rPr>
              <w:rFonts w:ascii="Symbol" w:hAnsi="Symbol"/>
            </w:rPr>
          </w:pPr>
          <w:hyperlink w:history="true" w:anchor="_TOC_250003">
            <w:r>
              <w:rPr>
                <w:w w:val="105"/>
              </w:rPr>
              <w:t>Primer modelo de  Análisis. Modelo Clásico de comparación</w:t>
            </w:r>
            <w:r>
              <w:rPr>
                <w:spacing w:val="-14"/>
                <w:w w:val="105"/>
              </w:rPr>
              <w:t> </w:t>
            </w:r>
            <w:r>
              <w:rPr>
                <w:w w:val="105"/>
              </w:rPr>
              <w:t>de</w:t>
            </w:r>
            <w:r>
              <w:rPr>
                <w:spacing w:val="-2"/>
                <w:w w:val="105"/>
              </w:rPr>
              <w:t> </w:t>
            </w:r>
            <w:r>
              <w:rPr>
                <w:w w:val="105"/>
              </w:rPr>
              <w:t>medias</w:t>
              <w:tab/>
              <w:t>25</w:t>
            </w:r>
          </w:hyperlink>
        </w:p>
        <w:p>
          <w:pPr>
            <w:pStyle w:val="TOC2"/>
            <w:numPr>
              <w:ilvl w:val="0"/>
              <w:numId w:val="1"/>
            </w:numPr>
            <w:tabs>
              <w:tab w:pos="859" w:val="left" w:leader="none"/>
              <w:tab w:pos="860" w:val="left" w:leader="none"/>
              <w:tab w:pos="8707" w:val="left" w:leader="dot"/>
            </w:tabs>
            <w:spacing w:line="240" w:lineRule="auto" w:before="45" w:after="0"/>
            <w:ind w:left="859" w:right="0" w:hanging="360"/>
            <w:jc w:val="left"/>
            <w:rPr>
              <w:rFonts w:ascii="Symbol" w:hAnsi="Symbol"/>
            </w:rPr>
          </w:pPr>
          <w:r>
            <w:rPr>
              <w:w w:val="105"/>
            </w:rPr>
            <w:t>Segundo Modelo de Análisis. Análisis</w:t>
          </w:r>
          <w:r>
            <w:rPr>
              <w:spacing w:val="-14"/>
              <w:w w:val="105"/>
            </w:rPr>
            <w:t> </w:t>
          </w:r>
          <w:r>
            <w:rPr>
              <w:w w:val="105"/>
            </w:rPr>
            <w:t>de</w:t>
          </w:r>
          <w:r>
            <w:rPr>
              <w:spacing w:val="-3"/>
              <w:w w:val="105"/>
            </w:rPr>
            <w:t> </w:t>
          </w:r>
          <w:r>
            <w:rPr>
              <w:w w:val="105"/>
            </w:rPr>
            <w:t>luminosidad-nacimientos</w:t>
            <w:tab/>
            <w:t>27</w:t>
          </w:r>
        </w:p>
        <w:p>
          <w:pPr>
            <w:pStyle w:val="TOC2"/>
            <w:numPr>
              <w:ilvl w:val="0"/>
              <w:numId w:val="1"/>
            </w:numPr>
            <w:tabs>
              <w:tab w:pos="859" w:val="left" w:leader="none"/>
              <w:tab w:pos="860" w:val="left" w:leader="none"/>
              <w:tab w:pos="8693" w:val="left" w:leader="dot"/>
            </w:tabs>
            <w:spacing w:line="240" w:lineRule="auto" w:before="45" w:after="0"/>
            <w:ind w:left="859" w:right="0" w:hanging="360"/>
            <w:jc w:val="left"/>
            <w:rPr>
              <w:rFonts w:ascii="Symbol" w:hAnsi="Symbol"/>
            </w:rPr>
          </w:pPr>
          <w:hyperlink w:history="true" w:anchor="_TOC_250002">
            <w:r>
              <w:rPr>
                <w:w w:val="105"/>
              </w:rPr>
              <w:t>Ecuación de</w:t>
            </w:r>
            <w:r>
              <w:rPr>
                <w:spacing w:val="-2"/>
                <w:w w:val="105"/>
              </w:rPr>
              <w:t> </w:t>
            </w:r>
            <w:r>
              <w:rPr>
                <w:w w:val="105"/>
              </w:rPr>
              <w:t>la</w:t>
            </w:r>
            <w:r>
              <w:rPr>
                <w:spacing w:val="-1"/>
                <w:w w:val="105"/>
              </w:rPr>
              <w:t> </w:t>
            </w:r>
            <w:r>
              <w:rPr>
                <w:w w:val="105"/>
              </w:rPr>
              <w:t>curva</w:t>
              <w:tab/>
              <w:t>29</w:t>
            </w:r>
          </w:hyperlink>
        </w:p>
        <w:p>
          <w:pPr>
            <w:pStyle w:val="TOC2"/>
            <w:numPr>
              <w:ilvl w:val="0"/>
              <w:numId w:val="1"/>
            </w:numPr>
            <w:tabs>
              <w:tab w:pos="859" w:val="left" w:leader="none"/>
              <w:tab w:pos="860" w:val="left" w:leader="none"/>
              <w:tab w:pos="8728" w:val="left" w:leader="dot"/>
            </w:tabs>
            <w:spacing w:line="240" w:lineRule="auto" w:before="45" w:after="0"/>
            <w:ind w:left="859" w:right="0" w:hanging="360"/>
            <w:jc w:val="left"/>
            <w:rPr>
              <w:rFonts w:ascii="Symbol" w:hAnsi="Symbol"/>
            </w:rPr>
          </w:pPr>
          <w:hyperlink w:history="true" w:anchor="_TOC_250001">
            <w:r>
              <w:rPr>
                <w:w w:val="105"/>
              </w:rPr>
              <w:t>La Luna como factor de riesgo para</w:t>
            </w:r>
            <w:r>
              <w:rPr>
                <w:spacing w:val="-12"/>
                <w:w w:val="105"/>
              </w:rPr>
              <w:t> </w:t>
            </w:r>
            <w:r>
              <w:rPr>
                <w:w w:val="105"/>
              </w:rPr>
              <w:t>productos</w:t>
            </w:r>
            <w:r>
              <w:rPr>
                <w:spacing w:val="-2"/>
                <w:w w:val="105"/>
              </w:rPr>
              <w:t> </w:t>
            </w:r>
            <w:r>
              <w:rPr>
                <w:w w:val="105"/>
              </w:rPr>
              <w:t>pretérmino</w:t>
              <w:tab/>
              <w:t>31</w:t>
            </w:r>
          </w:hyperlink>
        </w:p>
        <w:p>
          <w:pPr>
            <w:pStyle w:val="TOC1"/>
          </w:pPr>
          <w:r>
            <w:rPr>
              <w:w w:val="105"/>
            </w:rPr>
            <w:t>Parte IV: Consideraciones finales</w:t>
          </w:r>
        </w:p>
        <w:p>
          <w:pPr>
            <w:pStyle w:val="TOC2"/>
            <w:numPr>
              <w:ilvl w:val="0"/>
              <w:numId w:val="1"/>
            </w:numPr>
            <w:tabs>
              <w:tab w:pos="859" w:val="left" w:leader="none"/>
              <w:tab w:pos="860" w:val="left" w:leader="none"/>
              <w:tab w:pos="8749" w:val="left" w:leader="dot"/>
            </w:tabs>
            <w:spacing w:line="240" w:lineRule="auto" w:before="248" w:after="0"/>
            <w:ind w:left="859" w:right="0" w:hanging="360"/>
            <w:jc w:val="left"/>
            <w:rPr>
              <w:rFonts w:ascii="Symbol" w:hAnsi="Symbol"/>
            </w:rPr>
          </w:pPr>
          <w:r>
            <w:rPr>
              <w:w w:val="105"/>
            </w:rPr>
            <w:t>Discusión</w:t>
          </w:r>
          <w:r>
            <w:rPr>
              <w:spacing w:val="-2"/>
              <w:w w:val="105"/>
            </w:rPr>
            <w:t> </w:t>
          </w:r>
          <w:r>
            <w:rPr>
              <w:w w:val="105"/>
            </w:rPr>
            <w:t>y</w:t>
          </w:r>
          <w:r>
            <w:rPr>
              <w:spacing w:val="-2"/>
              <w:w w:val="105"/>
            </w:rPr>
            <w:t> </w:t>
          </w:r>
          <w:r>
            <w:rPr>
              <w:w w:val="105"/>
            </w:rPr>
            <w:t>conclusiones</w:t>
            <w:tab/>
            <w:t>32</w:t>
          </w:r>
        </w:p>
        <w:p>
          <w:pPr>
            <w:pStyle w:val="TOC2"/>
            <w:numPr>
              <w:ilvl w:val="0"/>
              <w:numId w:val="1"/>
            </w:numPr>
            <w:tabs>
              <w:tab w:pos="859" w:val="left" w:leader="none"/>
              <w:tab w:pos="860" w:val="left" w:leader="none"/>
              <w:tab w:pos="8748" w:val="left" w:leader="dot"/>
            </w:tabs>
            <w:spacing w:line="240" w:lineRule="auto" w:before="41" w:after="0"/>
            <w:ind w:left="859" w:right="0" w:hanging="360"/>
            <w:jc w:val="left"/>
            <w:rPr>
              <w:rFonts w:ascii="Symbol" w:hAnsi="Symbol"/>
            </w:rPr>
          </w:pPr>
          <w:hyperlink w:history="true" w:anchor="_TOC_250000">
            <w:r>
              <w:rPr>
                <w:w w:val="105"/>
              </w:rPr>
              <w:t>Bibliografía</w:t>
              <w:tab/>
              <w:t>35</w:t>
            </w:r>
          </w:hyperlink>
        </w:p>
        <w:p>
          <w:pPr>
            <w:pStyle w:val="TOC2"/>
            <w:numPr>
              <w:ilvl w:val="0"/>
              <w:numId w:val="1"/>
            </w:numPr>
            <w:tabs>
              <w:tab w:pos="859" w:val="left" w:leader="none"/>
              <w:tab w:pos="860" w:val="left" w:leader="none"/>
              <w:tab w:pos="8750" w:val="left" w:leader="dot"/>
            </w:tabs>
            <w:spacing w:line="240" w:lineRule="auto" w:before="45" w:after="0"/>
            <w:ind w:left="859" w:right="0" w:hanging="360"/>
            <w:jc w:val="left"/>
            <w:rPr>
              <w:rFonts w:ascii="Symbol" w:hAnsi="Symbol"/>
            </w:rPr>
          </w:pPr>
          <w:r>
            <w:rPr>
              <w:w w:val="105"/>
            </w:rPr>
            <w:t>Participación</w:t>
          </w:r>
          <w:r>
            <w:rPr>
              <w:spacing w:val="-2"/>
              <w:w w:val="105"/>
            </w:rPr>
            <w:t> </w:t>
          </w:r>
          <w:r>
            <w:rPr>
              <w:w w:val="105"/>
            </w:rPr>
            <w:t>en</w:t>
          </w:r>
          <w:r>
            <w:rPr>
              <w:spacing w:val="-2"/>
              <w:w w:val="105"/>
            </w:rPr>
            <w:t> </w:t>
          </w:r>
          <w:r>
            <w:rPr>
              <w:w w:val="105"/>
            </w:rPr>
            <w:t>congresos</w:t>
            <w:tab/>
            <w:t>38</w:t>
          </w:r>
        </w:p>
      </w:sdtContent>
    </w:sdt>
    <w:p>
      <w:pPr>
        <w:spacing w:after="0" w:line="240" w:lineRule="auto"/>
        <w:jc w:val="left"/>
        <w:rPr>
          <w:rFonts w:ascii="Symbol" w:hAnsi="Symbol"/>
        </w:rPr>
        <w:sectPr>
          <w:pgSz w:w="12240" w:h="15840"/>
          <w:pgMar w:header="1209" w:footer="1234" w:top="1400" w:bottom="1420" w:left="1560" w:right="1580"/>
        </w:sectPr>
      </w:pPr>
    </w:p>
    <w:p>
      <w:pPr>
        <w:spacing w:before="476"/>
        <w:ind w:left="2879" w:right="82" w:firstLine="0"/>
        <w:jc w:val="left"/>
        <w:rPr>
          <w:b/>
          <w:sz w:val="19"/>
        </w:rPr>
      </w:pPr>
      <w:r>
        <w:rPr>
          <w:b/>
          <w:w w:val="105"/>
          <w:sz w:val="19"/>
        </w:rPr>
        <w:t>Índice  de Tablas, Figuras, Gráficas</w:t>
      </w:r>
    </w:p>
    <w:p>
      <w:pPr>
        <w:pStyle w:val="BodyText"/>
        <w:spacing w:before="10"/>
        <w:rPr>
          <w:b/>
        </w:rPr>
      </w:pPr>
    </w:p>
    <w:p>
      <w:pPr>
        <w:spacing w:before="0"/>
        <w:ind w:left="139" w:right="82" w:firstLine="0"/>
        <w:jc w:val="left"/>
        <w:rPr>
          <w:b/>
          <w:sz w:val="17"/>
        </w:rPr>
      </w:pPr>
      <w:r>
        <w:rPr>
          <w:b/>
          <w:w w:val="105"/>
          <w:sz w:val="17"/>
        </w:rPr>
        <w:t>Parte I. Marco Teórico</w:t>
      </w:r>
    </w:p>
    <w:p>
      <w:pPr>
        <w:pStyle w:val="BodyText"/>
        <w:spacing w:before="2"/>
        <w:rPr>
          <w:b/>
        </w:rPr>
      </w:pPr>
    </w:p>
    <w:p>
      <w:pPr>
        <w:pStyle w:val="ListParagraph"/>
        <w:numPr>
          <w:ilvl w:val="0"/>
          <w:numId w:val="1"/>
        </w:numPr>
        <w:tabs>
          <w:tab w:pos="859" w:val="left" w:leader="none"/>
          <w:tab w:pos="860" w:val="left" w:leader="none"/>
          <w:tab w:pos="8759" w:val="left" w:leader="dot"/>
        </w:tabs>
        <w:spacing w:line="283" w:lineRule="auto" w:before="0" w:after="0"/>
        <w:ind w:left="859" w:right="139" w:hanging="360"/>
        <w:jc w:val="left"/>
        <w:rPr>
          <w:rFonts w:ascii="Symbol" w:hAnsi="Symbol"/>
          <w:sz w:val="17"/>
        </w:rPr>
      </w:pPr>
      <w:r>
        <w:rPr>
          <w:w w:val="105"/>
          <w:sz w:val="17"/>
        </w:rPr>
        <w:t>Figura 1.0.  “Ix-Chel” diosa maya de la Luna y la  fertilidad. Representación original del códice Dresden</w:t>
        <w:tab/>
        <w:t>04</w:t>
      </w:r>
    </w:p>
    <w:p>
      <w:pPr>
        <w:pStyle w:val="ListParagraph"/>
        <w:numPr>
          <w:ilvl w:val="0"/>
          <w:numId w:val="1"/>
        </w:numPr>
        <w:tabs>
          <w:tab w:pos="859" w:val="left" w:leader="none"/>
          <w:tab w:pos="860" w:val="left" w:leader="none"/>
          <w:tab w:pos="8723" w:val="left" w:leader="dot"/>
        </w:tabs>
        <w:spacing w:line="240" w:lineRule="auto" w:before="13" w:after="0"/>
        <w:ind w:left="859" w:right="0" w:hanging="360"/>
        <w:jc w:val="left"/>
        <w:rPr>
          <w:rFonts w:ascii="Symbol" w:hAnsi="Symbol"/>
          <w:sz w:val="17"/>
        </w:rPr>
      </w:pPr>
      <w:r>
        <w:rPr>
          <w:w w:val="105"/>
          <w:sz w:val="17"/>
        </w:rPr>
        <w:t>Figura 2.0. Sistema Tierra con Luna Trasladándose a su alrededor  y el sol del</w:t>
      </w:r>
      <w:r>
        <w:rPr>
          <w:spacing w:val="28"/>
          <w:w w:val="105"/>
          <w:sz w:val="17"/>
        </w:rPr>
        <w:t> </w:t>
      </w:r>
      <w:r>
        <w:rPr>
          <w:w w:val="105"/>
          <w:sz w:val="17"/>
        </w:rPr>
        <w:t>lado</w:t>
      </w:r>
      <w:r>
        <w:rPr>
          <w:spacing w:val="2"/>
          <w:w w:val="105"/>
          <w:sz w:val="17"/>
        </w:rPr>
        <w:t> </w:t>
      </w:r>
      <w:r>
        <w:rPr>
          <w:w w:val="105"/>
          <w:sz w:val="17"/>
        </w:rPr>
        <w:t>derecho</w:t>
        <w:tab/>
        <w:t>10</w:t>
      </w:r>
    </w:p>
    <w:p>
      <w:pPr>
        <w:pStyle w:val="ListParagraph"/>
        <w:numPr>
          <w:ilvl w:val="0"/>
          <w:numId w:val="1"/>
        </w:numPr>
        <w:tabs>
          <w:tab w:pos="859" w:val="left" w:leader="none"/>
          <w:tab w:pos="860" w:val="left" w:leader="none"/>
          <w:tab w:pos="8752" w:val="left" w:leader="dot"/>
        </w:tabs>
        <w:spacing w:line="240" w:lineRule="auto" w:before="41" w:after="0"/>
        <w:ind w:left="859" w:right="0" w:hanging="360"/>
        <w:jc w:val="left"/>
        <w:rPr>
          <w:rFonts w:ascii="Symbol" w:hAnsi="Symbol"/>
          <w:sz w:val="17"/>
        </w:rPr>
      </w:pPr>
      <w:r>
        <w:rPr>
          <w:w w:val="105"/>
          <w:sz w:val="17"/>
        </w:rPr>
        <w:t>Figura 3.0. Dirección de los rayos luminosos acorde a las diferentes</w:t>
      </w:r>
      <w:r>
        <w:rPr>
          <w:spacing w:val="20"/>
          <w:w w:val="105"/>
          <w:sz w:val="17"/>
        </w:rPr>
        <w:t> </w:t>
      </w:r>
      <w:r>
        <w:rPr>
          <w:w w:val="105"/>
          <w:sz w:val="17"/>
        </w:rPr>
        <w:t>etapas</w:t>
      </w:r>
      <w:r>
        <w:rPr>
          <w:spacing w:val="1"/>
          <w:w w:val="105"/>
          <w:sz w:val="17"/>
        </w:rPr>
        <w:t> </w:t>
      </w:r>
      <w:r>
        <w:rPr>
          <w:w w:val="105"/>
          <w:sz w:val="17"/>
        </w:rPr>
        <w:t>lunares</w:t>
        <w:tab/>
        <w:t>11</w:t>
      </w:r>
    </w:p>
    <w:p>
      <w:pPr>
        <w:pStyle w:val="ListParagraph"/>
        <w:numPr>
          <w:ilvl w:val="0"/>
          <w:numId w:val="1"/>
        </w:numPr>
        <w:tabs>
          <w:tab w:pos="859" w:val="left" w:leader="none"/>
          <w:tab w:pos="860" w:val="left" w:leader="none"/>
          <w:tab w:pos="8771" w:val="left" w:leader="dot"/>
        </w:tabs>
        <w:spacing w:line="240" w:lineRule="auto" w:before="41" w:after="0"/>
        <w:ind w:left="859" w:right="0" w:hanging="360"/>
        <w:jc w:val="left"/>
        <w:rPr>
          <w:rFonts w:ascii="Symbol"/>
          <w:sz w:val="17"/>
        </w:rPr>
      </w:pPr>
      <w:r>
        <w:rPr>
          <w:w w:val="105"/>
          <w:sz w:val="17"/>
        </w:rPr>
        <w:t>Figura 4.0  Fuerza gravitacional de</w:t>
      </w:r>
      <w:r>
        <w:rPr>
          <w:spacing w:val="10"/>
          <w:w w:val="105"/>
          <w:sz w:val="17"/>
        </w:rPr>
        <w:t> </w:t>
      </w:r>
      <w:r>
        <w:rPr>
          <w:w w:val="105"/>
          <w:sz w:val="17"/>
        </w:rPr>
        <w:t>la</w:t>
      </w:r>
      <w:r>
        <w:rPr>
          <w:spacing w:val="2"/>
          <w:w w:val="105"/>
          <w:sz w:val="17"/>
        </w:rPr>
        <w:t> </w:t>
      </w:r>
      <w:r>
        <w:rPr>
          <w:w w:val="105"/>
          <w:sz w:val="17"/>
        </w:rPr>
        <w:t>Luna</w:t>
        <w:tab/>
        <w:t>13</w:t>
      </w:r>
    </w:p>
    <w:p>
      <w:pPr>
        <w:pStyle w:val="ListParagraph"/>
        <w:numPr>
          <w:ilvl w:val="0"/>
          <w:numId w:val="1"/>
        </w:numPr>
        <w:tabs>
          <w:tab w:pos="859" w:val="left" w:leader="none"/>
          <w:tab w:pos="860" w:val="left" w:leader="none"/>
          <w:tab w:pos="8773" w:val="left" w:leader="dot"/>
        </w:tabs>
        <w:spacing w:line="240" w:lineRule="auto" w:before="41" w:after="0"/>
        <w:ind w:left="859" w:right="0" w:hanging="360"/>
        <w:jc w:val="left"/>
        <w:rPr>
          <w:rFonts w:ascii="Symbol"/>
          <w:sz w:val="17"/>
        </w:rPr>
      </w:pPr>
      <w:r>
        <w:rPr>
          <w:w w:val="105"/>
          <w:sz w:val="17"/>
        </w:rPr>
        <w:t>Figura 5.0 Efecto Tidal de la Luna sobre la Tierra causante de</w:t>
      </w:r>
      <w:r>
        <w:rPr>
          <w:spacing w:val="21"/>
          <w:w w:val="105"/>
          <w:sz w:val="17"/>
        </w:rPr>
        <w:t> </w:t>
      </w:r>
      <w:r>
        <w:rPr>
          <w:w w:val="105"/>
          <w:sz w:val="17"/>
        </w:rPr>
        <w:t>la</w:t>
      </w:r>
      <w:r>
        <w:rPr>
          <w:spacing w:val="1"/>
          <w:w w:val="105"/>
          <w:sz w:val="17"/>
        </w:rPr>
        <w:t> </w:t>
      </w:r>
      <w:r>
        <w:rPr>
          <w:w w:val="105"/>
          <w:sz w:val="17"/>
        </w:rPr>
        <w:t>Marea</w:t>
        <w:tab/>
        <w:t>14</w:t>
      </w:r>
    </w:p>
    <w:p>
      <w:pPr>
        <w:pStyle w:val="BodyText"/>
        <w:rPr>
          <w:sz w:val="20"/>
        </w:rPr>
      </w:pPr>
    </w:p>
    <w:p>
      <w:pPr>
        <w:pStyle w:val="BodyText"/>
        <w:spacing w:before="3"/>
      </w:pPr>
    </w:p>
    <w:p>
      <w:pPr>
        <w:spacing w:before="0"/>
        <w:ind w:left="139" w:right="82" w:firstLine="0"/>
        <w:jc w:val="left"/>
        <w:rPr>
          <w:b/>
          <w:sz w:val="17"/>
        </w:rPr>
      </w:pPr>
      <w:r>
        <w:rPr>
          <w:b/>
          <w:w w:val="105"/>
          <w:sz w:val="17"/>
        </w:rPr>
        <w:t>Parte II.  Estructura del Protocolo</w:t>
      </w:r>
    </w:p>
    <w:p>
      <w:pPr>
        <w:pStyle w:val="BodyText"/>
        <w:spacing w:before="7"/>
        <w:rPr>
          <w:b/>
        </w:rPr>
      </w:pPr>
    </w:p>
    <w:p>
      <w:pPr>
        <w:pStyle w:val="ListParagraph"/>
        <w:numPr>
          <w:ilvl w:val="0"/>
          <w:numId w:val="1"/>
        </w:numPr>
        <w:tabs>
          <w:tab w:pos="859" w:val="left" w:leader="none"/>
          <w:tab w:pos="860" w:val="left" w:leader="none"/>
          <w:tab w:pos="8770" w:val="left" w:leader="dot"/>
        </w:tabs>
        <w:spacing w:line="283" w:lineRule="auto" w:before="0" w:after="0"/>
        <w:ind w:left="859" w:right="129" w:hanging="360"/>
        <w:jc w:val="left"/>
        <w:rPr>
          <w:rFonts w:ascii="Symbol" w:hAnsi="Symbol"/>
          <w:sz w:val="17"/>
        </w:rPr>
      </w:pPr>
      <w:r>
        <w:rPr>
          <w:w w:val="105"/>
          <w:sz w:val="17"/>
        </w:rPr>
        <w:t>Figura 1.0 Estimación de la intensidad de la luna acorde a cada día del mes y etapa del ciclo        lunar</w:t>
        <w:tab/>
        <w:t>20</w:t>
      </w:r>
    </w:p>
    <w:p>
      <w:pPr>
        <w:pStyle w:val="BodyText"/>
        <w:rPr>
          <w:sz w:val="18"/>
        </w:rPr>
      </w:pPr>
    </w:p>
    <w:p>
      <w:pPr>
        <w:pStyle w:val="BodyText"/>
        <w:spacing w:before="10"/>
        <w:rPr>
          <w:sz w:val="20"/>
        </w:rPr>
      </w:pPr>
    </w:p>
    <w:p>
      <w:pPr>
        <w:spacing w:before="0"/>
        <w:ind w:left="139" w:right="82" w:firstLine="0"/>
        <w:jc w:val="left"/>
        <w:rPr>
          <w:b/>
          <w:sz w:val="17"/>
        </w:rPr>
      </w:pPr>
      <w:r>
        <w:rPr>
          <w:b/>
          <w:w w:val="105"/>
          <w:sz w:val="17"/>
        </w:rPr>
        <w:t>Parte III. Resultados</w:t>
      </w:r>
    </w:p>
    <w:p>
      <w:pPr>
        <w:pStyle w:val="BodyText"/>
        <w:spacing w:before="2"/>
        <w:rPr>
          <w:b/>
        </w:rPr>
      </w:pPr>
    </w:p>
    <w:p>
      <w:pPr>
        <w:pStyle w:val="ListParagraph"/>
        <w:numPr>
          <w:ilvl w:val="0"/>
          <w:numId w:val="1"/>
        </w:numPr>
        <w:tabs>
          <w:tab w:pos="859" w:val="left" w:leader="none"/>
          <w:tab w:pos="860" w:val="left" w:leader="none"/>
          <w:tab w:pos="8762" w:val="left" w:leader="dot"/>
        </w:tabs>
        <w:spacing w:line="240" w:lineRule="auto" w:before="0" w:after="0"/>
        <w:ind w:left="859" w:right="0" w:hanging="360"/>
        <w:jc w:val="left"/>
        <w:rPr>
          <w:rFonts w:ascii="Symbol" w:hAnsi="Symbol"/>
          <w:sz w:val="17"/>
        </w:rPr>
      </w:pPr>
      <w:r>
        <w:rPr>
          <w:w w:val="105"/>
          <w:sz w:val="17"/>
        </w:rPr>
        <w:t>Tabla 1.0 Distribución de casos acorde a la etapa del</w:t>
      </w:r>
      <w:r>
        <w:rPr>
          <w:spacing w:val="19"/>
          <w:w w:val="105"/>
          <w:sz w:val="17"/>
        </w:rPr>
        <w:t> </w:t>
      </w:r>
      <w:r>
        <w:rPr>
          <w:w w:val="105"/>
          <w:sz w:val="17"/>
        </w:rPr>
        <w:t>ciclo</w:t>
      </w:r>
      <w:r>
        <w:rPr>
          <w:spacing w:val="2"/>
          <w:w w:val="105"/>
          <w:sz w:val="17"/>
        </w:rPr>
        <w:t> </w:t>
      </w:r>
      <w:r>
        <w:rPr>
          <w:w w:val="105"/>
          <w:sz w:val="17"/>
        </w:rPr>
        <w:t>lunar</w:t>
        <w:tab/>
        <w:t>26</w:t>
      </w:r>
    </w:p>
    <w:p>
      <w:pPr>
        <w:pStyle w:val="ListParagraph"/>
        <w:numPr>
          <w:ilvl w:val="0"/>
          <w:numId w:val="1"/>
        </w:numPr>
        <w:tabs>
          <w:tab w:pos="859" w:val="left" w:leader="none"/>
          <w:tab w:pos="860" w:val="left" w:leader="none"/>
          <w:tab w:pos="8759" w:val="left" w:leader="dot"/>
        </w:tabs>
        <w:spacing w:line="283" w:lineRule="auto" w:before="41" w:after="0"/>
        <w:ind w:left="859" w:right="139" w:hanging="360"/>
        <w:jc w:val="left"/>
        <w:rPr>
          <w:rFonts w:ascii="Symbol"/>
          <w:sz w:val="17"/>
        </w:rPr>
      </w:pPr>
      <w:r>
        <w:rPr>
          <w:w w:val="105"/>
          <w:sz w:val="17"/>
        </w:rPr>
        <w:t>Tabla  2.0  Diferencia  de  medias de  nacimientos entre  las diferentes etapas de  la  luna  (Luna nueva)</w:t>
        <w:tab/>
        <w:t>26</w:t>
      </w:r>
    </w:p>
    <w:p>
      <w:pPr>
        <w:pStyle w:val="ListParagraph"/>
        <w:numPr>
          <w:ilvl w:val="0"/>
          <w:numId w:val="1"/>
        </w:numPr>
        <w:tabs>
          <w:tab w:pos="859" w:val="left" w:leader="none"/>
          <w:tab w:pos="860" w:val="left" w:leader="none"/>
          <w:tab w:pos="8759" w:val="left" w:leader="dot"/>
        </w:tabs>
        <w:spacing w:line="283" w:lineRule="auto" w:before="13" w:after="0"/>
        <w:ind w:left="859" w:right="139" w:hanging="360"/>
        <w:jc w:val="left"/>
        <w:rPr>
          <w:rFonts w:ascii="Symbol"/>
          <w:sz w:val="17"/>
        </w:rPr>
      </w:pPr>
      <w:r>
        <w:rPr>
          <w:w w:val="105"/>
          <w:sz w:val="17"/>
        </w:rPr>
        <w:t>Tabla  3.0  Diferencia  de  medias  de  nacimientos  entre  las  diferentes  etapas  de  la  luna  (Luna Llena)</w:t>
        <w:tab/>
        <w:t>27</w:t>
      </w:r>
    </w:p>
    <w:p>
      <w:pPr>
        <w:pStyle w:val="ListParagraph"/>
        <w:numPr>
          <w:ilvl w:val="0"/>
          <w:numId w:val="1"/>
        </w:numPr>
        <w:tabs>
          <w:tab w:pos="859" w:val="left" w:leader="none"/>
          <w:tab w:pos="860" w:val="left" w:leader="none"/>
          <w:tab w:pos="8754" w:val="left" w:leader="dot"/>
        </w:tabs>
        <w:spacing w:line="290" w:lineRule="auto" w:before="8" w:after="0"/>
        <w:ind w:left="859" w:right="144" w:hanging="360"/>
        <w:jc w:val="left"/>
        <w:rPr>
          <w:rFonts w:ascii="Symbol" w:hAnsi="Symbol"/>
          <w:sz w:val="17"/>
        </w:rPr>
      </w:pPr>
      <w:r>
        <w:rPr>
          <w:w w:val="105"/>
          <w:sz w:val="17"/>
        </w:rPr>
        <w:t>Tabla 4.0. Test de ANOVA de una vía de los 8 grupos (Luna Nueva, creciente, Cuarto Creciente, Gibada creciente, Luna Llena, Gibada Menguante, Luna Menguante,</w:t>
      </w:r>
      <w:r>
        <w:rPr>
          <w:spacing w:val="23"/>
          <w:w w:val="105"/>
          <w:sz w:val="17"/>
        </w:rPr>
        <w:t> </w:t>
      </w:r>
      <w:r>
        <w:rPr>
          <w:w w:val="105"/>
          <w:sz w:val="17"/>
        </w:rPr>
        <w:t>Luna</w:t>
      </w:r>
      <w:r>
        <w:rPr>
          <w:spacing w:val="2"/>
          <w:w w:val="105"/>
          <w:sz w:val="17"/>
        </w:rPr>
        <w:t> </w:t>
      </w:r>
      <w:r>
        <w:rPr>
          <w:w w:val="105"/>
          <w:sz w:val="17"/>
        </w:rPr>
        <w:t>Negra)</w:t>
        <w:tab/>
        <w:t>27</w:t>
      </w:r>
    </w:p>
    <w:p>
      <w:pPr>
        <w:pStyle w:val="ListParagraph"/>
        <w:numPr>
          <w:ilvl w:val="0"/>
          <w:numId w:val="1"/>
        </w:numPr>
        <w:tabs>
          <w:tab w:pos="859" w:val="left" w:leader="none"/>
          <w:tab w:pos="860" w:val="left" w:leader="none"/>
          <w:tab w:pos="8739" w:val="left" w:leader="dot"/>
        </w:tabs>
        <w:spacing w:line="283" w:lineRule="auto" w:before="2" w:after="0"/>
        <w:ind w:left="859" w:right="159" w:hanging="360"/>
        <w:jc w:val="left"/>
        <w:rPr>
          <w:rFonts w:ascii="Symbol" w:hAnsi="Symbol"/>
          <w:sz w:val="17"/>
        </w:rPr>
      </w:pPr>
      <w:r>
        <w:rPr>
          <w:w w:val="105"/>
          <w:sz w:val="17"/>
        </w:rPr>
        <w:t>Tabla  5.0.  Test  de  ANOVA  de  una  vía  de  los   8  grupos  (cuadrático,  lineal,  cúbico, exponencial)</w:t>
        <w:tab/>
        <w:t>28</w:t>
      </w:r>
    </w:p>
    <w:p>
      <w:pPr>
        <w:pStyle w:val="ListParagraph"/>
        <w:numPr>
          <w:ilvl w:val="0"/>
          <w:numId w:val="1"/>
        </w:numPr>
        <w:tabs>
          <w:tab w:pos="859" w:val="left" w:leader="none"/>
          <w:tab w:pos="860" w:val="left" w:leader="none"/>
          <w:tab w:pos="8759" w:val="left" w:leader="dot"/>
        </w:tabs>
        <w:spacing w:line="283" w:lineRule="auto" w:before="13" w:after="0"/>
        <w:ind w:left="859" w:right="139" w:hanging="360"/>
        <w:jc w:val="left"/>
        <w:rPr>
          <w:rFonts w:ascii="Symbol" w:hAnsi="Symbol"/>
          <w:sz w:val="17"/>
        </w:rPr>
      </w:pPr>
      <w:r>
        <w:rPr>
          <w:w w:val="105"/>
          <w:sz w:val="17"/>
        </w:rPr>
        <w:t>Figura 1.0. Gráfica de dispersión de puntos sobre el total de nacimientos por el porcentaje de luminosidad</w:t>
        <w:tab/>
        <w:t>28</w:t>
      </w:r>
    </w:p>
    <w:p>
      <w:pPr>
        <w:pStyle w:val="ListParagraph"/>
        <w:numPr>
          <w:ilvl w:val="0"/>
          <w:numId w:val="1"/>
        </w:numPr>
        <w:tabs>
          <w:tab w:pos="859" w:val="left" w:leader="none"/>
          <w:tab w:pos="860" w:val="left" w:leader="none"/>
        </w:tabs>
        <w:spacing w:line="240" w:lineRule="auto" w:before="13" w:after="0"/>
        <w:ind w:left="859" w:right="0" w:hanging="360"/>
        <w:jc w:val="left"/>
        <w:rPr>
          <w:rFonts w:ascii="Symbol" w:hAnsi="Symbol"/>
          <w:sz w:val="17"/>
        </w:rPr>
      </w:pPr>
      <w:r>
        <w:rPr>
          <w:w w:val="105"/>
          <w:sz w:val="17"/>
        </w:rPr>
        <w:t>Tabla 6.0. Test de ANOVA de una vía de los  4 modelos  (cuadrático, lineal, cúbico,</w:t>
      </w:r>
      <w:r>
        <w:rPr>
          <w:spacing w:val="33"/>
          <w:w w:val="105"/>
          <w:sz w:val="17"/>
        </w:rPr>
        <w:t> </w:t>
      </w:r>
      <w:r>
        <w:rPr>
          <w:w w:val="105"/>
          <w:sz w:val="17"/>
        </w:rPr>
        <w:t>exponencial)</w:t>
      </w:r>
    </w:p>
    <w:p>
      <w:pPr>
        <w:spacing w:before="38"/>
        <w:ind w:left="859" w:right="82" w:firstLine="0"/>
        <w:jc w:val="left"/>
        <w:rPr>
          <w:sz w:val="17"/>
        </w:rPr>
      </w:pPr>
      <w:r>
        <w:rPr>
          <w:w w:val="105"/>
          <w:sz w:val="17"/>
        </w:rPr>
        <w:t>…………………………………………………………………………………………………………………...29</w:t>
      </w:r>
    </w:p>
    <w:p>
      <w:pPr>
        <w:pStyle w:val="ListParagraph"/>
        <w:numPr>
          <w:ilvl w:val="0"/>
          <w:numId w:val="1"/>
        </w:numPr>
        <w:tabs>
          <w:tab w:pos="859" w:val="left" w:leader="none"/>
          <w:tab w:pos="860" w:val="left" w:leader="none"/>
          <w:tab w:pos="8759" w:val="left" w:leader="dot"/>
        </w:tabs>
        <w:spacing w:line="283" w:lineRule="auto" w:before="42" w:after="0"/>
        <w:ind w:left="859" w:right="139" w:hanging="360"/>
        <w:jc w:val="left"/>
        <w:rPr>
          <w:rFonts w:ascii="Symbol" w:hAnsi="Symbol"/>
          <w:sz w:val="17"/>
        </w:rPr>
      </w:pPr>
      <w:r>
        <w:rPr>
          <w:w w:val="105"/>
          <w:sz w:val="17"/>
        </w:rPr>
        <w:t>Figura  2.0.  Análisis  de  regresión   entre  el  total  de  nacimientos  y  el  porcentaje  de    luminosidad</w:t>
        <w:tab/>
        <w:t>28</w:t>
      </w:r>
    </w:p>
    <w:p>
      <w:pPr>
        <w:pStyle w:val="ListParagraph"/>
        <w:numPr>
          <w:ilvl w:val="0"/>
          <w:numId w:val="1"/>
        </w:numPr>
        <w:tabs>
          <w:tab w:pos="859" w:val="left" w:leader="none"/>
          <w:tab w:pos="860" w:val="left" w:leader="none"/>
          <w:tab w:pos="8749" w:val="left" w:leader="dot"/>
        </w:tabs>
        <w:spacing w:line="283" w:lineRule="auto" w:before="13" w:after="0"/>
        <w:ind w:left="859" w:right="149" w:hanging="360"/>
        <w:jc w:val="left"/>
        <w:rPr>
          <w:rFonts w:ascii="Symbol" w:hAnsi="Symbol"/>
          <w:sz w:val="17"/>
        </w:rPr>
      </w:pPr>
      <w:r>
        <w:rPr>
          <w:w w:val="105"/>
          <w:sz w:val="17"/>
        </w:rPr>
        <w:t>Figura 3.0. Dispersión de puntos de los promedios de nacimientos (Y) y el porcentaje de luminosidad (X)</w:t>
        <w:tab/>
        <w:t>29</w:t>
      </w:r>
    </w:p>
    <w:p>
      <w:pPr>
        <w:pStyle w:val="ListParagraph"/>
        <w:numPr>
          <w:ilvl w:val="0"/>
          <w:numId w:val="1"/>
        </w:numPr>
        <w:tabs>
          <w:tab w:pos="859" w:val="left" w:leader="none"/>
          <w:tab w:pos="860" w:val="left" w:leader="none"/>
          <w:tab w:pos="8771" w:val="left" w:leader="dot"/>
        </w:tabs>
        <w:spacing w:line="283" w:lineRule="auto" w:before="13" w:after="0"/>
        <w:ind w:left="859" w:right="127" w:hanging="360"/>
        <w:jc w:val="left"/>
        <w:rPr>
          <w:rFonts w:ascii="Symbol" w:hAnsi="Symbol"/>
          <w:sz w:val="17"/>
        </w:rPr>
      </w:pPr>
      <w:r>
        <w:rPr>
          <w:w w:val="105"/>
          <w:sz w:val="17"/>
        </w:rPr>
        <w:t>Figura 4.0. Análisis de regresión lineal, cuadrática, cúbica y de crecimiento entre el promedio de nacimientos y el porcentaje</w:t>
      </w:r>
      <w:r>
        <w:rPr>
          <w:spacing w:val="11"/>
          <w:w w:val="105"/>
          <w:sz w:val="17"/>
        </w:rPr>
        <w:t> </w:t>
      </w:r>
      <w:r>
        <w:rPr>
          <w:w w:val="105"/>
          <w:sz w:val="17"/>
        </w:rPr>
        <w:t>de</w:t>
      </w:r>
      <w:r>
        <w:rPr>
          <w:spacing w:val="3"/>
          <w:w w:val="105"/>
          <w:sz w:val="17"/>
        </w:rPr>
        <w:t> </w:t>
      </w:r>
      <w:r>
        <w:rPr>
          <w:w w:val="105"/>
          <w:sz w:val="17"/>
        </w:rPr>
        <w:t>luminosidad.</w:t>
        <w:tab/>
        <w:t>29</w:t>
      </w:r>
    </w:p>
    <w:p>
      <w:pPr>
        <w:pStyle w:val="ListParagraph"/>
        <w:numPr>
          <w:ilvl w:val="0"/>
          <w:numId w:val="1"/>
        </w:numPr>
        <w:tabs>
          <w:tab w:pos="859" w:val="left" w:leader="none"/>
          <w:tab w:pos="860" w:val="left" w:leader="none"/>
          <w:tab w:pos="8769" w:val="left" w:leader="dot"/>
        </w:tabs>
        <w:spacing w:line="290" w:lineRule="auto" w:before="8" w:after="0"/>
        <w:ind w:left="859" w:right="129" w:hanging="360"/>
        <w:jc w:val="left"/>
        <w:rPr>
          <w:rFonts w:ascii="Symbol" w:hAnsi="Symbol"/>
          <w:sz w:val="17"/>
        </w:rPr>
      </w:pPr>
      <w:r>
        <w:rPr>
          <w:w w:val="105"/>
          <w:sz w:val="17"/>
        </w:rPr>
        <w:t>Figura 5.0. Función polinómica de los valores de los nacimientos (Y) y el porcentaje de luminosidad (X)</w:t>
        <w:tab/>
        <w:t>30</w:t>
      </w:r>
    </w:p>
    <w:p>
      <w:pPr>
        <w:pStyle w:val="ListParagraph"/>
        <w:numPr>
          <w:ilvl w:val="0"/>
          <w:numId w:val="1"/>
        </w:numPr>
        <w:tabs>
          <w:tab w:pos="859" w:val="left" w:leader="none"/>
          <w:tab w:pos="860" w:val="left" w:leader="none"/>
          <w:tab w:pos="8730" w:val="left" w:leader="dot"/>
        </w:tabs>
        <w:spacing w:line="283" w:lineRule="auto" w:before="2" w:after="0"/>
        <w:ind w:left="859" w:right="168" w:hanging="360"/>
        <w:jc w:val="left"/>
        <w:rPr>
          <w:rFonts w:ascii="Symbol" w:hAnsi="Symbol"/>
          <w:sz w:val="17"/>
        </w:rPr>
      </w:pPr>
      <w:r>
        <w:rPr>
          <w:w w:val="105"/>
          <w:sz w:val="17"/>
        </w:rPr>
        <w:t>Figura 6.0. Función polinómica del promedio de nacimientos por día (Y) en cada porcentaje de luminosidad de la</w:t>
      </w:r>
      <w:r>
        <w:rPr>
          <w:spacing w:val="6"/>
          <w:w w:val="105"/>
          <w:sz w:val="17"/>
        </w:rPr>
        <w:t> </w:t>
      </w:r>
      <w:r>
        <w:rPr>
          <w:w w:val="105"/>
          <w:sz w:val="17"/>
        </w:rPr>
        <w:t>Luna</w:t>
      </w:r>
      <w:r>
        <w:rPr>
          <w:spacing w:val="2"/>
          <w:w w:val="105"/>
          <w:sz w:val="17"/>
        </w:rPr>
        <w:t> </w:t>
      </w:r>
      <w:r>
        <w:rPr>
          <w:w w:val="105"/>
          <w:sz w:val="17"/>
        </w:rPr>
        <w:t>(X)</w:t>
        <w:tab/>
        <w:t>30</w:t>
      </w:r>
    </w:p>
    <w:p>
      <w:pPr>
        <w:pStyle w:val="ListParagraph"/>
        <w:numPr>
          <w:ilvl w:val="0"/>
          <w:numId w:val="1"/>
        </w:numPr>
        <w:tabs>
          <w:tab w:pos="859" w:val="left" w:leader="none"/>
          <w:tab w:pos="860" w:val="left" w:leader="none"/>
          <w:tab w:pos="8763" w:val="left" w:leader="dot"/>
        </w:tabs>
        <w:spacing w:line="240" w:lineRule="auto" w:before="13" w:after="0"/>
        <w:ind w:left="859" w:right="0" w:hanging="360"/>
        <w:jc w:val="left"/>
        <w:rPr>
          <w:rFonts w:ascii="Symbol" w:hAnsi="Symbol"/>
          <w:sz w:val="17"/>
        </w:rPr>
      </w:pPr>
      <w:r>
        <w:rPr>
          <w:w w:val="105"/>
          <w:sz w:val="17"/>
        </w:rPr>
        <w:t>Tabla 7.0. Resultados de los ODDS Ratio para la presencia de</w:t>
      </w:r>
      <w:r>
        <w:rPr>
          <w:spacing w:val="24"/>
          <w:w w:val="105"/>
          <w:sz w:val="17"/>
        </w:rPr>
        <w:t> </w:t>
      </w:r>
      <w:r>
        <w:rPr>
          <w:w w:val="105"/>
          <w:sz w:val="17"/>
        </w:rPr>
        <w:t>productos</w:t>
      </w:r>
      <w:r>
        <w:rPr>
          <w:spacing w:val="2"/>
          <w:w w:val="105"/>
          <w:sz w:val="17"/>
        </w:rPr>
        <w:t> </w:t>
      </w:r>
      <w:r>
        <w:rPr>
          <w:w w:val="105"/>
          <w:sz w:val="17"/>
        </w:rPr>
        <w:t>pretérmino</w:t>
        <w:tab/>
        <w:t>31</w:t>
      </w:r>
    </w:p>
    <w:p>
      <w:pPr>
        <w:pStyle w:val="BodyText"/>
        <w:rPr>
          <w:sz w:val="20"/>
        </w:rPr>
      </w:pPr>
    </w:p>
    <w:p>
      <w:pPr>
        <w:pStyle w:val="BodyText"/>
        <w:spacing w:before="3"/>
      </w:pPr>
    </w:p>
    <w:p>
      <w:pPr>
        <w:spacing w:before="0"/>
        <w:ind w:left="139" w:right="82" w:firstLine="0"/>
        <w:jc w:val="left"/>
        <w:rPr>
          <w:b/>
          <w:sz w:val="17"/>
        </w:rPr>
      </w:pPr>
      <w:r>
        <w:rPr>
          <w:b/>
          <w:w w:val="105"/>
          <w:sz w:val="17"/>
        </w:rPr>
        <w:t>Parte IV. Participación en congresos</w:t>
      </w:r>
    </w:p>
    <w:p>
      <w:pPr>
        <w:pStyle w:val="BodyText"/>
        <w:spacing w:before="2"/>
        <w:rPr>
          <w:b/>
        </w:rPr>
      </w:pPr>
    </w:p>
    <w:p>
      <w:pPr>
        <w:pStyle w:val="ListParagraph"/>
        <w:numPr>
          <w:ilvl w:val="0"/>
          <w:numId w:val="1"/>
        </w:numPr>
        <w:tabs>
          <w:tab w:pos="859" w:val="left" w:leader="none"/>
          <w:tab w:pos="860" w:val="left" w:leader="none"/>
          <w:tab w:pos="8772" w:val="left" w:leader="dot"/>
        </w:tabs>
        <w:spacing w:line="240" w:lineRule="auto" w:before="0" w:after="0"/>
        <w:ind w:left="859" w:right="0" w:hanging="360"/>
        <w:jc w:val="left"/>
        <w:rPr>
          <w:rFonts w:ascii="Symbol" w:hAnsi="Symbol"/>
          <w:sz w:val="17"/>
        </w:rPr>
      </w:pPr>
      <w:r>
        <w:rPr>
          <w:w w:val="105"/>
          <w:sz w:val="17"/>
        </w:rPr>
        <w:t>Presentación de poster en el XXXIII Congreso Nacional</w:t>
      </w:r>
      <w:r>
        <w:rPr>
          <w:spacing w:val="16"/>
          <w:w w:val="105"/>
          <w:sz w:val="17"/>
        </w:rPr>
        <w:t> </w:t>
      </w:r>
      <w:r>
        <w:rPr>
          <w:w w:val="105"/>
          <w:sz w:val="17"/>
        </w:rPr>
        <w:t>de</w:t>
      </w:r>
      <w:r>
        <w:rPr>
          <w:spacing w:val="2"/>
          <w:w w:val="105"/>
          <w:sz w:val="17"/>
        </w:rPr>
        <w:t> </w:t>
      </w:r>
      <w:r>
        <w:rPr>
          <w:w w:val="105"/>
          <w:sz w:val="17"/>
        </w:rPr>
        <w:t>Pediatría</w:t>
        <w:tab/>
        <w:t>38</w:t>
      </w:r>
    </w:p>
    <w:p>
      <w:pPr>
        <w:spacing w:after="0" w:line="240" w:lineRule="auto"/>
        <w:jc w:val="left"/>
        <w:rPr>
          <w:rFonts w:ascii="Symbol" w:hAnsi="Symbol"/>
          <w:sz w:val="17"/>
        </w:rPr>
        <w:sectPr>
          <w:pgSz w:w="12240" w:h="15840"/>
          <w:pgMar w:header="1209" w:footer="1234" w:top="1400" w:bottom="1420" w:left="156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p>
    <w:p>
      <w:pPr>
        <w:pStyle w:val="Heading3"/>
        <w:ind w:right="82"/>
        <w:jc w:val="left"/>
      </w:pPr>
      <w:r>
        <w:rPr>
          <w:w w:val="105"/>
        </w:rPr>
        <w:t>Agradecimientos</w:t>
      </w:r>
    </w:p>
    <w:p>
      <w:pPr>
        <w:pStyle w:val="BodyText"/>
        <w:rPr>
          <w:b/>
          <w:sz w:val="22"/>
        </w:rPr>
      </w:pPr>
    </w:p>
    <w:p>
      <w:pPr>
        <w:pStyle w:val="BodyText"/>
        <w:rPr>
          <w:b/>
          <w:sz w:val="22"/>
        </w:rPr>
      </w:pPr>
    </w:p>
    <w:p>
      <w:pPr>
        <w:pStyle w:val="BodyText"/>
        <w:spacing w:before="11"/>
        <w:rPr>
          <w:b/>
          <w:sz w:val="20"/>
        </w:rPr>
      </w:pPr>
    </w:p>
    <w:p>
      <w:pPr>
        <w:spacing w:line="506" w:lineRule="auto" w:before="0"/>
        <w:ind w:left="125" w:right="109" w:firstLine="0"/>
        <w:jc w:val="center"/>
        <w:rPr>
          <w:i/>
          <w:sz w:val="21"/>
        </w:rPr>
      </w:pPr>
      <w:r>
        <w:rPr>
          <w:i/>
          <w:w w:val="105"/>
          <w:sz w:val="21"/>
        </w:rPr>
        <w:t>A mi esposo, por creer en mí y ayudarme a que con su pasión por la investigación este </w:t>
      </w:r>
      <w:r>
        <w:rPr>
          <w:i/>
          <w:w w:val="105"/>
          <w:sz w:val="21"/>
        </w:rPr>
        <w:t>estudio fuera posible; por su amor, compañía, comprensión y sobre todo su paciencia.</w:t>
      </w:r>
    </w:p>
    <w:p>
      <w:pPr>
        <w:pStyle w:val="BodyText"/>
        <w:spacing w:before="5"/>
        <w:rPr>
          <w:i/>
          <w:sz w:val="31"/>
        </w:rPr>
      </w:pPr>
    </w:p>
    <w:p>
      <w:pPr>
        <w:spacing w:line="506" w:lineRule="auto" w:before="0"/>
        <w:ind w:left="125" w:right="109" w:firstLine="0"/>
        <w:jc w:val="center"/>
        <w:rPr>
          <w:i/>
          <w:sz w:val="21"/>
        </w:rPr>
      </w:pPr>
      <w:r>
        <w:rPr>
          <w:i/>
          <w:w w:val="105"/>
          <w:sz w:val="21"/>
        </w:rPr>
        <w:t>A mis padres, por quien soy, por darme todo su apoyo y lo necesario para llegar hasta </w:t>
      </w:r>
      <w:r>
        <w:rPr>
          <w:i/>
          <w:w w:val="105"/>
          <w:sz w:val="21"/>
        </w:rPr>
        <w:t>donde estoy.</w:t>
      </w:r>
    </w:p>
    <w:p>
      <w:pPr>
        <w:pStyle w:val="BodyText"/>
        <w:spacing w:before="5"/>
        <w:rPr>
          <w:i/>
          <w:sz w:val="31"/>
        </w:rPr>
      </w:pPr>
    </w:p>
    <w:p>
      <w:pPr>
        <w:spacing w:before="0"/>
        <w:ind w:left="126" w:right="109" w:firstLine="0"/>
        <w:jc w:val="center"/>
        <w:rPr>
          <w:i/>
          <w:sz w:val="21"/>
        </w:rPr>
      </w:pPr>
      <w:r>
        <w:rPr>
          <w:i/>
          <w:w w:val="105"/>
          <w:sz w:val="21"/>
        </w:rPr>
        <w:t>A mis hermanas, por darme 2 pequeños motivos para sonreír y querer ser mejor cada día.</w:t>
      </w:r>
    </w:p>
    <w:p>
      <w:pPr>
        <w:pStyle w:val="BodyText"/>
        <w:spacing w:before="2"/>
        <w:rPr>
          <w:i/>
          <w:sz w:val="23"/>
        </w:rPr>
      </w:pPr>
    </w:p>
    <w:p>
      <w:pPr>
        <w:spacing w:before="1"/>
        <w:ind w:left="126" w:right="109" w:firstLine="0"/>
        <w:jc w:val="center"/>
        <w:rPr>
          <w:i/>
          <w:sz w:val="21"/>
        </w:rPr>
      </w:pPr>
      <w:r>
        <w:rPr>
          <w:i/>
          <w:w w:val="105"/>
          <w:sz w:val="21"/>
        </w:rPr>
        <w:t>A ellas mis sobrinas, por ser hasta ahora, la mayor alegría de mi vida.</w:t>
      </w:r>
    </w:p>
    <w:p>
      <w:pPr>
        <w:pStyle w:val="BodyText"/>
        <w:rPr>
          <w:i/>
          <w:sz w:val="22"/>
        </w:rPr>
      </w:pPr>
    </w:p>
    <w:p>
      <w:pPr>
        <w:pStyle w:val="BodyText"/>
        <w:spacing w:before="1"/>
        <w:rPr>
          <w:i/>
          <w:sz w:val="32"/>
        </w:rPr>
      </w:pPr>
    </w:p>
    <w:p>
      <w:pPr>
        <w:spacing w:before="0"/>
        <w:ind w:left="1765" w:right="1749" w:firstLine="0"/>
        <w:jc w:val="center"/>
        <w:rPr>
          <w:i/>
          <w:sz w:val="21"/>
        </w:rPr>
      </w:pPr>
      <w:r>
        <w:rPr>
          <w:i/>
          <w:w w:val="105"/>
          <w:sz w:val="21"/>
        </w:rPr>
        <w:t>A toda mi familia por su apoyo incondicional.</w:t>
      </w:r>
    </w:p>
    <w:p>
      <w:pPr>
        <w:pStyle w:val="BodyText"/>
        <w:rPr>
          <w:i/>
          <w:sz w:val="22"/>
        </w:rPr>
      </w:pPr>
    </w:p>
    <w:p>
      <w:pPr>
        <w:pStyle w:val="BodyText"/>
        <w:spacing w:before="1"/>
        <w:rPr>
          <w:i/>
          <w:sz w:val="32"/>
        </w:rPr>
      </w:pPr>
    </w:p>
    <w:p>
      <w:pPr>
        <w:spacing w:line="506" w:lineRule="auto" w:before="0"/>
        <w:ind w:left="126" w:right="109" w:firstLine="0"/>
        <w:jc w:val="center"/>
        <w:rPr>
          <w:i/>
          <w:sz w:val="21"/>
        </w:rPr>
      </w:pPr>
      <w:r>
        <w:rPr>
          <w:i/>
          <w:w w:val="105"/>
          <w:sz w:val="21"/>
        </w:rPr>
        <w:t>A Dios, por guiar mis pasos, por llevarme siempre de la mano y darme la fortaleza de no </w:t>
      </w:r>
      <w:r>
        <w:rPr>
          <w:i/>
          <w:w w:val="105"/>
          <w:sz w:val="21"/>
        </w:rPr>
        <w:t>desistir.</w:t>
      </w:r>
    </w:p>
    <w:p>
      <w:pPr>
        <w:spacing w:after="0" w:line="506" w:lineRule="auto"/>
        <w:jc w:val="center"/>
        <w:rPr>
          <w:sz w:val="21"/>
        </w:rPr>
        <w:sectPr>
          <w:pgSz w:w="12240" w:h="15840"/>
          <w:pgMar w:header="1209" w:footer="1234" w:top="1400" w:bottom="1420" w:left="1560" w:right="1580"/>
        </w:sectPr>
      </w:pPr>
    </w:p>
    <w:p>
      <w:pPr>
        <w:pStyle w:val="BodyText"/>
        <w:rPr>
          <w:i/>
          <w:sz w:val="20"/>
        </w:rPr>
      </w:pPr>
    </w:p>
    <w:p>
      <w:pPr>
        <w:pStyle w:val="BodyText"/>
        <w:spacing w:before="3"/>
        <w:rPr>
          <w:i/>
          <w:sz w:val="24"/>
        </w:rPr>
      </w:pPr>
    </w:p>
    <w:p>
      <w:pPr>
        <w:pStyle w:val="Heading1"/>
        <w:spacing w:line="240" w:lineRule="auto" w:before="69"/>
        <w:ind w:left="139"/>
        <w:jc w:val="both"/>
        <w:rPr>
          <w:rFonts w:ascii="Arial"/>
        </w:rPr>
      </w:pPr>
      <w:r>
        <w:rPr>
          <w:rFonts w:ascii="Arial"/>
        </w:rPr>
        <w:t>Resumen</w:t>
      </w:r>
    </w:p>
    <w:p>
      <w:pPr>
        <w:pStyle w:val="BodyText"/>
        <w:spacing w:before="9"/>
        <w:rPr>
          <w:b/>
          <w:sz w:val="29"/>
        </w:rPr>
      </w:pPr>
    </w:p>
    <w:p>
      <w:pPr>
        <w:pStyle w:val="Heading2"/>
        <w:spacing w:line="360" w:lineRule="auto"/>
      </w:pPr>
      <w:r>
        <w:rPr/>
        <w:t>Desde épocas antiguas la luna es relacionada con la fertilidad. Diversos estudios intentaron asociar al astro y la frecuencia de los nacimientos, sin obtener resultados concluyentes. En otras especies animales la influencia que ejerce este satélite es clara y significativa.</w:t>
      </w:r>
    </w:p>
    <w:p>
      <w:pPr>
        <w:spacing w:line="360" w:lineRule="auto" w:before="204"/>
        <w:ind w:left="139" w:right="120" w:firstLine="0"/>
        <w:jc w:val="both"/>
        <w:rPr>
          <w:sz w:val="24"/>
        </w:rPr>
      </w:pPr>
      <w:r>
        <w:rPr>
          <w:b/>
          <w:sz w:val="24"/>
        </w:rPr>
        <w:t>Objetivo</w:t>
      </w:r>
      <w:r>
        <w:rPr>
          <w:sz w:val="24"/>
        </w:rPr>
        <w:t>. Establecer la relación luna - nacimientos mediante dos modelos analíticos.</w:t>
      </w:r>
    </w:p>
    <w:p>
      <w:pPr>
        <w:spacing w:line="360" w:lineRule="auto" w:before="209"/>
        <w:ind w:left="139" w:right="120" w:firstLine="0"/>
        <w:jc w:val="both"/>
        <w:rPr>
          <w:sz w:val="24"/>
        </w:rPr>
      </w:pPr>
      <w:r>
        <w:rPr>
          <w:sz w:val="24"/>
        </w:rPr>
        <w:t>Estudio ambilectivo, observacional y descriptivo, utilizando 25,152 registros de nacimientos (enero 2009 - junio 2013). El modelo clásico realiza comparativas de nacimientos entre los periodos lunares (prueba T-Student y ANOVA). El segundo modelo afronta la cercanía de la luna mediante el porcentaje de luminosidad (eje</w:t>
      </w:r>
    </w:p>
    <w:p>
      <w:pPr>
        <w:spacing w:line="324" w:lineRule="auto" w:before="7"/>
        <w:ind w:left="139" w:right="120" w:firstLine="0"/>
        <w:jc w:val="both"/>
        <w:rPr>
          <w:sz w:val="24"/>
        </w:rPr>
      </w:pPr>
      <w:r>
        <w:rPr>
          <w:sz w:val="24"/>
        </w:rPr>
        <w:t>X) y la frecuencia de nacimientos (eje Y). El punto de inflexión de la curva fue calculado mediante la fórmula x = [ln (1/ e</w:t>
      </w:r>
      <w:r>
        <w:rPr>
          <w:position w:val="11"/>
          <w:sz w:val="16"/>
        </w:rPr>
        <w:t>bx</w:t>
      </w:r>
      <w:r>
        <w:rPr>
          <w:sz w:val="24"/>
        </w:rPr>
        <w:t>)]/ e</w:t>
      </w:r>
      <w:r>
        <w:rPr>
          <w:position w:val="11"/>
          <w:sz w:val="16"/>
        </w:rPr>
        <w:t>bx</w:t>
      </w:r>
      <w:r>
        <w:rPr>
          <w:sz w:val="24"/>
        </w:rPr>
        <w:t>.</w:t>
      </w:r>
    </w:p>
    <w:p>
      <w:pPr>
        <w:spacing w:before="236"/>
        <w:ind w:left="139" w:right="0" w:firstLine="0"/>
        <w:jc w:val="both"/>
        <w:rPr>
          <w:sz w:val="24"/>
        </w:rPr>
      </w:pPr>
      <w:r>
        <w:rPr>
          <w:b/>
          <w:sz w:val="24"/>
        </w:rPr>
        <w:t>Resultados</w:t>
      </w:r>
      <w:r>
        <w:rPr>
          <w:sz w:val="24"/>
        </w:rPr>
        <w:t>. Se estudiaron 25,152 nacimientos. La edad gestacional promedio fue</w:t>
      </w:r>
    </w:p>
    <w:p>
      <w:pPr>
        <w:pStyle w:val="ListParagraph"/>
        <w:numPr>
          <w:ilvl w:val="1"/>
          <w:numId w:val="2"/>
        </w:numPr>
        <w:tabs>
          <w:tab w:pos="820" w:val="left" w:leader="none"/>
        </w:tabs>
        <w:spacing w:line="343" w:lineRule="auto" w:before="137" w:after="0"/>
        <w:ind w:left="139" w:right="120" w:firstLine="0"/>
        <w:jc w:val="both"/>
        <w:rPr>
          <w:sz w:val="16"/>
        </w:rPr>
      </w:pPr>
      <w:r>
        <w:rPr>
          <w:sz w:val="24"/>
        </w:rPr>
        <w:t>semanas. Media de nacimientos: 93.9. Con el nuevo modelo se obtuvo una estimación curvilínea de concavidad hacia abajo y de crecimiento (</w:t>
      </w:r>
      <w:r>
        <w:rPr>
          <w:i/>
          <w:sz w:val="24"/>
        </w:rPr>
        <w:t>p </w:t>
      </w:r>
      <w:r>
        <w:rPr>
          <w:sz w:val="24"/>
        </w:rPr>
        <w:t>= 0.000*, 95% IC). El punto medio de inflexión de la curva fue 41.52%, los puntos de inflexión laterales fueron al 5% y 96%. La función polinómica de la curva fue y = 0.06x</w:t>
      </w:r>
      <w:r>
        <w:rPr>
          <w:position w:val="11"/>
          <w:sz w:val="16"/>
        </w:rPr>
        <w:t>2 </w:t>
      </w:r>
      <w:r>
        <w:rPr>
          <w:sz w:val="24"/>
        </w:rPr>
        <w:t>– 6.33x  + 199.18, para la función de crecimiento fue  y =  82.02</w:t>
      </w:r>
      <w:r>
        <w:rPr>
          <w:spacing w:val="-2"/>
          <w:sz w:val="24"/>
        </w:rPr>
        <w:t> </w:t>
      </w:r>
      <w:r>
        <w:rPr>
          <w:sz w:val="24"/>
        </w:rPr>
        <w:t>·1</w:t>
      </w:r>
      <w:r>
        <w:rPr>
          <w:position w:val="11"/>
          <w:sz w:val="16"/>
        </w:rPr>
        <w:t>x</w:t>
      </w:r>
    </w:p>
    <w:p>
      <w:pPr>
        <w:spacing w:line="360" w:lineRule="auto" w:before="211"/>
        <w:ind w:left="139" w:right="120" w:firstLine="0"/>
        <w:jc w:val="both"/>
        <w:rPr>
          <w:sz w:val="24"/>
        </w:rPr>
      </w:pPr>
      <w:r>
        <w:rPr>
          <w:b/>
          <w:sz w:val="24"/>
        </w:rPr>
        <w:t>Discusión y conclusiones</w:t>
      </w:r>
      <w:r>
        <w:rPr>
          <w:sz w:val="24"/>
        </w:rPr>
        <w:t>. Como en otros ensayos, el modelo clásico aportó resultados poco significativos; sin embargo, el segundo modelo muestra evidencia que el perigeo lunar (luminosidad 0-5% y 96-100%), genera una influencia positiva sobre el número de nacimientos, probablemente resultado del efecto Tidal. En productos prematuros el incremento sólo se observa durante luna llena   (p=0.056-</w:t>
      </w:r>
    </w:p>
    <w:p>
      <w:pPr>
        <w:spacing w:line="274" w:lineRule="exact" w:before="0"/>
        <w:ind w:left="139" w:right="0" w:firstLine="0"/>
        <w:jc w:val="both"/>
        <w:rPr>
          <w:sz w:val="24"/>
        </w:rPr>
      </w:pPr>
      <w:r>
        <w:rPr>
          <w:sz w:val="24"/>
        </w:rPr>
        <w:t>,95% IC).</w:t>
      </w:r>
    </w:p>
    <w:p>
      <w:pPr>
        <w:spacing w:after="0" w:line="274" w:lineRule="exact"/>
        <w:jc w:val="both"/>
        <w:rPr>
          <w:sz w:val="24"/>
        </w:rPr>
        <w:sectPr>
          <w:pgSz w:w="12240" w:h="15840"/>
          <w:pgMar w:header="1209" w:footer="1234" w:top="1400" w:bottom="1420" w:left="1560" w:right="1580"/>
        </w:sectPr>
      </w:pPr>
    </w:p>
    <w:p>
      <w:pPr>
        <w:pStyle w:val="BodyText"/>
        <w:rPr>
          <w:sz w:val="20"/>
        </w:rPr>
      </w:pPr>
    </w:p>
    <w:p>
      <w:pPr>
        <w:pStyle w:val="BodyText"/>
        <w:spacing w:before="9"/>
        <w:rPr>
          <w:sz w:val="16"/>
        </w:rPr>
      </w:pPr>
    </w:p>
    <w:p>
      <w:pPr>
        <w:pStyle w:val="Heading3"/>
        <w:spacing w:line="491" w:lineRule="auto"/>
        <w:ind w:right="5439"/>
        <w:jc w:val="left"/>
      </w:pPr>
      <w:r>
        <w:rPr>
          <w:w w:val="105"/>
        </w:rPr>
        <w:t>Parte I. Marco Teórico. Introducción.</w:t>
      </w:r>
    </w:p>
    <w:p>
      <w:pPr>
        <w:pStyle w:val="BodyText"/>
        <w:spacing w:line="376" w:lineRule="auto" w:before="6"/>
        <w:ind w:left="139" w:right="120"/>
        <w:jc w:val="both"/>
      </w:pPr>
      <w:r>
        <w:rPr>
          <w:b/>
          <w:w w:val="105"/>
        </w:rPr>
        <w:t>Historia de la Luna y los nacimientos. </w:t>
      </w:r>
      <w:r>
        <w:rPr>
          <w:w w:val="105"/>
        </w:rPr>
        <w:t>La luna ha sido implicada continuamente en diversos mitos y leyendas. Tal vez, la creencia popular más arraigada es el efecto que cuenta sobre la fertilidad. En Mesoamérica, para la cultura maya, la diosa de la luna “Ix´Chel” era reconocida como la diosa de los nacimientos y la fertilidad (parto, tejido y de la luna) (1). Esta situación se repite en otras culturas en donde la luna se ha asociado continuamente a la fertilidad (por ejemplo: Artemis en Grecia, Diana en Roma,</w:t>
      </w:r>
      <w:r>
        <w:rPr>
          <w:spacing w:val="-42"/>
          <w:w w:val="105"/>
        </w:rPr>
        <w:t> </w:t>
      </w:r>
      <w:r>
        <w:rPr>
          <w:w w:val="105"/>
        </w:rPr>
        <w:t>Epona para la cultura Celta/Romana, Rhiannon para los celtas, Sarpandit para los  Sumerios,  Yemanja en América del Sur) y la gestación (Xochhiquetzal para los Aztecas, Selene para los Griegos, Mama Quilla para los Incas y Juna para los</w:t>
      </w:r>
      <w:r>
        <w:rPr>
          <w:spacing w:val="-33"/>
          <w:w w:val="105"/>
        </w:rPr>
        <w:t> </w:t>
      </w:r>
      <w:r>
        <w:rPr>
          <w:w w:val="105"/>
        </w:rPr>
        <w:t>romanos).</w:t>
      </w:r>
    </w:p>
    <w:p>
      <w:pPr>
        <w:pStyle w:val="BodyText"/>
        <w:rPr>
          <w:sz w:val="22"/>
        </w:rPr>
      </w:pPr>
    </w:p>
    <w:p>
      <w:pPr>
        <w:pStyle w:val="Heading3"/>
        <w:spacing w:before="135"/>
      </w:pPr>
      <w:bookmarkStart w:name="_TOC_250021" w:id="1"/>
      <w:bookmarkEnd w:id="1"/>
      <w:r>
        <w:rPr>
          <w:w w:val="105"/>
        </w:rPr>
        <w:t>Importancia de Ix Chel en la cultura maya.</w:t>
      </w:r>
    </w:p>
    <w:p>
      <w:pPr>
        <w:pStyle w:val="BodyText"/>
        <w:spacing w:line="376" w:lineRule="auto" w:before="137"/>
        <w:ind w:left="139" w:right="119"/>
        <w:jc w:val="both"/>
      </w:pPr>
      <w:r>
        <w:rPr>
          <w:w w:val="105"/>
        </w:rPr>
        <w:t>Como se mencionó “Ix Chel” era conocida por los mayas como la diosa de la gestación, del tejido, la luna y la medicina. Se le representa como una anciana, vaciando un cántaro lleno de agua sobre la tierra,  o como a una anciana tejiendo en un telar de cintura.  Tenían cuatro manifestaciones asociadas a cuatro colores, denominadas los cuatro rumbos del universo. La isla de Cozumel (Isla Mujeres), estaba dedicada a su culto. Su asociación con la fertilidad es principalmente debido a que los periodos de siembra y cosecha se rigen en gran medida con los ciclos de la luna. En el códice Dresden, se representa a la diosa Chac Ixchel (Ixchel the Red), denominándose actualmente como Ix Chebal Yax, la diosa de la fertilidad, nacimientos, escritura y la medicina.  Existe otra  diosa introducida a Yucatán por los itzas en el siglo IX, a la que se le ha asociado con la fertilidad, nacimientos y la medicina; esta diosa se denominó “Ix Chel” por los Itza, representada por una mujer pálida y joven a diferencia de las descripciones iniciales de una anciana. Esta diosa era representada con un conejo, haciendo referencia a la luna.  En la figura 1.0 se representa a la diosa  en conjunto con su</w:t>
      </w:r>
      <w:r>
        <w:rPr>
          <w:spacing w:val="-30"/>
          <w:w w:val="105"/>
        </w:rPr>
        <w:t> </w:t>
      </w:r>
      <w:r>
        <w:rPr>
          <w:w w:val="105"/>
        </w:rPr>
        <w:t>conejo.</w:t>
      </w:r>
    </w:p>
    <w:p>
      <w:pPr>
        <w:spacing w:after="0" w:line="376" w:lineRule="auto"/>
        <w:jc w:val="both"/>
        <w:sectPr>
          <w:pgSz w:w="12240" w:h="15840"/>
          <w:pgMar w:header="1209" w:footer="1234" w:top="1400" w:bottom="1420" w:left="1560" w:right="1580"/>
        </w:sectPr>
      </w:pPr>
    </w:p>
    <w:p>
      <w:pPr>
        <w:pStyle w:val="BodyText"/>
        <w:rPr>
          <w:sz w:val="20"/>
        </w:rPr>
      </w:pPr>
    </w:p>
    <w:p>
      <w:pPr>
        <w:pStyle w:val="BodyText"/>
        <w:spacing w:before="8"/>
        <w:rPr>
          <w:sz w:val="13"/>
        </w:rPr>
      </w:pPr>
    </w:p>
    <w:p>
      <w:pPr>
        <w:pStyle w:val="BodyText"/>
        <w:ind w:left="1545"/>
        <w:rPr>
          <w:sz w:val="20"/>
        </w:rPr>
      </w:pPr>
      <w:r>
        <w:rPr>
          <w:sz w:val="20"/>
        </w:rPr>
        <w:drawing>
          <wp:inline distT="0" distB="0" distL="0" distR="0">
            <wp:extent cx="3829050" cy="2400300"/>
            <wp:effectExtent l="0" t="0" r="0" b="0"/>
            <wp:docPr id="3" name="image19.jpeg" descr=""/>
            <wp:cNvGraphicFramePr>
              <a:graphicFrameLocks noChangeAspect="1"/>
            </wp:cNvGraphicFramePr>
            <a:graphic>
              <a:graphicData uri="http://schemas.openxmlformats.org/drawingml/2006/picture">
                <pic:pic>
                  <pic:nvPicPr>
                    <pic:cNvPr id="4" name="image19.jpeg"/>
                    <pic:cNvPicPr/>
                  </pic:nvPicPr>
                  <pic:blipFill>
                    <a:blip r:embed="rId25" cstate="print"/>
                    <a:stretch>
                      <a:fillRect/>
                    </a:stretch>
                  </pic:blipFill>
                  <pic:spPr>
                    <a:xfrm>
                      <a:off x="0" y="0"/>
                      <a:ext cx="3829050" cy="24003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8"/>
        <w:rPr>
          <w:sz w:val="17"/>
        </w:rPr>
      </w:pPr>
    </w:p>
    <w:p>
      <w:pPr>
        <w:pStyle w:val="Heading3"/>
        <w:spacing w:before="0"/>
      </w:pPr>
      <w:bookmarkStart w:name="_TOC_250020" w:id="2"/>
      <w:bookmarkEnd w:id="2"/>
      <w:r>
        <w:rPr>
          <w:w w:val="105"/>
        </w:rPr>
        <w:t>Relación entre la luna y diversas situaciones clínicas.</w:t>
      </w:r>
    </w:p>
    <w:p>
      <w:pPr>
        <w:pStyle w:val="BodyText"/>
        <w:spacing w:line="376" w:lineRule="auto" w:before="137"/>
        <w:ind w:left="139" w:right="119"/>
        <w:jc w:val="both"/>
      </w:pPr>
      <w:r>
        <w:rPr>
          <w:w w:val="105"/>
        </w:rPr>
        <w:t>Actualmente diversas situaciones clínicas se han relacionado con el efecto de la luna, crisis epilépticas, crisis hipertensivas, diarrea, retención urinaria, hemorragia variceal y finalmente, la  natalidad (2-4).</w:t>
      </w:r>
    </w:p>
    <w:p>
      <w:pPr>
        <w:pStyle w:val="BodyText"/>
        <w:spacing w:line="376" w:lineRule="auto" w:before="4"/>
        <w:ind w:left="139" w:right="117"/>
        <w:jc w:val="both"/>
      </w:pPr>
      <w:r>
        <w:rPr>
          <w:w w:val="105"/>
        </w:rPr>
        <w:t>Médicamente, la creencia del efecto lunar sobre la natalidad es tan popular que en 1987, Danzl y colaboradores reportaron que un 80% de las enfermeras y 64% de los médicos creían en dicho efecto (4). Algunos reportes reconocieron ese efecto como “the full Moon effect” (5). Estadísticamente diversas observaciones han intentado establecer dicha asociación sin éxito (6). Ochiai y colaboradores en su cohorte de 17,417 nacimientos, reportaron que entre los fenómenos naturales asociados al nacimiento, el ciclo lunar no fue un predictor de ingreso a labor (p= 0,339), pero sí el incremento de la temperatura atmosférica (Odds ratio: 1.742, p= 0.045, 95% IC: 1.011-3.001) (7). Bharti y colaboradores en un estudio retrospectivo en India evaluaron 12 ciclos lunares considerando las etapas desde luna llena hasta luna nueva. Del total de los 9890 nacimientos, no se encontraron diferencias entre los 5 grupos establecidos acorde al ciclo lunar (p= 0.6642; 95% IC) ni tampoco en el grupo aislado de nacimientos obtenidos durante la luna llena y la luna descendente (p=0.676;95 %IC) (8). Arliss y colaboradores en su cohorte retrospectiva de 564,039 nacimientos a través de 62 ciclos lunares, tampoco encontraron una influencia significativa del ciclo lunar sobre las complicaciones obstétricas (9). Desafortunadamente la mayor parte de las cohortes retrospectivas no han logrado resolver ese mito popular</w:t>
      </w:r>
    </w:p>
    <w:p>
      <w:pPr>
        <w:pStyle w:val="BodyText"/>
        <w:spacing w:before="4"/>
        <w:ind w:left="139"/>
        <w:jc w:val="both"/>
      </w:pPr>
      <w:r>
        <w:rPr>
          <w:w w:val="105"/>
        </w:rPr>
        <w:t>(10);  sin  embargo  se  han  hecho  muchas  otras  asociaciones  interesantes,  como  por</w:t>
      </w:r>
    </w:p>
    <w:p>
      <w:pPr>
        <w:spacing w:after="0"/>
        <w:jc w:val="both"/>
        <w:sectPr>
          <w:pgSz w:w="12240" w:h="15840"/>
          <w:pgMar w:header="1209" w:footer="1234" w:top="1400" w:bottom="1420" w:left="1560" w:right="1580"/>
        </w:sectPr>
      </w:pPr>
    </w:p>
    <w:p>
      <w:pPr>
        <w:pStyle w:val="BodyText"/>
        <w:spacing w:line="376" w:lineRule="auto" w:before="16"/>
        <w:ind w:left="139" w:right="119"/>
        <w:jc w:val="both"/>
      </w:pPr>
      <w:r>
        <w:rPr>
          <w:w w:val="105"/>
        </w:rPr>
        <w:t>ejemplo, el estudio realizado por Cutler y colaboradores en el que analizan el ciclo menstrual de 312 mujeres, coincidiendo en que las mujeres tienden a ovular principalmente en la fase de luna nueva (11,12), ó la asociación con un supuesto efecto romántico o sobre la agresividad, intentando relacionar a la luna llena con un incremento en los crímenes ó situaciones de violencia (13,14); la mayoría de éstos, con resultados no concluyentes, excepto el reporte de Calver y cols en donde el 23% de los episodios violentos ocurren durante la luna llena (15).</w:t>
      </w:r>
    </w:p>
    <w:p>
      <w:pPr>
        <w:pStyle w:val="BodyText"/>
        <w:rPr>
          <w:sz w:val="22"/>
        </w:rPr>
      </w:pPr>
    </w:p>
    <w:p>
      <w:pPr>
        <w:pStyle w:val="Heading3"/>
        <w:spacing w:before="130"/>
      </w:pPr>
      <w:bookmarkStart w:name="_TOC_250019" w:id="3"/>
      <w:bookmarkEnd w:id="3"/>
      <w:r>
        <w:rPr>
          <w:w w:val="105"/>
        </w:rPr>
        <w:t>Relación entre la luna y diversas situaciones biológicas.</w:t>
      </w:r>
    </w:p>
    <w:p>
      <w:pPr>
        <w:pStyle w:val="BodyText"/>
        <w:spacing w:line="376" w:lineRule="auto" w:before="137"/>
        <w:ind w:left="139" w:right="121"/>
        <w:jc w:val="both"/>
      </w:pPr>
      <w:r>
        <w:rPr>
          <w:w w:val="105"/>
        </w:rPr>
        <w:t>Para intentar esclarecer la asociación entra la luna y los nacimientos, de forma inicial, se requiere esclarecer la siguiente pregunta, ¿Es la luminosidad o el efecto de la gravedad?. Para entender este fenómeno, la naturaleza nos brinda varias pistas en diversas especies de mamíferos y aves, en los que la influencia del ciclo de los astros (sol, luna) sobre las especies se le denomina cronobiología (16).</w:t>
      </w:r>
    </w:p>
    <w:p>
      <w:pPr>
        <w:pStyle w:val="BodyText"/>
        <w:spacing w:line="376" w:lineRule="auto" w:before="4"/>
        <w:ind w:left="139" w:right="120"/>
        <w:jc w:val="both"/>
      </w:pPr>
      <w:r>
        <w:rPr>
          <w:w w:val="105"/>
        </w:rPr>
        <w:t>Por ejemplo, en lo que respecta a la luna, su luminosidad logra modificar los diferentes patrones de comunicación en los búhos (17) y su intensidad logra modificar también los comportamientos no sólo de cacería, sino en la adaptación de absorción de fotones durante la noche modificando la visión de color (18,19). En cuanto a los patrones de reproducción, su influencia ha sido descrita por gran cantidad de pescadores desde tiempos milenarios. Yoshida y otros autores reportaron que cetáceos como la Diadema setosum tienden a nacer en periodos cercanos a la luna llena (20). Otros invertebrados marinos como Palola viridis o Comanthus japanicus cuentan con un ritmo de reproducción influenciado por la luna (21). La danza nupcial del anélido marino Platynereis dumerilli tiene un alto componente lunar (22). Algunos autores han generado varias hipótesis; Trillmich y colaboradores al describir el comportamiento del Arcocephalus galapagoensis (Lobo Marino de la isla Galápagos) sugirieron que la influencia de la luna no es directa sino depende más bien del efecto sobre los depredadores (tiburones), la disposición de alimento y la influencia de la luminosidad sobre la distribución vertical de la presa (23). Otras especies como la raza de Pocillipora tienden a criarse en el periodo de luna llena, siendo el ritmo totalmente lunar, o la Actinia equina que tiene un ciclo de contracción y expansión asociado al efecto tidal de la luna, semejante a la Carcinus maenas; probablemente el mejor ejemplo continua siendo el Clunio marinus (24).</w:t>
      </w:r>
    </w:p>
    <w:p>
      <w:pPr>
        <w:spacing w:after="0" w:line="376" w:lineRule="auto"/>
        <w:jc w:val="both"/>
        <w:sectPr>
          <w:pgSz w:w="12240" w:h="15840"/>
          <w:pgMar w:header="1209" w:footer="1234" w:top="1400" w:bottom="1420" w:left="1560" w:right="1580"/>
        </w:sectPr>
      </w:pPr>
    </w:p>
    <w:p>
      <w:pPr>
        <w:pStyle w:val="BodyText"/>
        <w:spacing w:before="7"/>
        <w:rPr>
          <w:sz w:val="27"/>
        </w:rPr>
      </w:pPr>
    </w:p>
    <w:p>
      <w:pPr>
        <w:pStyle w:val="Heading3"/>
      </w:pPr>
      <w:bookmarkStart w:name="_TOC_250018" w:id="4"/>
      <w:bookmarkEnd w:id="4"/>
      <w:r>
        <w:rPr>
          <w:w w:val="105"/>
        </w:rPr>
        <w:t>Física del desplazamiento de la luna  y su relación con la Tierra.</w:t>
      </w:r>
    </w:p>
    <w:p>
      <w:pPr>
        <w:pStyle w:val="Heading4"/>
        <w:jc w:val="both"/>
        <w:rPr>
          <w:b w:val="0"/>
          <w:i w:val="0"/>
        </w:rPr>
      </w:pPr>
      <w:r>
        <w:rPr>
          <w:i/>
          <w:w w:val="105"/>
        </w:rPr>
        <w:t>Luminosidad lunar</w:t>
      </w:r>
      <w:r>
        <w:rPr>
          <w:b w:val="0"/>
          <w:i w:val="0"/>
          <w:w w:val="105"/>
        </w:rPr>
        <w:t>.</w:t>
      </w:r>
    </w:p>
    <w:p>
      <w:pPr>
        <w:pStyle w:val="BodyText"/>
        <w:spacing w:line="376" w:lineRule="auto" w:before="137"/>
        <w:ind w:left="139" w:right="118"/>
        <w:jc w:val="both"/>
      </w:pPr>
      <w:r>
        <w:rPr>
          <w:w w:val="105"/>
        </w:rPr>
        <w:t>La tierra posee un satélite natural denominado Luna, la cual se  encuentra  a </w:t>
      </w:r>
      <w:r>
        <w:rPr>
          <w:spacing w:val="2"/>
          <w:w w:val="105"/>
        </w:rPr>
        <w:t>una  </w:t>
      </w:r>
      <w:r>
        <w:rPr>
          <w:w w:val="105"/>
        </w:rPr>
        <w:t>distancia de 384,000 km siendo el objeto astronómico más cercano. Su diámetro es aproximadamente 3,476km, siendo un tercio del diámetro terrestre (12,756km). Estos dos hechos (tamaño y distancia) hacen que la Luna sea el astro más brillante durante la noche. El plano orbital de la Luna alrededor de la Tierra está inclinado con respecto al </w:t>
      </w:r>
      <w:r>
        <w:rPr>
          <w:spacing w:val="2"/>
          <w:w w:val="105"/>
        </w:rPr>
        <w:t>sol </w:t>
      </w:r>
      <w:r>
        <w:rPr>
          <w:w w:val="105"/>
        </w:rPr>
        <w:t>alrededor de 5°, moviéndose a través de la franja del Zodiaco en conjunto con el Sol y los Planetas restantes. Por si sola la luna no emite su propia luz, sino refleja la Luz del Sol, mostrando sus características durante cada órbita alrededor de la Tierra, durando en promedio 28 días. Dado que el periodo de rotación de la Luna sobre su propio eje y el periodo de traslación alrededor de la Tierra coinciden, la Luna siempre presenta la misma cara hacia la tierra. Este acoplamiento entre ambos giros, es provocado por la fricción por marea que ha frenado la rotación de la Luna debido a la proximidad a la tierra. Las fases de la luna van en relación a la posición con respecto al sol y la tierra, clasificándose en cuatro</w:t>
      </w:r>
      <w:r>
        <w:rPr>
          <w:spacing w:val="-6"/>
          <w:w w:val="105"/>
        </w:rPr>
        <w:t> </w:t>
      </w:r>
      <w:r>
        <w:rPr>
          <w:w w:val="105"/>
        </w:rPr>
        <w:t>etapas</w:t>
      </w:r>
      <w:r>
        <w:rPr>
          <w:spacing w:val="-7"/>
          <w:w w:val="105"/>
        </w:rPr>
        <w:t> </w:t>
      </w:r>
      <w:r>
        <w:rPr>
          <w:w w:val="105"/>
        </w:rPr>
        <w:t>principales</w:t>
      </w:r>
      <w:r>
        <w:rPr>
          <w:spacing w:val="-7"/>
          <w:w w:val="105"/>
        </w:rPr>
        <w:t> </w:t>
      </w:r>
      <w:r>
        <w:rPr>
          <w:w w:val="105"/>
        </w:rPr>
        <w:t>(creciente-menguante,</w:t>
      </w:r>
      <w:r>
        <w:rPr>
          <w:spacing w:val="-8"/>
          <w:w w:val="105"/>
        </w:rPr>
        <w:t> </w:t>
      </w:r>
      <w:r>
        <w:rPr>
          <w:w w:val="105"/>
        </w:rPr>
        <w:t>gibosas,</w:t>
      </w:r>
      <w:r>
        <w:rPr>
          <w:spacing w:val="-8"/>
          <w:w w:val="105"/>
        </w:rPr>
        <w:t> </w:t>
      </w:r>
      <w:r>
        <w:rPr>
          <w:w w:val="105"/>
        </w:rPr>
        <w:t>cuartos,</w:t>
      </w:r>
      <w:r>
        <w:rPr>
          <w:spacing w:val="-8"/>
          <w:w w:val="105"/>
        </w:rPr>
        <w:t> </w:t>
      </w:r>
      <w:r>
        <w:rPr>
          <w:w w:val="105"/>
        </w:rPr>
        <w:t>luna</w:t>
      </w:r>
      <w:r>
        <w:rPr>
          <w:spacing w:val="-6"/>
          <w:w w:val="105"/>
        </w:rPr>
        <w:t> </w:t>
      </w:r>
      <w:r>
        <w:rPr>
          <w:w w:val="105"/>
        </w:rPr>
        <w:t>llena).</w:t>
      </w:r>
    </w:p>
    <w:p>
      <w:pPr>
        <w:pStyle w:val="BodyText"/>
        <w:rPr>
          <w:sz w:val="22"/>
        </w:rPr>
      </w:pPr>
    </w:p>
    <w:p>
      <w:pPr>
        <w:pStyle w:val="BodyText"/>
        <w:spacing w:before="130"/>
        <w:ind w:left="139"/>
        <w:jc w:val="both"/>
      </w:pPr>
      <w:r>
        <w:rPr>
          <w:w w:val="105"/>
        </w:rPr>
        <w:t>El ciclo lunar se divide en:</w:t>
      </w:r>
    </w:p>
    <w:p>
      <w:pPr>
        <w:pStyle w:val="ListParagraph"/>
        <w:numPr>
          <w:ilvl w:val="2"/>
          <w:numId w:val="2"/>
        </w:numPr>
        <w:tabs>
          <w:tab w:pos="1426" w:val="left" w:leader="none"/>
          <w:tab w:pos="1427" w:val="left" w:leader="none"/>
        </w:tabs>
        <w:spacing w:line="240" w:lineRule="auto" w:before="138" w:after="0"/>
        <w:ind w:left="1426" w:right="0" w:hanging="360"/>
        <w:jc w:val="left"/>
        <w:rPr>
          <w:sz w:val="21"/>
        </w:rPr>
      </w:pPr>
      <w:r>
        <w:rPr>
          <w:w w:val="105"/>
          <w:sz w:val="21"/>
        </w:rPr>
        <w:t>Luna</w:t>
      </w:r>
      <w:r>
        <w:rPr>
          <w:spacing w:val="-10"/>
          <w:w w:val="105"/>
          <w:sz w:val="21"/>
        </w:rPr>
        <w:t> </w:t>
      </w:r>
      <w:r>
        <w:rPr>
          <w:w w:val="105"/>
          <w:sz w:val="21"/>
        </w:rPr>
        <w:t>Creciente</w:t>
      </w:r>
    </w:p>
    <w:p>
      <w:pPr>
        <w:pStyle w:val="ListParagraph"/>
        <w:numPr>
          <w:ilvl w:val="2"/>
          <w:numId w:val="2"/>
        </w:numPr>
        <w:tabs>
          <w:tab w:pos="1426" w:val="left" w:leader="none"/>
          <w:tab w:pos="1427" w:val="left" w:leader="none"/>
        </w:tabs>
        <w:spacing w:line="240" w:lineRule="auto" w:before="136" w:after="0"/>
        <w:ind w:left="1426" w:right="0" w:hanging="360"/>
        <w:jc w:val="left"/>
        <w:rPr>
          <w:sz w:val="21"/>
        </w:rPr>
      </w:pPr>
      <w:r>
        <w:rPr>
          <w:w w:val="105"/>
          <w:sz w:val="21"/>
        </w:rPr>
        <w:t>Luna cuarto</w:t>
      </w:r>
      <w:r>
        <w:rPr>
          <w:spacing w:val="-13"/>
          <w:w w:val="105"/>
          <w:sz w:val="21"/>
        </w:rPr>
        <w:t> </w:t>
      </w:r>
      <w:r>
        <w:rPr>
          <w:w w:val="105"/>
          <w:sz w:val="21"/>
        </w:rPr>
        <w:t>creciente</w:t>
      </w:r>
    </w:p>
    <w:p>
      <w:pPr>
        <w:pStyle w:val="ListParagraph"/>
        <w:numPr>
          <w:ilvl w:val="2"/>
          <w:numId w:val="2"/>
        </w:numPr>
        <w:tabs>
          <w:tab w:pos="1426" w:val="left" w:leader="none"/>
          <w:tab w:pos="1427" w:val="left" w:leader="none"/>
        </w:tabs>
        <w:spacing w:line="240" w:lineRule="auto" w:before="141" w:after="0"/>
        <w:ind w:left="1426" w:right="0" w:hanging="360"/>
        <w:jc w:val="left"/>
        <w:rPr>
          <w:sz w:val="21"/>
        </w:rPr>
      </w:pPr>
      <w:r>
        <w:rPr>
          <w:w w:val="105"/>
          <w:sz w:val="21"/>
        </w:rPr>
        <w:t>Luna Gibosa</w:t>
      </w:r>
      <w:r>
        <w:rPr>
          <w:spacing w:val="-13"/>
          <w:w w:val="105"/>
          <w:sz w:val="21"/>
        </w:rPr>
        <w:t> </w:t>
      </w:r>
      <w:r>
        <w:rPr>
          <w:w w:val="105"/>
          <w:sz w:val="21"/>
        </w:rPr>
        <w:t>creciente</w:t>
      </w:r>
    </w:p>
    <w:p>
      <w:pPr>
        <w:pStyle w:val="ListParagraph"/>
        <w:numPr>
          <w:ilvl w:val="2"/>
          <w:numId w:val="2"/>
        </w:numPr>
        <w:tabs>
          <w:tab w:pos="1426" w:val="left" w:leader="none"/>
          <w:tab w:pos="1427" w:val="left" w:leader="none"/>
        </w:tabs>
        <w:spacing w:line="240" w:lineRule="auto" w:before="136" w:after="0"/>
        <w:ind w:left="1426" w:right="0" w:hanging="360"/>
        <w:jc w:val="left"/>
        <w:rPr>
          <w:sz w:val="21"/>
        </w:rPr>
      </w:pPr>
      <w:r>
        <w:rPr>
          <w:w w:val="105"/>
          <w:sz w:val="21"/>
        </w:rPr>
        <w:t>Luna</w:t>
      </w:r>
      <w:r>
        <w:rPr>
          <w:spacing w:val="-5"/>
          <w:w w:val="105"/>
          <w:sz w:val="21"/>
        </w:rPr>
        <w:t> </w:t>
      </w:r>
      <w:r>
        <w:rPr>
          <w:w w:val="105"/>
          <w:sz w:val="21"/>
        </w:rPr>
        <w:t>Llena</w:t>
      </w:r>
    </w:p>
    <w:p>
      <w:pPr>
        <w:pStyle w:val="ListParagraph"/>
        <w:numPr>
          <w:ilvl w:val="2"/>
          <w:numId w:val="2"/>
        </w:numPr>
        <w:tabs>
          <w:tab w:pos="1426" w:val="left" w:leader="none"/>
          <w:tab w:pos="1427" w:val="left" w:leader="none"/>
        </w:tabs>
        <w:spacing w:line="240" w:lineRule="auto" w:before="136" w:after="0"/>
        <w:ind w:left="1426" w:right="0" w:hanging="360"/>
        <w:jc w:val="left"/>
        <w:rPr>
          <w:sz w:val="21"/>
        </w:rPr>
      </w:pPr>
      <w:r>
        <w:rPr>
          <w:w w:val="105"/>
          <w:sz w:val="21"/>
        </w:rPr>
        <w:t>Luna Gibosa</w:t>
      </w:r>
      <w:r>
        <w:rPr>
          <w:spacing w:val="-13"/>
          <w:w w:val="105"/>
          <w:sz w:val="21"/>
        </w:rPr>
        <w:t> </w:t>
      </w:r>
      <w:r>
        <w:rPr>
          <w:w w:val="105"/>
          <w:sz w:val="21"/>
        </w:rPr>
        <w:t>Menguante</w:t>
      </w:r>
    </w:p>
    <w:p>
      <w:pPr>
        <w:pStyle w:val="ListParagraph"/>
        <w:numPr>
          <w:ilvl w:val="2"/>
          <w:numId w:val="2"/>
        </w:numPr>
        <w:tabs>
          <w:tab w:pos="1426" w:val="left" w:leader="none"/>
          <w:tab w:pos="1427" w:val="left" w:leader="none"/>
        </w:tabs>
        <w:spacing w:line="240" w:lineRule="auto" w:before="136" w:after="0"/>
        <w:ind w:left="1426" w:right="0" w:hanging="360"/>
        <w:jc w:val="left"/>
        <w:rPr>
          <w:sz w:val="21"/>
        </w:rPr>
      </w:pPr>
      <w:r>
        <w:rPr>
          <w:w w:val="105"/>
          <w:sz w:val="21"/>
        </w:rPr>
        <w:t>Luna cuarto</w:t>
      </w:r>
      <w:r>
        <w:rPr>
          <w:spacing w:val="-12"/>
          <w:w w:val="105"/>
          <w:sz w:val="21"/>
        </w:rPr>
        <w:t> </w:t>
      </w:r>
      <w:r>
        <w:rPr>
          <w:w w:val="105"/>
          <w:sz w:val="21"/>
        </w:rPr>
        <w:t>Menguante</w:t>
      </w:r>
    </w:p>
    <w:p>
      <w:pPr>
        <w:pStyle w:val="ListParagraph"/>
        <w:numPr>
          <w:ilvl w:val="2"/>
          <w:numId w:val="2"/>
        </w:numPr>
        <w:tabs>
          <w:tab w:pos="1426" w:val="left" w:leader="none"/>
          <w:tab w:pos="1427" w:val="left" w:leader="none"/>
        </w:tabs>
        <w:spacing w:line="240" w:lineRule="auto" w:before="136" w:after="0"/>
        <w:ind w:left="1426" w:right="0" w:hanging="360"/>
        <w:jc w:val="left"/>
        <w:rPr>
          <w:sz w:val="21"/>
        </w:rPr>
      </w:pPr>
      <w:r>
        <w:rPr>
          <w:w w:val="105"/>
          <w:sz w:val="21"/>
        </w:rPr>
        <w:t>Luna</w:t>
      </w:r>
      <w:r>
        <w:rPr>
          <w:spacing w:val="-9"/>
          <w:w w:val="105"/>
          <w:sz w:val="21"/>
        </w:rPr>
        <w:t> </w:t>
      </w:r>
      <w:r>
        <w:rPr>
          <w:w w:val="105"/>
          <w:sz w:val="21"/>
        </w:rPr>
        <w:t>Menguante</w:t>
      </w:r>
    </w:p>
    <w:p>
      <w:pPr>
        <w:pStyle w:val="BodyText"/>
        <w:rPr>
          <w:sz w:val="24"/>
        </w:rPr>
      </w:pPr>
    </w:p>
    <w:p>
      <w:pPr>
        <w:pStyle w:val="BodyText"/>
        <w:spacing w:before="9"/>
        <w:rPr>
          <w:sz w:val="20"/>
        </w:rPr>
      </w:pPr>
    </w:p>
    <w:p>
      <w:pPr>
        <w:pStyle w:val="BodyText"/>
        <w:spacing w:line="376" w:lineRule="auto"/>
        <w:ind w:left="139" w:right="123"/>
        <w:jc w:val="both"/>
      </w:pPr>
      <w:r>
        <w:rPr>
          <w:w w:val="105"/>
        </w:rPr>
        <w:t>Cuando la luna se encuentra en cuarto creciente o cuarto menguante el ángulo formado por el centro del Sol, al centro de la Tierra es de 90°.</w:t>
      </w:r>
    </w:p>
    <w:p>
      <w:pPr>
        <w:pStyle w:val="BodyText"/>
        <w:spacing w:line="379" w:lineRule="auto" w:before="4"/>
        <w:ind w:left="139" w:right="122"/>
        <w:jc w:val="both"/>
      </w:pPr>
      <w:r>
        <w:rPr>
          <w:w w:val="105"/>
        </w:rPr>
        <w:t>Existen diversas formas para poder medir la distancia de la Tierra a la Luna; la primera es el método Aristarco, este método se basa en medir el tiempo que transcurre entre cuarto menguante y cuarto creciente (Tc).</w:t>
      </w:r>
    </w:p>
    <w:p>
      <w:pPr>
        <w:spacing w:after="0" w:line="379" w:lineRule="auto"/>
        <w:jc w:val="both"/>
        <w:sectPr>
          <w:pgSz w:w="12240" w:h="15840"/>
          <w:pgMar w:header="1209" w:footer="1234" w:top="1400" w:bottom="1420" w:left="1560" w:right="1580"/>
        </w:sectPr>
      </w:pPr>
    </w:p>
    <w:p>
      <w:pPr>
        <w:pStyle w:val="BodyText"/>
        <w:spacing w:line="376" w:lineRule="auto" w:before="16"/>
        <w:ind w:left="139" w:right="123"/>
        <w:jc w:val="both"/>
      </w:pPr>
      <w:r>
        <w:rPr>
          <w:w w:val="105"/>
        </w:rPr>
        <w:t>Como la velocidad de la Luna en su órbita es aproximadamente constante se establece la siguiente ecuación:</w:t>
      </w:r>
    </w:p>
    <w:p>
      <w:pPr>
        <w:pStyle w:val="BodyText"/>
        <w:spacing w:before="3"/>
        <w:rPr>
          <w:sz w:val="29"/>
        </w:rPr>
      </w:pPr>
      <w:r>
        <w:rPr/>
        <w:drawing>
          <wp:anchor distT="0" distB="0" distL="0" distR="0" allowOverlap="1" layoutInCell="1" locked="0" behindDoc="0" simplePos="0" relativeHeight="1144">
            <wp:simplePos x="0" y="0"/>
            <wp:positionH relativeFrom="page">
              <wp:posOffset>1924050</wp:posOffset>
            </wp:positionH>
            <wp:positionV relativeFrom="paragraph">
              <wp:posOffset>238494</wp:posOffset>
            </wp:positionV>
            <wp:extent cx="3915156" cy="405479"/>
            <wp:effectExtent l="0" t="0" r="0" b="0"/>
            <wp:wrapTopAndBottom/>
            <wp:docPr id="5" name="image20.jpeg" descr=""/>
            <wp:cNvGraphicFramePr>
              <a:graphicFrameLocks noChangeAspect="1"/>
            </wp:cNvGraphicFramePr>
            <a:graphic>
              <a:graphicData uri="http://schemas.openxmlformats.org/drawingml/2006/picture">
                <pic:pic>
                  <pic:nvPicPr>
                    <pic:cNvPr id="6" name="image20.jpeg"/>
                    <pic:cNvPicPr/>
                  </pic:nvPicPr>
                  <pic:blipFill>
                    <a:blip r:embed="rId27" cstate="print"/>
                    <a:stretch>
                      <a:fillRect/>
                    </a:stretch>
                  </pic:blipFill>
                  <pic:spPr>
                    <a:xfrm>
                      <a:off x="0" y="0"/>
                      <a:ext cx="3915156" cy="405479"/>
                    </a:xfrm>
                    <a:prstGeom prst="rect">
                      <a:avLst/>
                    </a:prstGeom>
                  </pic:spPr>
                </pic:pic>
              </a:graphicData>
            </a:graphic>
          </wp:anchor>
        </w:drawing>
      </w:r>
    </w:p>
    <w:p>
      <w:pPr>
        <w:pStyle w:val="BodyText"/>
        <w:rPr>
          <w:sz w:val="22"/>
        </w:rPr>
      </w:pPr>
    </w:p>
    <w:p>
      <w:pPr>
        <w:pStyle w:val="BodyText"/>
        <w:spacing w:before="11"/>
        <w:rPr>
          <w:sz w:val="19"/>
        </w:rPr>
      </w:pPr>
    </w:p>
    <w:p>
      <w:pPr>
        <w:pStyle w:val="BodyText"/>
        <w:ind w:left="139"/>
        <w:jc w:val="both"/>
      </w:pPr>
      <w:r>
        <w:rPr>
          <w:w w:val="105"/>
        </w:rPr>
        <w:t>Los datos de  β se obtienen del gráfico:</w:t>
      </w:r>
    </w:p>
    <w:p>
      <w:pPr>
        <w:pStyle w:val="BodyText"/>
        <w:rPr>
          <w:sz w:val="20"/>
        </w:rPr>
      </w:pPr>
    </w:p>
    <w:p>
      <w:pPr>
        <w:pStyle w:val="BodyText"/>
        <w:spacing w:before="10"/>
        <w:rPr>
          <w:sz w:val="20"/>
        </w:rPr>
      </w:pPr>
      <w:r>
        <w:rPr/>
        <w:drawing>
          <wp:anchor distT="0" distB="0" distL="0" distR="0" allowOverlap="1" layoutInCell="1" locked="0" behindDoc="0" simplePos="0" relativeHeight="1168">
            <wp:simplePos x="0" y="0"/>
            <wp:positionH relativeFrom="page">
              <wp:posOffset>1301750</wp:posOffset>
            </wp:positionH>
            <wp:positionV relativeFrom="paragraph">
              <wp:posOffset>177431</wp:posOffset>
            </wp:positionV>
            <wp:extent cx="5166242" cy="2524887"/>
            <wp:effectExtent l="0" t="0" r="0" b="0"/>
            <wp:wrapTopAndBottom/>
            <wp:docPr id="7" name="image21.jpeg" descr=""/>
            <wp:cNvGraphicFramePr>
              <a:graphicFrameLocks noChangeAspect="1"/>
            </wp:cNvGraphicFramePr>
            <a:graphic>
              <a:graphicData uri="http://schemas.openxmlformats.org/drawingml/2006/picture">
                <pic:pic>
                  <pic:nvPicPr>
                    <pic:cNvPr id="8" name="image21.jpeg"/>
                    <pic:cNvPicPr/>
                  </pic:nvPicPr>
                  <pic:blipFill>
                    <a:blip r:embed="rId28" cstate="print"/>
                    <a:stretch>
                      <a:fillRect/>
                    </a:stretch>
                  </pic:blipFill>
                  <pic:spPr>
                    <a:xfrm>
                      <a:off x="0" y="0"/>
                      <a:ext cx="5166242" cy="2524887"/>
                    </a:xfrm>
                    <a:prstGeom prst="rect">
                      <a:avLst/>
                    </a:prstGeom>
                  </pic:spPr>
                </pic:pic>
              </a:graphicData>
            </a:graphic>
          </wp:anchor>
        </w:drawing>
      </w:r>
    </w:p>
    <w:p>
      <w:pPr>
        <w:pStyle w:val="BodyText"/>
        <w:rPr>
          <w:sz w:val="22"/>
        </w:rPr>
      </w:pPr>
    </w:p>
    <w:p>
      <w:pPr>
        <w:pStyle w:val="BodyText"/>
        <w:spacing w:before="4"/>
        <w:rPr>
          <w:sz w:val="19"/>
        </w:rPr>
      </w:pPr>
    </w:p>
    <w:p>
      <w:pPr>
        <w:pStyle w:val="BodyText"/>
        <w:spacing w:line="376" w:lineRule="auto"/>
        <w:ind w:left="139" w:right="118"/>
        <w:jc w:val="both"/>
      </w:pPr>
      <w:r>
        <w:rPr>
          <w:w w:val="105"/>
        </w:rPr>
        <w:t>Posiblemente el mejor ejemplo de cercanía y luminosidad es obtenido del fenómeno denominado como “</w:t>
      </w:r>
      <w:r>
        <w:rPr>
          <w:i/>
          <w:w w:val="105"/>
        </w:rPr>
        <w:t>súper Luna”</w:t>
      </w:r>
      <w:r>
        <w:rPr>
          <w:w w:val="105"/>
        </w:rPr>
        <w:t>. Este fenómeno es proveniente de la astrología y no de la astronomía y se define como aquel en el que la Luna Llena se encuentra a no más de un 10% de su punto más cercano a la Tierra en el recorrido de su órbita (perigeo). Esto se debe a que la órbita de la Luna es elíptica y su centro no corresponde al centro de la Tierra. En estos casos se aprecia más grande y más brillante de lo normal. Este  fenómeno aparece con una frecuencia relativa y se da cuando la luna atraviesa el perigeo de una forma concreta sucediendo entre cada 15 a 18 años. La próxima “</w:t>
      </w:r>
      <w:r>
        <w:rPr>
          <w:i/>
          <w:w w:val="105"/>
        </w:rPr>
        <w:t>Súper Luna” </w:t>
      </w:r>
      <w:r>
        <w:rPr>
          <w:w w:val="105"/>
        </w:rPr>
        <w:t>se logrará apreciar en el 2028 o</w:t>
      </w:r>
      <w:r>
        <w:rPr>
          <w:spacing w:val="-18"/>
          <w:w w:val="105"/>
        </w:rPr>
        <w:t> </w:t>
      </w:r>
      <w:r>
        <w:rPr>
          <w:w w:val="105"/>
        </w:rPr>
        <w:t>2029.</w:t>
      </w:r>
    </w:p>
    <w:p>
      <w:pPr>
        <w:pStyle w:val="BodyText"/>
        <w:spacing w:line="376" w:lineRule="auto" w:before="4"/>
        <w:ind w:left="139" w:right="119"/>
        <w:jc w:val="both"/>
      </w:pPr>
      <w:r>
        <w:rPr>
          <w:w w:val="105"/>
        </w:rPr>
        <w:t>Los principales factores que influyen en la luminosidad de la luna (reflejo de la luz), son tanto las etapas de ciclo Lunar como la distancia de la tierra al sol y la distancia de la Tierra a la Luna. Esta última varía de 356,400 km al perigeo extremo a 407 000 km a el apogeo extremo. El rango de variación de la iluminación es de 6.9% con respecto a la variación de la distancia del sol y 30% de la variación de la distancia de la Luna.</w:t>
      </w:r>
    </w:p>
    <w:p>
      <w:pPr>
        <w:spacing w:after="0" w:line="376" w:lineRule="auto"/>
        <w:jc w:val="both"/>
        <w:sectPr>
          <w:footerReference w:type="default" r:id="rId26"/>
          <w:pgSz w:w="12240" w:h="15840"/>
          <w:pgMar w:footer="1234" w:header="1209" w:top="1400" w:bottom="1420" w:left="1560" w:right="1580"/>
        </w:sectPr>
      </w:pPr>
    </w:p>
    <w:p>
      <w:pPr>
        <w:pStyle w:val="BodyText"/>
        <w:spacing w:line="376" w:lineRule="auto" w:before="16"/>
        <w:ind w:left="139" w:right="120"/>
        <w:jc w:val="both"/>
      </w:pPr>
      <w:r>
        <w:rPr>
          <w:w w:val="105"/>
        </w:rPr>
        <w:t>Un tercer factor que influye en la intensidad de la luminosidad se llama el efecto de oposición. La superficie de la luna se encuentra cubierta por una gran cantidad de partículas, muchas de ellas semejantes al vidrio las cuales sirven como retro-reflectores.</w:t>
      </w:r>
    </w:p>
    <w:p>
      <w:pPr>
        <w:pStyle w:val="BodyText"/>
        <w:spacing w:line="376" w:lineRule="auto" w:before="4"/>
        <w:ind w:left="139" w:right="118"/>
        <w:jc w:val="both"/>
      </w:pPr>
      <w:r>
        <w:rPr>
          <w:w w:val="105"/>
        </w:rPr>
        <w:t>Este factor es tan variable que puede oscilar desde un factor de 1.35 a un factor de 20; cualquiera que sea el efecto final, éste, por lo menos influye con un 30% de la luminosidad. El parámetro final es la atenuación atmosférica, que corresponde al porcentaje que es absorbido cuando la luna atraviesa la atmósfera de la tierra. Esto es claro por ejemplo cuando se aprecia la luna en un día despejado a comparación de un día nublado o con alta tasa de contaminación en el ambiente.</w:t>
      </w:r>
    </w:p>
    <w:p>
      <w:pPr>
        <w:pStyle w:val="BodyText"/>
        <w:spacing w:line="376" w:lineRule="auto" w:before="4"/>
        <w:ind w:left="139" w:right="118"/>
        <w:jc w:val="both"/>
      </w:pPr>
      <w:r>
        <w:rPr>
          <w:w w:val="105"/>
        </w:rPr>
        <w:t>La siguiente figura demuestra el grado de luminosidad de la luna estimada a 3000 pies  por encima del nivel del mar en donde el parámetro Z es la distancia de zenith o conocida como el ángulo entre la posición de la luna en el cielo  y la posición del</w:t>
      </w:r>
      <w:r>
        <w:rPr>
          <w:spacing w:val="-42"/>
          <w:w w:val="105"/>
        </w:rPr>
        <w:t> </w:t>
      </w:r>
      <w:r>
        <w:rPr>
          <w:w w:val="105"/>
        </w:rPr>
        <w:t>observador.</w:t>
      </w:r>
    </w:p>
    <w:p>
      <w:pPr>
        <w:pStyle w:val="BodyText"/>
        <w:spacing w:before="1"/>
        <w:rPr>
          <w:sz w:val="29"/>
        </w:rPr>
      </w:pPr>
      <w:r>
        <w:rPr/>
        <w:drawing>
          <wp:anchor distT="0" distB="0" distL="0" distR="0" allowOverlap="1" layoutInCell="1" locked="0" behindDoc="0" simplePos="0" relativeHeight="1192">
            <wp:simplePos x="0" y="0"/>
            <wp:positionH relativeFrom="page">
              <wp:posOffset>1080136</wp:posOffset>
            </wp:positionH>
            <wp:positionV relativeFrom="paragraph">
              <wp:posOffset>237344</wp:posOffset>
            </wp:positionV>
            <wp:extent cx="5590241" cy="3557111"/>
            <wp:effectExtent l="0" t="0" r="0" b="0"/>
            <wp:wrapTopAndBottom/>
            <wp:docPr id="9" name="image22.jpeg" descr=""/>
            <wp:cNvGraphicFramePr>
              <a:graphicFrameLocks noChangeAspect="1"/>
            </wp:cNvGraphicFramePr>
            <a:graphic>
              <a:graphicData uri="http://schemas.openxmlformats.org/drawingml/2006/picture">
                <pic:pic>
                  <pic:nvPicPr>
                    <pic:cNvPr id="10" name="image22.jpeg"/>
                    <pic:cNvPicPr/>
                  </pic:nvPicPr>
                  <pic:blipFill>
                    <a:blip r:embed="rId30" cstate="print"/>
                    <a:stretch>
                      <a:fillRect/>
                    </a:stretch>
                  </pic:blipFill>
                  <pic:spPr>
                    <a:xfrm>
                      <a:off x="0" y="0"/>
                      <a:ext cx="5590241" cy="3557111"/>
                    </a:xfrm>
                    <a:prstGeom prst="rect">
                      <a:avLst/>
                    </a:prstGeom>
                  </pic:spPr>
                </pic:pic>
              </a:graphicData>
            </a:graphic>
          </wp:anchor>
        </w:drawing>
      </w:r>
    </w:p>
    <w:p>
      <w:pPr>
        <w:pStyle w:val="BodyText"/>
        <w:rPr>
          <w:sz w:val="22"/>
        </w:rPr>
      </w:pPr>
    </w:p>
    <w:p>
      <w:pPr>
        <w:pStyle w:val="BodyText"/>
        <w:spacing w:before="5"/>
        <w:rPr>
          <w:sz w:val="23"/>
        </w:rPr>
      </w:pPr>
    </w:p>
    <w:p>
      <w:pPr>
        <w:pStyle w:val="BodyText"/>
        <w:spacing w:line="379" w:lineRule="auto"/>
        <w:ind w:left="139" w:right="117"/>
        <w:jc w:val="both"/>
      </w:pPr>
      <w:r>
        <w:rPr>
          <w:w w:val="105"/>
        </w:rPr>
        <w:t>La etapa más luminosa ocurre cuando la luna se encuentra en el perigeo y la tierra en el perihelion. Para su medición se utilizan varias reglas, una de ellas es la Regla de los tres 4´s la cual menciona que para contar con una luna verdaderamente llena en un cielo despejado se deben de utilizar películas con velocidad de 400 exposiciones durante un</w:t>
      </w:r>
    </w:p>
    <w:p>
      <w:pPr>
        <w:spacing w:after="0" w:line="379" w:lineRule="auto"/>
        <w:jc w:val="both"/>
        <w:sectPr>
          <w:footerReference w:type="default" r:id="rId29"/>
          <w:pgSz w:w="12240" w:h="15840"/>
          <w:pgMar w:footer="1234" w:header="1209" w:top="1400" w:bottom="1420" w:left="1560" w:right="1580"/>
          <w:pgNumType w:start="11"/>
        </w:sectPr>
      </w:pPr>
    </w:p>
    <w:p>
      <w:pPr>
        <w:pStyle w:val="BodyText"/>
        <w:spacing w:line="376" w:lineRule="auto" w:before="16"/>
        <w:ind w:left="139" w:right="120"/>
        <w:jc w:val="both"/>
      </w:pPr>
      <w:r>
        <w:rPr>
          <w:w w:val="105"/>
        </w:rPr>
        <w:t>tiempo de 4 minutos. Otras técnicas de lectura de luminosidad es la regla Looney 16 basada en que la luna cuenta con 250,000 diámetros más diminutos que el sol.</w:t>
      </w:r>
    </w:p>
    <w:p>
      <w:pPr>
        <w:pStyle w:val="BodyText"/>
        <w:rPr>
          <w:sz w:val="22"/>
        </w:rPr>
      </w:pPr>
    </w:p>
    <w:p>
      <w:pPr>
        <w:pStyle w:val="BodyText"/>
        <w:spacing w:line="379" w:lineRule="auto" w:before="130"/>
        <w:ind w:left="139" w:right="118"/>
        <w:jc w:val="both"/>
      </w:pPr>
      <w:r>
        <w:rPr>
          <w:w w:val="105"/>
        </w:rPr>
        <w:t>Sobre este último factor, Coates y colaboradores en la SAO/NASA establecieron que también la luminosidad se encuentra influenciada por el relieve de la superficie lunar. Por ejemplo la región del mar de la tranquilidad, al ser más oscura es más fría en relación con otras regiones lunares. En el siguiente gráfico se aprecia cómo se establece el relieve de la  luna y su asociación con la luminosidad de la misma.</w:t>
      </w:r>
    </w:p>
    <w:p>
      <w:pPr>
        <w:pStyle w:val="BodyText"/>
        <w:spacing w:before="10"/>
        <w:rPr>
          <w:sz w:val="28"/>
        </w:rPr>
      </w:pPr>
      <w:r>
        <w:rPr/>
        <w:drawing>
          <wp:anchor distT="0" distB="0" distL="0" distR="0" allowOverlap="1" layoutInCell="1" locked="0" behindDoc="0" simplePos="0" relativeHeight="1216">
            <wp:simplePos x="0" y="0"/>
            <wp:positionH relativeFrom="page">
              <wp:posOffset>1238250</wp:posOffset>
            </wp:positionH>
            <wp:positionV relativeFrom="paragraph">
              <wp:posOffset>235854</wp:posOffset>
            </wp:positionV>
            <wp:extent cx="5314434" cy="2600039"/>
            <wp:effectExtent l="0" t="0" r="0" b="0"/>
            <wp:wrapTopAndBottom/>
            <wp:docPr id="11" name="image23.jpeg" descr=""/>
            <wp:cNvGraphicFramePr>
              <a:graphicFrameLocks noChangeAspect="1"/>
            </wp:cNvGraphicFramePr>
            <a:graphic>
              <a:graphicData uri="http://schemas.openxmlformats.org/drawingml/2006/picture">
                <pic:pic>
                  <pic:nvPicPr>
                    <pic:cNvPr id="12" name="image23.jpeg"/>
                    <pic:cNvPicPr/>
                  </pic:nvPicPr>
                  <pic:blipFill>
                    <a:blip r:embed="rId31" cstate="print"/>
                    <a:stretch>
                      <a:fillRect/>
                    </a:stretch>
                  </pic:blipFill>
                  <pic:spPr>
                    <a:xfrm>
                      <a:off x="0" y="0"/>
                      <a:ext cx="5314434" cy="2600039"/>
                    </a:xfrm>
                    <a:prstGeom prst="rect">
                      <a:avLst/>
                    </a:prstGeom>
                  </pic:spPr>
                </pic:pic>
              </a:graphicData>
            </a:graphic>
          </wp:anchor>
        </w:drawing>
      </w:r>
    </w:p>
    <w:p>
      <w:pPr>
        <w:pStyle w:val="BodyText"/>
        <w:rPr>
          <w:sz w:val="22"/>
        </w:rPr>
      </w:pPr>
    </w:p>
    <w:p>
      <w:pPr>
        <w:pStyle w:val="BodyText"/>
        <w:rPr>
          <w:sz w:val="22"/>
        </w:rPr>
      </w:pPr>
    </w:p>
    <w:p>
      <w:pPr>
        <w:pStyle w:val="BodyText"/>
        <w:spacing w:before="9"/>
        <w:rPr>
          <w:sz w:val="29"/>
        </w:rPr>
      </w:pPr>
    </w:p>
    <w:p>
      <w:pPr>
        <w:pStyle w:val="Heading3"/>
        <w:spacing w:before="0"/>
      </w:pPr>
      <w:bookmarkStart w:name="_TOC_250017" w:id="5"/>
      <w:bookmarkEnd w:id="5"/>
      <w:r>
        <w:rPr>
          <w:w w:val="105"/>
        </w:rPr>
        <w:t>Luminosidad acorde a las etapas lunares y el movimiento Luna-Tierra</w:t>
      </w:r>
    </w:p>
    <w:p>
      <w:pPr>
        <w:pStyle w:val="BodyText"/>
        <w:spacing w:line="376" w:lineRule="auto" w:before="137"/>
        <w:ind w:left="139" w:right="119"/>
        <w:jc w:val="both"/>
      </w:pPr>
      <w:r>
        <w:rPr>
          <w:w w:val="105"/>
        </w:rPr>
        <w:t>Atendiendo a la luminosidad, se concluye que la Luna Nueva cuenta con un porcentaje de luminosidad cercano del 0 al 10%, en comparación con la creciente que muestra 10 -  30%, luna cuartos con 30 -50%, lunas gibosas 50-80% y luna llena del 80 al 100% de luminosidad. La luna como se mencionó previamente no cuenta con luz propia, sino </w:t>
      </w:r>
      <w:r>
        <w:rPr>
          <w:spacing w:val="2"/>
          <w:w w:val="105"/>
        </w:rPr>
        <w:t>que </w:t>
      </w:r>
      <w:r>
        <w:rPr>
          <w:w w:val="105"/>
        </w:rPr>
        <w:t>refleja la luz que recibe del Sol. Esto se denomina albedo lunar, para la luna es de 0.072, lo que significa que refleja el 7.2% de la luz que recibe del sol, quedando el 92% de la radiación solar absorbida. Debido a su forma esférica, sólo la mitad de la luna es  iluminada (la mitad que se encuentra frente al sol). Los eclipses de Sol no suceden de forma mensual debido a que el plano de la órbita de la Luna está inclinado 5° con respecto al plano de la órbita de la Tierra  alrededor del sol (Figura</w:t>
      </w:r>
      <w:r>
        <w:rPr>
          <w:spacing w:val="-36"/>
          <w:w w:val="105"/>
        </w:rPr>
        <w:t> </w:t>
      </w:r>
      <w:r>
        <w:rPr>
          <w:w w:val="105"/>
        </w:rPr>
        <w:t>2).</w:t>
      </w:r>
    </w:p>
    <w:p>
      <w:pPr>
        <w:spacing w:after="0" w:line="376" w:lineRule="auto"/>
        <w:jc w:val="both"/>
        <w:sectPr>
          <w:pgSz w:w="12240" w:h="15840"/>
          <w:pgMar w:header="1209" w:footer="1234" w:top="1400" w:bottom="1420" w:left="1560" w:right="1580"/>
        </w:sectPr>
      </w:pPr>
    </w:p>
    <w:p>
      <w:pPr>
        <w:pStyle w:val="BodyText"/>
        <w:rPr>
          <w:sz w:val="20"/>
        </w:rPr>
      </w:pPr>
    </w:p>
    <w:p>
      <w:pPr>
        <w:pStyle w:val="BodyText"/>
        <w:spacing w:before="8"/>
        <w:rPr>
          <w:sz w:val="13"/>
        </w:rPr>
      </w:pPr>
    </w:p>
    <w:p>
      <w:pPr>
        <w:pStyle w:val="BodyText"/>
        <w:ind w:left="420"/>
        <w:rPr>
          <w:sz w:val="20"/>
        </w:rPr>
      </w:pPr>
      <w:r>
        <w:rPr>
          <w:sz w:val="20"/>
        </w:rPr>
        <w:drawing>
          <wp:inline distT="0" distB="0" distL="0" distR="0">
            <wp:extent cx="5243901" cy="1713071"/>
            <wp:effectExtent l="0" t="0" r="0" b="0"/>
            <wp:docPr id="13" name="image24.jpeg" descr=""/>
            <wp:cNvGraphicFramePr>
              <a:graphicFrameLocks noChangeAspect="1"/>
            </wp:cNvGraphicFramePr>
            <a:graphic>
              <a:graphicData uri="http://schemas.openxmlformats.org/drawingml/2006/picture">
                <pic:pic>
                  <pic:nvPicPr>
                    <pic:cNvPr id="14" name="image24.jpeg"/>
                    <pic:cNvPicPr/>
                  </pic:nvPicPr>
                  <pic:blipFill>
                    <a:blip r:embed="rId32" cstate="print"/>
                    <a:stretch>
                      <a:fillRect/>
                    </a:stretch>
                  </pic:blipFill>
                  <pic:spPr>
                    <a:xfrm>
                      <a:off x="0" y="0"/>
                      <a:ext cx="5243901" cy="1713071"/>
                    </a:xfrm>
                    <a:prstGeom prst="rect">
                      <a:avLst/>
                    </a:prstGeom>
                  </pic:spPr>
                </pic:pic>
              </a:graphicData>
            </a:graphic>
          </wp:inline>
        </w:drawing>
      </w:r>
      <w:r>
        <w:rPr>
          <w:sz w:val="20"/>
        </w:rPr>
      </w:r>
    </w:p>
    <w:p>
      <w:pPr>
        <w:pStyle w:val="BodyText"/>
        <w:rPr>
          <w:sz w:val="20"/>
        </w:rPr>
      </w:pPr>
    </w:p>
    <w:p>
      <w:pPr>
        <w:pStyle w:val="BodyText"/>
        <w:spacing w:before="1"/>
        <w:rPr>
          <w:sz w:val="18"/>
        </w:rPr>
      </w:pPr>
    </w:p>
    <w:p>
      <w:pPr>
        <w:pStyle w:val="BodyText"/>
        <w:spacing w:line="376" w:lineRule="auto" w:before="78"/>
        <w:ind w:left="139" w:right="121"/>
        <w:jc w:val="both"/>
      </w:pPr>
      <w:r>
        <w:rPr>
          <w:w w:val="105"/>
        </w:rPr>
        <w:t>Acorde a su movimiento la Luna se mueve alrededor de la Tierra en una órbita elíptica y depende solamente de uno de sus focos (solo se aprecia una cara), el Sol aunque más distante de la Tierra que la Luna, está a una distancia tan cercana que sus rayos viajan a lo largo de direcciones paralelas hacia diferentes regiones de la órbita de la luna absorbiendo en gran medida la radiación solar  (Figura 3.0).</w:t>
      </w:r>
    </w:p>
    <w:p>
      <w:pPr>
        <w:pStyle w:val="BodyText"/>
        <w:spacing w:before="6"/>
        <w:rPr>
          <w:sz w:val="29"/>
        </w:rPr>
      </w:pPr>
      <w:r>
        <w:rPr/>
        <w:drawing>
          <wp:anchor distT="0" distB="0" distL="0" distR="0" allowOverlap="1" layoutInCell="1" locked="0" behindDoc="0" simplePos="0" relativeHeight="1240">
            <wp:simplePos x="0" y="0"/>
            <wp:positionH relativeFrom="page">
              <wp:posOffset>1219200</wp:posOffset>
            </wp:positionH>
            <wp:positionV relativeFrom="paragraph">
              <wp:posOffset>240392</wp:posOffset>
            </wp:positionV>
            <wp:extent cx="5336685" cy="1638300"/>
            <wp:effectExtent l="0" t="0" r="0" b="0"/>
            <wp:wrapTopAndBottom/>
            <wp:docPr id="15" name="image25.png" descr=""/>
            <wp:cNvGraphicFramePr>
              <a:graphicFrameLocks noChangeAspect="1"/>
            </wp:cNvGraphicFramePr>
            <a:graphic>
              <a:graphicData uri="http://schemas.openxmlformats.org/drawingml/2006/picture">
                <pic:pic>
                  <pic:nvPicPr>
                    <pic:cNvPr id="16" name="image25.png"/>
                    <pic:cNvPicPr/>
                  </pic:nvPicPr>
                  <pic:blipFill>
                    <a:blip r:embed="rId33" cstate="print"/>
                    <a:stretch>
                      <a:fillRect/>
                    </a:stretch>
                  </pic:blipFill>
                  <pic:spPr>
                    <a:xfrm>
                      <a:off x="0" y="0"/>
                      <a:ext cx="5336685" cy="1638300"/>
                    </a:xfrm>
                    <a:prstGeom prst="rect">
                      <a:avLst/>
                    </a:prstGeom>
                  </pic:spPr>
                </pic:pic>
              </a:graphicData>
            </a:graphic>
          </wp:anchor>
        </w:drawing>
      </w:r>
    </w:p>
    <w:p>
      <w:pPr>
        <w:pStyle w:val="BodyText"/>
        <w:rPr>
          <w:sz w:val="22"/>
        </w:rPr>
      </w:pPr>
    </w:p>
    <w:p>
      <w:pPr>
        <w:pStyle w:val="BodyText"/>
        <w:rPr>
          <w:sz w:val="19"/>
        </w:rPr>
      </w:pPr>
    </w:p>
    <w:p>
      <w:pPr>
        <w:pStyle w:val="BodyText"/>
        <w:spacing w:line="376" w:lineRule="auto" w:before="1"/>
        <w:ind w:left="139" w:right="123"/>
        <w:jc w:val="both"/>
      </w:pPr>
      <w:r>
        <w:rPr>
          <w:w w:val="105"/>
        </w:rPr>
        <w:t>Al tratarse de una órbita elíptica, indirectamente podemos inferir la cercanía de la luna acorde a los diferentes grados de luminosidad.</w:t>
      </w:r>
    </w:p>
    <w:p>
      <w:pPr>
        <w:pStyle w:val="BodyText"/>
        <w:spacing w:line="376" w:lineRule="auto" w:before="4"/>
        <w:ind w:left="139" w:right="122"/>
        <w:jc w:val="both"/>
      </w:pPr>
      <w:r>
        <w:rPr>
          <w:w w:val="105"/>
        </w:rPr>
        <w:t>De forma general, el ciclo lunar o lunación consiste en 28 días, algunos astrónomos lo consideran de 29 días, 12 horas, 44 minutos y 2.8 segundos, a este fenómeno se le denomina </w:t>
      </w:r>
      <w:r>
        <w:rPr>
          <w:i/>
          <w:w w:val="105"/>
        </w:rPr>
        <w:t>mes sidónico </w:t>
      </w:r>
      <w:r>
        <w:rPr>
          <w:w w:val="105"/>
        </w:rPr>
        <w:t>y constituyó la base de los calendarios de la humanidad.</w:t>
      </w:r>
    </w:p>
    <w:p>
      <w:pPr>
        <w:pStyle w:val="BodyText"/>
        <w:rPr>
          <w:sz w:val="22"/>
        </w:rPr>
      </w:pPr>
    </w:p>
    <w:p>
      <w:pPr>
        <w:pStyle w:val="BodyText"/>
        <w:spacing w:before="130"/>
        <w:ind w:left="139"/>
        <w:jc w:val="both"/>
      </w:pPr>
      <w:r>
        <w:rPr>
          <w:w w:val="105"/>
        </w:rPr>
        <w:t>Las fases de la luna se pueden describir de la siguiente manera:</w:t>
      </w:r>
    </w:p>
    <w:p>
      <w:pPr>
        <w:pStyle w:val="ListParagraph"/>
        <w:numPr>
          <w:ilvl w:val="0"/>
          <w:numId w:val="3"/>
        </w:numPr>
        <w:tabs>
          <w:tab w:pos="860" w:val="left" w:leader="none"/>
        </w:tabs>
        <w:spacing w:line="374" w:lineRule="auto" w:before="138" w:after="0"/>
        <w:ind w:left="859" w:right="121" w:hanging="360"/>
        <w:jc w:val="both"/>
        <w:rPr>
          <w:sz w:val="21"/>
        </w:rPr>
      </w:pPr>
      <w:r>
        <w:rPr>
          <w:b/>
          <w:i/>
          <w:w w:val="105"/>
          <w:sz w:val="21"/>
          <w:u w:val="single"/>
        </w:rPr>
        <w:t>Luna nueva</w:t>
      </w:r>
      <w:r>
        <w:rPr>
          <w:w w:val="105"/>
          <w:sz w:val="21"/>
        </w:rPr>
        <w:t>: Se define así al momento en que la luna se interpone entre la tierra y el sol, la luz solar cae por completo sobre la cara oculta y la cara próxima a la  tierra</w:t>
      </w:r>
      <w:r>
        <w:rPr>
          <w:spacing w:val="13"/>
          <w:w w:val="105"/>
          <w:sz w:val="21"/>
        </w:rPr>
        <w:t> </w:t>
      </w:r>
      <w:r>
        <w:rPr>
          <w:w w:val="105"/>
          <w:sz w:val="21"/>
        </w:rPr>
        <w:t>quedando</w:t>
      </w:r>
      <w:r>
        <w:rPr>
          <w:spacing w:val="13"/>
          <w:w w:val="105"/>
          <w:sz w:val="21"/>
        </w:rPr>
        <w:t> </w:t>
      </w:r>
      <w:r>
        <w:rPr>
          <w:w w:val="105"/>
          <w:sz w:val="21"/>
        </w:rPr>
        <w:t>totalmente</w:t>
      </w:r>
      <w:r>
        <w:rPr>
          <w:spacing w:val="13"/>
          <w:w w:val="105"/>
          <w:sz w:val="21"/>
        </w:rPr>
        <w:t> </w:t>
      </w:r>
      <w:r>
        <w:rPr>
          <w:w w:val="105"/>
          <w:sz w:val="21"/>
        </w:rPr>
        <w:t>a</w:t>
      </w:r>
      <w:r>
        <w:rPr>
          <w:spacing w:val="13"/>
          <w:w w:val="105"/>
          <w:sz w:val="21"/>
        </w:rPr>
        <w:t> </w:t>
      </w:r>
      <w:r>
        <w:rPr>
          <w:w w:val="105"/>
          <w:sz w:val="21"/>
        </w:rPr>
        <w:t>oscuras,</w:t>
      </w:r>
      <w:r>
        <w:rPr>
          <w:spacing w:val="12"/>
          <w:w w:val="105"/>
          <w:sz w:val="21"/>
        </w:rPr>
        <w:t> </w:t>
      </w:r>
      <w:r>
        <w:rPr>
          <w:w w:val="105"/>
          <w:sz w:val="21"/>
        </w:rPr>
        <w:t>por</w:t>
      </w:r>
      <w:r>
        <w:rPr>
          <w:spacing w:val="12"/>
          <w:w w:val="105"/>
          <w:sz w:val="21"/>
        </w:rPr>
        <w:t> </w:t>
      </w:r>
      <w:r>
        <w:rPr>
          <w:w w:val="105"/>
          <w:sz w:val="21"/>
        </w:rPr>
        <w:t>lo</w:t>
      </w:r>
      <w:r>
        <w:rPr>
          <w:spacing w:val="13"/>
          <w:w w:val="105"/>
          <w:sz w:val="21"/>
        </w:rPr>
        <w:t> </w:t>
      </w:r>
      <w:r>
        <w:rPr>
          <w:w w:val="105"/>
          <w:sz w:val="21"/>
        </w:rPr>
        <w:t>que</w:t>
      </w:r>
      <w:r>
        <w:rPr>
          <w:spacing w:val="13"/>
          <w:w w:val="105"/>
          <w:sz w:val="21"/>
        </w:rPr>
        <w:t> </w:t>
      </w:r>
      <w:r>
        <w:rPr>
          <w:w w:val="105"/>
          <w:sz w:val="21"/>
        </w:rPr>
        <w:t>la</w:t>
      </w:r>
      <w:r>
        <w:rPr>
          <w:spacing w:val="13"/>
          <w:w w:val="105"/>
          <w:sz w:val="21"/>
        </w:rPr>
        <w:t> </w:t>
      </w:r>
      <w:r>
        <w:rPr>
          <w:w w:val="105"/>
          <w:sz w:val="21"/>
        </w:rPr>
        <w:t>luna</w:t>
      </w:r>
      <w:r>
        <w:rPr>
          <w:spacing w:val="13"/>
          <w:w w:val="105"/>
          <w:sz w:val="21"/>
        </w:rPr>
        <w:t> </w:t>
      </w:r>
      <w:r>
        <w:rPr>
          <w:w w:val="105"/>
          <w:sz w:val="21"/>
        </w:rPr>
        <w:t>no</w:t>
      </w:r>
      <w:r>
        <w:rPr>
          <w:spacing w:val="13"/>
          <w:w w:val="105"/>
          <w:sz w:val="21"/>
        </w:rPr>
        <w:t> </w:t>
      </w:r>
      <w:r>
        <w:rPr>
          <w:w w:val="105"/>
          <w:sz w:val="21"/>
        </w:rPr>
        <w:t>se</w:t>
      </w:r>
      <w:r>
        <w:rPr>
          <w:spacing w:val="13"/>
          <w:w w:val="105"/>
          <w:sz w:val="21"/>
        </w:rPr>
        <w:t> </w:t>
      </w:r>
      <w:r>
        <w:rPr>
          <w:w w:val="105"/>
          <w:sz w:val="21"/>
        </w:rPr>
        <w:t>distingue</w:t>
      </w:r>
      <w:r>
        <w:rPr>
          <w:spacing w:val="13"/>
          <w:w w:val="105"/>
          <w:sz w:val="21"/>
        </w:rPr>
        <w:t> </w:t>
      </w:r>
      <w:r>
        <w:rPr>
          <w:w w:val="105"/>
          <w:sz w:val="21"/>
        </w:rPr>
        <w:t>desde</w:t>
      </w:r>
      <w:r>
        <w:rPr>
          <w:spacing w:val="13"/>
          <w:w w:val="105"/>
          <w:sz w:val="21"/>
        </w:rPr>
        <w:t> </w:t>
      </w:r>
      <w:r>
        <w:rPr>
          <w:w w:val="105"/>
          <w:sz w:val="21"/>
        </w:rPr>
        <w:t>la</w:t>
      </w:r>
    </w:p>
    <w:p>
      <w:pPr>
        <w:spacing w:after="0" w:line="374" w:lineRule="auto"/>
        <w:jc w:val="both"/>
        <w:rPr>
          <w:sz w:val="21"/>
        </w:rPr>
        <w:sectPr>
          <w:pgSz w:w="12240" w:h="15840"/>
          <w:pgMar w:header="1209" w:footer="1234" w:top="1400" w:bottom="1420" w:left="1560" w:right="1580"/>
        </w:sectPr>
      </w:pPr>
    </w:p>
    <w:p>
      <w:pPr>
        <w:pStyle w:val="BodyText"/>
        <w:spacing w:line="376" w:lineRule="auto" w:before="16"/>
        <w:ind w:left="859" w:right="123"/>
        <w:jc w:val="both"/>
      </w:pPr>
      <w:r>
        <w:rPr>
          <w:w w:val="105"/>
        </w:rPr>
        <w:t>tierra; a este período también se le conoce como el momento en que la luna se encuentra en conjunción (se haya situada entre la tierra y el sol).</w:t>
      </w:r>
    </w:p>
    <w:p>
      <w:pPr>
        <w:pStyle w:val="BodyText"/>
        <w:spacing w:line="376" w:lineRule="auto" w:before="4"/>
        <w:ind w:left="859" w:right="119"/>
        <w:jc w:val="both"/>
      </w:pPr>
      <w:r>
        <w:rPr>
          <w:w w:val="105"/>
        </w:rPr>
        <w:t>La luna y el sol pueden estar en conjunción solamente una vez por mes, pero en cada luna nueva el sol y la luna se encuentran en un punto diferente del firmamento y solamente ocho años después, es el momento en que vuelven a encontrarse exactamente en el mismo lugar.</w:t>
      </w:r>
    </w:p>
    <w:p>
      <w:pPr>
        <w:pStyle w:val="ListParagraph"/>
        <w:numPr>
          <w:ilvl w:val="0"/>
          <w:numId w:val="3"/>
        </w:numPr>
        <w:tabs>
          <w:tab w:pos="860" w:val="left" w:leader="none"/>
        </w:tabs>
        <w:spacing w:line="374" w:lineRule="auto" w:before="9" w:after="0"/>
        <w:ind w:left="859" w:right="121" w:hanging="360"/>
        <w:jc w:val="both"/>
        <w:rPr>
          <w:sz w:val="21"/>
        </w:rPr>
      </w:pPr>
      <w:r>
        <w:rPr>
          <w:b/>
          <w:i/>
          <w:w w:val="105"/>
          <w:sz w:val="21"/>
          <w:u w:val="single"/>
        </w:rPr>
        <w:t>Cuarto creciente</w:t>
      </w:r>
      <w:r>
        <w:rPr>
          <w:w w:val="105"/>
          <w:sz w:val="21"/>
        </w:rPr>
        <w:t>: Se presenta durante el crepúsculo, cuando vemos brillar al oeste una parte iluminada de la luna en forma de una tajada curva o una "c" invertida. La luna camina hacia la fase de cuarto creciente y se ve próxima al sol</w:t>
      </w:r>
      <w:r>
        <w:rPr>
          <w:spacing w:val="-34"/>
          <w:w w:val="105"/>
          <w:sz w:val="21"/>
        </w:rPr>
        <w:t> </w:t>
      </w:r>
      <w:r>
        <w:rPr>
          <w:w w:val="105"/>
          <w:sz w:val="21"/>
        </w:rPr>
        <w:t>(3 a 4 días después de la luna</w:t>
      </w:r>
      <w:r>
        <w:rPr>
          <w:spacing w:val="-19"/>
          <w:w w:val="105"/>
          <w:sz w:val="21"/>
        </w:rPr>
        <w:t> </w:t>
      </w:r>
      <w:r>
        <w:rPr>
          <w:w w:val="105"/>
          <w:sz w:val="21"/>
        </w:rPr>
        <w:t>nueva).</w:t>
      </w:r>
    </w:p>
    <w:p>
      <w:pPr>
        <w:pStyle w:val="ListParagraph"/>
        <w:numPr>
          <w:ilvl w:val="0"/>
          <w:numId w:val="3"/>
        </w:numPr>
        <w:tabs>
          <w:tab w:pos="860" w:val="left" w:leader="none"/>
        </w:tabs>
        <w:spacing w:line="374" w:lineRule="auto" w:before="6" w:after="0"/>
        <w:ind w:left="859" w:right="121" w:hanging="360"/>
        <w:jc w:val="both"/>
        <w:rPr>
          <w:sz w:val="21"/>
        </w:rPr>
      </w:pPr>
      <w:r>
        <w:rPr>
          <w:b/>
          <w:i/>
          <w:w w:val="105"/>
          <w:sz w:val="21"/>
          <w:u w:val="single"/>
        </w:rPr>
        <w:t>Primer cuarto</w:t>
      </w:r>
      <w:r>
        <w:rPr>
          <w:w w:val="105"/>
          <w:sz w:val="21"/>
        </w:rPr>
        <w:t>: Es cuando la luna ya ha recorrido un cuarto de su órbita y desde la tierra vemos la mitad iluminada. También se dice que la luna está en cuadratura porque las rectas que respectivamente unen a la tierra con la luna y el sol forma  un ángulo de 90° (este fenómeno acontece aproximadamente una </w:t>
      </w:r>
      <w:r>
        <w:rPr>
          <w:spacing w:val="2"/>
          <w:w w:val="105"/>
          <w:sz w:val="21"/>
        </w:rPr>
        <w:t>semana </w:t>
      </w:r>
      <w:r>
        <w:rPr>
          <w:w w:val="105"/>
          <w:sz w:val="21"/>
        </w:rPr>
        <w:t>después de la luna</w:t>
      </w:r>
      <w:r>
        <w:rPr>
          <w:spacing w:val="-16"/>
          <w:w w:val="105"/>
          <w:sz w:val="21"/>
        </w:rPr>
        <w:t> </w:t>
      </w:r>
      <w:r>
        <w:rPr>
          <w:w w:val="105"/>
          <w:sz w:val="21"/>
        </w:rPr>
        <w:t>nueva).</w:t>
      </w:r>
    </w:p>
    <w:p>
      <w:pPr>
        <w:pStyle w:val="ListParagraph"/>
        <w:numPr>
          <w:ilvl w:val="0"/>
          <w:numId w:val="3"/>
        </w:numPr>
        <w:tabs>
          <w:tab w:pos="860" w:val="left" w:leader="none"/>
        </w:tabs>
        <w:spacing w:line="367" w:lineRule="auto" w:before="6" w:after="0"/>
        <w:ind w:left="859" w:right="120" w:hanging="360"/>
        <w:jc w:val="both"/>
        <w:rPr>
          <w:sz w:val="21"/>
        </w:rPr>
      </w:pPr>
      <w:r>
        <w:rPr>
          <w:b/>
          <w:i/>
          <w:w w:val="105"/>
          <w:sz w:val="21"/>
          <w:u w:val="single"/>
        </w:rPr>
        <w:t>Gibosa</w:t>
      </w:r>
      <w:r>
        <w:rPr>
          <w:i/>
          <w:w w:val="105"/>
          <w:sz w:val="21"/>
        </w:rPr>
        <w:t>: </w:t>
      </w:r>
      <w:r>
        <w:rPr>
          <w:w w:val="105"/>
          <w:sz w:val="21"/>
        </w:rPr>
        <w:t>Ocurre tres o cuatro días después del primer cuarto, cuando el sol ilumina casi toda la cara más próxima de la luna hacia la</w:t>
      </w:r>
      <w:r>
        <w:rPr>
          <w:spacing w:val="-28"/>
          <w:w w:val="105"/>
          <w:sz w:val="21"/>
        </w:rPr>
        <w:t> </w:t>
      </w:r>
      <w:r>
        <w:rPr>
          <w:w w:val="105"/>
          <w:sz w:val="21"/>
        </w:rPr>
        <w:t>tierra.</w:t>
      </w:r>
    </w:p>
    <w:p>
      <w:pPr>
        <w:pStyle w:val="ListParagraph"/>
        <w:numPr>
          <w:ilvl w:val="0"/>
          <w:numId w:val="3"/>
        </w:numPr>
        <w:tabs>
          <w:tab w:pos="860" w:val="left" w:leader="none"/>
        </w:tabs>
        <w:spacing w:line="376" w:lineRule="auto" w:before="13" w:after="0"/>
        <w:ind w:left="859" w:right="118" w:hanging="360"/>
        <w:jc w:val="both"/>
        <w:rPr>
          <w:sz w:val="21"/>
        </w:rPr>
      </w:pPr>
      <w:r>
        <w:rPr>
          <w:b/>
          <w:i/>
          <w:w w:val="105"/>
          <w:sz w:val="21"/>
          <w:u w:val="single"/>
        </w:rPr>
        <w:t>Luna llena o plenilunio</w:t>
      </w:r>
      <w:r>
        <w:rPr>
          <w:w w:val="105"/>
          <w:sz w:val="21"/>
        </w:rPr>
        <w:t>: Se define cuando la luna está detrás de la tierra (sin ser su sombra) y el sol ilumina totalmente la cara de la luna más próxima a la tierra. Este período también es conocido como el momento en que la luna se encuentra en oposición, es decir, la tierra se encuentra entre la luna y el sol, el cual ilumina con sus rayos totalmente la cara de la luna que está dirigida hacia nuestro planeta, es el momento de la máxima luminosidad</w:t>
      </w:r>
      <w:r>
        <w:rPr>
          <w:spacing w:val="-30"/>
          <w:w w:val="105"/>
          <w:sz w:val="21"/>
        </w:rPr>
        <w:t> </w:t>
      </w:r>
      <w:r>
        <w:rPr>
          <w:w w:val="105"/>
          <w:sz w:val="21"/>
        </w:rPr>
        <w:t>lunar.</w:t>
      </w:r>
    </w:p>
    <w:p>
      <w:pPr>
        <w:pStyle w:val="ListParagraph"/>
        <w:numPr>
          <w:ilvl w:val="0"/>
          <w:numId w:val="3"/>
        </w:numPr>
        <w:tabs>
          <w:tab w:pos="860" w:val="left" w:leader="none"/>
        </w:tabs>
        <w:spacing w:line="367" w:lineRule="auto" w:before="4" w:after="0"/>
        <w:ind w:left="859" w:right="119" w:hanging="360"/>
        <w:jc w:val="both"/>
        <w:rPr>
          <w:sz w:val="21"/>
        </w:rPr>
      </w:pPr>
      <w:r>
        <w:rPr>
          <w:b/>
          <w:i/>
          <w:w w:val="105"/>
          <w:sz w:val="21"/>
          <w:u w:val="single"/>
        </w:rPr>
        <w:t>Gibosa</w:t>
      </w:r>
      <w:r>
        <w:rPr>
          <w:w w:val="105"/>
          <w:sz w:val="21"/>
        </w:rPr>
        <w:t>: Es el momento cuando la luna comienza a "encogerse" o a menguar pocos días después del</w:t>
      </w:r>
      <w:r>
        <w:rPr>
          <w:spacing w:val="-18"/>
          <w:w w:val="105"/>
          <w:sz w:val="21"/>
        </w:rPr>
        <w:t> </w:t>
      </w:r>
      <w:r>
        <w:rPr>
          <w:w w:val="105"/>
          <w:sz w:val="21"/>
        </w:rPr>
        <w:t>plenilunio.</w:t>
      </w:r>
    </w:p>
    <w:p>
      <w:pPr>
        <w:pStyle w:val="ListParagraph"/>
        <w:numPr>
          <w:ilvl w:val="0"/>
          <w:numId w:val="3"/>
        </w:numPr>
        <w:tabs>
          <w:tab w:pos="860" w:val="left" w:leader="none"/>
        </w:tabs>
        <w:spacing w:line="374" w:lineRule="auto" w:before="13" w:after="0"/>
        <w:ind w:left="859" w:right="119" w:hanging="360"/>
        <w:jc w:val="both"/>
        <w:rPr>
          <w:sz w:val="21"/>
        </w:rPr>
      </w:pPr>
      <w:r>
        <w:rPr>
          <w:b/>
          <w:i/>
          <w:w w:val="105"/>
          <w:sz w:val="21"/>
          <w:u w:val="single"/>
        </w:rPr>
        <w:t>Última fase o cuarto menguante</w:t>
      </w:r>
      <w:r>
        <w:rPr>
          <w:w w:val="105"/>
          <w:sz w:val="21"/>
        </w:rPr>
        <w:t>: Cuando la luna se retrae en línea con el sol; ha recorrido tres cuartos de su órbita total y solamente se aprecia durante la mañana. La luna está nuevamente en cuadratura formando un ángulo de 90°, esta vez </w:t>
      </w:r>
      <w:r>
        <w:rPr>
          <w:spacing w:val="2"/>
          <w:w w:val="105"/>
          <w:sz w:val="21"/>
        </w:rPr>
        <w:t>por </w:t>
      </w:r>
      <w:r>
        <w:rPr>
          <w:w w:val="105"/>
          <w:sz w:val="21"/>
        </w:rPr>
        <w:t>el lado opuesto al anterior, y el astro va tomando una forma de una</w:t>
      </w:r>
      <w:r>
        <w:rPr>
          <w:spacing w:val="-37"/>
          <w:w w:val="105"/>
          <w:sz w:val="21"/>
        </w:rPr>
        <w:t> </w:t>
      </w:r>
      <w:r>
        <w:rPr>
          <w:w w:val="105"/>
          <w:sz w:val="21"/>
        </w:rPr>
        <w:t>"c".</w:t>
      </w:r>
    </w:p>
    <w:p>
      <w:pPr>
        <w:spacing w:after="0" w:line="374" w:lineRule="auto"/>
        <w:jc w:val="both"/>
        <w:rPr>
          <w:sz w:val="21"/>
        </w:rPr>
        <w:sectPr>
          <w:pgSz w:w="12240" w:h="15840"/>
          <w:pgMar w:header="1209" w:footer="1234" w:top="1400" w:bottom="1420" w:left="1560" w:right="1580"/>
        </w:sectPr>
      </w:pPr>
    </w:p>
    <w:p>
      <w:pPr>
        <w:pStyle w:val="BodyText"/>
        <w:spacing w:before="7"/>
        <w:rPr>
          <w:sz w:val="27"/>
        </w:rPr>
      </w:pPr>
    </w:p>
    <w:p>
      <w:pPr>
        <w:pStyle w:val="Heading3"/>
      </w:pPr>
      <w:bookmarkStart w:name="_TOC_250016" w:id="6"/>
      <w:bookmarkEnd w:id="6"/>
      <w:r>
        <w:rPr>
          <w:w w:val="105"/>
        </w:rPr>
        <w:t>Movimiento Tierra-Luna-Sol y su efecto sobre los cuerpos líquidos</w:t>
      </w:r>
    </w:p>
    <w:p>
      <w:pPr>
        <w:pStyle w:val="BodyText"/>
        <w:spacing w:line="376" w:lineRule="auto" w:before="137"/>
        <w:ind w:left="139" w:right="118"/>
        <w:jc w:val="both"/>
      </w:pPr>
      <w:r>
        <w:rPr>
          <w:w w:val="105"/>
        </w:rPr>
        <w:t>El eje de rotación está inclinado a 23° hacia el plano de traslación. La rotación de la tierra se realiza en 23 horas y 56 minutos, mientras que la traslación lo hace en 365 días, 6 horas y 9 minutos. La órbita de la Tierra es elíptica; durante el movimiento de la Tierra, su eje es conservado siempre apuntando a la misma dirección. La Tierra y la Luna forman un sistema de 2 cuerpos que interaccionan y se mueven juntos alrededor del sol, siendo la Tierra el cuerpo preponderante por su masa y su tamaño. La Luna presenta dos movimientos principales, la rotación sobre su eje y la traslación alrededor de la Tierra. El tiempo que necesita para dar una vuelta sobre su eje es el mismo para girar alrededor de la Tierra. La órbita de la Luna es elíptica con un poco de alargamiento. El tiempo que transcurre entre dos lunas llenas es 29 días, 12 horas. La luna siempre da la misma cara a la Tierra (Rotación síncrona) ejerciendo un efecto gravitatorio constante sobre los diferentes cuerpos líquidos. Las fuerzas de la marea son aceleraciones gravitatorias relativas, de una parte de un cuerpo con respecto a otra. La tierra experimenta dos mareas altas por día, debido a la diferencia del efecto gravitacional de la Luna, entre la superficie de la Tierra y su centro. Existe una marea alta en el lado más cercano a la Luna, porque la Luna tira del agua hacia afuera de la Tierra. La Luna ejerce un efecto mayor, porque la diferencia fraccional de su fuerza a través de la Tierra es mayor que la diferencia fraccional vista desde el Sol. Esta diferencia de fuerza obedece a la Ley de la inversa al cuadrado. La fuerza de atracción crea un eje perpendicular, subiendo y bajando el nivel del mar. Cuando el nivel del mar se considera menor esta se le llama marea baja. La Luna es el principal factor que controla el ritmo temporal y tamaño de las mareas, esta genera dos efectos Tidal mediados por la fuerza gravitacional de la Luna, mientras que la Tierra ejerce una fuerza de atracción impidiendo que esta aumente de nivel y regresándola a su estado original. El periodo Tidal tiene una duración de 24 horas con 50 minutos de duración. Acorde a la posición con la Tierra, también las mareas </w:t>
      </w:r>
      <w:r>
        <w:rPr>
          <w:spacing w:val="2"/>
          <w:w w:val="105"/>
        </w:rPr>
        <w:t>pueden </w:t>
      </w:r>
      <w:r>
        <w:rPr>
          <w:w w:val="105"/>
        </w:rPr>
        <w:t>clasificarse generando algunas diurnas y otras de tipo semi-diurno. En la Figura 4.0 se presentan los efectos de la Luna y la Tierra  sobre las</w:t>
      </w:r>
      <w:r>
        <w:rPr>
          <w:spacing w:val="-36"/>
          <w:w w:val="105"/>
        </w:rPr>
        <w:t> </w:t>
      </w:r>
      <w:r>
        <w:rPr>
          <w:w w:val="105"/>
        </w:rPr>
        <w:t>mareas.</w:t>
      </w:r>
    </w:p>
    <w:p>
      <w:pPr>
        <w:spacing w:after="0" w:line="376" w:lineRule="auto"/>
        <w:jc w:val="both"/>
        <w:sectPr>
          <w:pgSz w:w="12240" w:h="15840"/>
          <w:pgMar w:header="1209" w:footer="1234" w:top="1400" w:bottom="1420" w:left="1560" w:right="1580"/>
        </w:sectPr>
      </w:pPr>
    </w:p>
    <w:p>
      <w:pPr>
        <w:pStyle w:val="BodyText"/>
        <w:rPr>
          <w:sz w:val="20"/>
        </w:rPr>
      </w:pPr>
    </w:p>
    <w:p>
      <w:pPr>
        <w:pStyle w:val="BodyText"/>
        <w:rPr>
          <w:sz w:val="20"/>
        </w:rPr>
      </w:pPr>
    </w:p>
    <w:p>
      <w:pPr>
        <w:pStyle w:val="BodyText"/>
        <w:spacing w:before="8"/>
        <w:rPr>
          <w:sz w:val="26"/>
        </w:rPr>
      </w:pPr>
    </w:p>
    <w:p>
      <w:pPr>
        <w:pStyle w:val="BodyText"/>
        <w:ind w:left="1040"/>
        <w:rPr>
          <w:sz w:val="20"/>
        </w:rPr>
      </w:pPr>
      <w:r>
        <w:rPr>
          <w:sz w:val="20"/>
        </w:rPr>
        <w:drawing>
          <wp:inline distT="0" distB="0" distL="0" distR="0">
            <wp:extent cx="4467225" cy="4991100"/>
            <wp:effectExtent l="0" t="0" r="0" b="0"/>
            <wp:docPr id="17" name="image26.jpeg" descr=""/>
            <wp:cNvGraphicFramePr>
              <a:graphicFrameLocks noChangeAspect="1"/>
            </wp:cNvGraphicFramePr>
            <a:graphic>
              <a:graphicData uri="http://schemas.openxmlformats.org/drawingml/2006/picture">
                <pic:pic>
                  <pic:nvPicPr>
                    <pic:cNvPr id="18" name="image26.jpeg"/>
                    <pic:cNvPicPr/>
                  </pic:nvPicPr>
                  <pic:blipFill>
                    <a:blip r:embed="rId34" cstate="print"/>
                    <a:stretch>
                      <a:fillRect/>
                    </a:stretch>
                  </pic:blipFill>
                  <pic:spPr>
                    <a:xfrm>
                      <a:off x="0" y="0"/>
                      <a:ext cx="4467225" cy="49911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spacing w:line="381" w:lineRule="auto"/>
        <w:ind w:left="139" w:right="82"/>
      </w:pPr>
      <w:r>
        <w:rPr>
          <w:w w:val="105"/>
        </w:rPr>
        <w:t>El efecto de la luna ejerce diferentes vectores, en donde la fuerza gravitacional es inversa al  cuadrado de las distancias. Las fuerzas Tidal se generan en un sistema binario  (Tierra</w:t>
      </w:r>
    </w:p>
    <w:p>
      <w:pPr>
        <w:pStyle w:val="BodyText"/>
        <w:spacing w:line="376" w:lineRule="auto"/>
        <w:ind w:left="139" w:right="82"/>
      </w:pPr>
      <w:r>
        <w:rPr>
          <w:w w:val="105"/>
        </w:rPr>
        <w:t>–Luna, Tierra-Sol) y son las responsables de las diferentes mareas. Los diferentes vectores que se generan de esta asociación se presentan en la Figura 5.0.</w:t>
      </w:r>
    </w:p>
    <w:p>
      <w:pPr>
        <w:spacing w:after="0" w:line="376" w:lineRule="auto"/>
        <w:sectPr>
          <w:pgSz w:w="12240" w:h="15840"/>
          <w:pgMar w:header="1209" w:footer="1234" w:top="1400" w:bottom="1420" w:left="1560" w:right="1580"/>
        </w:sectPr>
      </w:pPr>
    </w:p>
    <w:p>
      <w:pPr>
        <w:pStyle w:val="BodyText"/>
        <w:rPr>
          <w:sz w:val="20"/>
        </w:rPr>
      </w:pPr>
    </w:p>
    <w:p>
      <w:pPr>
        <w:pStyle w:val="BodyText"/>
        <w:spacing w:before="8"/>
        <w:rPr>
          <w:sz w:val="13"/>
        </w:rPr>
      </w:pPr>
    </w:p>
    <w:p>
      <w:pPr>
        <w:pStyle w:val="BodyText"/>
        <w:ind w:left="141"/>
        <w:rPr>
          <w:sz w:val="20"/>
        </w:rPr>
      </w:pPr>
      <w:r>
        <w:rPr>
          <w:sz w:val="20"/>
        </w:rPr>
        <w:drawing>
          <wp:inline distT="0" distB="0" distL="0" distR="0">
            <wp:extent cx="5611704" cy="2913792"/>
            <wp:effectExtent l="0" t="0" r="0" b="0"/>
            <wp:docPr id="19" name="image27.jpeg" descr=""/>
            <wp:cNvGraphicFramePr>
              <a:graphicFrameLocks noChangeAspect="1"/>
            </wp:cNvGraphicFramePr>
            <a:graphic>
              <a:graphicData uri="http://schemas.openxmlformats.org/drawingml/2006/picture">
                <pic:pic>
                  <pic:nvPicPr>
                    <pic:cNvPr id="20" name="image27.jpeg"/>
                    <pic:cNvPicPr/>
                  </pic:nvPicPr>
                  <pic:blipFill>
                    <a:blip r:embed="rId36" cstate="print"/>
                    <a:stretch>
                      <a:fillRect/>
                    </a:stretch>
                  </pic:blipFill>
                  <pic:spPr>
                    <a:xfrm>
                      <a:off x="0" y="0"/>
                      <a:ext cx="5611704" cy="2913792"/>
                    </a:xfrm>
                    <a:prstGeom prst="rect">
                      <a:avLst/>
                    </a:prstGeom>
                  </pic:spPr>
                </pic:pic>
              </a:graphicData>
            </a:graphic>
          </wp:inline>
        </w:drawing>
      </w:r>
      <w:r>
        <w:rPr>
          <w:sz w:val="20"/>
        </w:rPr>
      </w:r>
    </w:p>
    <w:p>
      <w:pPr>
        <w:pStyle w:val="BodyText"/>
        <w:rPr>
          <w:sz w:val="20"/>
        </w:rPr>
      </w:pPr>
    </w:p>
    <w:p>
      <w:pPr>
        <w:pStyle w:val="BodyText"/>
        <w:spacing w:before="11"/>
        <w:rPr>
          <w:sz w:val="18"/>
        </w:rPr>
      </w:pPr>
    </w:p>
    <w:p>
      <w:pPr>
        <w:pStyle w:val="BodyText"/>
        <w:spacing w:line="376" w:lineRule="auto" w:before="78"/>
        <w:ind w:left="139" w:right="120"/>
        <w:jc w:val="both"/>
      </w:pPr>
      <w:r>
        <w:rPr>
          <w:w w:val="105"/>
        </w:rPr>
        <w:t>Si se compararan las fuerzas Tidal de la Luna hacia la tierra, sustituyéndola por un objeto que contara con un diámetro semejante al de la Tierra, encontraríamos que el efecto de esta nueva fuerza, sería 6.05 veces mayor que el efecto de la Luna a la Tierra. La aceleración Tidal terrestre es de 136 veces más grande que el efecto Tidal de la Luna, pudiendo generar mareas de 150 metros de alto.</w:t>
      </w:r>
    </w:p>
    <w:p>
      <w:pPr>
        <w:pStyle w:val="BodyText"/>
        <w:rPr>
          <w:sz w:val="22"/>
        </w:rPr>
      </w:pPr>
    </w:p>
    <w:p>
      <w:pPr>
        <w:pStyle w:val="Heading3"/>
        <w:spacing w:before="130"/>
      </w:pPr>
      <w:r>
        <w:rPr>
          <w:w w:val="105"/>
        </w:rPr>
        <w:t>Efecto de la luna sobre sistemas fluidos en animales.</w:t>
      </w:r>
    </w:p>
    <w:p>
      <w:pPr>
        <w:pStyle w:val="BodyText"/>
        <w:spacing w:line="376" w:lineRule="auto" w:before="137"/>
        <w:ind w:left="139" w:right="118"/>
        <w:jc w:val="both"/>
      </w:pPr>
      <w:r>
        <w:rPr>
          <w:w w:val="105"/>
        </w:rPr>
        <w:t>Antes de establecer una relación entre el líquido amniótico y la luna, diversos modelos hemodinámicos han intentado establecer si existe una asociación entre el efecto Tidal de la luna, sobre el movimiento de los fluidos en el ser humano. Pekush y colaboradores ya habían presentado en 1992, una asociación entre la presencia de crisis hipertensivas con la etapa del ciclo lunar. Oomman y colaboradores encontraron también una asociación entre la mortalidad miocárdica, angina post-infarto y crisis hipertensivas en especial en periodos de luna nueva (26). Contrario a esto, recientemente Shuhaiber y colaboradores asociaron la presencia de luna llena con la reducción de los odds de muerte en pacientes sometidos a disección aórtica (27). Bajo este contexto y considerando que la cavidad uterina muestra un componente líquido el cual se modifica por diversos factores (aporte urinario del feto, reabsorción por las membranas), no se descarta que el efecto Tidal también pueda mostrar un efecto sobre este. De forma general su eliminación depende en</w:t>
      </w:r>
    </w:p>
    <w:p>
      <w:pPr>
        <w:pStyle w:val="BodyText"/>
        <w:spacing w:before="4"/>
        <w:ind w:left="139"/>
        <w:jc w:val="both"/>
      </w:pPr>
      <w:r>
        <w:rPr>
          <w:w w:val="105"/>
          <w:u w:val="thick"/>
        </w:rPr>
        <w:t>un    62%  de  la  deglución  fetal  y  un  38%  a  la  absorción  corioamniótica.  El volumen</w:t>
      </w:r>
    </w:p>
    <w:p>
      <w:pPr>
        <w:spacing w:after="0"/>
        <w:jc w:val="both"/>
        <w:sectPr>
          <w:footerReference w:type="default" r:id="rId35"/>
          <w:pgSz w:w="12240" w:h="15840"/>
          <w:pgMar w:footer="1192" w:header="1209" w:top="1400" w:bottom="1380" w:left="1560" w:right="1580"/>
          <w:pgNumType w:start="17"/>
        </w:sectPr>
      </w:pPr>
    </w:p>
    <w:p>
      <w:pPr>
        <w:pStyle w:val="BodyText"/>
        <w:spacing w:line="376" w:lineRule="auto" w:before="16"/>
        <w:ind w:left="139" w:right="118"/>
        <w:jc w:val="both"/>
      </w:pPr>
      <w:r>
        <w:rPr>
          <w:w w:val="105"/>
        </w:rPr>
        <w:t>aumenta desde 10ml a la semana No. 9 hasta 800cc a las 32 semanas. El balance del líquido también es regulado por diversos canales, siendo entre los principales las acuaporinas (28). Hasta el momento no se han descrito la presencia de mareas amnióticas por lo que aún es difícil poder estimar un modelo que demuestre la influencia de este efecto sobre el líquido amniótico.</w:t>
      </w:r>
    </w:p>
    <w:p>
      <w:pPr>
        <w:pStyle w:val="BodyText"/>
        <w:rPr>
          <w:sz w:val="22"/>
        </w:rPr>
      </w:pPr>
    </w:p>
    <w:p>
      <w:pPr>
        <w:pStyle w:val="Heading3"/>
        <w:spacing w:before="135"/>
      </w:pPr>
      <w:bookmarkStart w:name="_TOC_250015" w:id="7"/>
      <w:bookmarkEnd w:id="7"/>
      <w:r>
        <w:rPr>
          <w:w w:val="105"/>
        </w:rPr>
        <w:t>Factores que influyen en la presentación de un producto pre-término</w:t>
      </w:r>
    </w:p>
    <w:p>
      <w:pPr>
        <w:pStyle w:val="BodyText"/>
        <w:spacing w:line="376" w:lineRule="auto" w:before="137"/>
        <w:ind w:left="139" w:right="122"/>
        <w:jc w:val="both"/>
      </w:pPr>
      <w:r>
        <w:rPr>
          <w:w w:val="105"/>
        </w:rPr>
        <w:t>El producto pre-término se define, acorde a la Academia Americana de Pediatría, como aquel producto que al nacimiento es menor de 37 semanas de gestación; siendo éstos a su vez clasificados en dos grupos: inmaduros (20- 28 semanas de gestación), Prematuros de 28 – 37 semanas de gestación.</w:t>
      </w:r>
    </w:p>
    <w:p>
      <w:pPr>
        <w:pStyle w:val="BodyText"/>
        <w:spacing w:line="376" w:lineRule="auto" w:before="4"/>
        <w:ind w:left="139" w:right="121"/>
        <w:jc w:val="both"/>
      </w:pPr>
      <w:r>
        <w:rPr>
          <w:w w:val="105"/>
        </w:rPr>
        <w:t>Se considera que la prematurez es la causa de muerte neonatal en hasta un 75% de los casos y en un 50% más de la aparición de secuelas neurológicas severas. Factores como la acumulación de relaxina in útero, infecciones maternas, madres multigestas, anormalidades en cérvix son factores latentes para el desarrollo de partos pre-término. Desafortunadamente hasta en un 50%, la causa aún es idiopática (Brkièeviæ 2013).</w:t>
      </w:r>
    </w:p>
    <w:p>
      <w:pPr>
        <w:spacing w:after="0" w:line="376" w:lineRule="auto"/>
        <w:jc w:val="both"/>
        <w:sectPr>
          <w:footerReference w:type="default" r:id="rId37"/>
          <w:pgSz w:w="12240" w:h="15840"/>
          <w:pgMar w:footer="1234" w:header="1209" w:top="1400" w:bottom="1420" w:left="1560" w:right="1580"/>
          <w:pgNumType w:start="18"/>
        </w:sectPr>
      </w:pPr>
    </w:p>
    <w:p>
      <w:pPr>
        <w:pStyle w:val="BodyText"/>
        <w:spacing w:before="7"/>
        <w:rPr>
          <w:sz w:val="27"/>
        </w:rPr>
      </w:pPr>
    </w:p>
    <w:p>
      <w:pPr>
        <w:pStyle w:val="Heading3"/>
        <w:spacing w:line="376" w:lineRule="auto"/>
        <w:ind w:right="5439"/>
        <w:jc w:val="left"/>
      </w:pPr>
      <w:r>
        <w:rPr>
          <w:w w:val="105"/>
        </w:rPr>
        <w:t>Parte II. Estructura del Protocolo Planteamiento del problema.</w:t>
      </w:r>
    </w:p>
    <w:p>
      <w:pPr>
        <w:pStyle w:val="BodyText"/>
        <w:spacing w:line="376" w:lineRule="auto" w:before="4"/>
        <w:ind w:left="139" w:right="120"/>
        <w:jc w:val="both"/>
      </w:pPr>
      <w:r>
        <w:rPr>
          <w:w w:val="105"/>
        </w:rPr>
        <w:t>Una gran diversidad de observaciones, han establecido que la Luna cuenta con una alta tasa de efectos biológicos en diversos organismos. Este fenómeno, el cual se denomina cronobiología, abarca efectos sobre el comportamiento  (p  ej.  Agresividad  mejor conocido como “Efecto Transilvania”), y efectos biológicos. Tal vez el fenómeno más estudiado es la influencia sobre la gestación. Desafortunadamente la mayor parte de las conclusiones son derivadas de la experiencia clínica y los estudios observacionales no han podido establecer una adecuada fuerza de asociación entre la Luna y la gestación.</w:t>
      </w:r>
    </w:p>
    <w:p>
      <w:pPr>
        <w:pStyle w:val="BodyText"/>
        <w:spacing w:line="376" w:lineRule="auto" w:before="4"/>
        <w:ind w:left="139" w:right="118"/>
        <w:jc w:val="both"/>
      </w:pPr>
      <w:r>
        <w:rPr>
          <w:w w:val="105"/>
        </w:rPr>
        <w:t>En especies animales (principalmente marinas) la evidencia es más sólida, ya que este fenómeno de cronobiología rige los patrones de procreación y  el alumbramiento.  En  este momento desconocemos aún, cual es el estímulo que influye sobre el alumbramiento en estas especies. A diferencia de invertebrados en los que el efecto principal  es mediante la luminosidad, en vertebrados el efecto principal es mediado por la gravedad. Sabemos que en promedio los mamíferos están compuestos en un 60% de agua y en humanos contamos hasta con un 40% de volumen circulante. La Luna principalmente </w:t>
      </w:r>
      <w:r>
        <w:rPr>
          <w:spacing w:val="2"/>
          <w:w w:val="105"/>
        </w:rPr>
        <w:t>por </w:t>
      </w:r>
      <w:r>
        <w:rPr>
          <w:w w:val="105"/>
        </w:rPr>
        <w:t>su efecto gravitatorio logra modificar este líquido, siendo esta hipótesis corroborada con los estudios de modificación de tensión arterial durante la etapa de luna llena. Durante la gestación, el volumen de líquido intrauterino también se modifica y sufre diversos cambios durante el crecimiento del producto. Mecanismos como la postura, el tamaño del producto o la placenta son vitales para establecer la cantidad de líquido intrauterino. Al igual que  en la tensión arterial el líquido amniótico puede ser influenciado por las fuerzas gravitatorias logrando potencializar su movimiento y finalmente desencadenar el trabajo de parto. Otro punto a considerar es el riesgo de productos pre-término, mientras una  gran diversidad de factores influyen in-útero con la aparición de productos pre-término como lo es la edad materna, el número de gestas previas o procesos infecciosos agregados, es de suma importancia establecer si otros factores externos contribuyen al desarrollo de partos pre-término. Ya que es demostrado que existe una influencia gravitatoria positiva de la luna sobre diversos componentes líquidos de nuestro cuerpo (tensión arterial, contractilidad vesical ) no sería extraño que la luna pudiera influenciar sobre el líquido amniótico debido a que este se encuentra confinado sobre una cavidad y que al generarse mínimas mareas intrauterinas desencadene finalmente el trabajo de parto.</w:t>
      </w:r>
    </w:p>
    <w:p>
      <w:pPr>
        <w:spacing w:after="0" w:line="376" w:lineRule="auto"/>
        <w:jc w:val="both"/>
        <w:sectPr>
          <w:pgSz w:w="12240" w:h="15840"/>
          <w:pgMar w:header="1209" w:footer="1234" w:top="1400" w:bottom="1420" w:left="1560" w:right="1580"/>
        </w:sectPr>
      </w:pPr>
    </w:p>
    <w:p>
      <w:pPr>
        <w:pStyle w:val="BodyText"/>
        <w:spacing w:line="376" w:lineRule="auto" w:before="16"/>
        <w:ind w:left="139" w:right="118"/>
        <w:jc w:val="both"/>
      </w:pPr>
      <w:r>
        <w:rPr>
          <w:w w:val="105"/>
        </w:rPr>
        <w:t>Como especie, compartimos una gran cantidad de material génico con diversas especies de animales y por ende posiblemente diversos comportamientos biológicos inclusive el periodo de parto también puede ser influenciado. Hasta el momento a pesar de que la observación y la creencia popular apoyan que la luna tiene una influencia específica  sobre el número de nacimientos la evidencia médica  con la que contamos actualmente  no es estadísticamente concluyente, sin embargo, no descarta dicha</w:t>
      </w:r>
      <w:r>
        <w:rPr>
          <w:spacing w:val="-41"/>
          <w:w w:val="105"/>
        </w:rPr>
        <w:t> </w:t>
      </w:r>
      <w:r>
        <w:rPr>
          <w:w w:val="105"/>
        </w:rPr>
        <w:t>asociación.</w:t>
      </w:r>
    </w:p>
    <w:p>
      <w:pPr>
        <w:pStyle w:val="BodyText"/>
        <w:rPr>
          <w:sz w:val="22"/>
        </w:rPr>
      </w:pPr>
    </w:p>
    <w:p>
      <w:pPr>
        <w:pStyle w:val="Heading3"/>
        <w:spacing w:before="135"/>
      </w:pPr>
      <w:bookmarkStart w:name="_TOC_250014" w:id="8"/>
      <w:bookmarkEnd w:id="8"/>
      <w:r>
        <w:rPr>
          <w:w w:val="105"/>
        </w:rPr>
        <w:t>Justificación</w:t>
      </w:r>
    </w:p>
    <w:p>
      <w:pPr>
        <w:pStyle w:val="BodyText"/>
        <w:spacing w:line="376" w:lineRule="auto" w:before="137"/>
        <w:ind w:left="139" w:right="118"/>
        <w:jc w:val="both"/>
      </w:pPr>
      <w:r>
        <w:rPr>
          <w:w w:val="105"/>
        </w:rPr>
        <w:t>Sólo la creencia popular y la observación basada en experiencias personales asocian el efecto de la luna, principalmente en etapa de luna llena sobre la frecuencia de nacimientos. Dentro de los estudios disponibles en la literatura médica principalmente de tipo observacional no ha demostrado estadísticamente que exista dicha asociación. De forma interesante al analizar dichos trabajos se basan principalmente en comparar las medias entre cada una de las etapas (luna llena versus luna nueva, luna creciente versus luna nueva etc) y finalmente el establecer un análisis de ANOVA de una vía para establecer diferencias entre los grupos. El principal punto en crítica de dichos ensayos es que comparan los días de luna llena (12 durante el año) en comparación con otras etapas las cuales cuentan con una duración total en días diferentes. Esto brindaría una clara desventaja cuando analizamos la media de nacimientos en estas dos etapas, por lo que no podría comprobarse la hipótesis mediante este método. Debido a que las variables categóricas brindan esta limitación, se realizó un análisis mediante otro tipo de variables. De forma inicial se seleccionó variables de tipo cuantitativo. Al analizar variables de tipo cuantitativo estas nos brindan la oportunidad de poder establecer patrones dentro de un plano cartesiano. La variable independiente a considerar y que sustituyó a  la estratificación por etapas lunares fue la luminosidad. Mediante el análisis de luminosidad la cual se mide por medio de porcentaje y nos da una medida indirecta de la distancia a la que se encuentra la luna de la tierra; es decir, cuando la luna se encuentra más cercana o más lejana a la Tierra, ésta mostrara una menor y mayor luminosidad (0 y 100% respectivamente). Si integramos una variable de tipo cuantitativa existe la posibilidad de poder realizar una inferencia estadística más precisa y concluir si existe una relación entre el efecto gravitatorio de la luna sobre el incremento en la frecuencia de nacimientos. Finalmente basándose en este modelo nos ayuda a dilucidar que, más que el efecto de la luz, es la cercanía de la luna la que afecta la frecuencia de nacimientos. Al brindar una</w:t>
      </w:r>
    </w:p>
    <w:p>
      <w:pPr>
        <w:spacing w:after="0" w:line="376" w:lineRule="auto"/>
        <w:jc w:val="both"/>
        <w:sectPr>
          <w:footerReference w:type="default" r:id="rId38"/>
          <w:pgSz w:w="12240" w:h="15840"/>
          <w:pgMar w:footer="1234" w:header="1209" w:top="1400" w:bottom="1420" w:left="1560" w:right="1580"/>
        </w:sectPr>
      </w:pPr>
    </w:p>
    <w:p>
      <w:pPr>
        <w:pStyle w:val="BodyText"/>
        <w:spacing w:line="376" w:lineRule="auto" w:before="16"/>
        <w:ind w:left="139" w:right="303"/>
        <w:jc w:val="both"/>
      </w:pPr>
      <w:r>
        <w:rPr>
          <w:w w:val="105"/>
        </w:rPr>
        <w:t>forma de análisis de datos</w:t>
      </w:r>
      <w:r>
        <w:rPr>
          <w:spacing w:val="-43"/>
          <w:w w:val="105"/>
        </w:rPr>
        <w:t> </w:t>
      </w:r>
      <w:r>
        <w:rPr>
          <w:w w:val="105"/>
        </w:rPr>
        <w:t>diferente, nos ofrece la posibilidad de poder establecer si existe una</w:t>
      </w:r>
      <w:r>
        <w:rPr>
          <w:spacing w:val="-4"/>
          <w:w w:val="105"/>
        </w:rPr>
        <w:t> </w:t>
      </w:r>
      <w:r>
        <w:rPr>
          <w:w w:val="105"/>
        </w:rPr>
        <w:t>asociación</w:t>
      </w:r>
      <w:r>
        <w:rPr>
          <w:spacing w:val="-4"/>
          <w:w w:val="105"/>
        </w:rPr>
        <w:t> </w:t>
      </w:r>
      <w:r>
        <w:rPr>
          <w:w w:val="105"/>
        </w:rPr>
        <w:t>entre</w:t>
      </w:r>
      <w:r>
        <w:rPr>
          <w:spacing w:val="-4"/>
          <w:w w:val="105"/>
        </w:rPr>
        <w:t> </w:t>
      </w:r>
      <w:r>
        <w:rPr>
          <w:w w:val="105"/>
        </w:rPr>
        <w:t>la</w:t>
      </w:r>
      <w:r>
        <w:rPr>
          <w:spacing w:val="-4"/>
          <w:w w:val="105"/>
        </w:rPr>
        <w:t> </w:t>
      </w:r>
      <w:r>
        <w:rPr>
          <w:w w:val="105"/>
        </w:rPr>
        <w:t>frecuencia</w:t>
      </w:r>
      <w:r>
        <w:rPr>
          <w:spacing w:val="-4"/>
          <w:w w:val="105"/>
        </w:rPr>
        <w:t> </w:t>
      </w:r>
      <w:r>
        <w:rPr>
          <w:w w:val="105"/>
        </w:rPr>
        <w:t>de</w:t>
      </w:r>
      <w:r>
        <w:rPr>
          <w:spacing w:val="-4"/>
          <w:w w:val="105"/>
        </w:rPr>
        <w:t> </w:t>
      </w:r>
      <w:r>
        <w:rPr>
          <w:w w:val="105"/>
        </w:rPr>
        <w:t>nacimientos</w:t>
      </w:r>
      <w:r>
        <w:rPr>
          <w:spacing w:val="-4"/>
          <w:w w:val="105"/>
        </w:rPr>
        <w:t> </w:t>
      </w:r>
      <w:r>
        <w:rPr>
          <w:w w:val="105"/>
        </w:rPr>
        <w:t>y</w:t>
      </w:r>
      <w:r>
        <w:rPr>
          <w:spacing w:val="-4"/>
          <w:w w:val="105"/>
        </w:rPr>
        <w:t> </w:t>
      </w:r>
      <w:r>
        <w:rPr>
          <w:w w:val="105"/>
        </w:rPr>
        <w:t>la</w:t>
      </w:r>
      <w:r>
        <w:rPr>
          <w:spacing w:val="-4"/>
          <w:w w:val="105"/>
        </w:rPr>
        <w:t> </w:t>
      </w:r>
      <w:r>
        <w:rPr>
          <w:w w:val="105"/>
        </w:rPr>
        <w:t>cercanía</w:t>
      </w:r>
      <w:r>
        <w:rPr>
          <w:spacing w:val="-4"/>
          <w:w w:val="105"/>
        </w:rPr>
        <w:t> </w:t>
      </w:r>
      <w:r>
        <w:rPr>
          <w:w w:val="105"/>
        </w:rPr>
        <w:t>de</w:t>
      </w:r>
      <w:r>
        <w:rPr>
          <w:spacing w:val="-4"/>
          <w:w w:val="105"/>
        </w:rPr>
        <w:t> </w:t>
      </w:r>
      <w:r>
        <w:rPr>
          <w:w w:val="105"/>
        </w:rPr>
        <w:t>la</w:t>
      </w:r>
      <w:r>
        <w:rPr>
          <w:spacing w:val="-4"/>
          <w:w w:val="105"/>
        </w:rPr>
        <w:t> </w:t>
      </w:r>
      <w:r>
        <w:rPr>
          <w:w w:val="105"/>
        </w:rPr>
        <w:t>luna.</w:t>
      </w:r>
    </w:p>
    <w:p>
      <w:pPr>
        <w:pStyle w:val="BodyText"/>
        <w:rPr>
          <w:sz w:val="22"/>
        </w:rPr>
      </w:pPr>
    </w:p>
    <w:p>
      <w:pPr>
        <w:pStyle w:val="Heading3"/>
        <w:spacing w:before="130"/>
      </w:pPr>
      <w:r>
        <w:rPr>
          <w:w w:val="105"/>
        </w:rPr>
        <w:t>Diseño General  del estudio y aspectos éticos</w:t>
      </w:r>
    </w:p>
    <w:p>
      <w:pPr>
        <w:pStyle w:val="BodyText"/>
        <w:rPr>
          <w:b/>
          <w:sz w:val="22"/>
        </w:rPr>
      </w:pPr>
    </w:p>
    <w:p>
      <w:pPr>
        <w:pStyle w:val="BodyText"/>
        <w:spacing w:before="10"/>
        <w:rPr>
          <w:b/>
          <w:sz w:val="22"/>
        </w:rPr>
      </w:pPr>
    </w:p>
    <w:p>
      <w:pPr>
        <w:pStyle w:val="BodyText"/>
        <w:spacing w:line="376" w:lineRule="auto" w:before="1"/>
        <w:ind w:left="139" w:right="300"/>
        <w:jc w:val="both"/>
      </w:pPr>
      <w:r>
        <w:rPr>
          <w:w w:val="105"/>
        </w:rPr>
        <w:t>El tipo del estudio se determinó como un estudio observacional, transversal de tipo descriptivo y de mínima intervención,  ya que se encuentra  basado en los registros  diarios de nacimientos y atención por parte del servicio de pediatría (Hospital General de Cuautitlán). Para el análisis de otras variables que pudieran ejercer una influencia sobre  el ritmo de los nacimientos se  analizaron los registros clínicos de las pacientes que  fueron atendidas en la institución. Para el establecimiento de las características de los productos se evaluaron los registros médicos de los recién nacidos y sus condiciones de nacimiento.</w:t>
      </w:r>
    </w:p>
    <w:p>
      <w:pPr>
        <w:pStyle w:val="BodyText"/>
        <w:spacing w:line="376" w:lineRule="auto" w:before="4"/>
        <w:ind w:left="139" w:right="302"/>
        <w:jc w:val="both"/>
      </w:pPr>
      <w:r>
        <w:rPr>
          <w:w w:val="105"/>
        </w:rPr>
        <w:t>Debido a que se trató de un estudio de mínima intervención no se requirió de consentimiento informado. Por las características del estudio tampoco se esperarían eventos adversos serios relacionados, por lo que solo se requirió la autorización por parte de la Institución y la firma de una carta de confidencialidad por parte del investigador.</w:t>
      </w:r>
    </w:p>
    <w:p>
      <w:pPr>
        <w:pStyle w:val="BodyText"/>
        <w:spacing w:before="5"/>
        <w:rPr>
          <w:sz w:val="27"/>
        </w:rPr>
      </w:pPr>
    </w:p>
    <w:p>
      <w:pPr>
        <w:spacing w:before="0"/>
        <w:ind w:left="139" w:right="0" w:firstLine="0"/>
        <w:jc w:val="both"/>
        <w:rPr>
          <w:sz w:val="21"/>
        </w:rPr>
      </w:pPr>
      <w:r>
        <w:rPr/>
        <w:drawing>
          <wp:anchor distT="0" distB="0" distL="0" distR="0" allowOverlap="1" layoutInCell="1" locked="0" behindDoc="0" simplePos="0" relativeHeight="1264">
            <wp:simplePos x="0" y="0"/>
            <wp:positionH relativeFrom="page">
              <wp:posOffset>1440182</wp:posOffset>
            </wp:positionH>
            <wp:positionV relativeFrom="paragraph">
              <wp:posOffset>234808</wp:posOffset>
            </wp:positionV>
            <wp:extent cx="5342548" cy="2511742"/>
            <wp:effectExtent l="0" t="0" r="0" b="0"/>
            <wp:wrapTopAndBottom/>
            <wp:docPr id="21" name="image28.jpeg" descr=""/>
            <wp:cNvGraphicFramePr>
              <a:graphicFrameLocks noChangeAspect="1"/>
            </wp:cNvGraphicFramePr>
            <a:graphic>
              <a:graphicData uri="http://schemas.openxmlformats.org/drawingml/2006/picture">
                <pic:pic>
                  <pic:nvPicPr>
                    <pic:cNvPr id="22" name="image28.jpeg"/>
                    <pic:cNvPicPr/>
                  </pic:nvPicPr>
                  <pic:blipFill>
                    <a:blip r:embed="rId40" cstate="print"/>
                    <a:stretch>
                      <a:fillRect/>
                    </a:stretch>
                  </pic:blipFill>
                  <pic:spPr>
                    <a:xfrm>
                      <a:off x="0" y="0"/>
                      <a:ext cx="5342548" cy="2511742"/>
                    </a:xfrm>
                    <a:prstGeom prst="rect">
                      <a:avLst/>
                    </a:prstGeom>
                  </pic:spPr>
                </pic:pic>
              </a:graphicData>
            </a:graphic>
          </wp:anchor>
        </w:drawing>
      </w:r>
      <w:r>
        <w:rPr>
          <w:b/>
          <w:w w:val="105"/>
          <w:sz w:val="17"/>
        </w:rPr>
        <w:t>Diseño  General  del estudio</w:t>
      </w:r>
      <w:r>
        <w:rPr>
          <w:w w:val="105"/>
          <w:sz w:val="21"/>
        </w:rPr>
        <w:t>.</w:t>
      </w:r>
    </w:p>
    <w:p>
      <w:pPr>
        <w:spacing w:after="0"/>
        <w:jc w:val="both"/>
        <w:rPr>
          <w:sz w:val="21"/>
        </w:rPr>
        <w:sectPr>
          <w:footerReference w:type="default" r:id="rId39"/>
          <w:pgSz w:w="12240" w:h="15840"/>
          <w:pgMar w:footer="1234" w:header="1209" w:top="1400" w:bottom="1420" w:left="1560" w:right="1400"/>
          <w:pgNumType w:start="21"/>
        </w:sectPr>
      </w:pPr>
    </w:p>
    <w:p>
      <w:pPr>
        <w:pStyle w:val="BodyText"/>
        <w:spacing w:before="7"/>
        <w:rPr>
          <w:sz w:val="27"/>
        </w:rPr>
      </w:pPr>
    </w:p>
    <w:p>
      <w:pPr>
        <w:pStyle w:val="Heading3"/>
      </w:pPr>
      <w:bookmarkStart w:name="_TOC_250013" w:id="9"/>
      <w:bookmarkEnd w:id="9"/>
      <w:r>
        <w:rPr>
          <w:w w:val="105"/>
        </w:rPr>
        <w:t>Hipótesis</w:t>
      </w:r>
    </w:p>
    <w:p>
      <w:pPr>
        <w:pStyle w:val="BodyText"/>
        <w:spacing w:line="376" w:lineRule="auto" w:before="137"/>
        <w:ind w:left="139" w:right="118"/>
        <w:jc w:val="both"/>
      </w:pPr>
      <w:r>
        <w:rPr>
          <w:w w:val="105"/>
        </w:rPr>
        <w:t>En base a lo establecido y ante la evidencia de que la luna ejerce un efecto gravitatorio  de atracción sobre los componentes líquidos y modifica los patrones de reproducción de una gran diversidad de especies  se establece la siguiente</w:t>
      </w:r>
      <w:r>
        <w:rPr>
          <w:spacing w:val="-40"/>
          <w:w w:val="105"/>
        </w:rPr>
        <w:t> </w:t>
      </w:r>
      <w:r>
        <w:rPr>
          <w:w w:val="105"/>
        </w:rPr>
        <w:t>hipótesis.</w:t>
      </w:r>
    </w:p>
    <w:p>
      <w:pPr>
        <w:pStyle w:val="BodyText"/>
        <w:spacing w:line="376" w:lineRule="auto" w:before="4"/>
        <w:ind w:left="139" w:right="120"/>
        <w:jc w:val="both"/>
      </w:pPr>
      <w:r>
        <w:rPr>
          <w:w w:val="105"/>
        </w:rPr>
        <w:t>Si la luna al encontrarse en su órbita más cercana a la tierra ejerce un efecto gravitatorio sobre todos los objetos localizados en la superficie, principalmente de componente  líquido, entonces al tratarse la cavidad uterina de un componente con una gran cantidad de líquido amniótico, la luna mostrara un efecto sobre los nacimientos, influenciando el desarrollo del trabajo de parto, reflejándose en una mayor frecuencia de nacimientos en los momentos con una mayor cercanía (100% de luminosidad y 0% de</w:t>
      </w:r>
      <w:r>
        <w:rPr>
          <w:spacing w:val="-41"/>
          <w:w w:val="105"/>
        </w:rPr>
        <w:t> </w:t>
      </w:r>
      <w:r>
        <w:rPr>
          <w:w w:val="105"/>
        </w:rPr>
        <w:t>luminosidad).</w:t>
      </w:r>
    </w:p>
    <w:p>
      <w:pPr>
        <w:pStyle w:val="BodyText"/>
        <w:rPr>
          <w:sz w:val="22"/>
        </w:rPr>
      </w:pPr>
    </w:p>
    <w:p>
      <w:pPr>
        <w:pStyle w:val="Heading3"/>
        <w:spacing w:before="130"/>
      </w:pPr>
      <w:bookmarkStart w:name="_TOC_250012" w:id="10"/>
      <w:bookmarkEnd w:id="10"/>
      <w:r>
        <w:rPr>
          <w:w w:val="105"/>
        </w:rPr>
        <w:t>Objetivo general</w:t>
      </w:r>
    </w:p>
    <w:p>
      <w:pPr>
        <w:pStyle w:val="BodyText"/>
        <w:spacing w:line="376" w:lineRule="auto" w:before="137"/>
        <w:ind w:left="139" w:right="120"/>
        <w:jc w:val="both"/>
      </w:pPr>
      <w:r>
        <w:rPr>
          <w:w w:val="105"/>
        </w:rPr>
        <w:t>Establecer qué tipo de función se forma al correlacionar los números de nacimientos acorde al porcentaje de luz, que se determinará mediante lo presentado en la página web </w:t>
      </w:r>
      <w:hyperlink r:id="rId41">
        <w:r>
          <w:rPr>
            <w:color w:val="0000FF"/>
            <w:w w:val="105"/>
            <w:u w:val="single" w:color="0000FF"/>
          </w:rPr>
          <w:t>http://www.sbkmexico.com</w:t>
        </w:r>
      </w:hyperlink>
      <w:r>
        <w:rPr>
          <w:color w:val="0000FF"/>
          <w:w w:val="105"/>
          <w:u w:val="single" w:color="0000FF"/>
        </w:rPr>
        <w:t> </w:t>
      </w:r>
      <w:r>
        <w:rPr>
          <w:w w:val="105"/>
        </w:rPr>
        <w:t>en la cual nos informa el porcentaje de luz de cada día del  año, en base a la localización sobre la superficie de la</w:t>
      </w:r>
      <w:r>
        <w:rPr>
          <w:spacing w:val="-39"/>
          <w:w w:val="105"/>
        </w:rPr>
        <w:t> </w:t>
      </w:r>
      <w:r>
        <w:rPr>
          <w:w w:val="105"/>
        </w:rPr>
        <w:t>tierra.</w:t>
      </w:r>
    </w:p>
    <w:p>
      <w:pPr>
        <w:pStyle w:val="BodyText"/>
        <w:rPr>
          <w:sz w:val="22"/>
        </w:rPr>
      </w:pPr>
    </w:p>
    <w:p>
      <w:pPr>
        <w:pStyle w:val="Heading3"/>
        <w:spacing w:before="130"/>
      </w:pPr>
      <w:bookmarkStart w:name="_TOC_250011" w:id="11"/>
      <w:bookmarkEnd w:id="11"/>
      <w:r>
        <w:rPr>
          <w:w w:val="105"/>
        </w:rPr>
        <w:t>Objetivo secundario</w:t>
      </w:r>
    </w:p>
    <w:p>
      <w:pPr>
        <w:pStyle w:val="ListParagraph"/>
        <w:numPr>
          <w:ilvl w:val="1"/>
          <w:numId w:val="3"/>
        </w:numPr>
        <w:tabs>
          <w:tab w:pos="1427" w:val="left" w:leader="none"/>
        </w:tabs>
        <w:spacing w:line="372" w:lineRule="auto" w:before="138" w:after="0"/>
        <w:ind w:left="1426" w:right="119" w:hanging="360"/>
        <w:jc w:val="both"/>
        <w:rPr>
          <w:sz w:val="21"/>
        </w:rPr>
      </w:pPr>
      <w:r>
        <w:rPr>
          <w:w w:val="105"/>
          <w:sz w:val="21"/>
        </w:rPr>
        <w:t>Establecer las principales características de los productos al nacimiento enfocados principalmente en el porcentaje de productos pretérmino, productos a término y  su peso al</w:t>
      </w:r>
      <w:r>
        <w:rPr>
          <w:spacing w:val="-24"/>
          <w:w w:val="105"/>
          <w:sz w:val="21"/>
        </w:rPr>
        <w:t> </w:t>
      </w:r>
      <w:r>
        <w:rPr>
          <w:w w:val="105"/>
          <w:sz w:val="21"/>
        </w:rPr>
        <w:t>nacimiento.</w:t>
      </w:r>
    </w:p>
    <w:p>
      <w:pPr>
        <w:pStyle w:val="ListParagraph"/>
        <w:numPr>
          <w:ilvl w:val="1"/>
          <w:numId w:val="3"/>
        </w:numPr>
        <w:tabs>
          <w:tab w:pos="1427" w:val="left" w:leader="none"/>
        </w:tabs>
        <w:spacing w:line="372" w:lineRule="auto" w:before="13" w:after="0"/>
        <w:ind w:left="1426" w:right="120" w:hanging="360"/>
        <w:jc w:val="both"/>
        <w:rPr>
          <w:sz w:val="21"/>
        </w:rPr>
      </w:pPr>
      <w:r>
        <w:rPr>
          <w:w w:val="105"/>
          <w:sz w:val="21"/>
        </w:rPr>
        <w:t>Comparar los resultados de la relación entre nacimientos y la luna mediante el análisis cuantitativo y el análisis establecido por otros autores fundamentados en la  comparación de</w:t>
      </w:r>
      <w:r>
        <w:rPr>
          <w:spacing w:val="-26"/>
          <w:w w:val="105"/>
          <w:sz w:val="21"/>
        </w:rPr>
        <w:t> </w:t>
      </w:r>
      <w:r>
        <w:rPr>
          <w:w w:val="105"/>
          <w:sz w:val="21"/>
        </w:rPr>
        <w:t>medias.</w:t>
      </w:r>
    </w:p>
    <w:p>
      <w:pPr>
        <w:spacing w:after="0" w:line="372" w:lineRule="auto"/>
        <w:jc w:val="both"/>
        <w:rPr>
          <w:sz w:val="21"/>
        </w:rPr>
        <w:sectPr>
          <w:pgSz w:w="12240" w:h="15840"/>
          <w:pgMar w:header="1209" w:footer="1234" w:top="1400" w:bottom="1420" w:left="1560" w:right="1580"/>
        </w:sectPr>
      </w:pPr>
    </w:p>
    <w:p>
      <w:pPr>
        <w:pStyle w:val="BodyText"/>
        <w:spacing w:before="7"/>
        <w:rPr>
          <w:sz w:val="27"/>
        </w:rPr>
      </w:pPr>
    </w:p>
    <w:p>
      <w:pPr>
        <w:pStyle w:val="Heading3"/>
      </w:pPr>
      <w:bookmarkStart w:name="_TOC_250010" w:id="12"/>
      <w:bookmarkEnd w:id="12"/>
      <w:r>
        <w:rPr>
          <w:w w:val="105"/>
        </w:rPr>
        <w:t>Variables de estudio</w:t>
      </w:r>
    </w:p>
    <w:p>
      <w:pPr>
        <w:pStyle w:val="BodyText"/>
        <w:spacing w:before="6"/>
        <w:rPr>
          <w:b/>
          <w:sz w:val="11"/>
        </w:rPr>
      </w:pPr>
    </w:p>
    <w:tbl>
      <w:tblPr>
        <w:tblW w:w="0" w:type="auto"/>
        <w:jc w:val="left"/>
        <w:tblInd w:w="3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97"/>
        <w:gridCol w:w="2650"/>
        <w:gridCol w:w="3134"/>
      </w:tblGrid>
      <w:tr>
        <w:trPr>
          <w:trHeight w:val="346" w:hRule="exact"/>
        </w:trPr>
        <w:tc>
          <w:tcPr>
            <w:tcW w:w="8381" w:type="dxa"/>
            <w:gridSpan w:val="3"/>
            <w:shd w:val="clear" w:color="auto" w:fill="D9D9D9"/>
          </w:tcPr>
          <w:p>
            <w:pPr>
              <w:pStyle w:val="TableParagraph"/>
              <w:spacing w:line="240" w:lineRule="auto" w:before="48"/>
              <w:ind w:left="3037" w:right="3037"/>
              <w:jc w:val="center"/>
              <w:rPr>
                <w:sz w:val="21"/>
              </w:rPr>
            </w:pPr>
            <w:r>
              <w:rPr>
                <w:w w:val="105"/>
                <w:sz w:val="21"/>
              </w:rPr>
              <w:t>Variable independiente</w:t>
            </w:r>
          </w:p>
        </w:tc>
      </w:tr>
      <w:tr>
        <w:trPr>
          <w:trHeight w:val="350" w:hRule="exact"/>
        </w:trPr>
        <w:tc>
          <w:tcPr>
            <w:tcW w:w="2597" w:type="dxa"/>
          </w:tcPr>
          <w:p>
            <w:pPr>
              <w:pStyle w:val="TableParagraph"/>
              <w:spacing w:line="240" w:lineRule="auto" w:before="52"/>
              <w:rPr>
                <w:i/>
                <w:sz w:val="21"/>
              </w:rPr>
            </w:pPr>
            <w:r>
              <w:rPr>
                <w:i/>
                <w:w w:val="105"/>
                <w:sz w:val="21"/>
              </w:rPr>
              <w:t>Nombre de la variable</w:t>
            </w:r>
          </w:p>
        </w:tc>
        <w:tc>
          <w:tcPr>
            <w:tcW w:w="2650" w:type="dxa"/>
          </w:tcPr>
          <w:p>
            <w:pPr>
              <w:pStyle w:val="TableParagraph"/>
              <w:spacing w:line="240" w:lineRule="auto" w:before="52"/>
              <w:ind w:left="100"/>
              <w:rPr>
                <w:i/>
                <w:sz w:val="21"/>
              </w:rPr>
            </w:pPr>
            <w:r>
              <w:rPr>
                <w:i/>
                <w:w w:val="105"/>
                <w:sz w:val="21"/>
              </w:rPr>
              <w:t>Tipo</w:t>
            </w:r>
          </w:p>
        </w:tc>
        <w:tc>
          <w:tcPr>
            <w:tcW w:w="3134" w:type="dxa"/>
          </w:tcPr>
          <w:p>
            <w:pPr>
              <w:pStyle w:val="TableParagraph"/>
              <w:spacing w:line="240" w:lineRule="auto" w:before="52"/>
              <w:ind w:left="100"/>
              <w:rPr>
                <w:i/>
                <w:sz w:val="21"/>
              </w:rPr>
            </w:pPr>
            <w:r>
              <w:rPr>
                <w:i/>
                <w:w w:val="105"/>
                <w:sz w:val="21"/>
              </w:rPr>
              <w:t>Forma de Medición</w:t>
            </w:r>
          </w:p>
        </w:tc>
      </w:tr>
      <w:tr>
        <w:trPr>
          <w:trHeight w:val="350" w:hRule="exact"/>
        </w:trPr>
        <w:tc>
          <w:tcPr>
            <w:tcW w:w="2597" w:type="dxa"/>
          </w:tcPr>
          <w:p>
            <w:pPr>
              <w:pStyle w:val="TableParagraph"/>
              <w:spacing w:line="240" w:lineRule="auto" w:before="52"/>
              <w:ind w:left="671"/>
              <w:rPr>
                <w:sz w:val="21"/>
              </w:rPr>
            </w:pPr>
            <w:r>
              <w:rPr>
                <w:w w:val="105"/>
                <w:sz w:val="21"/>
              </w:rPr>
              <w:t>Luminosidad</w:t>
            </w:r>
          </w:p>
        </w:tc>
        <w:tc>
          <w:tcPr>
            <w:tcW w:w="2650" w:type="dxa"/>
          </w:tcPr>
          <w:p>
            <w:pPr>
              <w:pStyle w:val="TableParagraph"/>
              <w:spacing w:line="240" w:lineRule="auto" w:before="52"/>
              <w:ind w:left="198"/>
              <w:rPr>
                <w:sz w:val="21"/>
              </w:rPr>
            </w:pPr>
            <w:r>
              <w:rPr>
                <w:w w:val="105"/>
                <w:sz w:val="21"/>
              </w:rPr>
              <w:t>Cuantitativa - Continua</w:t>
            </w:r>
          </w:p>
        </w:tc>
        <w:tc>
          <w:tcPr>
            <w:tcW w:w="3134" w:type="dxa"/>
          </w:tcPr>
          <w:p>
            <w:pPr>
              <w:pStyle w:val="TableParagraph"/>
              <w:spacing w:line="240" w:lineRule="auto" w:before="52"/>
              <w:ind w:left="832"/>
              <w:rPr>
                <w:sz w:val="21"/>
              </w:rPr>
            </w:pPr>
            <w:r>
              <w:rPr>
                <w:w w:val="105"/>
                <w:sz w:val="21"/>
              </w:rPr>
              <w:t>Porcentaje (%)</w:t>
            </w:r>
          </w:p>
        </w:tc>
      </w:tr>
      <w:tr>
        <w:trPr>
          <w:trHeight w:val="350" w:hRule="exact"/>
        </w:trPr>
        <w:tc>
          <w:tcPr>
            <w:tcW w:w="2597" w:type="dxa"/>
          </w:tcPr>
          <w:p>
            <w:pPr>
              <w:pStyle w:val="TableParagraph"/>
              <w:spacing w:line="240" w:lineRule="auto" w:before="48"/>
              <w:ind w:left="775"/>
              <w:rPr>
                <w:sz w:val="21"/>
              </w:rPr>
            </w:pPr>
            <w:r>
              <w:rPr>
                <w:w w:val="105"/>
                <w:sz w:val="21"/>
              </w:rPr>
              <w:t>Fase lunar</w:t>
            </w:r>
          </w:p>
        </w:tc>
        <w:tc>
          <w:tcPr>
            <w:tcW w:w="2650" w:type="dxa"/>
          </w:tcPr>
          <w:p>
            <w:pPr>
              <w:pStyle w:val="TableParagraph"/>
              <w:spacing w:line="240" w:lineRule="auto" w:before="48"/>
              <w:ind w:left="290"/>
              <w:rPr>
                <w:sz w:val="21"/>
              </w:rPr>
            </w:pPr>
            <w:r>
              <w:rPr>
                <w:w w:val="105"/>
                <w:sz w:val="21"/>
              </w:rPr>
              <w:t>Cualitativa   - Ordinal</w:t>
            </w:r>
          </w:p>
        </w:tc>
        <w:tc>
          <w:tcPr>
            <w:tcW w:w="3134" w:type="dxa"/>
          </w:tcPr>
          <w:p>
            <w:pPr>
              <w:pStyle w:val="TableParagraph"/>
              <w:spacing w:line="240" w:lineRule="auto" w:before="48"/>
              <w:ind w:left="514"/>
              <w:rPr>
                <w:sz w:val="21"/>
              </w:rPr>
            </w:pPr>
            <w:r>
              <w:rPr>
                <w:w w:val="105"/>
                <w:sz w:val="21"/>
              </w:rPr>
              <w:t>Etapas del ciclo lunar</w:t>
            </w:r>
          </w:p>
        </w:tc>
      </w:tr>
      <w:tr>
        <w:trPr>
          <w:trHeight w:val="518" w:hRule="exact"/>
        </w:trPr>
        <w:tc>
          <w:tcPr>
            <w:tcW w:w="2597" w:type="dxa"/>
          </w:tcPr>
          <w:p>
            <w:pPr>
              <w:pStyle w:val="TableParagraph"/>
              <w:spacing w:line="240" w:lineRule="auto" w:before="134"/>
              <w:ind w:left="787"/>
              <w:rPr>
                <w:sz w:val="21"/>
              </w:rPr>
            </w:pPr>
            <w:r>
              <w:rPr>
                <w:w w:val="105"/>
                <w:sz w:val="21"/>
              </w:rPr>
              <w:t>Luna llena</w:t>
            </w:r>
          </w:p>
        </w:tc>
        <w:tc>
          <w:tcPr>
            <w:tcW w:w="2650" w:type="dxa"/>
          </w:tcPr>
          <w:p>
            <w:pPr>
              <w:pStyle w:val="TableParagraph"/>
              <w:spacing w:line="240" w:lineRule="auto" w:before="134"/>
              <w:ind w:left="101"/>
              <w:rPr>
                <w:sz w:val="21"/>
              </w:rPr>
            </w:pPr>
            <w:r>
              <w:rPr>
                <w:w w:val="105"/>
                <w:sz w:val="21"/>
              </w:rPr>
              <w:t>Cualitativa   - Dicotómica</w:t>
            </w:r>
          </w:p>
        </w:tc>
        <w:tc>
          <w:tcPr>
            <w:tcW w:w="3134" w:type="dxa"/>
          </w:tcPr>
          <w:p>
            <w:pPr>
              <w:pStyle w:val="TableParagraph"/>
              <w:spacing w:line="252" w:lineRule="auto" w:before="4"/>
              <w:ind w:left="789" w:right="517" w:firstLine="171"/>
              <w:rPr>
                <w:sz w:val="21"/>
              </w:rPr>
            </w:pPr>
            <w:r>
              <w:rPr>
                <w:w w:val="105"/>
                <w:sz w:val="21"/>
              </w:rPr>
              <w:t>1.Luna llena 0.No Luna llena</w:t>
            </w:r>
          </w:p>
        </w:tc>
      </w:tr>
      <w:tr>
        <w:trPr>
          <w:trHeight w:val="350" w:hRule="exact"/>
        </w:trPr>
        <w:tc>
          <w:tcPr>
            <w:tcW w:w="8381" w:type="dxa"/>
            <w:gridSpan w:val="3"/>
            <w:shd w:val="clear" w:color="auto" w:fill="D9D9D9"/>
          </w:tcPr>
          <w:p>
            <w:pPr>
              <w:pStyle w:val="TableParagraph"/>
              <w:spacing w:line="240" w:lineRule="auto" w:before="48"/>
              <w:ind w:left="3037" w:right="3037"/>
              <w:jc w:val="center"/>
              <w:rPr>
                <w:sz w:val="21"/>
              </w:rPr>
            </w:pPr>
            <w:r>
              <w:rPr>
                <w:w w:val="105"/>
                <w:sz w:val="21"/>
              </w:rPr>
              <w:t>Variable dependiente</w:t>
            </w:r>
          </w:p>
        </w:tc>
      </w:tr>
      <w:tr>
        <w:trPr>
          <w:trHeight w:val="350" w:hRule="exact"/>
        </w:trPr>
        <w:tc>
          <w:tcPr>
            <w:tcW w:w="2597" w:type="dxa"/>
          </w:tcPr>
          <w:p>
            <w:pPr>
              <w:pStyle w:val="TableParagraph"/>
              <w:spacing w:line="240" w:lineRule="auto" w:before="48"/>
              <w:rPr>
                <w:i/>
                <w:sz w:val="21"/>
              </w:rPr>
            </w:pPr>
            <w:r>
              <w:rPr>
                <w:i/>
                <w:w w:val="105"/>
                <w:sz w:val="21"/>
              </w:rPr>
              <w:t>Nombre de la variable</w:t>
            </w:r>
          </w:p>
        </w:tc>
        <w:tc>
          <w:tcPr>
            <w:tcW w:w="2650" w:type="dxa"/>
          </w:tcPr>
          <w:p>
            <w:pPr>
              <w:pStyle w:val="TableParagraph"/>
              <w:spacing w:line="240" w:lineRule="auto" w:before="48"/>
              <w:ind w:left="100"/>
              <w:rPr>
                <w:i/>
                <w:sz w:val="21"/>
              </w:rPr>
            </w:pPr>
            <w:r>
              <w:rPr>
                <w:i/>
                <w:w w:val="105"/>
                <w:sz w:val="21"/>
              </w:rPr>
              <w:t>Tipo</w:t>
            </w:r>
          </w:p>
        </w:tc>
        <w:tc>
          <w:tcPr>
            <w:tcW w:w="3134" w:type="dxa"/>
          </w:tcPr>
          <w:p>
            <w:pPr>
              <w:pStyle w:val="TableParagraph"/>
              <w:spacing w:line="240" w:lineRule="auto" w:before="48"/>
              <w:ind w:left="100"/>
              <w:rPr>
                <w:i/>
                <w:sz w:val="21"/>
              </w:rPr>
            </w:pPr>
            <w:r>
              <w:rPr>
                <w:i/>
                <w:w w:val="105"/>
                <w:sz w:val="21"/>
              </w:rPr>
              <w:t>Forma de Medición</w:t>
            </w:r>
          </w:p>
        </w:tc>
      </w:tr>
      <w:tr>
        <w:trPr>
          <w:trHeight w:val="346" w:hRule="exact"/>
        </w:trPr>
        <w:tc>
          <w:tcPr>
            <w:tcW w:w="2597" w:type="dxa"/>
          </w:tcPr>
          <w:p>
            <w:pPr>
              <w:pStyle w:val="TableParagraph"/>
              <w:spacing w:line="240" w:lineRule="auto" w:before="48"/>
              <w:ind w:left="133"/>
              <w:rPr>
                <w:sz w:val="21"/>
              </w:rPr>
            </w:pPr>
            <w:r>
              <w:rPr>
                <w:w w:val="105"/>
                <w:sz w:val="21"/>
              </w:rPr>
              <w:t>Número de nacimientos</w:t>
            </w:r>
          </w:p>
        </w:tc>
        <w:tc>
          <w:tcPr>
            <w:tcW w:w="2650" w:type="dxa"/>
          </w:tcPr>
          <w:p>
            <w:pPr>
              <w:pStyle w:val="TableParagraph"/>
              <w:spacing w:line="240" w:lineRule="auto" w:before="48"/>
              <w:ind w:left="235"/>
              <w:rPr>
                <w:sz w:val="21"/>
              </w:rPr>
            </w:pPr>
            <w:r>
              <w:rPr>
                <w:w w:val="105"/>
                <w:sz w:val="21"/>
              </w:rPr>
              <w:t>Cuantitativa- Discreta</w:t>
            </w:r>
          </w:p>
        </w:tc>
        <w:tc>
          <w:tcPr>
            <w:tcW w:w="3134" w:type="dxa"/>
          </w:tcPr>
          <w:p>
            <w:pPr>
              <w:pStyle w:val="TableParagraph"/>
              <w:spacing w:line="240" w:lineRule="auto" w:before="48"/>
              <w:ind w:left="190"/>
              <w:rPr>
                <w:sz w:val="21"/>
              </w:rPr>
            </w:pPr>
            <w:r>
              <w:rPr>
                <w:w w:val="105"/>
                <w:sz w:val="21"/>
              </w:rPr>
              <w:t>Serie de números continuos</w:t>
            </w:r>
          </w:p>
        </w:tc>
      </w:tr>
      <w:tr>
        <w:trPr>
          <w:trHeight w:val="518" w:hRule="exact"/>
        </w:trPr>
        <w:tc>
          <w:tcPr>
            <w:tcW w:w="2597" w:type="dxa"/>
          </w:tcPr>
          <w:p>
            <w:pPr>
              <w:pStyle w:val="TableParagraph"/>
              <w:spacing w:line="240" w:lineRule="auto" w:before="134"/>
              <w:ind w:left="451"/>
              <w:rPr>
                <w:sz w:val="21"/>
              </w:rPr>
            </w:pPr>
            <w:r>
              <w:rPr>
                <w:w w:val="105"/>
                <w:sz w:val="21"/>
              </w:rPr>
              <w:t>Edad gestacional</w:t>
            </w:r>
          </w:p>
        </w:tc>
        <w:tc>
          <w:tcPr>
            <w:tcW w:w="2650" w:type="dxa"/>
          </w:tcPr>
          <w:p>
            <w:pPr>
              <w:pStyle w:val="TableParagraph"/>
              <w:spacing w:line="240" w:lineRule="auto" w:before="134"/>
              <w:ind w:left="229"/>
              <w:rPr>
                <w:sz w:val="21"/>
              </w:rPr>
            </w:pPr>
            <w:r>
              <w:rPr>
                <w:w w:val="105"/>
                <w:sz w:val="21"/>
              </w:rPr>
              <w:t>Cuantitativa- Continua</w:t>
            </w:r>
          </w:p>
        </w:tc>
        <w:tc>
          <w:tcPr>
            <w:tcW w:w="3134" w:type="dxa"/>
          </w:tcPr>
          <w:p>
            <w:pPr>
              <w:pStyle w:val="TableParagraph"/>
              <w:spacing w:line="247" w:lineRule="auto" w:before="9"/>
              <w:ind w:left="398" w:firstLine="128"/>
              <w:rPr>
                <w:sz w:val="21"/>
              </w:rPr>
            </w:pPr>
            <w:r>
              <w:rPr>
                <w:w w:val="105"/>
                <w:sz w:val="21"/>
              </w:rPr>
              <w:t>Estimada en serie de números con decimales</w:t>
            </w:r>
          </w:p>
        </w:tc>
      </w:tr>
      <w:tr>
        <w:trPr>
          <w:trHeight w:val="518" w:hRule="exact"/>
        </w:trPr>
        <w:tc>
          <w:tcPr>
            <w:tcW w:w="2597" w:type="dxa"/>
          </w:tcPr>
          <w:p>
            <w:pPr>
              <w:pStyle w:val="TableParagraph"/>
              <w:spacing w:line="240" w:lineRule="auto" w:before="129"/>
              <w:ind w:left="188"/>
              <w:rPr>
                <w:sz w:val="21"/>
              </w:rPr>
            </w:pPr>
            <w:r>
              <w:rPr>
                <w:w w:val="105"/>
                <w:sz w:val="21"/>
              </w:rPr>
              <w:t>Madurez al nacimiento</w:t>
            </w:r>
          </w:p>
        </w:tc>
        <w:tc>
          <w:tcPr>
            <w:tcW w:w="2650" w:type="dxa"/>
          </w:tcPr>
          <w:p>
            <w:pPr>
              <w:pStyle w:val="TableParagraph"/>
              <w:spacing w:line="240" w:lineRule="auto" w:before="129"/>
              <w:ind w:left="150"/>
              <w:rPr>
                <w:sz w:val="21"/>
              </w:rPr>
            </w:pPr>
            <w:r>
              <w:rPr>
                <w:w w:val="105"/>
                <w:sz w:val="21"/>
              </w:rPr>
              <w:t>Cualitativa - dicotómica</w:t>
            </w:r>
          </w:p>
        </w:tc>
        <w:tc>
          <w:tcPr>
            <w:tcW w:w="3134" w:type="dxa"/>
          </w:tcPr>
          <w:p>
            <w:pPr>
              <w:pStyle w:val="TableParagraph"/>
              <w:spacing w:line="240" w:lineRule="auto" w:before="4"/>
              <w:ind w:left="737" w:right="742"/>
              <w:jc w:val="center"/>
              <w:rPr>
                <w:sz w:val="21"/>
              </w:rPr>
            </w:pPr>
            <w:r>
              <w:rPr>
                <w:w w:val="105"/>
                <w:sz w:val="21"/>
              </w:rPr>
              <w:t>1-Prematuro</w:t>
            </w:r>
          </w:p>
          <w:p>
            <w:pPr>
              <w:pStyle w:val="TableParagraph"/>
              <w:spacing w:line="240" w:lineRule="auto" w:before="13"/>
              <w:ind w:left="737" w:right="742"/>
              <w:jc w:val="center"/>
              <w:rPr>
                <w:sz w:val="21"/>
              </w:rPr>
            </w:pPr>
            <w:r>
              <w:rPr>
                <w:w w:val="105"/>
                <w:sz w:val="21"/>
              </w:rPr>
              <w:t>0- No prematuro</w:t>
            </w:r>
          </w:p>
        </w:tc>
      </w:tr>
    </w:tbl>
    <w:p>
      <w:pPr>
        <w:pStyle w:val="BodyText"/>
        <w:rPr>
          <w:b/>
          <w:sz w:val="22"/>
        </w:rPr>
      </w:pPr>
    </w:p>
    <w:p>
      <w:pPr>
        <w:pStyle w:val="BodyText"/>
        <w:spacing w:before="11"/>
        <w:rPr>
          <w:b/>
          <w:sz w:val="20"/>
        </w:rPr>
      </w:pPr>
    </w:p>
    <w:p>
      <w:pPr>
        <w:spacing w:before="0"/>
        <w:ind w:left="139" w:right="0" w:firstLine="0"/>
        <w:jc w:val="both"/>
        <w:rPr>
          <w:i/>
          <w:sz w:val="21"/>
        </w:rPr>
      </w:pPr>
      <w:r>
        <w:rPr>
          <w:i/>
          <w:w w:val="105"/>
          <w:sz w:val="21"/>
        </w:rPr>
        <w:t>Operacionalización de la variable Luminosidad.</w:t>
      </w:r>
    </w:p>
    <w:p>
      <w:pPr>
        <w:pStyle w:val="BodyText"/>
        <w:spacing w:before="6"/>
        <w:rPr>
          <w:i/>
        </w:rPr>
      </w:pPr>
    </w:p>
    <w:p>
      <w:pPr>
        <w:pStyle w:val="BodyText"/>
        <w:spacing w:line="288" w:lineRule="auto"/>
        <w:ind w:left="139" w:right="118"/>
        <w:jc w:val="both"/>
      </w:pPr>
      <w:r>
        <w:rPr/>
        <w:pict>
          <v:group style="position:absolute;margin-left:396.200012pt;margin-top:134.298874pt;width:131.4pt;height:22pt;mso-position-horizontal-relative:page;mso-position-vertical-relative:paragraph;z-index:-43648" coordorigin="7924,2686" coordsize="2628,440">
            <v:shape style="position:absolute;left:7924;top:2686;width:2628;height:440" type="#_x0000_t75" stroked="false">
              <v:imagedata r:id="rId42" o:title=""/>
            </v:shape>
            <v:shape style="position:absolute;left:7924;top:2686;width:2628;height:440" type="#_x0000_t202" filled="false" stroked="false">
              <v:textbox inset="0,0,0,0">
                <w:txbxContent>
                  <w:p>
                    <w:pPr>
                      <w:spacing w:before="98"/>
                      <w:ind w:left="153" w:right="0" w:firstLine="0"/>
                      <w:jc w:val="left"/>
                      <w:rPr>
                        <w:rFonts w:ascii="Calibri" w:hAnsi="Calibri"/>
                        <w:sz w:val="21"/>
                      </w:rPr>
                    </w:pPr>
                    <w:r>
                      <w:rPr>
                        <w:rFonts w:ascii="Calibri" w:hAnsi="Calibri"/>
                        <w:w w:val="105"/>
                        <w:sz w:val="21"/>
                      </w:rPr>
                      <w:t>Día del mes</w:t>
                    </w:r>
                  </w:p>
                </w:txbxContent>
              </v:textbox>
              <w10:wrap type="none"/>
            </v:shape>
            <w10:wrap type="none"/>
          </v:group>
        </w:pict>
      </w:r>
      <w:r>
        <w:rPr>
          <w:w w:val="105"/>
        </w:rPr>
        <w:t>La estimación de la luminosidad de la luna se realizara de acuerdo a los datos obtenidos del calendario lunar presente dentro del planetario móvil presente en  la  página  de internet sbkmexico.com auspiciado por la Sociedad Astronómica e investigación Charles Messier. Los datos se presentan en la página de internet acorde a la Figura No. 1, en cada una se presenta tanto el año, mes, día etapa de la luna y porcentaje  de  luminosidad.  En base a  dicho dato se construirá el gráfico para la</w:t>
      </w:r>
      <w:r>
        <w:rPr>
          <w:spacing w:val="-39"/>
          <w:w w:val="105"/>
        </w:rPr>
        <w:t> </w:t>
      </w:r>
      <w:r>
        <w:rPr>
          <w:w w:val="105"/>
        </w:rPr>
        <w:t>correlación.</w:t>
      </w:r>
    </w:p>
    <w:p>
      <w:pPr>
        <w:pStyle w:val="BodyText"/>
        <w:spacing w:before="10"/>
        <w:rPr>
          <w:sz w:val="13"/>
        </w:rPr>
      </w:pPr>
      <w:r>
        <w:rPr/>
        <w:pict>
          <v:group style="position:absolute;margin-left:85.050079pt;margin-top:9.923513pt;width:442.35pt;height:244.95pt;mso-position-horizontal-relative:page;mso-position-vertical-relative:paragraph;z-index:1336;mso-wrap-distance-left:0;mso-wrap-distance-right:0" coordorigin="1701,198" coordsize="8847,4899">
            <v:shape style="position:absolute;left:1701;top:198;width:5722;height:4899" type="#_x0000_t75" stroked="false">
              <v:imagedata r:id="rId43" o:title=""/>
            </v:shape>
            <v:line style="position:absolute" from="7069,1677" to="7729,1179" stroked="true" strokeweight="1.0pt" strokecolor="#5b92c7"/>
            <v:shape style="position:absolute;left:7569;top:1155;width:191;height:175" type="#_x0000_t75" stroked="false">
              <v:imagedata r:id="rId44" o:title=""/>
            </v:shape>
            <v:line style="position:absolute" from="7069,2276" to="7893,2670" stroked="true" strokeweight="1.0pt" strokecolor="#5b92c7"/>
            <v:shape style="position:absolute;left:7734;top:2533;width:195;height:170" type="#_x0000_t75" stroked="false">
              <v:imagedata r:id="rId45" o:title=""/>
            </v:shape>
            <v:shape style="position:absolute;left:7920;top:2492;width:2628;height:440" type="#_x0000_t75" stroked="false">
              <v:imagedata r:id="rId46" o:title=""/>
            </v:shape>
            <v:line style="position:absolute" from="3927,3791" to="7720,3808" stroked="true" strokeweight="1.0pt" strokecolor="#cc615a"/>
            <v:shape style="position:absolute;left:7577;top:3715;width:183;height:186" type="#_x0000_t75" stroked="false">
              <v:imagedata r:id="rId47" o:title=""/>
            </v:shape>
            <v:shape style="position:absolute;left:7916;top:3592;width:2628;height:440" type="#_x0000_t75" stroked="false">
              <v:imagedata r:id="rId48" o:title=""/>
            </v:shape>
            <v:shape style="position:absolute;left:8074;top:2617;width:1521;height:216" type="#_x0000_t202" filled="false" stroked="false">
              <v:textbox inset="0,0,0,0">
                <w:txbxContent>
                  <w:p>
                    <w:pPr>
                      <w:spacing w:line="216" w:lineRule="exact" w:before="0"/>
                      <w:ind w:left="0" w:right="-12" w:firstLine="0"/>
                      <w:jc w:val="left"/>
                      <w:rPr>
                        <w:rFonts w:ascii="Calibri"/>
                        <w:sz w:val="21"/>
                      </w:rPr>
                    </w:pPr>
                    <w:r>
                      <w:rPr>
                        <w:rFonts w:ascii="Calibri"/>
                        <w:w w:val="105"/>
                        <w:sz w:val="21"/>
                      </w:rPr>
                      <w:t>Intensidad de</w:t>
                    </w:r>
                    <w:r>
                      <w:rPr>
                        <w:rFonts w:ascii="Calibri"/>
                        <w:spacing w:val="-11"/>
                        <w:w w:val="105"/>
                        <w:sz w:val="21"/>
                      </w:rPr>
                      <w:t> </w:t>
                    </w:r>
                    <w:r>
                      <w:rPr>
                        <w:rFonts w:ascii="Calibri"/>
                        <w:w w:val="105"/>
                        <w:sz w:val="21"/>
                      </w:rPr>
                      <w:t>luz</w:t>
                    </w:r>
                  </w:p>
                </w:txbxContent>
              </v:textbox>
              <w10:wrap type="none"/>
            </v:shape>
            <v:shape style="position:absolute;left:8070;top:3717;width:910;height:216" type="#_x0000_t202" filled="false" stroked="false">
              <v:textbox inset="0,0,0,0">
                <w:txbxContent>
                  <w:p>
                    <w:pPr>
                      <w:spacing w:line="216" w:lineRule="exact" w:before="0"/>
                      <w:ind w:left="0" w:right="-16" w:firstLine="0"/>
                      <w:jc w:val="left"/>
                      <w:rPr>
                        <w:rFonts w:ascii="Calibri"/>
                        <w:sz w:val="21"/>
                      </w:rPr>
                    </w:pPr>
                    <w:r>
                      <w:rPr>
                        <w:rFonts w:ascii="Calibri"/>
                        <w:w w:val="105"/>
                        <w:sz w:val="21"/>
                      </w:rPr>
                      <w:t>Luna</w:t>
                    </w:r>
                    <w:r>
                      <w:rPr>
                        <w:rFonts w:ascii="Calibri"/>
                        <w:spacing w:val="-7"/>
                        <w:w w:val="105"/>
                        <w:sz w:val="21"/>
                      </w:rPr>
                      <w:t> </w:t>
                    </w:r>
                    <w:r>
                      <w:rPr>
                        <w:rFonts w:ascii="Calibri"/>
                        <w:w w:val="105"/>
                        <w:sz w:val="21"/>
                      </w:rPr>
                      <w:t>llena</w:t>
                    </w:r>
                  </w:p>
                </w:txbxContent>
              </v:textbox>
              <w10:wrap type="none"/>
            </v:shape>
            <w10:wrap type="topAndBottom"/>
          </v:group>
        </w:pict>
      </w:r>
    </w:p>
    <w:p>
      <w:pPr>
        <w:spacing w:after="0"/>
        <w:rPr>
          <w:sz w:val="13"/>
        </w:rPr>
        <w:sectPr>
          <w:pgSz w:w="12240" w:h="15840"/>
          <w:pgMar w:header="1209" w:footer="1234" w:top="1400" w:bottom="1420" w:left="1560" w:right="1580"/>
        </w:sectPr>
      </w:pPr>
    </w:p>
    <w:p>
      <w:pPr>
        <w:pStyle w:val="BodyText"/>
        <w:spacing w:before="2"/>
        <w:rPr>
          <w:sz w:val="27"/>
        </w:rPr>
      </w:pPr>
    </w:p>
    <w:p>
      <w:pPr>
        <w:pStyle w:val="Heading3"/>
        <w:ind w:right="82"/>
        <w:jc w:val="left"/>
      </w:pPr>
      <w:bookmarkStart w:name="_TOC_250009" w:id="13"/>
      <w:bookmarkEnd w:id="13"/>
      <w:r>
        <w:rPr>
          <w:w w:val="105"/>
        </w:rPr>
        <w:t>Cálculo de Tamaño de la muestra</w:t>
      </w:r>
    </w:p>
    <w:p>
      <w:pPr>
        <w:pStyle w:val="BodyText"/>
        <w:spacing w:before="10"/>
        <w:rPr>
          <w:b/>
          <w:sz w:val="29"/>
        </w:rPr>
      </w:pPr>
    </w:p>
    <w:p>
      <w:pPr>
        <w:pStyle w:val="BodyText"/>
        <w:spacing w:line="376" w:lineRule="auto"/>
        <w:ind w:left="139" w:right="180"/>
      </w:pPr>
      <w:r>
        <w:rPr>
          <w:w w:val="105"/>
        </w:rPr>
        <w:t>Debido a que se realizó un estudio ambilectivo de asociación para estimar si existe una relación entre la cercanía de la luna estimada por porcentaje y la frecuencia de nacimientos, se realizará un muestreo </w:t>
      </w:r>
      <w:r>
        <w:rPr>
          <w:i/>
          <w:w w:val="105"/>
        </w:rPr>
        <w:t>por conveniencia</w:t>
      </w:r>
      <w:r>
        <w:rPr>
          <w:w w:val="105"/>
        </w:rPr>
        <w:t>, recolectando todos los datos de los casos atendidos en los dos periodos de seguimiento. El periodo prospectivo correspondió de septiembre del 2011 a junio del 2013 y  el periodo retrospectivo de agosto del 2011 a enero del 2009, por lo que no se requiere el cálculo del tamaño de la muestra.</w:t>
      </w:r>
    </w:p>
    <w:p>
      <w:pPr>
        <w:pStyle w:val="BodyText"/>
        <w:spacing w:before="10"/>
        <w:rPr>
          <w:sz w:val="17"/>
        </w:rPr>
      </w:pPr>
    </w:p>
    <w:p>
      <w:pPr>
        <w:pStyle w:val="Heading3"/>
        <w:spacing w:before="0"/>
        <w:ind w:right="82"/>
        <w:jc w:val="left"/>
      </w:pPr>
      <w:bookmarkStart w:name="_TOC_250008" w:id="14"/>
      <w:bookmarkEnd w:id="14"/>
      <w:r>
        <w:rPr>
          <w:w w:val="105"/>
        </w:rPr>
        <w:t>Criterios de inclusión, exclusión y eliminación</w:t>
      </w:r>
    </w:p>
    <w:p>
      <w:pPr>
        <w:pStyle w:val="BodyText"/>
        <w:spacing w:before="10"/>
        <w:rPr>
          <w:b/>
          <w:sz w:val="29"/>
        </w:rPr>
      </w:pPr>
    </w:p>
    <w:p>
      <w:pPr>
        <w:pStyle w:val="BodyText"/>
        <w:spacing w:line="374" w:lineRule="auto"/>
        <w:ind w:left="139" w:right="82"/>
      </w:pPr>
      <w:r>
        <w:rPr>
          <w:w w:val="105"/>
        </w:rPr>
        <w:t>Debido a que se realizará un muestreo por conveniencia, se incluirán a todos los recién nacidos vivos que acudan para su atención al área de ginecoobstetricia del Hospital Regional de Cuautitlán y al Hospital Regional de Jilotepec</w:t>
      </w:r>
    </w:p>
    <w:p>
      <w:pPr>
        <w:pStyle w:val="BodyText"/>
        <w:spacing w:before="5"/>
        <w:rPr>
          <w:sz w:val="18"/>
        </w:rPr>
      </w:pPr>
    </w:p>
    <w:p>
      <w:pPr>
        <w:spacing w:before="0"/>
        <w:ind w:left="859" w:right="82" w:firstLine="0"/>
        <w:jc w:val="left"/>
        <w:rPr>
          <w:i/>
          <w:sz w:val="21"/>
        </w:rPr>
      </w:pPr>
      <w:r>
        <w:rPr>
          <w:i/>
          <w:w w:val="105"/>
          <w:sz w:val="21"/>
        </w:rPr>
        <w:t>Criterio de inclusión</w:t>
      </w:r>
    </w:p>
    <w:p>
      <w:pPr>
        <w:pStyle w:val="ListParagraph"/>
        <w:numPr>
          <w:ilvl w:val="2"/>
          <w:numId w:val="3"/>
        </w:numPr>
        <w:tabs>
          <w:tab w:pos="1579" w:val="left" w:leader="none"/>
          <w:tab w:pos="1580" w:val="left" w:leader="none"/>
        </w:tabs>
        <w:spacing w:line="240" w:lineRule="auto" w:before="138" w:after="0"/>
        <w:ind w:left="1579" w:right="0" w:hanging="360"/>
        <w:jc w:val="left"/>
        <w:rPr>
          <w:sz w:val="21"/>
        </w:rPr>
      </w:pPr>
      <w:r>
        <w:rPr>
          <w:w w:val="105"/>
          <w:sz w:val="21"/>
        </w:rPr>
        <w:t>Recién nacidos vivos y que reciban atención por parte de médico</w:t>
      </w:r>
      <w:r>
        <w:rPr>
          <w:spacing w:val="-40"/>
          <w:w w:val="105"/>
          <w:sz w:val="21"/>
        </w:rPr>
        <w:t> </w:t>
      </w:r>
      <w:r>
        <w:rPr>
          <w:w w:val="105"/>
          <w:sz w:val="21"/>
        </w:rPr>
        <w:t>pediatra.</w:t>
      </w:r>
    </w:p>
    <w:p>
      <w:pPr>
        <w:pStyle w:val="ListParagraph"/>
        <w:numPr>
          <w:ilvl w:val="2"/>
          <w:numId w:val="3"/>
        </w:numPr>
        <w:tabs>
          <w:tab w:pos="1579" w:val="left" w:leader="none"/>
          <w:tab w:pos="1580" w:val="left" w:leader="none"/>
        </w:tabs>
        <w:spacing w:line="367" w:lineRule="auto" w:before="136" w:after="0"/>
        <w:ind w:left="1579" w:right="501" w:hanging="360"/>
        <w:jc w:val="left"/>
        <w:rPr>
          <w:sz w:val="21"/>
        </w:rPr>
      </w:pPr>
      <w:r>
        <w:rPr>
          <w:w w:val="105"/>
          <w:sz w:val="21"/>
        </w:rPr>
        <w:t>Registro médico completo que incluya APGAR al nacimiento,</w:t>
      </w:r>
      <w:r>
        <w:rPr>
          <w:spacing w:val="-43"/>
          <w:w w:val="105"/>
          <w:sz w:val="21"/>
        </w:rPr>
        <w:t> </w:t>
      </w:r>
      <w:r>
        <w:rPr>
          <w:w w:val="105"/>
          <w:sz w:val="21"/>
        </w:rPr>
        <w:t>cálculo de edad gestacional, peso al</w:t>
      </w:r>
      <w:r>
        <w:rPr>
          <w:spacing w:val="-20"/>
          <w:w w:val="105"/>
          <w:sz w:val="21"/>
        </w:rPr>
        <w:t> </w:t>
      </w:r>
      <w:r>
        <w:rPr>
          <w:w w:val="105"/>
          <w:sz w:val="21"/>
        </w:rPr>
        <w:t>nacimiento.</w:t>
      </w:r>
    </w:p>
    <w:p>
      <w:pPr>
        <w:pStyle w:val="ListParagraph"/>
        <w:numPr>
          <w:ilvl w:val="2"/>
          <w:numId w:val="3"/>
        </w:numPr>
        <w:tabs>
          <w:tab w:pos="1579" w:val="left" w:leader="none"/>
          <w:tab w:pos="1580" w:val="left" w:leader="none"/>
        </w:tabs>
        <w:spacing w:line="367" w:lineRule="auto" w:before="13" w:after="0"/>
        <w:ind w:left="1579" w:right="599" w:hanging="360"/>
        <w:jc w:val="left"/>
        <w:rPr>
          <w:sz w:val="21"/>
        </w:rPr>
      </w:pPr>
      <w:r>
        <w:rPr>
          <w:w w:val="105"/>
          <w:sz w:val="21"/>
        </w:rPr>
        <w:t>Historia Clínica de la madre en donde se inscriba si se trata de madre primigesta o</w:t>
      </w:r>
      <w:r>
        <w:rPr>
          <w:spacing w:val="-16"/>
          <w:w w:val="105"/>
          <w:sz w:val="21"/>
        </w:rPr>
        <w:t> </w:t>
      </w:r>
      <w:r>
        <w:rPr>
          <w:w w:val="105"/>
          <w:sz w:val="21"/>
        </w:rPr>
        <w:t>multigestas.</w:t>
      </w:r>
    </w:p>
    <w:p>
      <w:pPr>
        <w:pStyle w:val="ListParagraph"/>
        <w:numPr>
          <w:ilvl w:val="2"/>
          <w:numId w:val="3"/>
        </w:numPr>
        <w:tabs>
          <w:tab w:pos="1579" w:val="left" w:leader="none"/>
          <w:tab w:pos="1580" w:val="left" w:leader="none"/>
        </w:tabs>
        <w:spacing w:line="362" w:lineRule="auto" w:before="13" w:after="0"/>
        <w:ind w:left="1579" w:right="132" w:hanging="360"/>
        <w:jc w:val="left"/>
        <w:rPr>
          <w:sz w:val="21"/>
        </w:rPr>
      </w:pPr>
      <w:r>
        <w:rPr>
          <w:w w:val="105"/>
          <w:sz w:val="21"/>
        </w:rPr>
        <w:t>Se incluirá a recién nacidos, independientemente si contaron con un</w:t>
      </w:r>
      <w:r>
        <w:rPr>
          <w:spacing w:val="-34"/>
          <w:w w:val="105"/>
          <w:sz w:val="21"/>
        </w:rPr>
        <w:t> </w:t>
      </w:r>
      <w:r>
        <w:rPr>
          <w:w w:val="105"/>
          <w:sz w:val="21"/>
        </w:rPr>
        <w:t>control perinatal.</w:t>
      </w:r>
    </w:p>
    <w:p>
      <w:pPr>
        <w:pStyle w:val="BodyText"/>
        <w:spacing w:before="1"/>
        <w:rPr>
          <w:sz w:val="19"/>
        </w:rPr>
      </w:pPr>
    </w:p>
    <w:p>
      <w:pPr>
        <w:spacing w:before="0"/>
        <w:ind w:left="848" w:right="82" w:firstLine="0"/>
        <w:jc w:val="left"/>
        <w:rPr>
          <w:i/>
          <w:sz w:val="21"/>
        </w:rPr>
      </w:pPr>
      <w:r>
        <w:rPr>
          <w:i/>
          <w:w w:val="105"/>
          <w:sz w:val="21"/>
        </w:rPr>
        <w:t>Criterio de exclusión</w:t>
      </w:r>
    </w:p>
    <w:p>
      <w:pPr>
        <w:pStyle w:val="BodyText"/>
        <w:spacing w:before="10"/>
        <w:rPr>
          <w:i/>
          <w:sz w:val="29"/>
        </w:rPr>
      </w:pPr>
    </w:p>
    <w:p>
      <w:pPr>
        <w:pStyle w:val="ListParagraph"/>
        <w:numPr>
          <w:ilvl w:val="3"/>
          <w:numId w:val="3"/>
        </w:numPr>
        <w:tabs>
          <w:tab w:pos="1939" w:val="left" w:leader="none"/>
          <w:tab w:pos="1940" w:val="left" w:leader="none"/>
        </w:tabs>
        <w:spacing w:line="240" w:lineRule="auto" w:before="1" w:after="0"/>
        <w:ind w:left="1939" w:right="0" w:hanging="360"/>
        <w:jc w:val="left"/>
        <w:rPr>
          <w:sz w:val="21"/>
        </w:rPr>
      </w:pPr>
      <w:r>
        <w:rPr>
          <w:w w:val="105"/>
          <w:sz w:val="21"/>
        </w:rPr>
        <w:t>Recién nacidos muertos al momento del</w:t>
      </w:r>
      <w:r>
        <w:rPr>
          <w:spacing w:val="-30"/>
          <w:w w:val="105"/>
          <w:sz w:val="21"/>
        </w:rPr>
        <w:t> </w:t>
      </w:r>
      <w:r>
        <w:rPr>
          <w:w w:val="105"/>
          <w:sz w:val="21"/>
        </w:rPr>
        <w:t>nacimiento</w:t>
      </w:r>
    </w:p>
    <w:p>
      <w:pPr>
        <w:pStyle w:val="ListParagraph"/>
        <w:numPr>
          <w:ilvl w:val="3"/>
          <w:numId w:val="3"/>
        </w:numPr>
        <w:tabs>
          <w:tab w:pos="1939" w:val="left" w:leader="none"/>
          <w:tab w:pos="1940" w:val="left" w:leader="none"/>
        </w:tabs>
        <w:spacing w:line="240" w:lineRule="auto" w:before="131" w:after="0"/>
        <w:ind w:left="1939" w:right="0" w:hanging="360"/>
        <w:jc w:val="left"/>
        <w:rPr>
          <w:sz w:val="21"/>
        </w:rPr>
      </w:pPr>
      <w:r>
        <w:rPr>
          <w:w w:val="105"/>
          <w:sz w:val="21"/>
        </w:rPr>
        <w:t>Abortos u</w:t>
      </w:r>
      <w:r>
        <w:rPr>
          <w:spacing w:val="-10"/>
          <w:w w:val="105"/>
          <w:sz w:val="21"/>
        </w:rPr>
        <w:t> </w:t>
      </w:r>
      <w:r>
        <w:rPr>
          <w:w w:val="105"/>
          <w:sz w:val="21"/>
        </w:rPr>
        <w:t>óbitos</w:t>
      </w:r>
    </w:p>
    <w:p>
      <w:pPr>
        <w:pStyle w:val="BodyText"/>
        <w:spacing w:before="4"/>
        <w:rPr>
          <w:sz w:val="29"/>
        </w:rPr>
      </w:pPr>
    </w:p>
    <w:p>
      <w:pPr>
        <w:spacing w:before="0"/>
        <w:ind w:left="848" w:right="82" w:firstLine="0"/>
        <w:jc w:val="left"/>
        <w:rPr>
          <w:i/>
          <w:sz w:val="21"/>
        </w:rPr>
      </w:pPr>
      <w:r>
        <w:rPr>
          <w:i/>
          <w:w w:val="105"/>
          <w:sz w:val="21"/>
        </w:rPr>
        <w:t>Criterios de eliminación</w:t>
      </w:r>
    </w:p>
    <w:p>
      <w:pPr>
        <w:pStyle w:val="BodyText"/>
        <w:spacing w:before="1"/>
        <w:rPr>
          <w:i/>
          <w:sz w:val="29"/>
        </w:rPr>
      </w:pPr>
    </w:p>
    <w:p>
      <w:pPr>
        <w:pStyle w:val="ListParagraph"/>
        <w:numPr>
          <w:ilvl w:val="3"/>
          <w:numId w:val="3"/>
        </w:numPr>
        <w:tabs>
          <w:tab w:pos="1993" w:val="left" w:leader="none"/>
          <w:tab w:pos="1994" w:val="left" w:leader="none"/>
        </w:tabs>
        <w:spacing w:line="240" w:lineRule="auto" w:before="0" w:after="0"/>
        <w:ind w:left="1993" w:right="0" w:hanging="360"/>
        <w:jc w:val="left"/>
        <w:rPr>
          <w:sz w:val="21"/>
        </w:rPr>
      </w:pPr>
      <w:r>
        <w:rPr>
          <w:w w:val="105"/>
          <w:sz w:val="21"/>
        </w:rPr>
        <w:t>Paciente sin registros médicos completos en las bases de</w:t>
      </w:r>
      <w:r>
        <w:rPr>
          <w:spacing w:val="-34"/>
          <w:w w:val="105"/>
          <w:sz w:val="21"/>
        </w:rPr>
        <w:t> </w:t>
      </w:r>
      <w:r>
        <w:rPr>
          <w:w w:val="105"/>
          <w:sz w:val="21"/>
        </w:rPr>
        <w:t>datos</w:t>
      </w:r>
    </w:p>
    <w:p>
      <w:pPr>
        <w:spacing w:after="0" w:line="240" w:lineRule="auto"/>
        <w:jc w:val="left"/>
        <w:rPr>
          <w:sz w:val="21"/>
        </w:rPr>
        <w:sectPr>
          <w:pgSz w:w="12240" w:h="15840"/>
          <w:pgMar w:header="1209" w:footer="1234" w:top="1400" w:bottom="1420" w:left="1560" w:right="1580"/>
        </w:sectPr>
      </w:pPr>
    </w:p>
    <w:p>
      <w:pPr>
        <w:pStyle w:val="BodyText"/>
        <w:spacing w:before="7"/>
        <w:rPr>
          <w:sz w:val="27"/>
        </w:rPr>
      </w:pPr>
    </w:p>
    <w:p>
      <w:pPr>
        <w:pStyle w:val="Heading3"/>
      </w:pPr>
      <w:bookmarkStart w:name="_TOC_250007" w:id="15"/>
      <w:bookmarkEnd w:id="15"/>
      <w:r>
        <w:rPr>
          <w:w w:val="105"/>
        </w:rPr>
        <w:t>Consideraciones éticas.</w:t>
      </w:r>
    </w:p>
    <w:p>
      <w:pPr>
        <w:pStyle w:val="BodyText"/>
        <w:spacing w:line="376" w:lineRule="auto" w:before="137"/>
        <w:ind w:left="139" w:right="122"/>
        <w:jc w:val="both"/>
      </w:pPr>
      <w:r>
        <w:rPr>
          <w:w w:val="105"/>
        </w:rPr>
        <w:t>El presente estudio cumple con las normas de investigación vigentes en México y a nivel internacional, apegándose a la Declaración de Helsinki, razón por la cual cuenta con aprobación del Comité de Ética e Investigación de la institución.</w:t>
      </w:r>
    </w:p>
    <w:p>
      <w:pPr>
        <w:pStyle w:val="BodyText"/>
        <w:spacing w:line="376" w:lineRule="auto" w:before="4"/>
        <w:ind w:left="139" w:right="121"/>
        <w:jc w:val="both"/>
      </w:pPr>
      <w:r>
        <w:rPr>
          <w:w w:val="105"/>
        </w:rPr>
        <w:t>Debido a que se trata de un estudio de tipo observacional, descriptivo en base de los registros de nacimientos que se realiza de forma rutinaria por parte del servicio de Pediatría del Hospital General de Cuautitlán y las bases de datos astronómicas de acceso libre en las cuales se puede evaluar las diferentes fases lunares al igual  que  el  porcentaje de luminosidad se trata de un </w:t>
      </w:r>
      <w:r>
        <w:rPr>
          <w:i/>
          <w:w w:val="105"/>
        </w:rPr>
        <w:t>protocolo de bajo riesgo  </w:t>
      </w:r>
      <w:r>
        <w:rPr>
          <w:w w:val="105"/>
        </w:rPr>
        <w:t>para los pacientes  y  no se requiere del proceso de consentimiento informado para la obtención de los datos que se encuentran de forma libre en</w:t>
      </w:r>
      <w:r>
        <w:rPr>
          <w:spacing w:val="-24"/>
          <w:w w:val="105"/>
        </w:rPr>
        <w:t> </w:t>
      </w:r>
      <w:r>
        <w:rPr>
          <w:w w:val="105"/>
        </w:rPr>
        <w:t>línea.</w:t>
      </w:r>
    </w:p>
    <w:p>
      <w:pPr>
        <w:spacing w:after="0" w:line="376" w:lineRule="auto"/>
        <w:jc w:val="both"/>
        <w:sectPr>
          <w:pgSz w:w="12240" w:h="15840"/>
          <w:pgMar w:header="1209" w:footer="1234" w:top="1400" w:bottom="1420" w:left="1560" w:right="1580"/>
        </w:sectPr>
      </w:pPr>
    </w:p>
    <w:p>
      <w:pPr>
        <w:pStyle w:val="BodyText"/>
        <w:rPr>
          <w:sz w:val="20"/>
        </w:rPr>
      </w:pPr>
    </w:p>
    <w:p>
      <w:pPr>
        <w:pStyle w:val="BodyText"/>
        <w:spacing w:before="8"/>
        <w:rPr>
          <w:sz w:val="24"/>
        </w:rPr>
      </w:pPr>
    </w:p>
    <w:p>
      <w:pPr>
        <w:pStyle w:val="Heading3"/>
      </w:pPr>
      <w:bookmarkStart w:name="_TOC_250006" w:id="16"/>
      <w:bookmarkEnd w:id="16"/>
      <w:r>
        <w:rPr>
          <w:w w:val="105"/>
        </w:rPr>
        <w:t>Análisis estadístico</w:t>
      </w:r>
    </w:p>
    <w:p>
      <w:pPr>
        <w:pStyle w:val="BodyText"/>
        <w:spacing w:before="10"/>
        <w:rPr>
          <w:b/>
          <w:sz w:val="29"/>
        </w:rPr>
      </w:pPr>
    </w:p>
    <w:p>
      <w:pPr>
        <w:pStyle w:val="BodyText"/>
        <w:spacing w:line="376" w:lineRule="auto"/>
        <w:ind w:left="139" w:right="120"/>
        <w:jc w:val="both"/>
      </w:pPr>
      <w:r>
        <w:rPr>
          <w:w w:val="105"/>
        </w:rPr>
        <w:t>Se utilizó el Software estadístico SPSS versión 20.0 y el graficador Geogebra para establecer la función de la curva. Las variables a considerar para el diseño de la gráfica fueron: luminosidad lunar (eje X) y el número de nacimientos presentes por cada uno de los porcentajes (eje Y).</w:t>
      </w:r>
    </w:p>
    <w:p>
      <w:pPr>
        <w:pStyle w:val="BodyText"/>
        <w:spacing w:before="4"/>
        <w:ind w:left="139"/>
        <w:jc w:val="both"/>
      </w:pPr>
      <w:r>
        <w:rPr>
          <w:w w:val="105"/>
        </w:rPr>
        <w:t>El análisis de los datos se realizó mediante dos modelos:</w:t>
      </w:r>
    </w:p>
    <w:p>
      <w:pPr>
        <w:pStyle w:val="ListParagraph"/>
        <w:numPr>
          <w:ilvl w:val="0"/>
          <w:numId w:val="4"/>
        </w:numPr>
        <w:tabs>
          <w:tab w:pos="1009" w:val="left" w:leader="none"/>
        </w:tabs>
        <w:spacing w:line="376" w:lineRule="auto" w:before="137" w:after="0"/>
        <w:ind w:left="139" w:right="120" w:firstLine="708"/>
        <w:jc w:val="both"/>
        <w:rPr>
          <w:sz w:val="21"/>
        </w:rPr>
      </w:pPr>
      <w:r>
        <w:rPr>
          <w:w w:val="105"/>
          <w:sz w:val="21"/>
        </w:rPr>
        <w:t>El primero considerado como el método clásico, que es aquel el cual ya se ha utilizado por otros autores; en este se realizó una estimación de la diferencia de medias entre los grupos formados por las diferentes fases lunares mediante  la  prueba  T- student, posteriormente para la diferencias intergrupos e intragrupos se utilizó el test de ANOVA de una vía. Finalmente para la prueba del contraste de hipótesis entre los productos prematuros y la presencia de luna llena o no luna llena se utilizó el test </w:t>
      </w:r>
      <w:r>
        <w:rPr>
          <w:i/>
          <w:w w:val="105"/>
          <w:sz w:val="21"/>
        </w:rPr>
        <w:t>chi- </w:t>
      </w:r>
      <w:r>
        <w:rPr>
          <w:i/>
          <w:w w:val="105"/>
          <w:sz w:val="21"/>
        </w:rPr>
        <w:t>cuadrado</w:t>
      </w:r>
      <w:r>
        <w:rPr>
          <w:w w:val="105"/>
          <w:sz w:val="21"/>
        </w:rPr>
        <w:t>.</w:t>
      </w:r>
    </w:p>
    <w:p>
      <w:pPr>
        <w:pStyle w:val="ListParagraph"/>
        <w:numPr>
          <w:ilvl w:val="0"/>
          <w:numId w:val="4"/>
        </w:numPr>
        <w:tabs>
          <w:tab w:pos="1001" w:val="left" w:leader="none"/>
        </w:tabs>
        <w:spacing w:line="376" w:lineRule="auto" w:before="4" w:after="0"/>
        <w:ind w:left="139" w:right="122" w:firstLine="708"/>
        <w:jc w:val="both"/>
        <w:rPr>
          <w:sz w:val="21"/>
        </w:rPr>
      </w:pPr>
      <w:r>
        <w:rPr>
          <w:w w:val="105"/>
          <w:sz w:val="21"/>
        </w:rPr>
        <w:t>El segundo modelo se estableció en base de la formación de una función. Para esto se establecieron modelos de estimación lineal, cubico y de crecimiento  los cuales  se realizaron en el software SPSS versión 20.0, considerándose un valor de </w:t>
      </w:r>
      <w:r>
        <w:rPr>
          <w:i/>
          <w:w w:val="105"/>
          <w:sz w:val="21"/>
        </w:rPr>
        <w:t>p</w:t>
      </w:r>
      <w:r>
        <w:rPr>
          <w:i/>
          <w:spacing w:val="-14"/>
          <w:w w:val="105"/>
          <w:sz w:val="21"/>
        </w:rPr>
        <w:t> </w:t>
      </w:r>
      <w:r>
        <w:rPr>
          <w:w w:val="105"/>
          <w:sz w:val="21"/>
        </w:rPr>
        <w:t>significativo</w:t>
      </w:r>
    </w:p>
    <w:p>
      <w:pPr>
        <w:pStyle w:val="BodyText"/>
        <w:spacing w:line="381" w:lineRule="auto" w:before="4"/>
        <w:ind w:left="139" w:right="123"/>
        <w:jc w:val="both"/>
      </w:pPr>
      <w:r>
        <w:rPr>
          <w:w w:val="105"/>
        </w:rPr>
        <w:t>&lt; 0.05. En base a la gráfica obtenida, se obtuvo el polinomio correspondiente para la función de la curva.</w:t>
      </w:r>
    </w:p>
    <w:p>
      <w:pPr>
        <w:pStyle w:val="BodyText"/>
        <w:spacing w:before="10"/>
        <w:rPr>
          <w:sz w:val="32"/>
        </w:rPr>
      </w:pPr>
    </w:p>
    <w:p>
      <w:pPr>
        <w:pStyle w:val="BodyText"/>
        <w:spacing w:line="376" w:lineRule="auto"/>
        <w:ind w:left="139" w:right="122"/>
        <w:jc w:val="both"/>
      </w:pPr>
      <w:r>
        <w:rPr>
          <w:w w:val="105"/>
        </w:rPr>
        <w:t>La estimación de la luminosidad de la luna por cada uno de los días se realizó en base a los diferentes calendarios lunares disponibles en línea de manera gratuita (</w:t>
      </w:r>
      <w:hyperlink r:id="rId49">
        <w:r>
          <w:rPr>
            <w:w w:val="105"/>
            <w:u w:val="single"/>
          </w:rPr>
          <w:t>http://www.sbkmexico.com/calendarioLunar.php</w:t>
        </w:r>
        <w:r>
          <w:rPr>
            <w:w w:val="105"/>
          </w:rPr>
          <w:t>).</w:t>
        </w:r>
      </w:hyperlink>
    </w:p>
    <w:p>
      <w:pPr>
        <w:pStyle w:val="BodyText"/>
        <w:spacing w:before="6"/>
        <w:rPr>
          <w:sz w:val="26"/>
        </w:rPr>
      </w:pPr>
    </w:p>
    <w:p>
      <w:pPr>
        <w:pStyle w:val="BodyText"/>
        <w:spacing w:line="376" w:lineRule="auto" w:before="78"/>
        <w:ind w:left="139" w:right="120"/>
        <w:jc w:val="both"/>
      </w:pPr>
      <w:r>
        <w:rPr>
          <w:w w:val="105"/>
        </w:rPr>
        <w:t>Finalmente en base a la estimación de riesgos y logrando identificar aquellos grupos de pacientes pre-término se estableció el ODDs ratio de nacer durante luna llena sobre el riesgo de  ser  un nacimiento pretérmino.</w:t>
      </w:r>
    </w:p>
    <w:p>
      <w:pPr>
        <w:spacing w:after="0" w:line="376" w:lineRule="auto"/>
        <w:jc w:val="both"/>
        <w:sectPr>
          <w:pgSz w:w="12240" w:h="15840"/>
          <w:pgMar w:header="1209" w:footer="1234" w:top="1400" w:bottom="1420" w:left="1560" w:right="1580"/>
        </w:sectPr>
      </w:pPr>
    </w:p>
    <w:p>
      <w:pPr>
        <w:pStyle w:val="BodyText"/>
        <w:rPr>
          <w:sz w:val="20"/>
        </w:rPr>
      </w:pPr>
    </w:p>
    <w:p>
      <w:pPr>
        <w:pStyle w:val="BodyText"/>
        <w:spacing w:before="5"/>
        <w:rPr>
          <w:sz w:val="28"/>
        </w:rPr>
      </w:pPr>
    </w:p>
    <w:p>
      <w:pPr>
        <w:pStyle w:val="Heading3"/>
        <w:ind w:firstLine="5927"/>
        <w:jc w:val="left"/>
      </w:pPr>
      <w:r>
        <w:rPr>
          <w:w w:val="105"/>
        </w:rPr>
        <w:t>México DF, Febrero de 2014</w:t>
      </w:r>
    </w:p>
    <w:p>
      <w:pPr>
        <w:pStyle w:val="BodyText"/>
        <w:spacing w:before="9"/>
        <w:rPr>
          <w:b/>
          <w:sz w:val="32"/>
        </w:rPr>
      </w:pPr>
    </w:p>
    <w:p>
      <w:pPr>
        <w:spacing w:before="0"/>
        <w:ind w:left="139" w:right="82" w:firstLine="0"/>
        <w:jc w:val="left"/>
        <w:rPr>
          <w:b/>
          <w:i/>
          <w:sz w:val="21"/>
        </w:rPr>
      </w:pPr>
      <w:r>
        <w:rPr>
          <w:b/>
          <w:w w:val="105"/>
          <w:sz w:val="21"/>
        </w:rPr>
        <w:t>CARTA COMPROMISO PARA EL PROTOCOLO DE INVESTIGACIÓN TITULADO </w:t>
      </w:r>
      <w:r>
        <w:rPr>
          <w:b/>
          <w:i/>
          <w:w w:val="105"/>
          <w:sz w:val="21"/>
        </w:rPr>
        <w:t>“Dos</w:t>
      </w:r>
    </w:p>
    <w:p>
      <w:pPr>
        <w:pStyle w:val="Heading4"/>
        <w:spacing w:line="372" w:lineRule="auto"/>
        <w:ind w:right="82"/>
        <w:rPr>
          <w:i/>
        </w:rPr>
      </w:pPr>
      <w:r>
        <w:rPr>
          <w:i/>
          <w:w w:val="105"/>
        </w:rPr>
        <w:t>modelos para evaluar los efectos de la cercanía de la luna sobre la frecuencia de </w:t>
      </w:r>
      <w:r>
        <w:rPr>
          <w:w w:val="105"/>
        </w:rPr>
        <w:t>nacimientos”</w:t>
      </w:r>
      <w:r>
        <w:rPr>
          <w:b w:val="0"/>
          <w:i w:val="0"/>
          <w:w w:val="105"/>
        </w:rPr>
        <w:t>. </w:t>
      </w:r>
      <w:r>
        <w:rPr>
          <w:i/>
          <w:w w:val="105"/>
        </w:rPr>
        <w:t>Estudio en población mexicana.</w:t>
      </w:r>
    </w:p>
    <w:p>
      <w:pPr>
        <w:pStyle w:val="BodyText"/>
        <w:rPr>
          <w:b/>
          <w:i/>
          <w:sz w:val="22"/>
        </w:rPr>
      </w:pPr>
    </w:p>
    <w:p>
      <w:pPr>
        <w:pStyle w:val="BodyText"/>
        <w:ind w:left="139" w:right="82"/>
      </w:pPr>
      <w:r>
        <w:rPr>
          <w:w w:val="105"/>
        </w:rPr>
        <w:t>Dr. Jorge Galván Domínguez</w:t>
      </w:r>
    </w:p>
    <w:p>
      <w:pPr>
        <w:pStyle w:val="BodyText"/>
        <w:spacing w:line="376" w:lineRule="auto" w:before="142"/>
        <w:ind w:left="139" w:right="3159"/>
      </w:pPr>
      <w:r>
        <w:rPr>
          <w:w w:val="105"/>
        </w:rPr>
        <w:t>Director médico del Hospital General de Cuautitlán “General José Vicente Villada”</w:t>
      </w:r>
    </w:p>
    <w:p>
      <w:pPr>
        <w:pStyle w:val="BodyText"/>
        <w:spacing w:before="2"/>
      </w:pPr>
    </w:p>
    <w:p>
      <w:pPr>
        <w:pStyle w:val="BodyText"/>
        <w:spacing w:line="376" w:lineRule="auto"/>
        <w:ind w:left="139" w:right="82"/>
      </w:pPr>
      <w:r>
        <w:rPr>
          <w:w w:val="105"/>
        </w:rPr>
        <w:t>Por medio de la presente, se hace constar que la documentación, al igual que los datos obtenidos de los registros médicos y de enfermería de las pacientes que fueron atendidas en el área de gineco-obstetricia, al igual que sus productos, se mantienen encriptados en bases de datos exclusivas para fines de investigación. Estos datos permanecen de forma confidencial y su objetivo principal es poder generar conclusiones, que pueden impactar sobre la salud de la población que es atendida en el hospital general de Cuautitlán.</w:t>
      </w:r>
    </w:p>
    <w:p>
      <w:pPr>
        <w:pStyle w:val="BodyText"/>
        <w:spacing w:before="7"/>
      </w:pPr>
    </w:p>
    <w:p>
      <w:pPr>
        <w:pStyle w:val="BodyText"/>
        <w:spacing w:line="374" w:lineRule="auto"/>
        <w:ind w:left="139" w:right="82"/>
      </w:pPr>
      <w:r>
        <w:rPr>
          <w:w w:val="105"/>
        </w:rPr>
        <w:t>Debido a que este estudio se basa en registros médicos obtenidos de las hojas de ingreso del área de gineco-obstetricia, este documento sustituye la carta de confidencialidad individual.</w:t>
      </w:r>
    </w:p>
    <w:p>
      <w:pPr>
        <w:pStyle w:val="BodyText"/>
        <w:spacing w:before="9"/>
      </w:pPr>
    </w:p>
    <w:p>
      <w:pPr>
        <w:pStyle w:val="BodyText"/>
        <w:ind w:left="139" w:right="82"/>
      </w:pPr>
      <w:r>
        <w:rPr>
          <w:w w:val="105"/>
        </w:rPr>
        <w:t>ATENTAMENTE</w:t>
      </w:r>
    </w:p>
    <w:p>
      <w:pPr>
        <w:pStyle w:val="BodyText"/>
        <w:rPr>
          <w:sz w:val="22"/>
        </w:rPr>
      </w:pPr>
    </w:p>
    <w:p>
      <w:pPr>
        <w:pStyle w:val="BodyText"/>
        <w:rPr>
          <w:sz w:val="22"/>
        </w:rPr>
      </w:pPr>
    </w:p>
    <w:p>
      <w:pPr>
        <w:pStyle w:val="BodyText"/>
        <w:rPr>
          <w:sz w:val="22"/>
        </w:rPr>
      </w:pPr>
    </w:p>
    <w:p>
      <w:pPr>
        <w:pStyle w:val="BodyText"/>
        <w:spacing w:before="8"/>
        <w:rPr>
          <w:sz w:val="20"/>
        </w:rPr>
      </w:pPr>
    </w:p>
    <w:p>
      <w:pPr>
        <w:pStyle w:val="BodyText"/>
        <w:ind w:left="1765" w:right="1749"/>
        <w:jc w:val="center"/>
      </w:pPr>
      <w:r>
        <w:rPr>
          <w:w w:val="105"/>
        </w:rPr>
        <w:t>_______________________________________</w:t>
      </w:r>
    </w:p>
    <w:p>
      <w:pPr>
        <w:pStyle w:val="BodyText"/>
        <w:spacing w:line="500" w:lineRule="atLeast" w:before="76"/>
        <w:ind w:left="3629" w:right="1353" w:hanging="1388"/>
      </w:pPr>
      <w:r>
        <w:rPr>
          <w:w w:val="105"/>
        </w:rPr>
        <w:t>M. C. SHELLY MARICELA RAMÍREZ DUARTE MÉDICO TESISTA</w:t>
      </w:r>
    </w:p>
    <w:p>
      <w:pPr>
        <w:pStyle w:val="BodyText"/>
        <w:spacing w:line="252" w:lineRule="auto" w:before="13"/>
        <w:ind w:left="124" w:right="109"/>
        <w:jc w:val="center"/>
      </w:pPr>
      <w:r>
        <w:rPr>
          <w:w w:val="105"/>
        </w:rPr>
        <w:t>RESIDENTE DE TERCER AÑO DE LA ESPECIALIDAD DE PEDIATRÍA, HOSPITAL GENERAL DE CUAUTITLÁN “GENERAL JOSÉ VIECENTE VILLADA”.</w:t>
      </w:r>
    </w:p>
    <w:p>
      <w:pPr>
        <w:spacing w:after="0" w:line="252" w:lineRule="auto"/>
        <w:jc w:val="center"/>
        <w:sectPr>
          <w:pgSz w:w="12240" w:h="15840"/>
          <w:pgMar w:header="1209" w:footer="1234" w:top="1400" w:bottom="1420" w:left="1560" w:right="1580"/>
        </w:sectPr>
      </w:pPr>
    </w:p>
    <w:p>
      <w:pPr>
        <w:pStyle w:val="BodyText"/>
        <w:spacing w:before="7"/>
        <w:rPr>
          <w:sz w:val="27"/>
        </w:rPr>
      </w:pPr>
    </w:p>
    <w:p>
      <w:pPr>
        <w:pStyle w:val="Heading3"/>
        <w:spacing w:line="372" w:lineRule="auto"/>
        <w:ind w:right="5439"/>
        <w:jc w:val="left"/>
      </w:pPr>
      <w:r>
        <w:rPr>
          <w:w w:val="105"/>
        </w:rPr>
        <w:t>Parte III. Resultados Finales Datos demográficos</w:t>
      </w:r>
    </w:p>
    <w:p>
      <w:pPr>
        <w:pStyle w:val="BodyText"/>
        <w:spacing w:before="8"/>
        <w:rPr>
          <w:b/>
          <w:sz w:val="18"/>
        </w:rPr>
      </w:pPr>
    </w:p>
    <w:p>
      <w:pPr>
        <w:pStyle w:val="BodyText"/>
        <w:spacing w:line="376" w:lineRule="auto"/>
        <w:ind w:left="139" w:right="119"/>
        <w:jc w:val="both"/>
      </w:pPr>
      <w:r>
        <w:rPr>
          <w:w w:val="105"/>
        </w:rPr>
        <w:t>Se estudiaron un total de 25,152 nacimientos comprendidos entre el periodo de enero del 2009 a junio del 2013. Los casos en un 37.8% (n=9508) eran productos de madres primigestas y en un 62.2% (n= 15,644) eran de madres multigestas. La mediana de productos por madre fue de 2 (rango 1-13); dividiendo a las madres acorde a su número de gestas el 93.3 % (n=23,458) contaba con menos de 5 gestas y solo un 6.7% (n=1649) contaron con más de 5 productos.</w:t>
      </w:r>
    </w:p>
    <w:p>
      <w:pPr>
        <w:pStyle w:val="BodyText"/>
        <w:rPr>
          <w:sz w:val="22"/>
        </w:rPr>
      </w:pPr>
    </w:p>
    <w:p>
      <w:pPr>
        <w:pStyle w:val="BodyText"/>
        <w:spacing w:before="3"/>
        <w:rPr>
          <w:sz w:val="29"/>
        </w:rPr>
      </w:pPr>
    </w:p>
    <w:p>
      <w:pPr>
        <w:pStyle w:val="Heading3"/>
        <w:spacing w:before="0"/>
      </w:pPr>
      <w:bookmarkStart w:name="_TOC_250005" w:id="17"/>
      <w:bookmarkEnd w:id="17"/>
      <w:r>
        <w:rPr>
          <w:w w:val="105"/>
        </w:rPr>
        <w:t>Características de los recién nacidos.</w:t>
      </w:r>
    </w:p>
    <w:p>
      <w:pPr>
        <w:pStyle w:val="BodyText"/>
        <w:spacing w:line="376" w:lineRule="auto" w:before="137"/>
        <w:ind w:left="139" w:right="119"/>
        <w:jc w:val="both"/>
      </w:pPr>
      <w:r>
        <w:rPr>
          <w:w w:val="105"/>
        </w:rPr>
        <w:t>De los 25,152 nacimientos, el 50.5% (n=12,699) correspondieron al género femenino y 49.5% al género masculino (n=12,317). La mediana de semanas de gestación (SDG) fue de 39 (rango 22-42 SDG), considerándose un 83.1% como productos a término y 16.9% como pre-término. La media de peso fue de 2.985kg (rango 1,070- 4,210), de los cuales  el 81% de los productos mostraron al nacimiento un peso normal (n=20,378), 0.7% como peso extremadamente bajo (n=164), 1.1% muy bajo peso al nacimiento (n=276) y 2.1% con peso elevado al nacimiento (n=523). Al momento de la reanimación solo un 0.4% (n=95) presentaron depresión grave y 0.7% depresión leve</w:t>
      </w:r>
      <w:r>
        <w:rPr>
          <w:spacing w:val="-29"/>
          <w:w w:val="105"/>
        </w:rPr>
        <w:t> </w:t>
      </w:r>
      <w:r>
        <w:rPr>
          <w:w w:val="105"/>
        </w:rPr>
        <w:t>(n=177).</w:t>
      </w:r>
    </w:p>
    <w:p>
      <w:pPr>
        <w:pStyle w:val="BodyText"/>
        <w:rPr>
          <w:sz w:val="22"/>
        </w:rPr>
      </w:pPr>
    </w:p>
    <w:p>
      <w:pPr>
        <w:pStyle w:val="BodyText"/>
        <w:rPr>
          <w:sz w:val="22"/>
        </w:rPr>
      </w:pPr>
    </w:p>
    <w:p>
      <w:pPr>
        <w:pStyle w:val="BodyText"/>
        <w:spacing w:before="3"/>
        <w:rPr>
          <w:sz w:val="22"/>
        </w:rPr>
      </w:pPr>
    </w:p>
    <w:p>
      <w:pPr>
        <w:pStyle w:val="Heading3"/>
        <w:spacing w:before="0"/>
      </w:pPr>
      <w:bookmarkStart w:name="_TOC_250004" w:id="18"/>
      <w:bookmarkEnd w:id="18"/>
      <w:r>
        <w:rPr>
          <w:w w:val="105"/>
        </w:rPr>
        <w:t>Modelo de Análisis  para la asociación entre Luna-Nacimientos.</w:t>
      </w:r>
    </w:p>
    <w:p>
      <w:pPr>
        <w:pStyle w:val="BodyText"/>
        <w:rPr>
          <w:b/>
          <w:sz w:val="22"/>
        </w:rPr>
      </w:pPr>
    </w:p>
    <w:p>
      <w:pPr>
        <w:pStyle w:val="BodyText"/>
        <w:spacing w:before="10"/>
        <w:rPr>
          <w:b/>
          <w:sz w:val="22"/>
        </w:rPr>
      </w:pPr>
    </w:p>
    <w:p>
      <w:pPr>
        <w:pStyle w:val="Heading3"/>
        <w:spacing w:before="1"/>
      </w:pPr>
      <w:bookmarkStart w:name="_TOC_250003" w:id="19"/>
      <w:bookmarkEnd w:id="19"/>
      <w:r>
        <w:rPr>
          <w:w w:val="105"/>
        </w:rPr>
        <w:t>Primer modelo de Análisis. Modelo Clásico de comparación de medias</w:t>
      </w:r>
    </w:p>
    <w:p>
      <w:pPr>
        <w:pStyle w:val="BodyText"/>
        <w:spacing w:line="376" w:lineRule="auto" w:before="137"/>
        <w:ind w:left="139" w:right="180"/>
      </w:pPr>
      <w:r>
        <w:rPr>
          <w:w w:val="105"/>
        </w:rPr>
        <w:t>La asociación inicial se intentó establecer en base al análisis ya descrito en la literatura. Analizando los registros de 4 años, siendo el pico principal en el 2011 con 7,716 casos. En la Tabla 1 se presenta la distribución de nacimientos acorde a cada etapa del ciclo lunar.</w:t>
      </w:r>
    </w:p>
    <w:p>
      <w:pPr>
        <w:spacing w:after="0" w:line="376" w:lineRule="auto"/>
        <w:sectPr>
          <w:pgSz w:w="12240" w:h="15840"/>
          <w:pgMar w:header="1209" w:footer="1234" w:top="1400" w:bottom="1420" w:left="1560" w:right="1580"/>
        </w:sectPr>
      </w:pPr>
    </w:p>
    <w:p>
      <w:pPr>
        <w:pStyle w:val="BodyText"/>
        <w:spacing w:before="2"/>
        <w:rPr>
          <w:sz w:val="27"/>
        </w:rPr>
      </w:pPr>
    </w:p>
    <w:p>
      <w:pPr>
        <w:pStyle w:val="BodyText"/>
        <w:spacing w:before="78"/>
        <w:ind w:left="219" w:right="674"/>
      </w:pPr>
      <w:r>
        <w:rPr>
          <w:w w:val="105"/>
        </w:rPr>
        <w:t>Tabla  1.0 Distribución de casos acorde a la etapa del ciclo lunar.</w:t>
      </w:r>
    </w:p>
    <w:p>
      <w:pPr>
        <w:pStyle w:val="BodyText"/>
        <w:spacing w:before="9"/>
        <w:rPr>
          <w:sz w:val="22"/>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19"/>
        <w:gridCol w:w="2414"/>
        <w:gridCol w:w="2122"/>
      </w:tblGrid>
      <w:tr>
        <w:trPr>
          <w:trHeight w:val="264" w:hRule="exact"/>
        </w:trPr>
        <w:tc>
          <w:tcPr>
            <w:tcW w:w="4219" w:type="dxa"/>
            <w:tcBorders>
              <w:bottom w:val="nil"/>
            </w:tcBorders>
          </w:tcPr>
          <w:p>
            <w:pPr>
              <w:pStyle w:val="TableParagraph"/>
              <w:spacing w:line="240" w:lineRule="auto" w:before="4"/>
              <w:rPr>
                <w:sz w:val="21"/>
              </w:rPr>
            </w:pPr>
            <w:r>
              <w:rPr>
                <w:w w:val="105"/>
                <w:sz w:val="21"/>
              </w:rPr>
              <w:t>Etapa del ciclo</w:t>
            </w:r>
          </w:p>
        </w:tc>
        <w:tc>
          <w:tcPr>
            <w:tcW w:w="2414" w:type="dxa"/>
            <w:tcBorders>
              <w:bottom w:val="nil"/>
            </w:tcBorders>
          </w:tcPr>
          <w:p>
            <w:pPr>
              <w:pStyle w:val="TableParagraph"/>
              <w:spacing w:line="240" w:lineRule="auto" w:before="4"/>
              <w:rPr>
                <w:sz w:val="21"/>
              </w:rPr>
            </w:pPr>
            <w:r>
              <w:rPr>
                <w:w w:val="105"/>
                <w:sz w:val="21"/>
              </w:rPr>
              <w:t>Número de casos</w:t>
            </w:r>
          </w:p>
        </w:tc>
        <w:tc>
          <w:tcPr>
            <w:tcW w:w="2122" w:type="dxa"/>
            <w:tcBorders>
              <w:bottom w:val="nil"/>
            </w:tcBorders>
          </w:tcPr>
          <w:p>
            <w:pPr>
              <w:pStyle w:val="TableParagraph"/>
              <w:spacing w:line="240" w:lineRule="auto" w:before="4"/>
              <w:ind w:left="306" w:right="307"/>
              <w:jc w:val="center"/>
              <w:rPr>
                <w:sz w:val="21"/>
              </w:rPr>
            </w:pPr>
            <w:r>
              <w:rPr>
                <w:w w:val="105"/>
                <w:sz w:val="21"/>
              </w:rPr>
              <w:t>Porcentaje (%)</w:t>
            </w:r>
          </w:p>
        </w:tc>
      </w:tr>
      <w:tr>
        <w:trPr>
          <w:trHeight w:val="252" w:hRule="exact"/>
        </w:trPr>
        <w:tc>
          <w:tcPr>
            <w:tcW w:w="4219" w:type="dxa"/>
            <w:tcBorders>
              <w:top w:val="nil"/>
              <w:bottom w:val="nil"/>
            </w:tcBorders>
          </w:tcPr>
          <w:p>
            <w:pPr>
              <w:pStyle w:val="TableParagraph"/>
              <w:spacing w:line="236" w:lineRule="exact"/>
              <w:rPr>
                <w:sz w:val="21"/>
              </w:rPr>
            </w:pPr>
            <w:r>
              <w:rPr>
                <w:w w:val="105"/>
                <w:sz w:val="21"/>
              </w:rPr>
              <w:t>Luna Nueva</w:t>
            </w:r>
          </w:p>
        </w:tc>
        <w:tc>
          <w:tcPr>
            <w:tcW w:w="2414" w:type="dxa"/>
            <w:tcBorders>
              <w:top w:val="nil"/>
              <w:bottom w:val="nil"/>
            </w:tcBorders>
          </w:tcPr>
          <w:p>
            <w:pPr>
              <w:pStyle w:val="TableParagraph"/>
              <w:spacing w:line="236" w:lineRule="exact"/>
              <w:ind w:left="937" w:right="937"/>
              <w:jc w:val="center"/>
              <w:rPr>
                <w:sz w:val="21"/>
              </w:rPr>
            </w:pPr>
            <w:r>
              <w:rPr>
                <w:w w:val="105"/>
                <w:sz w:val="21"/>
              </w:rPr>
              <w:t>861</w:t>
            </w:r>
          </w:p>
        </w:tc>
        <w:tc>
          <w:tcPr>
            <w:tcW w:w="2122" w:type="dxa"/>
            <w:tcBorders>
              <w:top w:val="nil"/>
              <w:bottom w:val="nil"/>
            </w:tcBorders>
          </w:tcPr>
          <w:p>
            <w:pPr>
              <w:pStyle w:val="TableParagraph"/>
              <w:spacing w:line="236" w:lineRule="exact"/>
              <w:ind w:left="306" w:right="306"/>
              <w:jc w:val="center"/>
              <w:rPr>
                <w:sz w:val="21"/>
              </w:rPr>
            </w:pPr>
            <w:r>
              <w:rPr>
                <w:w w:val="105"/>
                <w:sz w:val="21"/>
              </w:rPr>
              <w:t>3.4</w:t>
            </w:r>
          </w:p>
        </w:tc>
      </w:tr>
      <w:tr>
        <w:trPr>
          <w:trHeight w:val="254" w:hRule="exact"/>
        </w:trPr>
        <w:tc>
          <w:tcPr>
            <w:tcW w:w="4219" w:type="dxa"/>
            <w:tcBorders>
              <w:top w:val="nil"/>
              <w:bottom w:val="nil"/>
            </w:tcBorders>
          </w:tcPr>
          <w:p>
            <w:pPr>
              <w:pStyle w:val="TableParagraph"/>
              <w:rPr>
                <w:sz w:val="21"/>
              </w:rPr>
            </w:pPr>
            <w:r>
              <w:rPr>
                <w:w w:val="105"/>
                <w:sz w:val="21"/>
              </w:rPr>
              <w:t>Luna Creciente</w:t>
            </w:r>
          </w:p>
        </w:tc>
        <w:tc>
          <w:tcPr>
            <w:tcW w:w="2414" w:type="dxa"/>
            <w:tcBorders>
              <w:top w:val="nil"/>
              <w:bottom w:val="nil"/>
            </w:tcBorders>
          </w:tcPr>
          <w:p>
            <w:pPr>
              <w:pStyle w:val="TableParagraph"/>
              <w:ind w:left="937" w:right="937"/>
              <w:jc w:val="center"/>
              <w:rPr>
                <w:sz w:val="21"/>
              </w:rPr>
            </w:pPr>
            <w:r>
              <w:rPr>
                <w:w w:val="105"/>
                <w:sz w:val="21"/>
              </w:rPr>
              <w:t>4868</w:t>
            </w:r>
          </w:p>
        </w:tc>
        <w:tc>
          <w:tcPr>
            <w:tcW w:w="2122" w:type="dxa"/>
            <w:tcBorders>
              <w:top w:val="nil"/>
              <w:bottom w:val="nil"/>
            </w:tcBorders>
          </w:tcPr>
          <w:p>
            <w:pPr>
              <w:pStyle w:val="TableParagraph"/>
              <w:ind w:left="306" w:right="306"/>
              <w:jc w:val="center"/>
              <w:rPr>
                <w:sz w:val="21"/>
              </w:rPr>
            </w:pPr>
            <w:r>
              <w:rPr>
                <w:w w:val="105"/>
                <w:sz w:val="21"/>
              </w:rPr>
              <w:t>19.4</w:t>
            </w:r>
          </w:p>
        </w:tc>
      </w:tr>
      <w:tr>
        <w:trPr>
          <w:trHeight w:val="254" w:hRule="exact"/>
        </w:trPr>
        <w:tc>
          <w:tcPr>
            <w:tcW w:w="4219" w:type="dxa"/>
            <w:tcBorders>
              <w:top w:val="nil"/>
              <w:bottom w:val="nil"/>
            </w:tcBorders>
          </w:tcPr>
          <w:p>
            <w:pPr>
              <w:pStyle w:val="TableParagraph"/>
              <w:rPr>
                <w:sz w:val="21"/>
              </w:rPr>
            </w:pPr>
            <w:r>
              <w:rPr>
                <w:w w:val="105"/>
                <w:sz w:val="21"/>
              </w:rPr>
              <w:t>Luna Cuarto Creciente</w:t>
            </w:r>
          </w:p>
        </w:tc>
        <w:tc>
          <w:tcPr>
            <w:tcW w:w="2414" w:type="dxa"/>
            <w:tcBorders>
              <w:top w:val="nil"/>
              <w:bottom w:val="nil"/>
            </w:tcBorders>
          </w:tcPr>
          <w:p>
            <w:pPr>
              <w:pStyle w:val="TableParagraph"/>
              <w:ind w:left="937" w:right="937"/>
              <w:jc w:val="center"/>
              <w:rPr>
                <w:sz w:val="21"/>
              </w:rPr>
            </w:pPr>
            <w:r>
              <w:rPr>
                <w:w w:val="105"/>
                <w:sz w:val="21"/>
              </w:rPr>
              <w:t>775</w:t>
            </w:r>
          </w:p>
        </w:tc>
        <w:tc>
          <w:tcPr>
            <w:tcW w:w="2122" w:type="dxa"/>
            <w:tcBorders>
              <w:top w:val="nil"/>
              <w:bottom w:val="nil"/>
            </w:tcBorders>
          </w:tcPr>
          <w:p>
            <w:pPr>
              <w:pStyle w:val="TableParagraph"/>
              <w:ind w:left="306" w:right="306"/>
              <w:jc w:val="center"/>
              <w:rPr>
                <w:sz w:val="21"/>
              </w:rPr>
            </w:pPr>
            <w:r>
              <w:rPr>
                <w:w w:val="105"/>
                <w:sz w:val="21"/>
              </w:rPr>
              <w:t>3.1</w:t>
            </w:r>
          </w:p>
        </w:tc>
      </w:tr>
      <w:tr>
        <w:trPr>
          <w:trHeight w:val="252" w:hRule="exact"/>
        </w:trPr>
        <w:tc>
          <w:tcPr>
            <w:tcW w:w="4219" w:type="dxa"/>
            <w:tcBorders>
              <w:top w:val="nil"/>
              <w:bottom w:val="nil"/>
            </w:tcBorders>
          </w:tcPr>
          <w:p>
            <w:pPr>
              <w:pStyle w:val="TableParagraph"/>
              <w:rPr>
                <w:sz w:val="21"/>
              </w:rPr>
            </w:pPr>
            <w:r>
              <w:rPr>
                <w:w w:val="105"/>
                <w:sz w:val="21"/>
              </w:rPr>
              <w:t>Luna Gibada Creciente</w:t>
            </w:r>
          </w:p>
        </w:tc>
        <w:tc>
          <w:tcPr>
            <w:tcW w:w="2414" w:type="dxa"/>
            <w:tcBorders>
              <w:top w:val="nil"/>
              <w:bottom w:val="nil"/>
            </w:tcBorders>
          </w:tcPr>
          <w:p>
            <w:pPr>
              <w:pStyle w:val="TableParagraph"/>
              <w:ind w:left="937" w:right="937"/>
              <w:jc w:val="center"/>
              <w:rPr>
                <w:sz w:val="21"/>
              </w:rPr>
            </w:pPr>
            <w:r>
              <w:rPr>
                <w:w w:val="105"/>
                <w:sz w:val="21"/>
              </w:rPr>
              <w:t>5487</w:t>
            </w:r>
          </w:p>
        </w:tc>
        <w:tc>
          <w:tcPr>
            <w:tcW w:w="2122" w:type="dxa"/>
            <w:tcBorders>
              <w:top w:val="nil"/>
              <w:bottom w:val="nil"/>
            </w:tcBorders>
          </w:tcPr>
          <w:p>
            <w:pPr>
              <w:pStyle w:val="TableParagraph"/>
              <w:ind w:left="306" w:right="306"/>
              <w:jc w:val="center"/>
              <w:rPr>
                <w:sz w:val="21"/>
              </w:rPr>
            </w:pPr>
            <w:r>
              <w:rPr>
                <w:w w:val="105"/>
                <w:sz w:val="21"/>
              </w:rPr>
              <w:t>21.8</w:t>
            </w:r>
          </w:p>
        </w:tc>
      </w:tr>
      <w:tr>
        <w:trPr>
          <w:trHeight w:val="252" w:hRule="exact"/>
        </w:trPr>
        <w:tc>
          <w:tcPr>
            <w:tcW w:w="4219" w:type="dxa"/>
            <w:tcBorders>
              <w:top w:val="nil"/>
              <w:bottom w:val="nil"/>
            </w:tcBorders>
          </w:tcPr>
          <w:p>
            <w:pPr>
              <w:pStyle w:val="TableParagraph"/>
              <w:spacing w:line="236" w:lineRule="exact"/>
              <w:rPr>
                <w:sz w:val="21"/>
              </w:rPr>
            </w:pPr>
            <w:r>
              <w:rPr>
                <w:w w:val="105"/>
                <w:sz w:val="21"/>
              </w:rPr>
              <w:t>Luna Llena</w:t>
            </w:r>
          </w:p>
        </w:tc>
        <w:tc>
          <w:tcPr>
            <w:tcW w:w="2414" w:type="dxa"/>
            <w:tcBorders>
              <w:top w:val="nil"/>
              <w:bottom w:val="nil"/>
            </w:tcBorders>
          </w:tcPr>
          <w:p>
            <w:pPr>
              <w:pStyle w:val="TableParagraph"/>
              <w:spacing w:line="236" w:lineRule="exact"/>
              <w:ind w:left="937" w:right="937"/>
              <w:jc w:val="center"/>
              <w:rPr>
                <w:sz w:val="21"/>
              </w:rPr>
            </w:pPr>
            <w:r>
              <w:rPr>
                <w:w w:val="105"/>
                <w:sz w:val="21"/>
              </w:rPr>
              <w:t>873</w:t>
            </w:r>
          </w:p>
        </w:tc>
        <w:tc>
          <w:tcPr>
            <w:tcW w:w="2122" w:type="dxa"/>
            <w:tcBorders>
              <w:top w:val="nil"/>
              <w:bottom w:val="nil"/>
            </w:tcBorders>
          </w:tcPr>
          <w:p>
            <w:pPr>
              <w:pStyle w:val="TableParagraph"/>
              <w:spacing w:line="236" w:lineRule="exact"/>
              <w:ind w:left="306" w:right="306"/>
              <w:jc w:val="center"/>
              <w:rPr>
                <w:sz w:val="21"/>
              </w:rPr>
            </w:pPr>
            <w:r>
              <w:rPr>
                <w:w w:val="105"/>
                <w:sz w:val="21"/>
              </w:rPr>
              <w:t>3.5</w:t>
            </w:r>
          </w:p>
        </w:tc>
      </w:tr>
      <w:tr>
        <w:trPr>
          <w:trHeight w:val="254" w:hRule="exact"/>
        </w:trPr>
        <w:tc>
          <w:tcPr>
            <w:tcW w:w="4219" w:type="dxa"/>
            <w:tcBorders>
              <w:top w:val="nil"/>
              <w:bottom w:val="nil"/>
            </w:tcBorders>
          </w:tcPr>
          <w:p>
            <w:pPr>
              <w:pStyle w:val="TableParagraph"/>
              <w:rPr>
                <w:sz w:val="21"/>
              </w:rPr>
            </w:pPr>
            <w:r>
              <w:rPr>
                <w:w w:val="105"/>
                <w:sz w:val="21"/>
              </w:rPr>
              <w:t>Luna Gibada Menguante</w:t>
            </w:r>
          </w:p>
        </w:tc>
        <w:tc>
          <w:tcPr>
            <w:tcW w:w="2414" w:type="dxa"/>
            <w:tcBorders>
              <w:top w:val="nil"/>
              <w:bottom w:val="nil"/>
            </w:tcBorders>
          </w:tcPr>
          <w:p>
            <w:pPr>
              <w:pStyle w:val="TableParagraph"/>
              <w:ind w:left="937" w:right="937"/>
              <w:jc w:val="center"/>
              <w:rPr>
                <w:sz w:val="21"/>
              </w:rPr>
            </w:pPr>
            <w:r>
              <w:rPr>
                <w:w w:val="105"/>
                <w:sz w:val="21"/>
              </w:rPr>
              <w:t>5333</w:t>
            </w:r>
          </w:p>
        </w:tc>
        <w:tc>
          <w:tcPr>
            <w:tcW w:w="2122" w:type="dxa"/>
            <w:tcBorders>
              <w:top w:val="nil"/>
              <w:bottom w:val="nil"/>
            </w:tcBorders>
          </w:tcPr>
          <w:p>
            <w:pPr>
              <w:pStyle w:val="TableParagraph"/>
              <w:ind w:left="306" w:right="306"/>
              <w:jc w:val="center"/>
              <w:rPr>
                <w:sz w:val="21"/>
              </w:rPr>
            </w:pPr>
            <w:r>
              <w:rPr>
                <w:w w:val="105"/>
                <w:sz w:val="21"/>
              </w:rPr>
              <w:t>21.2</w:t>
            </w:r>
          </w:p>
        </w:tc>
      </w:tr>
      <w:tr>
        <w:trPr>
          <w:trHeight w:val="252" w:hRule="exact"/>
        </w:trPr>
        <w:tc>
          <w:tcPr>
            <w:tcW w:w="4219" w:type="dxa"/>
            <w:tcBorders>
              <w:top w:val="nil"/>
              <w:bottom w:val="nil"/>
            </w:tcBorders>
          </w:tcPr>
          <w:p>
            <w:pPr>
              <w:pStyle w:val="TableParagraph"/>
              <w:rPr>
                <w:sz w:val="21"/>
              </w:rPr>
            </w:pPr>
            <w:r>
              <w:rPr>
                <w:w w:val="105"/>
                <w:sz w:val="21"/>
              </w:rPr>
              <w:t>Luna Cuarto Menguante</w:t>
            </w:r>
          </w:p>
        </w:tc>
        <w:tc>
          <w:tcPr>
            <w:tcW w:w="2414" w:type="dxa"/>
            <w:tcBorders>
              <w:top w:val="nil"/>
              <w:bottom w:val="nil"/>
            </w:tcBorders>
          </w:tcPr>
          <w:p>
            <w:pPr>
              <w:pStyle w:val="TableParagraph"/>
              <w:ind w:left="937" w:right="937"/>
              <w:jc w:val="center"/>
              <w:rPr>
                <w:sz w:val="21"/>
              </w:rPr>
            </w:pPr>
            <w:r>
              <w:rPr>
                <w:w w:val="105"/>
                <w:sz w:val="21"/>
              </w:rPr>
              <w:t>864</w:t>
            </w:r>
          </w:p>
        </w:tc>
        <w:tc>
          <w:tcPr>
            <w:tcW w:w="2122" w:type="dxa"/>
            <w:tcBorders>
              <w:top w:val="nil"/>
              <w:bottom w:val="nil"/>
            </w:tcBorders>
          </w:tcPr>
          <w:p>
            <w:pPr>
              <w:pStyle w:val="TableParagraph"/>
              <w:ind w:left="306" w:right="306"/>
              <w:jc w:val="center"/>
              <w:rPr>
                <w:sz w:val="21"/>
              </w:rPr>
            </w:pPr>
            <w:r>
              <w:rPr>
                <w:w w:val="105"/>
                <w:sz w:val="21"/>
              </w:rPr>
              <w:t>3.4</w:t>
            </w:r>
          </w:p>
        </w:tc>
      </w:tr>
      <w:tr>
        <w:trPr>
          <w:trHeight w:val="252" w:hRule="exact"/>
        </w:trPr>
        <w:tc>
          <w:tcPr>
            <w:tcW w:w="4219" w:type="dxa"/>
            <w:tcBorders>
              <w:top w:val="nil"/>
              <w:bottom w:val="nil"/>
            </w:tcBorders>
          </w:tcPr>
          <w:p>
            <w:pPr>
              <w:pStyle w:val="TableParagraph"/>
              <w:spacing w:line="236" w:lineRule="exact"/>
              <w:rPr>
                <w:sz w:val="21"/>
              </w:rPr>
            </w:pPr>
            <w:r>
              <w:rPr>
                <w:w w:val="105"/>
                <w:sz w:val="21"/>
              </w:rPr>
              <w:t>Luna Menguante</w:t>
            </w:r>
          </w:p>
        </w:tc>
        <w:tc>
          <w:tcPr>
            <w:tcW w:w="2414" w:type="dxa"/>
            <w:tcBorders>
              <w:top w:val="nil"/>
              <w:bottom w:val="nil"/>
            </w:tcBorders>
          </w:tcPr>
          <w:p>
            <w:pPr>
              <w:pStyle w:val="TableParagraph"/>
              <w:spacing w:line="236" w:lineRule="exact"/>
              <w:ind w:left="937" w:right="937"/>
              <w:jc w:val="center"/>
              <w:rPr>
                <w:sz w:val="21"/>
              </w:rPr>
            </w:pPr>
            <w:r>
              <w:rPr>
                <w:w w:val="105"/>
                <w:sz w:val="21"/>
              </w:rPr>
              <w:t>5110</w:t>
            </w:r>
          </w:p>
        </w:tc>
        <w:tc>
          <w:tcPr>
            <w:tcW w:w="2122" w:type="dxa"/>
            <w:tcBorders>
              <w:top w:val="nil"/>
              <w:bottom w:val="nil"/>
            </w:tcBorders>
          </w:tcPr>
          <w:p>
            <w:pPr>
              <w:pStyle w:val="TableParagraph"/>
              <w:spacing w:line="236" w:lineRule="exact"/>
              <w:ind w:left="306" w:right="306"/>
              <w:jc w:val="center"/>
              <w:rPr>
                <w:sz w:val="21"/>
              </w:rPr>
            </w:pPr>
            <w:r>
              <w:rPr>
                <w:w w:val="105"/>
                <w:sz w:val="21"/>
              </w:rPr>
              <w:t>20.3</w:t>
            </w:r>
          </w:p>
        </w:tc>
      </w:tr>
      <w:tr>
        <w:trPr>
          <w:trHeight w:val="252" w:hRule="exact"/>
        </w:trPr>
        <w:tc>
          <w:tcPr>
            <w:tcW w:w="4219" w:type="dxa"/>
            <w:tcBorders>
              <w:top w:val="nil"/>
            </w:tcBorders>
          </w:tcPr>
          <w:p>
            <w:pPr>
              <w:pStyle w:val="TableParagraph"/>
              <w:rPr>
                <w:sz w:val="21"/>
              </w:rPr>
            </w:pPr>
            <w:r>
              <w:rPr>
                <w:w w:val="105"/>
                <w:sz w:val="21"/>
              </w:rPr>
              <w:t>Luna Negra</w:t>
            </w:r>
          </w:p>
        </w:tc>
        <w:tc>
          <w:tcPr>
            <w:tcW w:w="2414" w:type="dxa"/>
            <w:tcBorders>
              <w:top w:val="nil"/>
            </w:tcBorders>
          </w:tcPr>
          <w:p>
            <w:pPr>
              <w:pStyle w:val="TableParagraph"/>
              <w:ind w:left="937" w:right="937"/>
              <w:jc w:val="center"/>
              <w:rPr>
                <w:sz w:val="21"/>
              </w:rPr>
            </w:pPr>
            <w:r>
              <w:rPr>
                <w:w w:val="105"/>
                <w:sz w:val="21"/>
              </w:rPr>
              <w:t>981</w:t>
            </w:r>
          </w:p>
        </w:tc>
        <w:tc>
          <w:tcPr>
            <w:tcW w:w="2122" w:type="dxa"/>
            <w:tcBorders>
              <w:top w:val="nil"/>
            </w:tcBorders>
          </w:tcPr>
          <w:p>
            <w:pPr>
              <w:pStyle w:val="TableParagraph"/>
              <w:ind w:left="306" w:right="306"/>
              <w:jc w:val="center"/>
              <w:rPr>
                <w:sz w:val="21"/>
              </w:rPr>
            </w:pPr>
            <w:r>
              <w:rPr>
                <w:w w:val="105"/>
                <w:sz w:val="21"/>
              </w:rPr>
              <w:t>3.9</w:t>
            </w:r>
          </w:p>
        </w:tc>
      </w:tr>
    </w:tbl>
    <w:p>
      <w:pPr>
        <w:pStyle w:val="BodyText"/>
        <w:rPr>
          <w:sz w:val="27"/>
        </w:rPr>
      </w:pPr>
    </w:p>
    <w:p>
      <w:pPr>
        <w:pStyle w:val="BodyText"/>
        <w:spacing w:line="376" w:lineRule="auto" w:before="78"/>
        <w:ind w:left="219" w:right="674"/>
      </w:pPr>
      <w:r>
        <w:rPr>
          <w:w w:val="105"/>
        </w:rPr>
        <w:t>La comparación de medias se estableció por el análisis de </w:t>
      </w:r>
      <w:r>
        <w:rPr>
          <w:i/>
          <w:w w:val="105"/>
        </w:rPr>
        <w:t>T-student</w:t>
      </w:r>
      <w:r>
        <w:rPr>
          <w:w w:val="105"/>
        </w:rPr>
        <w:t>. La fórmula para el resultado de la prueba T de student se comenta a continuación.</w:t>
      </w:r>
    </w:p>
    <w:p>
      <w:pPr>
        <w:pStyle w:val="BodyText"/>
        <w:spacing w:before="1"/>
        <w:rPr>
          <w:sz w:val="29"/>
        </w:rPr>
      </w:pPr>
      <w:r>
        <w:rPr/>
        <w:drawing>
          <wp:anchor distT="0" distB="0" distL="0" distR="0" allowOverlap="1" layoutInCell="1" locked="0" behindDoc="0" simplePos="0" relativeHeight="1408">
            <wp:simplePos x="0" y="0"/>
            <wp:positionH relativeFrom="page">
              <wp:posOffset>2114550</wp:posOffset>
            </wp:positionH>
            <wp:positionV relativeFrom="paragraph">
              <wp:posOffset>237651</wp:posOffset>
            </wp:positionV>
            <wp:extent cx="3524864" cy="894111"/>
            <wp:effectExtent l="0" t="0" r="0" b="0"/>
            <wp:wrapTopAndBottom/>
            <wp:docPr id="23" name="image36.jpeg" descr=""/>
            <wp:cNvGraphicFramePr>
              <a:graphicFrameLocks noChangeAspect="1"/>
            </wp:cNvGraphicFramePr>
            <a:graphic>
              <a:graphicData uri="http://schemas.openxmlformats.org/drawingml/2006/picture">
                <pic:pic>
                  <pic:nvPicPr>
                    <pic:cNvPr id="24" name="image36.jpeg"/>
                    <pic:cNvPicPr/>
                  </pic:nvPicPr>
                  <pic:blipFill>
                    <a:blip r:embed="rId50" cstate="print"/>
                    <a:stretch>
                      <a:fillRect/>
                    </a:stretch>
                  </pic:blipFill>
                  <pic:spPr>
                    <a:xfrm>
                      <a:off x="0" y="0"/>
                      <a:ext cx="3524864" cy="894111"/>
                    </a:xfrm>
                    <a:prstGeom prst="rect">
                      <a:avLst/>
                    </a:prstGeom>
                  </pic:spPr>
                </pic:pic>
              </a:graphicData>
            </a:graphic>
          </wp:anchor>
        </w:drawing>
      </w:r>
    </w:p>
    <w:p>
      <w:pPr>
        <w:pStyle w:val="BodyText"/>
        <w:rPr>
          <w:sz w:val="22"/>
        </w:rPr>
      </w:pPr>
    </w:p>
    <w:p>
      <w:pPr>
        <w:pStyle w:val="BodyText"/>
        <w:spacing w:before="8"/>
        <w:rPr>
          <w:sz w:val="20"/>
        </w:rPr>
      </w:pPr>
    </w:p>
    <w:p>
      <w:pPr>
        <w:pStyle w:val="BodyText"/>
        <w:spacing w:line="376" w:lineRule="auto" w:before="1"/>
        <w:ind w:left="219" w:right="674"/>
      </w:pPr>
      <w:r>
        <w:rPr>
          <w:w w:val="105"/>
        </w:rPr>
        <w:t>La significancia de la diferencia de las medias de los nacimientos obtenidos durante los  4 años de estudio se presenta en la Tabla 2 y Tabla</w:t>
      </w:r>
      <w:r>
        <w:rPr>
          <w:spacing w:val="-32"/>
          <w:w w:val="105"/>
        </w:rPr>
        <w:t> </w:t>
      </w:r>
      <w:r>
        <w:rPr>
          <w:w w:val="105"/>
        </w:rPr>
        <w:t>3.</w:t>
      </w:r>
    </w:p>
    <w:p>
      <w:pPr>
        <w:pStyle w:val="BodyText"/>
        <w:spacing w:before="7"/>
      </w:pPr>
    </w:p>
    <w:p>
      <w:pPr>
        <w:pStyle w:val="BodyText"/>
        <w:spacing w:line="252" w:lineRule="auto"/>
        <w:ind w:left="219" w:right="674"/>
      </w:pPr>
      <w:r>
        <w:rPr>
          <w:w w:val="105"/>
        </w:rPr>
        <w:t>Tabla 2.0 Diferencia de medias de nacimientos entre las diferentes etapas de la luna (Luna nueva).</w:t>
      </w:r>
    </w:p>
    <w:p>
      <w:pPr>
        <w:pStyle w:val="BodyText"/>
        <w:rPr>
          <w:sz w:val="20"/>
        </w:rPr>
      </w:pPr>
    </w:p>
    <w:p>
      <w:pPr>
        <w:pStyle w:val="BodyText"/>
        <w:spacing w:before="6"/>
        <w:rPr>
          <w:sz w:val="23"/>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742"/>
        <w:gridCol w:w="1762"/>
        <w:gridCol w:w="1742"/>
        <w:gridCol w:w="1387"/>
        <w:gridCol w:w="1450"/>
      </w:tblGrid>
      <w:tr>
        <w:trPr>
          <w:trHeight w:val="1022" w:hRule="exact"/>
        </w:trPr>
        <w:tc>
          <w:tcPr>
            <w:tcW w:w="1243" w:type="dxa"/>
          </w:tcPr>
          <w:p>
            <w:pPr/>
          </w:p>
        </w:tc>
        <w:tc>
          <w:tcPr>
            <w:tcW w:w="1742" w:type="dxa"/>
          </w:tcPr>
          <w:p>
            <w:pPr>
              <w:pStyle w:val="TableParagraph"/>
              <w:spacing w:line="252" w:lineRule="auto" w:before="4"/>
              <w:ind w:right="428"/>
              <w:jc w:val="both"/>
              <w:rPr>
                <w:sz w:val="21"/>
              </w:rPr>
            </w:pPr>
            <w:r>
              <w:rPr>
                <w:w w:val="105"/>
                <w:sz w:val="21"/>
              </w:rPr>
              <w:t>Luna nueva versus</w:t>
            </w:r>
            <w:r>
              <w:rPr>
                <w:spacing w:val="-8"/>
                <w:w w:val="105"/>
                <w:sz w:val="21"/>
              </w:rPr>
              <w:t> </w:t>
            </w:r>
            <w:r>
              <w:rPr>
                <w:w w:val="105"/>
                <w:sz w:val="21"/>
              </w:rPr>
              <w:t>Luna creciente</w:t>
            </w:r>
          </w:p>
        </w:tc>
        <w:tc>
          <w:tcPr>
            <w:tcW w:w="1762" w:type="dxa"/>
          </w:tcPr>
          <w:p>
            <w:pPr>
              <w:pStyle w:val="TableParagraph"/>
              <w:spacing w:line="252" w:lineRule="auto" w:before="4"/>
              <w:ind w:left="100" w:right="66"/>
              <w:rPr>
                <w:sz w:val="21"/>
              </w:rPr>
            </w:pPr>
            <w:r>
              <w:rPr>
                <w:w w:val="105"/>
                <w:sz w:val="21"/>
              </w:rPr>
              <w:t>Luna nueva versus Luna Cuarto Creciente</w:t>
            </w:r>
          </w:p>
        </w:tc>
        <w:tc>
          <w:tcPr>
            <w:tcW w:w="1742" w:type="dxa"/>
          </w:tcPr>
          <w:p>
            <w:pPr>
              <w:pStyle w:val="TableParagraph"/>
              <w:spacing w:line="252" w:lineRule="auto" w:before="4"/>
              <w:rPr>
                <w:sz w:val="21"/>
              </w:rPr>
            </w:pPr>
            <w:r>
              <w:rPr>
                <w:w w:val="105"/>
                <w:sz w:val="21"/>
              </w:rPr>
              <w:t>Luna Nueva versus Gibada Creciente</w:t>
            </w:r>
          </w:p>
        </w:tc>
        <w:tc>
          <w:tcPr>
            <w:tcW w:w="1387" w:type="dxa"/>
          </w:tcPr>
          <w:p>
            <w:pPr>
              <w:pStyle w:val="TableParagraph"/>
              <w:spacing w:line="252" w:lineRule="auto" w:before="4"/>
              <w:rPr>
                <w:sz w:val="21"/>
              </w:rPr>
            </w:pPr>
            <w:r>
              <w:rPr>
                <w:w w:val="105"/>
                <w:sz w:val="21"/>
              </w:rPr>
              <w:t>Luna nueva versus Gibada Menguante</w:t>
            </w:r>
          </w:p>
        </w:tc>
        <w:tc>
          <w:tcPr>
            <w:tcW w:w="1450" w:type="dxa"/>
          </w:tcPr>
          <w:p>
            <w:pPr>
              <w:pStyle w:val="TableParagraph"/>
              <w:spacing w:line="252" w:lineRule="auto" w:before="4"/>
              <w:ind w:right="133"/>
              <w:jc w:val="both"/>
              <w:rPr>
                <w:sz w:val="21"/>
              </w:rPr>
            </w:pPr>
            <w:r>
              <w:rPr>
                <w:w w:val="105"/>
                <w:sz w:val="21"/>
              </w:rPr>
              <w:t>Luna Nueva versus Luna Menguante</w:t>
            </w:r>
          </w:p>
        </w:tc>
      </w:tr>
      <w:tr>
        <w:trPr>
          <w:trHeight w:val="267" w:hRule="exact"/>
        </w:trPr>
        <w:tc>
          <w:tcPr>
            <w:tcW w:w="1243" w:type="dxa"/>
            <w:tcBorders>
              <w:bottom w:val="nil"/>
            </w:tcBorders>
          </w:tcPr>
          <w:p>
            <w:pPr>
              <w:pStyle w:val="TableParagraph"/>
              <w:spacing w:line="240" w:lineRule="auto" w:before="4"/>
              <w:ind w:left="72" w:right="91"/>
              <w:jc w:val="center"/>
              <w:rPr>
                <w:i/>
                <w:sz w:val="21"/>
              </w:rPr>
            </w:pPr>
            <w:r>
              <w:rPr>
                <w:w w:val="105"/>
                <w:sz w:val="21"/>
              </w:rPr>
              <w:t>Valor de </w:t>
            </w:r>
            <w:r>
              <w:rPr>
                <w:i/>
                <w:w w:val="105"/>
                <w:sz w:val="21"/>
              </w:rPr>
              <w:t>p</w:t>
            </w:r>
          </w:p>
        </w:tc>
        <w:tc>
          <w:tcPr>
            <w:tcW w:w="1742" w:type="dxa"/>
            <w:tcBorders>
              <w:bottom w:val="nil"/>
            </w:tcBorders>
          </w:tcPr>
          <w:p>
            <w:pPr>
              <w:pStyle w:val="TableParagraph"/>
              <w:spacing w:line="240" w:lineRule="auto" w:before="4"/>
              <w:rPr>
                <w:sz w:val="21"/>
              </w:rPr>
            </w:pPr>
            <w:r>
              <w:rPr>
                <w:w w:val="105"/>
                <w:sz w:val="21"/>
              </w:rPr>
              <w:t>0.075</w:t>
            </w:r>
          </w:p>
        </w:tc>
        <w:tc>
          <w:tcPr>
            <w:tcW w:w="1762" w:type="dxa"/>
            <w:tcBorders>
              <w:bottom w:val="nil"/>
            </w:tcBorders>
          </w:tcPr>
          <w:p>
            <w:pPr>
              <w:pStyle w:val="TableParagraph"/>
              <w:spacing w:line="240" w:lineRule="auto" w:before="4"/>
              <w:ind w:left="100" w:right="66"/>
              <w:rPr>
                <w:sz w:val="21"/>
              </w:rPr>
            </w:pPr>
            <w:r>
              <w:rPr>
                <w:w w:val="105"/>
                <w:sz w:val="21"/>
              </w:rPr>
              <w:t>0.841</w:t>
            </w:r>
          </w:p>
        </w:tc>
        <w:tc>
          <w:tcPr>
            <w:tcW w:w="1742" w:type="dxa"/>
            <w:tcBorders>
              <w:bottom w:val="nil"/>
            </w:tcBorders>
          </w:tcPr>
          <w:p>
            <w:pPr>
              <w:pStyle w:val="TableParagraph"/>
              <w:spacing w:line="240" w:lineRule="auto" w:before="4"/>
              <w:rPr>
                <w:sz w:val="21"/>
              </w:rPr>
            </w:pPr>
            <w:r>
              <w:rPr>
                <w:w w:val="105"/>
                <w:sz w:val="21"/>
              </w:rPr>
              <w:t>0.046</w:t>
            </w:r>
          </w:p>
        </w:tc>
        <w:tc>
          <w:tcPr>
            <w:tcW w:w="1387" w:type="dxa"/>
            <w:tcBorders>
              <w:bottom w:val="nil"/>
            </w:tcBorders>
          </w:tcPr>
          <w:p>
            <w:pPr>
              <w:pStyle w:val="TableParagraph"/>
              <w:spacing w:line="240" w:lineRule="auto" w:before="4"/>
              <w:rPr>
                <w:sz w:val="21"/>
              </w:rPr>
            </w:pPr>
            <w:r>
              <w:rPr>
                <w:w w:val="105"/>
                <w:sz w:val="21"/>
              </w:rPr>
              <w:t>0.054</w:t>
            </w:r>
          </w:p>
        </w:tc>
        <w:tc>
          <w:tcPr>
            <w:tcW w:w="1450" w:type="dxa"/>
            <w:tcBorders>
              <w:bottom w:val="nil"/>
            </w:tcBorders>
          </w:tcPr>
          <w:p>
            <w:pPr>
              <w:pStyle w:val="TableParagraph"/>
              <w:spacing w:line="240" w:lineRule="auto" w:before="4"/>
              <w:rPr>
                <w:sz w:val="21"/>
              </w:rPr>
            </w:pPr>
            <w:r>
              <w:rPr>
                <w:w w:val="105"/>
                <w:sz w:val="21"/>
              </w:rPr>
              <w:t>0.345</w:t>
            </w:r>
          </w:p>
        </w:tc>
      </w:tr>
      <w:tr>
        <w:trPr>
          <w:trHeight w:val="276" w:hRule="exact"/>
        </w:trPr>
        <w:tc>
          <w:tcPr>
            <w:tcW w:w="1243" w:type="dxa"/>
            <w:tcBorders>
              <w:top w:val="nil"/>
            </w:tcBorders>
          </w:tcPr>
          <w:p>
            <w:pPr>
              <w:pStyle w:val="TableParagraph"/>
              <w:ind w:left="84" w:right="91"/>
              <w:jc w:val="center"/>
              <w:rPr>
                <w:sz w:val="21"/>
              </w:rPr>
            </w:pPr>
            <w:r>
              <w:rPr>
                <w:w w:val="105"/>
                <w:sz w:val="21"/>
              </w:rPr>
              <w:t>Valor de F</w:t>
            </w:r>
          </w:p>
        </w:tc>
        <w:tc>
          <w:tcPr>
            <w:tcW w:w="1742" w:type="dxa"/>
            <w:tcBorders>
              <w:top w:val="nil"/>
            </w:tcBorders>
          </w:tcPr>
          <w:p>
            <w:pPr>
              <w:pStyle w:val="TableParagraph"/>
              <w:rPr>
                <w:sz w:val="21"/>
              </w:rPr>
            </w:pPr>
            <w:r>
              <w:rPr>
                <w:w w:val="105"/>
                <w:sz w:val="21"/>
              </w:rPr>
              <w:t>4.637</w:t>
            </w:r>
          </w:p>
        </w:tc>
        <w:tc>
          <w:tcPr>
            <w:tcW w:w="1762" w:type="dxa"/>
            <w:tcBorders>
              <w:top w:val="nil"/>
            </w:tcBorders>
          </w:tcPr>
          <w:p>
            <w:pPr>
              <w:pStyle w:val="TableParagraph"/>
              <w:ind w:left="100" w:right="66"/>
              <w:rPr>
                <w:sz w:val="21"/>
              </w:rPr>
            </w:pPr>
            <w:r>
              <w:rPr>
                <w:w w:val="105"/>
                <w:sz w:val="21"/>
              </w:rPr>
              <w:t>0.044</w:t>
            </w:r>
          </w:p>
        </w:tc>
        <w:tc>
          <w:tcPr>
            <w:tcW w:w="1742" w:type="dxa"/>
            <w:tcBorders>
              <w:top w:val="nil"/>
            </w:tcBorders>
          </w:tcPr>
          <w:p>
            <w:pPr>
              <w:pStyle w:val="TableParagraph"/>
              <w:rPr>
                <w:sz w:val="21"/>
              </w:rPr>
            </w:pPr>
            <w:r>
              <w:rPr>
                <w:w w:val="105"/>
                <w:sz w:val="21"/>
              </w:rPr>
              <w:t>6.275</w:t>
            </w:r>
          </w:p>
        </w:tc>
        <w:tc>
          <w:tcPr>
            <w:tcW w:w="1387" w:type="dxa"/>
            <w:tcBorders>
              <w:top w:val="nil"/>
            </w:tcBorders>
          </w:tcPr>
          <w:p>
            <w:pPr>
              <w:pStyle w:val="TableParagraph"/>
              <w:rPr>
                <w:sz w:val="21"/>
              </w:rPr>
            </w:pPr>
            <w:r>
              <w:rPr>
                <w:w w:val="105"/>
                <w:sz w:val="21"/>
              </w:rPr>
              <w:t>5.746</w:t>
            </w:r>
          </w:p>
        </w:tc>
        <w:tc>
          <w:tcPr>
            <w:tcW w:w="1450" w:type="dxa"/>
            <w:tcBorders>
              <w:top w:val="nil"/>
            </w:tcBorders>
          </w:tcPr>
          <w:p>
            <w:pPr>
              <w:pStyle w:val="TableParagraph"/>
              <w:rPr>
                <w:sz w:val="21"/>
              </w:rPr>
            </w:pPr>
            <w:r>
              <w:rPr>
                <w:w w:val="105"/>
                <w:sz w:val="21"/>
              </w:rPr>
              <w:t>1.049</w:t>
            </w:r>
          </w:p>
        </w:tc>
      </w:tr>
    </w:tbl>
    <w:p>
      <w:pPr>
        <w:spacing w:after="0"/>
        <w:rPr>
          <w:sz w:val="21"/>
        </w:rPr>
        <w:sectPr>
          <w:pgSz w:w="12240" w:h="15840"/>
          <w:pgMar w:header="1209" w:footer="1234" w:top="1400" w:bottom="1420" w:left="1480" w:right="1200"/>
        </w:sectPr>
      </w:pPr>
    </w:p>
    <w:p>
      <w:pPr>
        <w:pStyle w:val="BodyText"/>
        <w:spacing w:before="4"/>
        <w:rPr>
          <w:sz w:val="16"/>
        </w:rPr>
      </w:pPr>
    </w:p>
    <w:p>
      <w:pPr>
        <w:pStyle w:val="BodyText"/>
        <w:spacing w:line="252" w:lineRule="auto" w:before="78"/>
        <w:ind w:left="219" w:right="676"/>
      </w:pPr>
      <w:r>
        <w:rPr>
          <w:w w:val="105"/>
        </w:rPr>
        <w:t>Tabla 3.0 Diferencia de medias de nacimientos entre las diferentes etapas de la luna (Luna Llena)</w:t>
      </w:r>
    </w:p>
    <w:p>
      <w:pPr>
        <w:pStyle w:val="BodyText"/>
        <w:spacing w:before="4"/>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742"/>
        <w:gridCol w:w="1762"/>
        <w:gridCol w:w="1742"/>
        <w:gridCol w:w="1387"/>
        <w:gridCol w:w="1450"/>
      </w:tblGrid>
      <w:tr>
        <w:trPr>
          <w:trHeight w:val="1022" w:hRule="exact"/>
        </w:trPr>
        <w:tc>
          <w:tcPr>
            <w:tcW w:w="1243" w:type="dxa"/>
          </w:tcPr>
          <w:p>
            <w:pPr/>
          </w:p>
        </w:tc>
        <w:tc>
          <w:tcPr>
            <w:tcW w:w="1742" w:type="dxa"/>
          </w:tcPr>
          <w:p>
            <w:pPr>
              <w:pStyle w:val="TableParagraph"/>
              <w:spacing w:line="252" w:lineRule="auto" w:before="4"/>
              <w:rPr>
                <w:sz w:val="21"/>
              </w:rPr>
            </w:pPr>
            <w:r>
              <w:rPr>
                <w:w w:val="105"/>
                <w:sz w:val="21"/>
              </w:rPr>
              <w:t>Luna Llena versus Luna creciente</w:t>
            </w:r>
          </w:p>
        </w:tc>
        <w:tc>
          <w:tcPr>
            <w:tcW w:w="1762" w:type="dxa"/>
          </w:tcPr>
          <w:p>
            <w:pPr>
              <w:pStyle w:val="TableParagraph"/>
              <w:spacing w:line="252" w:lineRule="auto" w:before="4"/>
              <w:ind w:left="100" w:right="66"/>
              <w:rPr>
                <w:sz w:val="21"/>
              </w:rPr>
            </w:pPr>
            <w:r>
              <w:rPr>
                <w:w w:val="105"/>
                <w:sz w:val="21"/>
              </w:rPr>
              <w:t>Luna Llena versus Luna Cuarto Creciente</w:t>
            </w:r>
          </w:p>
        </w:tc>
        <w:tc>
          <w:tcPr>
            <w:tcW w:w="1742" w:type="dxa"/>
          </w:tcPr>
          <w:p>
            <w:pPr>
              <w:pStyle w:val="TableParagraph"/>
              <w:spacing w:line="252" w:lineRule="auto" w:before="4"/>
              <w:rPr>
                <w:sz w:val="21"/>
              </w:rPr>
            </w:pPr>
            <w:r>
              <w:rPr>
                <w:w w:val="105"/>
                <w:sz w:val="21"/>
              </w:rPr>
              <w:t>Luna Llena versus Gibada Creciente</w:t>
            </w:r>
          </w:p>
        </w:tc>
        <w:tc>
          <w:tcPr>
            <w:tcW w:w="1387" w:type="dxa"/>
          </w:tcPr>
          <w:p>
            <w:pPr>
              <w:pStyle w:val="TableParagraph"/>
              <w:spacing w:line="252" w:lineRule="auto" w:before="4"/>
              <w:ind w:right="161"/>
              <w:rPr>
                <w:sz w:val="21"/>
              </w:rPr>
            </w:pPr>
            <w:r>
              <w:rPr>
                <w:w w:val="105"/>
                <w:sz w:val="21"/>
              </w:rPr>
              <w:t>Luna Llena versus Gibada </w:t>
            </w:r>
            <w:r>
              <w:rPr>
                <w:sz w:val="21"/>
              </w:rPr>
              <w:t>Menguante</w:t>
            </w:r>
          </w:p>
        </w:tc>
        <w:tc>
          <w:tcPr>
            <w:tcW w:w="1450" w:type="dxa"/>
          </w:tcPr>
          <w:p>
            <w:pPr>
              <w:pStyle w:val="TableParagraph"/>
              <w:spacing w:line="252" w:lineRule="auto" w:before="4"/>
              <w:rPr>
                <w:sz w:val="21"/>
              </w:rPr>
            </w:pPr>
            <w:r>
              <w:rPr>
                <w:w w:val="105"/>
                <w:sz w:val="21"/>
              </w:rPr>
              <w:t>Luna Llena versus Luna Nueva</w:t>
            </w:r>
          </w:p>
        </w:tc>
      </w:tr>
      <w:tr>
        <w:trPr>
          <w:trHeight w:val="267" w:hRule="exact"/>
        </w:trPr>
        <w:tc>
          <w:tcPr>
            <w:tcW w:w="1243" w:type="dxa"/>
            <w:tcBorders>
              <w:bottom w:val="nil"/>
            </w:tcBorders>
          </w:tcPr>
          <w:p>
            <w:pPr>
              <w:pStyle w:val="TableParagraph"/>
              <w:spacing w:line="240" w:lineRule="auto" w:before="4"/>
              <w:ind w:left="72" w:right="91"/>
              <w:jc w:val="center"/>
              <w:rPr>
                <w:i/>
                <w:sz w:val="21"/>
              </w:rPr>
            </w:pPr>
            <w:r>
              <w:rPr>
                <w:w w:val="105"/>
                <w:sz w:val="21"/>
              </w:rPr>
              <w:t>Valor de </w:t>
            </w:r>
            <w:r>
              <w:rPr>
                <w:i/>
                <w:w w:val="105"/>
                <w:sz w:val="21"/>
              </w:rPr>
              <w:t>p</w:t>
            </w:r>
          </w:p>
        </w:tc>
        <w:tc>
          <w:tcPr>
            <w:tcW w:w="1742" w:type="dxa"/>
            <w:tcBorders>
              <w:bottom w:val="nil"/>
            </w:tcBorders>
          </w:tcPr>
          <w:p>
            <w:pPr>
              <w:pStyle w:val="TableParagraph"/>
              <w:spacing w:line="240" w:lineRule="auto" w:before="4"/>
              <w:rPr>
                <w:sz w:val="21"/>
              </w:rPr>
            </w:pPr>
            <w:r>
              <w:rPr>
                <w:w w:val="105"/>
                <w:sz w:val="21"/>
              </w:rPr>
              <w:t>0.079</w:t>
            </w:r>
          </w:p>
        </w:tc>
        <w:tc>
          <w:tcPr>
            <w:tcW w:w="1762" w:type="dxa"/>
            <w:tcBorders>
              <w:bottom w:val="nil"/>
            </w:tcBorders>
          </w:tcPr>
          <w:p>
            <w:pPr>
              <w:pStyle w:val="TableParagraph"/>
              <w:spacing w:line="240" w:lineRule="auto" w:before="4"/>
              <w:ind w:left="100" w:right="66"/>
              <w:rPr>
                <w:sz w:val="21"/>
              </w:rPr>
            </w:pPr>
            <w:r>
              <w:rPr>
                <w:w w:val="105"/>
                <w:sz w:val="21"/>
              </w:rPr>
              <w:t>0.746</w:t>
            </w:r>
          </w:p>
        </w:tc>
        <w:tc>
          <w:tcPr>
            <w:tcW w:w="1742" w:type="dxa"/>
            <w:tcBorders>
              <w:bottom w:val="nil"/>
            </w:tcBorders>
          </w:tcPr>
          <w:p>
            <w:pPr>
              <w:pStyle w:val="TableParagraph"/>
              <w:spacing w:line="240" w:lineRule="auto" w:before="4"/>
              <w:rPr>
                <w:sz w:val="21"/>
              </w:rPr>
            </w:pPr>
            <w:r>
              <w:rPr>
                <w:w w:val="105"/>
                <w:sz w:val="21"/>
              </w:rPr>
              <w:t>0.048</w:t>
            </w:r>
          </w:p>
        </w:tc>
        <w:tc>
          <w:tcPr>
            <w:tcW w:w="1387" w:type="dxa"/>
            <w:tcBorders>
              <w:bottom w:val="nil"/>
            </w:tcBorders>
          </w:tcPr>
          <w:p>
            <w:pPr>
              <w:pStyle w:val="TableParagraph"/>
              <w:spacing w:line="240" w:lineRule="auto" w:before="4"/>
              <w:rPr>
                <w:sz w:val="21"/>
              </w:rPr>
            </w:pPr>
            <w:r>
              <w:rPr>
                <w:w w:val="105"/>
                <w:sz w:val="21"/>
              </w:rPr>
              <w:t>0.056</w:t>
            </w:r>
          </w:p>
        </w:tc>
        <w:tc>
          <w:tcPr>
            <w:tcW w:w="1450" w:type="dxa"/>
            <w:tcBorders>
              <w:bottom w:val="nil"/>
            </w:tcBorders>
          </w:tcPr>
          <w:p>
            <w:pPr>
              <w:pStyle w:val="TableParagraph"/>
              <w:spacing w:line="240" w:lineRule="auto" w:before="4"/>
              <w:rPr>
                <w:sz w:val="21"/>
              </w:rPr>
            </w:pPr>
            <w:r>
              <w:rPr>
                <w:w w:val="105"/>
                <w:sz w:val="21"/>
              </w:rPr>
              <w:t>0.900</w:t>
            </w:r>
          </w:p>
        </w:tc>
      </w:tr>
      <w:tr>
        <w:trPr>
          <w:trHeight w:val="276" w:hRule="exact"/>
        </w:trPr>
        <w:tc>
          <w:tcPr>
            <w:tcW w:w="1243" w:type="dxa"/>
            <w:tcBorders>
              <w:top w:val="nil"/>
            </w:tcBorders>
          </w:tcPr>
          <w:p>
            <w:pPr>
              <w:pStyle w:val="TableParagraph"/>
              <w:ind w:left="84" w:right="91"/>
              <w:jc w:val="center"/>
              <w:rPr>
                <w:sz w:val="21"/>
              </w:rPr>
            </w:pPr>
            <w:r>
              <w:rPr>
                <w:w w:val="105"/>
                <w:sz w:val="21"/>
              </w:rPr>
              <w:t>Valor de F</w:t>
            </w:r>
          </w:p>
        </w:tc>
        <w:tc>
          <w:tcPr>
            <w:tcW w:w="1742" w:type="dxa"/>
            <w:tcBorders>
              <w:top w:val="nil"/>
            </w:tcBorders>
          </w:tcPr>
          <w:p>
            <w:pPr>
              <w:pStyle w:val="TableParagraph"/>
              <w:rPr>
                <w:sz w:val="21"/>
              </w:rPr>
            </w:pPr>
            <w:r>
              <w:rPr>
                <w:w w:val="105"/>
                <w:sz w:val="21"/>
              </w:rPr>
              <w:t>4.480</w:t>
            </w:r>
          </w:p>
        </w:tc>
        <w:tc>
          <w:tcPr>
            <w:tcW w:w="1762" w:type="dxa"/>
            <w:tcBorders>
              <w:top w:val="nil"/>
            </w:tcBorders>
          </w:tcPr>
          <w:p>
            <w:pPr>
              <w:pStyle w:val="TableParagraph"/>
              <w:ind w:left="100" w:right="66"/>
              <w:rPr>
                <w:sz w:val="21"/>
              </w:rPr>
            </w:pPr>
            <w:r>
              <w:rPr>
                <w:w w:val="105"/>
                <w:sz w:val="21"/>
              </w:rPr>
              <w:t>0.115</w:t>
            </w:r>
          </w:p>
        </w:tc>
        <w:tc>
          <w:tcPr>
            <w:tcW w:w="1742" w:type="dxa"/>
            <w:tcBorders>
              <w:top w:val="nil"/>
            </w:tcBorders>
          </w:tcPr>
          <w:p>
            <w:pPr>
              <w:pStyle w:val="TableParagraph"/>
              <w:rPr>
                <w:sz w:val="21"/>
              </w:rPr>
            </w:pPr>
            <w:r>
              <w:rPr>
                <w:w w:val="105"/>
                <w:sz w:val="21"/>
              </w:rPr>
              <w:t>6.099</w:t>
            </w:r>
          </w:p>
        </w:tc>
        <w:tc>
          <w:tcPr>
            <w:tcW w:w="1387" w:type="dxa"/>
            <w:tcBorders>
              <w:top w:val="nil"/>
            </w:tcBorders>
          </w:tcPr>
          <w:p>
            <w:pPr>
              <w:pStyle w:val="TableParagraph"/>
              <w:rPr>
                <w:sz w:val="21"/>
              </w:rPr>
            </w:pPr>
            <w:r>
              <w:rPr>
                <w:w w:val="105"/>
                <w:sz w:val="21"/>
              </w:rPr>
              <w:t>5.585</w:t>
            </w:r>
          </w:p>
        </w:tc>
        <w:tc>
          <w:tcPr>
            <w:tcW w:w="1450" w:type="dxa"/>
            <w:tcBorders>
              <w:top w:val="nil"/>
            </w:tcBorders>
          </w:tcPr>
          <w:p>
            <w:pPr>
              <w:pStyle w:val="TableParagraph"/>
              <w:rPr>
                <w:sz w:val="21"/>
              </w:rPr>
            </w:pPr>
            <w:r>
              <w:rPr>
                <w:w w:val="105"/>
                <w:sz w:val="21"/>
              </w:rPr>
              <w:t>0.017</w:t>
            </w:r>
          </w:p>
        </w:tc>
      </w:tr>
    </w:tbl>
    <w:p>
      <w:pPr>
        <w:pStyle w:val="BodyText"/>
        <w:rPr>
          <w:sz w:val="27"/>
        </w:rPr>
      </w:pPr>
    </w:p>
    <w:p>
      <w:pPr>
        <w:pStyle w:val="BodyText"/>
        <w:spacing w:line="376" w:lineRule="auto" w:before="78"/>
        <w:ind w:left="219" w:right="676"/>
      </w:pPr>
      <w:r>
        <w:rPr>
          <w:w w:val="105"/>
        </w:rPr>
        <w:t>La Fase de Luna Gibada creciente fue la que mostró una diferencia significativa contra Luna Llena y Luna Nueva, debido a que la media de nacimientos es mayor en esta etapa (n= 1371 versus 215).</w:t>
      </w:r>
    </w:p>
    <w:p>
      <w:pPr>
        <w:pStyle w:val="BodyText"/>
        <w:rPr>
          <w:sz w:val="22"/>
        </w:rPr>
      </w:pPr>
    </w:p>
    <w:p>
      <w:pPr>
        <w:pStyle w:val="BodyText"/>
        <w:spacing w:line="376" w:lineRule="auto" w:before="130"/>
        <w:ind w:left="219" w:right="676"/>
      </w:pPr>
      <w:r>
        <w:rPr>
          <w:w w:val="105"/>
        </w:rPr>
        <w:t>El test de ANOVA comparo los 8 grupos revelando una diferencia significativa (p= 0.003, 95% IC), y al realizar el test Brown-Forsythe también se demostró una diferencia significativa (p=0.000, 95% IC). El resumen del test de ANOVA se describe en la Tabla 4.</w:t>
      </w:r>
    </w:p>
    <w:p>
      <w:pPr>
        <w:pStyle w:val="BodyText"/>
        <w:spacing w:before="10"/>
        <w:rPr>
          <w:sz w:val="32"/>
        </w:rPr>
      </w:pPr>
    </w:p>
    <w:p>
      <w:pPr>
        <w:pStyle w:val="BodyText"/>
        <w:spacing w:line="252" w:lineRule="auto"/>
        <w:ind w:left="219" w:right="676"/>
      </w:pPr>
      <w:r>
        <w:rPr>
          <w:w w:val="105"/>
        </w:rPr>
        <w:t>Tabla 4.0 Test de ANOVA de una vía de los 8 grupos (Luna Nueva, creciente, Cuarto Creciente, Gibada creciente, Luna Llena, Gibada Menguante, Luna Menguante, Luna Negra)</w:t>
      </w:r>
    </w:p>
    <w:p>
      <w:pPr>
        <w:pStyle w:val="BodyText"/>
        <w:spacing w:before="4"/>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6"/>
        <w:gridCol w:w="2194"/>
        <w:gridCol w:w="778"/>
        <w:gridCol w:w="1502"/>
        <w:gridCol w:w="1344"/>
        <w:gridCol w:w="1522"/>
      </w:tblGrid>
      <w:tr>
        <w:trPr>
          <w:trHeight w:val="264" w:hRule="exact"/>
        </w:trPr>
        <w:tc>
          <w:tcPr>
            <w:tcW w:w="9466" w:type="dxa"/>
            <w:gridSpan w:val="6"/>
          </w:tcPr>
          <w:p>
            <w:pPr>
              <w:pStyle w:val="TableParagraph"/>
              <w:spacing w:line="240" w:lineRule="auto" w:before="4"/>
              <w:rPr>
                <w:sz w:val="21"/>
              </w:rPr>
            </w:pPr>
            <w:r>
              <w:rPr>
                <w:w w:val="105"/>
                <w:sz w:val="21"/>
              </w:rPr>
              <w:t>Resumen del test ANOVA (muestras independientes k=8)</w:t>
            </w:r>
          </w:p>
        </w:tc>
      </w:tr>
      <w:tr>
        <w:trPr>
          <w:trHeight w:val="514" w:hRule="exact"/>
        </w:trPr>
        <w:tc>
          <w:tcPr>
            <w:tcW w:w="2126" w:type="dxa"/>
          </w:tcPr>
          <w:p>
            <w:pPr>
              <w:pStyle w:val="TableParagraph"/>
              <w:spacing w:line="240" w:lineRule="auto" w:before="4"/>
              <w:rPr>
                <w:sz w:val="21"/>
              </w:rPr>
            </w:pPr>
            <w:r>
              <w:rPr>
                <w:w w:val="105"/>
                <w:sz w:val="21"/>
              </w:rPr>
              <w:t>Variantes</w:t>
            </w:r>
          </w:p>
        </w:tc>
        <w:tc>
          <w:tcPr>
            <w:tcW w:w="2194" w:type="dxa"/>
          </w:tcPr>
          <w:p>
            <w:pPr>
              <w:pStyle w:val="TableParagraph"/>
              <w:spacing w:line="252" w:lineRule="auto" w:before="4"/>
              <w:rPr>
                <w:sz w:val="21"/>
              </w:rPr>
            </w:pPr>
            <w:r>
              <w:rPr>
                <w:w w:val="105"/>
                <w:sz w:val="21"/>
              </w:rPr>
              <w:t>Suma de los cuadrados</w:t>
            </w:r>
          </w:p>
        </w:tc>
        <w:tc>
          <w:tcPr>
            <w:tcW w:w="778" w:type="dxa"/>
          </w:tcPr>
          <w:p>
            <w:pPr>
              <w:pStyle w:val="TableParagraph"/>
              <w:spacing w:line="240" w:lineRule="auto" w:before="4"/>
              <w:rPr>
                <w:sz w:val="21"/>
              </w:rPr>
            </w:pPr>
            <w:r>
              <w:rPr>
                <w:w w:val="105"/>
                <w:sz w:val="21"/>
              </w:rPr>
              <w:t>df</w:t>
            </w:r>
          </w:p>
        </w:tc>
        <w:tc>
          <w:tcPr>
            <w:tcW w:w="1502" w:type="dxa"/>
          </w:tcPr>
          <w:p>
            <w:pPr>
              <w:pStyle w:val="TableParagraph"/>
              <w:spacing w:line="252" w:lineRule="auto" w:before="4"/>
              <w:rPr>
                <w:sz w:val="21"/>
              </w:rPr>
            </w:pPr>
            <w:r>
              <w:rPr>
                <w:w w:val="105"/>
                <w:sz w:val="21"/>
              </w:rPr>
              <w:t>Media de los cuadrados</w:t>
            </w:r>
          </w:p>
        </w:tc>
        <w:tc>
          <w:tcPr>
            <w:tcW w:w="1344" w:type="dxa"/>
          </w:tcPr>
          <w:p>
            <w:pPr>
              <w:pStyle w:val="TableParagraph"/>
              <w:spacing w:line="240" w:lineRule="auto" w:before="4"/>
              <w:rPr>
                <w:sz w:val="21"/>
              </w:rPr>
            </w:pPr>
            <w:r>
              <w:rPr>
                <w:w w:val="105"/>
                <w:sz w:val="21"/>
              </w:rPr>
              <w:t>Valor de F</w:t>
            </w:r>
          </w:p>
        </w:tc>
        <w:tc>
          <w:tcPr>
            <w:tcW w:w="1522" w:type="dxa"/>
          </w:tcPr>
          <w:p>
            <w:pPr>
              <w:pStyle w:val="TableParagraph"/>
              <w:spacing w:line="240" w:lineRule="auto" w:before="4"/>
              <w:rPr>
                <w:i/>
                <w:sz w:val="21"/>
              </w:rPr>
            </w:pPr>
            <w:r>
              <w:rPr>
                <w:w w:val="105"/>
                <w:sz w:val="21"/>
              </w:rPr>
              <w:t>Valor de </w:t>
            </w:r>
            <w:r>
              <w:rPr>
                <w:i/>
                <w:w w:val="105"/>
                <w:sz w:val="21"/>
              </w:rPr>
              <w:t>p</w:t>
            </w:r>
          </w:p>
        </w:tc>
      </w:tr>
      <w:tr>
        <w:trPr>
          <w:trHeight w:val="267" w:hRule="exact"/>
        </w:trPr>
        <w:tc>
          <w:tcPr>
            <w:tcW w:w="2126" w:type="dxa"/>
            <w:tcBorders>
              <w:bottom w:val="nil"/>
            </w:tcBorders>
          </w:tcPr>
          <w:p>
            <w:pPr>
              <w:pStyle w:val="TableParagraph"/>
              <w:spacing w:line="240" w:lineRule="auto" w:before="4"/>
              <w:rPr>
                <w:sz w:val="21"/>
              </w:rPr>
            </w:pPr>
            <w:r>
              <w:rPr>
                <w:w w:val="105"/>
                <w:sz w:val="21"/>
              </w:rPr>
              <w:t>Inter- grupos</w:t>
            </w:r>
          </w:p>
        </w:tc>
        <w:tc>
          <w:tcPr>
            <w:tcW w:w="2194" w:type="dxa"/>
            <w:tcBorders>
              <w:bottom w:val="nil"/>
            </w:tcBorders>
          </w:tcPr>
          <w:p>
            <w:pPr>
              <w:pStyle w:val="TableParagraph"/>
              <w:spacing w:line="240" w:lineRule="auto" w:before="4"/>
              <w:rPr>
                <w:sz w:val="21"/>
              </w:rPr>
            </w:pPr>
            <w:r>
              <w:rPr>
                <w:w w:val="105"/>
                <w:sz w:val="21"/>
              </w:rPr>
              <w:t>9358089.375</w:t>
            </w:r>
          </w:p>
        </w:tc>
        <w:tc>
          <w:tcPr>
            <w:tcW w:w="778" w:type="dxa"/>
            <w:tcBorders>
              <w:bottom w:val="nil"/>
            </w:tcBorders>
          </w:tcPr>
          <w:p>
            <w:pPr>
              <w:pStyle w:val="TableParagraph"/>
              <w:spacing w:line="240" w:lineRule="auto" w:before="4"/>
              <w:rPr>
                <w:sz w:val="21"/>
              </w:rPr>
            </w:pPr>
            <w:r>
              <w:rPr>
                <w:w w:val="102"/>
                <w:sz w:val="21"/>
              </w:rPr>
              <w:t>7</w:t>
            </w:r>
          </w:p>
        </w:tc>
        <w:tc>
          <w:tcPr>
            <w:tcW w:w="1502" w:type="dxa"/>
            <w:tcBorders>
              <w:bottom w:val="nil"/>
            </w:tcBorders>
          </w:tcPr>
          <w:p>
            <w:pPr>
              <w:pStyle w:val="TableParagraph"/>
              <w:spacing w:line="240" w:lineRule="auto" w:before="4"/>
              <w:rPr>
                <w:sz w:val="21"/>
              </w:rPr>
            </w:pPr>
            <w:r>
              <w:rPr>
                <w:w w:val="105"/>
                <w:sz w:val="21"/>
              </w:rPr>
              <w:t>1336869.911</w:t>
            </w:r>
          </w:p>
        </w:tc>
        <w:tc>
          <w:tcPr>
            <w:tcW w:w="1344" w:type="dxa"/>
            <w:tcBorders>
              <w:bottom w:val="nil"/>
            </w:tcBorders>
          </w:tcPr>
          <w:p>
            <w:pPr>
              <w:pStyle w:val="TableParagraph"/>
              <w:spacing w:line="240" w:lineRule="auto" w:before="4"/>
              <w:rPr>
                <w:sz w:val="21"/>
              </w:rPr>
            </w:pPr>
            <w:r>
              <w:rPr>
                <w:w w:val="105"/>
                <w:sz w:val="21"/>
              </w:rPr>
              <w:t>13.671</w:t>
            </w:r>
          </w:p>
        </w:tc>
        <w:tc>
          <w:tcPr>
            <w:tcW w:w="1522" w:type="dxa"/>
            <w:tcBorders>
              <w:bottom w:val="nil"/>
            </w:tcBorders>
          </w:tcPr>
          <w:p>
            <w:pPr>
              <w:pStyle w:val="TableParagraph"/>
              <w:spacing w:line="240" w:lineRule="auto" w:before="4"/>
              <w:rPr>
                <w:sz w:val="21"/>
              </w:rPr>
            </w:pPr>
            <w:r>
              <w:rPr>
                <w:w w:val="105"/>
                <w:sz w:val="21"/>
              </w:rPr>
              <w:t>0.000</w:t>
            </w:r>
          </w:p>
        </w:tc>
      </w:tr>
      <w:tr>
        <w:trPr>
          <w:trHeight w:val="254" w:hRule="exact"/>
        </w:trPr>
        <w:tc>
          <w:tcPr>
            <w:tcW w:w="2126" w:type="dxa"/>
            <w:tcBorders>
              <w:top w:val="nil"/>
              <w:bottom w:val="nil"/>
            </w:tcBorders>
          </w:tcPr>
          <w:p>
            <w:pPr>
              <w:pStyle w:val="TableParagraph"/>
              <w:rPr>
                <w:sz w:val="21"/>
              </w:rPr>
            </w:pPr>
            <w:r>
              <w:rPr>
                <w:w w:val="105"/>
                <w:sz w:val="21"/>
              </w:rPr>
              <w:t>Intra-grupos</w:t>
            </w:r>
          </w:p>
        </w:tc>
        <w:tc>
          <w:tcPr>
            <w:tcW w:w="2194" w:type="dxa"/>
            <w:tcBorders>
              <w:top w:val="nil"/>
              <w:bottom w:val="nil"/>
            </w:tcBorders>
          </w:tcPr>
          <w:p>
            <w:pPr>
              <w:pStyle w:val="TableParagraph"/>
              <w:rPr>
                <w:sz w:val="21"/>
              </w:rPr>
            </w:pPr>
            <w:r>
              <w:rPr>
                <w:w w:val="105"/>
                <w:sz w:val="21"/>
              </w:rPr>
              <w:t>2346890.500</w:t>
            </w:r>
          </w:p>
        </w:tc>
        <w:tc>
          <w:tcPr>
            <w:tcW w:w="778" w:type="dxa"/>
            <w:tcBorders>
              <w:top w:val="nil"/>
              <w:bottom w:val="nil"/>
            </w:tcBorders>
          </w:tcPr>
          <w:p>
            <w:pPr>
              <w:pStyle w:val="TableParagraph"/>
              <w:rPr>
                <w:sz w:val="21"/>
              </w:rPr>
            </w:pPr>
            <w:r>
              <w:rPr>
                <w:w w:val="105"/>
                <w:sz w:val="21"/>
              </w:rPr>
              <w:t>24</w:t>
            </w:r>
          </w:p>
        </w:tc>
        <w:tc>
          <w:tcPr>
            <w:tcW w:w="1502" w:type="dxa"/>
            <w:tcBorders>
              <w:top w:val="nil"/>
              <w:bottom w:val="nil"/>
            </w:tcBorders>
          </w:tcPr>
          <w:p>
            <w:pPr>
              <w:pStyle w:val="TableParagraph"/>
              <w:rPr>
                <w:sz w:val="21"/>
              </w:rPr>
            </w:pPr>
            <w:r>
              <w:rPr>
                <w:w w:val="105"/>
                <w:sz w:val="21"/>
              </w:rPr>
              <w:t>97787.104</w:t>
            </w:r>
          </w:p>
        </w:tc>
        <w:tc>
          <w:tcPr>
            <w:tcW w:w="1344" w:type="dxa"/>
            <w:tcBorders>
              <w:top w:val="nil"/>
              <w:bottom w:val="nil"/>
            </w:tcBorders>
          </w:tcPr>
          <w:p>
            <w:pPr/>
          </w:p>
        </w:tc>
        <w:tc>
          <w:tcPr>
            <w:tcW w:w="1522" w:type="dxa"/>
            <w:tcBorders>
              <w:top w:val="nil"/>
              <w:bottom w:val="nil"/>
            </w:tcBorders>
          </w:tcPr>
          <w:p>
            <w:pPr/>
          </w:p>
        </w:tc>
      </w:tr>
      <w:tr>
        <w:trPr>
          <w:trHeight w:val="252" w:hRule="exact"/>
        </w:trPr>
        <w:tc>
          <w:tcPr>
            <w:tcW w:w="2126" w:type="dxa"/>
            <w:tcBorders>
              <w:top w:val="nil"/>
            </w:tcBorders>
          </w:tcPr>
          <w:p>
            <w:pPr>
              <w:pStyle w:val="TableParagraph"/>
              <w:rPr>
                <w:sz w:val="21"/>
              </w:rPr>
            </w:pPr>
            <w:r>
              <w:rPr>
                <w:w w:val="105"/>
                <w:sz w:val="21"/>
              </w:rPr>
              <w:t>Total</w:t>
            </w:r>
          </w:p>
        </w:tc>
        <w:tc>
          <w:tcPr>
            <w:tcW w:w="2194" w:type="dxa"/>
            <w:tcBorders>
              <w:top w:val="nil"/>
            </w:tcBorders>
          </w:tcPr>
          <w:p>
            <w:pPr>
              <w:pStyle w:val="TableParagraph"/>
              <w:rPr>
                <w:sz w:val="21"/>
              </w:rPr>
            </w:pPr>
            <w:r>
              <w:rPr>
                <w:w w:val="105"/>
                <w:sz w:val="21"/>
              </w:rPr>
              <w:t>11704979.88</w:t>
            </w:r>
          </w:p>
        </w:tc>
        <w:tc>
          <w:tcPr>
            <w:tcW w:w="778" w:type="dxa"/>
            <w:tcBorders>
              <w:top w:val="nil"/>
            </w:tcBorders>
          </w:tcPr>
          <w:p>
            <w:pPr>
              <w:pStyle w:val="TableParagraph"/>
              <w:rPr>
                <w:sz w:val="21"/>
              </w:rPr>
            </w:pPr>
            <w:r>
              <w:rPr>
                <w:w w:val="105"/>
                <w:sz w:val="21"/>
              </w:rPr>
              <w:t>31</w:t>
            </w:r>
          </w:p>
        </w:tc>
        <w:tc>
          <w:tcPr>
            <w:tcW w:w="1502" w:type="dxa"/>
            <w:tcBorders>
              <w:top w:val="nil"/>
            </w:tcBorders>
          </w:tcPr>
          <w:p>
            <w:pPr/>
          </w:p>
        </w:tc>
        <w:tc>
          <w:tcPr>
            <w:tcW w:w="1344" w:type="dxa"/>
            <w:tcBorders>
              <w:top w:val="nil"/>
            </w:tcBorders>
          </w:tcPr>
          <w:p>
            <w:pPr/>
          </w:p>
        </w:tc>
        <w:tc>
          <w:tcPr>
            <w:tcW w:w="1522" w:type="dxa"/>
            <w:tcBorders>
              <w:top w:val="nil"/>
            </w:tcBorders>
          </w:tcPr>
          <w:p>
            <w:pPr/>
          </w:p>
        </w:tc>
      </w:tr>
    </w:tbl>
    <w:p>
      <w:pPr>
        <w:pStyle w:val="BodyText"/>
        <w:rPr>
          <w:sz w:val="20"/>
        </w:rPr>
      </w:pPr>
    </w:p>
    <w:p>
      <w:pPr>
        <w:pStyle w:val="BodyText"/>
        <w:rPr>
          <w:sz w:val="20"/>
        </w:rPr>
      </w:pPr>
    </w:p>
    <w:p>
      <w:pPr>
        <w:pStyle w:val="BodyText"/>
        <w:spacing w:before="11"/>
        <w:rPr>
          <w:sz w:val="19"/>
        </w:rPr>
      </w:pPr>
    </w:p>
    <w:p>
      <w:pPr>
        <w:pStyle w:val="Heading3"/>
        <w:ind w:left="219" w:right="676"/>
        <w:jc w:val="left"/>
      </w:pPr>
      <w:r>
        <w:rPr>
          <w:w w:val="105"/>
        </w:rPr>
        <w:t>Segundo Modelo de Análisis. Análisis luminosidad-nacimientos</w:t>
      </w:r>
    </w:p>
    <w:p>
      <w:pPr>
        <w:pStyle w:val="BodyText"/>
        <w:spacing w:line="376" w:lineRule="auto" w:before="137"/>
        <w:ind w:left="219" w:right="676"/>
      </w:pPr>
      <w:r>
        <w:rPr>
          <w:w w:val="105"/>
        </w:rPr>
        <w:t>Para el segundo modelo de análisis, se utilizó el porcentaje de luminosidad como medida de aproximación de la luna a la tierra y se correlacionó con el número de nacimientos.</w:t>
      </w:r>
    </w:p>
    <w:p>
      <w:pPr>
        <w:pStyle w:val="BodyText"/>
        <w:spacing w:line="376" w:lineRule="auto" w:before="4"/>
        <w:ind w:left="219" w:right="676"/>
      </w:pPr>
      <w:r>
        <w:rPr>
          <w:w w:val="105"/>
        </w:rPr>
        <w:t>Al realizar el análisis de la distribución de los nacimientos en base a una distribución de puntos se observó una forma curvilínea, con un valor de R2= 0.532 (Figura 1). Al realizar el análisis de regresión, se realizó una estimación lineal, cúbica, exponencial y de crecimiento (Figura 2).</w:t>
      </w:r>
    </w:p>
    <w:p>
      <w:pPr>
        <w:spacing w:after="0" w:line="376" w:lineRule="auto"/>
        <w:sectPr>
          <w:footerReference w:type="default" r:id="rId51"/>
          <w:pgSz w:w="12240" w:h="15840"/>
          <w:pgMar w:footer="1234" w:header="1209" w:top="1400" w:bottom="1420" w:left="1480" w:right="1060"/>
        </w:sectPr>
      </w:pPr>
    </w:p>
    <w:p>
      <w:pPr>
        <w:pStyle w:val="BodyText"/>
        <w:rPr>
          <w:sz w:val="20"/>
        </w:rPr>
      </w:pPr>
    </w:p>
    <w:p>
      <w:pPr>
        <w:pStyle w:val="BodyText"/>
        <w:spacing w:before="8"/>
        <w:rPr>
          <w:sz w:val="13"/>
        </w:rPr>
      </w:pPr>
    </w:p>
    <w:p>
      <w:pPr>
        <w:pStyle w:val="BodyText"/>
        <w:ind w:left="260"/>
        <w:rPr>
          <w:sz w:val="20"/>
        </w:rPr>
      </w:pPr>
      <w:r>
        <w:rPr>
          <w:sz w:val="20"/>
        </w:rPr>
        <w:drawing>
          <wp:inline distT="0" distB="0" distL="0" distR="0">
            <wp:extent cx="5583459" cy="2753487"/>
            <wp:effectExtent l="0" t="0" r="0" b="0"/>
            <wp:docPr id="25" name="image37.jpeg" descr=""/>
            <wp:cNvGraphicFramePr>
              <a:graphicFrameLocks noChangeAspect="1"/>
            </wp:cNvGraphicFramePr>
            <a:graphic>
              <a:graphicData uri="http://schemas.openxmlformats.org/drawingml/2006/picture">
                <pic:pic>
                  <pic:nvPicPr>
                    <pic:cNvPr id="26" name="image37.jpeg"/>
                    <pic:cNvPicPr/>
                  </pic:nvPicPr>
                  <pic:blipFill>
                    <a:blip r:embed="rId53" cstate="print"/>
                    <a:stretch>
                      <a:fillRect/>
                    </a:stretch>
                  </pic:blipFill>
                  <pic:spPr>
                    <a:xfrm>
                      <a:off x="0" y="0"/>
                      <a:ext cx="5583459" cy="2753487"/>
                    </a:xfrm>
                    <a:prstGeom prst="rect">
                      <a:avLst/>
                    </a:prstGeom>
                  </pic:spPr>
                </pic:pic>
              </a:graphicData>
            </a:graphic>
          </wp:inline>
        </w:drawing>
      </w:r>
      <w:r>
        <w:rPr>
          <w:sz w:val="20"/>
        </w:rPr>
      </w:r>
    </w:p>
    <w:p>
      <w:pPr>
        <w:pStyle w:val="BodyText"/>
        <w:rPr>
          <w:sz w:val="20"/>
        </w:rPr>
      </w:pPr>
    </w:p>
    <w:p>
      <w:pPr>
        <w:pStyle w:val="BodyText"/>
        <w:spacing w:before="7"/>
        <w:rPr>
          <w:sz w:val="16"/>
        </w:rPr>
      </w:pPr>
    </w:p>
    <w:p>
      <w:pPr>
        <w:pStyle w:val="BodyText"/>
        <w:spacing w:line="376" w:lineRule="auto" w:before="79"/>
        <w:ind w:left="219" w:right="737"/>
      </w:pPr>
      <w:r>
        <w:rPr>
          <w:w w:val="105"/>
        </w:rPr>
        <w:t>Al realizar las pruebas de significancia se presentaron resultados significativos para el test de ANOVA con los diferentes modelos establecidos. Los resultados se presentan en la Tabla 5.</w:t>
      </w:r>
    </w:p>
    <w:p>
      <w:pPr>
        <w:pStyle w:val="BodyText"/>
        <w:spacing w:before="10"/>
        <w:rPr>
          <w:sz w:val="32"/>
        </w:rPr>
      </w:pPr>
    </w:p>
    <w:p>
      <w:pPr>
        <w:pStyle w:val="BodyText"/>
        <w:spacing w:line="252" w:lineRule="auto"/>
        <w:ind w:left="219" w:right="676"/>
      </w:pPr>
      <w:r>
        <w:rPr>
          <w:w w:val="105"/>
        </w:rPr>
        <w:t>Tabla 5.0 Test de ANOVA de una vía de los 8 grupos (cuadrático, lineal, cúbico, exponencial)</w:t>
      </w:r>
    </w:p>
    <w:p>
      <w:pPr>
        <w:pStyle w:val="BodyText"/>
        <w:spacing w:before="4"/>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92"/>
        <w:gridCol w:w="1133"/>
        <w:gridCol w:w="1219"/>
        <w:gridCol w:w="1522"/>
        <w:gridCol w:w="653"/>
        <w:gridCol w:w="1498"/>
        <w:gridCol w:w="1037"/>
        <w:gridCol w:w="1013"/>
      </w:tblGrid>
      <w:tr>
        <w:trPr>
          <w:trHeight w:val="264" w:hRule="exact"/>
        </w:trPr>
        <w:tc>
          <w:tcPr>
            <w:tcW w:w="3744" w:type="dxa"/>
            <w:gridSpan w:val="3"/>
            <w:tcBorders>
              <w:right w:val="nil"/>
            </w:tcBorders>
          </w:tcPr>
          <w:p>
            <w:pPr>
              <w:pStyle w:val="TableParagraph"/>
              <w:spacing w:line="240" w:lineRule="auto" w:before="4"/>
              <w:rPr>
                <w:sz w:val="21"/>
              </w:rPr>
            </w:pPr>
            <w:r>
              <w:rPr>
                <w:w w:val="105"/>
                <w:sz w:val="21"/>
              </w:rPr>
              <w:t>Resumen del test ANOVA (muestras</w:t>
            </w:r>
          </w:p>
        </w:tc>
        <w:tc>
          <w:tcPr>
            <w:tcW w:w="1522" w:type="dxa"/>
            <w:tcBorders>
              <w:left w:val="nil"/>
              <w:right w:val="nil"/>
            </w:tcBorders>
          </w:tcPr>
          <w:p>
            <w:pPr>
              <w:pStyle w:val="TableParagraph"/>
              <w:spacing w:line="240" w:lineRule="auto" w:before="4"/>
              <w:ind w:left="9" w:right="-4"/>
              <w:rPr>
                <w:sz w:val="21"/>
              </w:rPr>
            </w:pPr>
            <w:r>
              <w:rPr>
                <w:w w:val="105"/>
                <w:sz w:val="21"/>
              </w:rPr>
              <w:t>independientes</w:t>
            </w:r>
          </w:p>
        </w:tc>
        <w:tc>
          <w:tcPr>
            <w:tcW w:w="4200" w:type="dxa"/>
            <w:gridSpan w:val="4"/>
            <w:tcBorders>
              <w:left w:val="nil"/>
            </w:tcBorders>
          </w:tcPr>
          <w:p>
            <w:pPr>
              <w:pStyle w:val="TableParagraph"/>
              <w:spacing w:line="240" w:lineRule="auto" w:before="4"/>
              <w:ind w:left="41"/>
              <w:rPr>
                <w:sz w:val="21"/>
              </w:rPr>
            </w:pPr>
            <w:r>
              <w:rPr>
                <w:w w:val="102"/>
                <w:sz w:val="21"/>
              </w:rPr>
              <w:t>)</w:t>
            </w:r>
          </w:p>
        </w:tc>
      </w:tr>
      <w:tr>
        <w:trPr>
          <w:trHeight w:val="514" w:hRule="exact"/>
        </w:trPr>
        <w:tc>
          <w:tcPr>
            <w:tcW w:w="1392" w:type="dxa"/>
          </w:tcPr>
          <w:p>
            <w:pPr>
              <w:pStyle w:val="TableParagraph"/>
              <w:spacing w:line="240" w:lineRule="auto" w:before="4"/>
              <w:rPr>
                <w:sz w:val="21"/>
              </w:rPr>
            </w:pPr>
            <w:r>
              <w:rPr>
                <w:w w:val="105"/>
                <w:sz w:val="21"/>
              </w:rPr>
              <w:t>Modelo</w:t>
            </w:r>
          </w:p>
        </w:tc>
        <w:tc>
          <w:tcPr>
            <w:tcW w:w="1133" w:type="dxa"/>
          </w:tcPr>
          <w:p>
            <w:pPr>
              <w:pStyle w:val="TableParagraph"/>
              <w:spacing w:line="240" w:lineRule="auto" w:before="4"/>
              <w:rPr>
                <w:sz w:val="21"/>
              </w:rPr>
            </w:pPr>
            <w:r>
              <w:rPr>
                <w:w w:val="102"/>
                <w:sz w:val="21"/>
              </w:rPr>
              <w:t>R</w:t>
            </w:r>
          </w:p>
          <w:p>
            <w:pPr>
              <w:pStyle w:val="TableParagraph"/>
              <w:spacing w:line="240" w:lineRule="auto" w:before="13"/>
              <w:rPr>
                <w:sz w:val="21"/>
              </w:rPr>
            </w:pPr>
            <w:r>
              <w:rPr>
                <w:w w:val="105"/>
                <w:sz w:val="21"/>
              </w:rPr>
              <w:t>cuadrado</w:t>
            </w:r>
          </w:p>
        </w:tc>
        <w:tc>
          <w:tcPr>
            <w:tcW w:w="1219" w:type="dxa"/>
          </w:tcPr>
          <w:p>
            <w:pPr/>
          </w:p>
        </w:tc>
        <w:tc>
          <w:tcPr>
            <w:tcW w:w="1522" w:type="dxa"/>
          </w:tcPr>
          <w:p>
            <w:pPr>
              <w:pStyle w:val="TableParagraph"/>
              <w:spacing w:line="252" w:lineRule="auto" w:before="4"/>
              <w:rPr>
                <w:sz w:val="21"/>
              </w:rPr>
            </w:pPr>
            <w:r>
              <w:rPr>
                <w:w w:val="105"/>
                <w:sz w:val="21"/>
              </w:rPr>
              <w:t>Suma de los cuadrados</w:t>
            </w:r>
          </w:p>
        </w:tc>
        <w:tc>
          <w:tcPr>
            <w:tcW w:w="653" w:type="dxa"/>
          </w:tcPr>
          <w:p>
            <w:pPr>
              <w:pStyle w:val="TableParagraph"/>
              <w:spacing w:line="240" w:lineRule="auto" w:before="4"/>
              <w:rPr>
                <w:sz w:val="21"/>
              </w:rPr>
            </w:pPr>
            <w:r>
              <w:rPr>
                <w:w w:val="105"/>
                <w:sz w:val="21"/>
              </w:rPr>
              <w:t>df</w:t>
            </w:r>
          </w:p>
        </w:tc>
        <w:tc>
          <w:tcPr>
            <w:tcW w:w="1498" w:type="dxa"/>
          </w:tcPr>
          <w:p>
            <w:pPr>
              <w:pStyle w:val="TableParagraph"/>
              <w:spacing w:line="252" w:lineRule="auto" w:before="4"/>
              <w:ind w:left="100"/>
              <w:rPr>
                <w:sz w:val="21"/>
              </w:rPr>
            </w:pPr>
            <w:r>
              <w:rPr>
                <w:w w:val="105"/>
                <w:sz w:val="21"/>
              </w:rPr>
              <w:t>Media de los cuadrados</w:t>
            </w:r>
          </w:p>
        </w:tc>
        <w:tc>
          <w:tcPr>
            <w:tcW w:w="1037" w:type="dxa"/>
          </w:tcPr>
          <w:p>
            <w:pPr>
              <w:pStyle w:val="TableParagraph"/>
              <w:spacing w:line="252" w:lineRule="auto" w:before="4"/>
              <w:rPr>
                <w:sz w:val="21"/>
              </w:rPr>
            </w:pPr>
            <w:r>
              <w:rPr>
                <w:w w:val="105"/>
                <w:sz w:val="21"/>
              </w:rPr>
              <w:t>Valor de F</w:t>
            </w:r>
          </w:p>
        </w:tc>
        <w:tc>
          <w:tcPr>
            <w:tcW w:w="1013" w:type="dxa"/>
          </w:tcPr>
          <w:p>
            <w:pPr>
              <w:pStyle w:val="TableParagraph"/>
              <w:spacing w:line="252" w:lineRule="auto" w:before="4"/>
              <w:ind w:right="182"/>
              <w:rPr>
                <w:i/>
                <w:sz w:val="21"/>
              </w:rPr>
            </w:pPr>
            <w:r>
              <w:rPr>
                <w:sz w:val="21"/>
              </w:rPr>
              <w:t>Valor </w:t>
            </w:r>
            <w:r>
              <w:rPr>
                <w:w w:val="105"/>
                <w:sz w:val="21"/>
              </w:rPr>
              <w:t>de </w:t>
            </w:r>
            <w:r>
              <w:rPr>
                <w:i/>
                <w:w w:val="105"/>
                <w:sz w:val="21"/>
              </w:rPr>
              <w:t>p</w:t>
            </w:r>
          </w:p>
        </w:tc>
      </w:tr>
      <w:tr>
        <w:trPr>
          <w:trHeight w:val="267" w:hRule="exact"/>
        </w:trPr>
        <w:tc>
          <w:tcPr>
            <w:tcW w:w="1392" w:type="dxa"/>
            <w:tcBorders>
              <w:bottom w:val="nil"/>
            </w:tcBorders>
          </w:tcPr>
          <w:p>
            <w:pPr>
              <w:pStyle w:val="TableParagraph"/>
              <w:spacing w:line="240" w:lineRule="auto" w:before="4"/>
              <w:rPr>
                <w:sz w:val="21"/>
              </w:rPr>
            </w:pPr>
            <w:r>
              <w:rPr>
                <w:w w:val="105"/>
                <w:sz w:val="21"/>
              </w:rPr>
              <w:t>Lineal</w:t>
            </w:r>
          </w:p>
        </w:tc>
        <w:tc>
          <w:tcPr>
            <w:tcW w:w="1133" w:type="dxa"/>
            <w:tcBorders>
              <w:bottom w:val="nil"/>
            </w:tcBorders>
          </w:tcPr>
          <w:p>
            <w:pPr>
              <w:pStyle w:val="TableParagraph"/>
              <w:spacing w:line="240" w:lineRule="auto" w:before="4"/>
              <w:rPr>
                <w:sz w:val="21"/>
              </w:rPr>
            </w:pPr>
            <w:r>
              <w:rPr>
                <w:w w:val="105"/>
                <w:sz w:val="21"/>
              </w:rPr>
              <w:t>0.454</w:t>
            </w:r>
          </w:p>
        </w:tc>
        <w:tc>
          <w:tcPr>
            <w:tcW w:w="1219" w:type="dxa"/>
            <w:tcBorders>
              <w:bottom w:val="nil"/>
            </w:tcBorders>
          </w:tcPr>
          <w:p>
            <w:pPr>
              <w:pStyle w:val="TableParagraph"/>
              <w:spacing w:line="240" w:lineRule="auto" w:before="4"/>
              <w:rPr>
                <w:sz w:val="21"/>
              </w:rPr>
            </w:pPr>
            <w:r>
              <w:rPr>
                <w:w w:val="105"/>
                <w:sz w:val="21"/>
              </w:rPr>
              <w:t>Regresión</w:t>
            </w:r>
          </w:p>
        </w:tc>
        <w:tc>
          <w:tcPr>
            <w:tcW w:w="1522" w:type="dxa"/>
            <w:tcBorders>
              <w:bottom w:val="nil"/>
            </w:tcBorders>
          </w:tcPr>
          <w:p>
            <w:pPr>
              <w:pStyle w:val="TableParagraph"/>
              <w:spacing w:line="240" w:lineRule="auto" w:before="4"/>
              <w:rPr>
                <w:sz w:val="21"/>
              </w:rPr>
            </w:pPr>
            <w:r>
              <w:rPr>
                <w:w w:val="105"/>
                <w:sz w:val="21"/>
              </w:rPr>
              <w:t>4492791.819</w:t>
            </w:r>
          </w:p>
        </w:tc>
        <w:tc>
          <w:tcPr>
            <w:tcW w:w="653" w:type="dxa"/>
            <w:tcBorders>
              <w:bottom w:val="nil"/>
            </w:tcBorders>
          </w:tcPr>
          <w:p>
            <w:pPr>
              <w:pStyle w:val="TableParagraph"/>
              <w:spacing w:line="240" w:lineRule="auto" w:before="4"/>
              <w:rPr>
                <w:sz w:val="21"/>
              </w:rPr>
            </w:pPr>
            <w:r>
              <w:rPr>
                <w:w w:val="102"/>
                <w:sz w:val="21"/>
              </w:rPr>
              <w:t>1</w:t>
            </w:r>
          </w:p>
        </w:tc>
        <w:tc>
          <w:tcPr>
            <w:tcW w:w="1498" w:type="dxa"/>
            <w:tcBorders>
              <w:bottom w:val="nil"/>
            </w:tcBorders>
          </w:tcPr>
          <w:p>
            <w:pPr>
              <w:pStyle w:val="TableParagraph"/>
              <w:spacing w:line="240" w:lineRule="auto" w:before="4"/>
              <w:ind w:left="100"/>
              <w:rPr>
                <w:sz w:val="21"/>
              </w:rPr>
            </w:pPr>
            <w:r>
              <w:rPr>
                <w:w w:val="105"/>
                <w:sz w:val="21"/>
              </w:rPr>
              <w:t>4492791.819</w:t>
            </w:r>
          </w:p>
        </w:tc>
        <w:tc>
          <w:tcPr>
            <w:tcW w:w="1037" w:type="dxa"/>
            <w:tcBorders>
              <w:bottom w:val="nil"/>
            </w:tcBorders>
          </w:tcPr>
          <w:p>
            <w:pPr>
              <w:pStyle w:val="TableParagraph"/>
              <w:spacing w:line="240" w:lineRule="auto" w:before="4"/>
              <w:rPr>
                <w:sz w:val="21"/>
              </w:rPr>
            </w:pPr>
            <w:r>
              <w:rPr>
                <w:w w:val="105"/>
                <w:sz w:val="21"/>
              </w:rPr>
              <w:t>83.183</w:t>
            </w:r>
          </w:p>
        </w:tc>
        <w:tc>
          <w:tcPr>
            <w:tcW w:w="1013" w:type="dxa"/>
            <w:tcBorders>
              <w:bottom w:val="nil"/>
            </w:tcBorders>
          </w:tcPr>
          <w:p>
            <w:pPr>
              <w:pStyle w:val="TableParagraph"/>
              <w:spacing w:line="240" w:lineRule="auto" w:before="4"/>
              <w:ind w:right="182"/>
              <w:rPr>
                <w:sz w:val="21"/>
              </w:rPr>
            </w:pPr>
            <w:r>
              <w:rPr>
                <w:w w:val="105"/>
                <w:sz w:val="21"/>
              </w:rPr>
              <w:t>0.000</w:t>
            </w:r>
          </w:p>
        </w:tc>
      </w:tr>
      <w:tr>
        <w:trPr>
          <w:trHeight w:val="254" w:hRule="exact"/>
        </w:trPr>
        <w:tc>
          <w:tcPr>
            <w:tcW w:w="1392" w:type="dxa"/>
            <w:tcBorders>
              <w:top w:val="nil"/>
              <w:bottom w:val="nil"/>
            </w:tcBorders>
          </w:tcPr>
          <w:p>
            <w:pPr/>
          </w:p>
        </w:tc>
        <w:tc>
          <w:tcPr>
            <w:tcW w:w="1133" w:type="dxa"/>
            <w:tcBorders>
              <w:top w:val="nil"/>
              <w:bottom w:val="nil"/>
            </w:tcBorders>
          </w:tcPr>
          <w:p>
            <w:pPr/>
          </w:p>
        </w:tc>
        <w:tc>
          <w:tcPr>
            <w:tcW w:w="1219" w:type="dxa"/>
            <w:tcBorders>
              <w:top w:val="nil"/>
              <w:bottom w:val="nil"/>
            </w:tcBorders>
          </w:tcPr>
          <w:p>
            <w:pPr>
              <w:pStyle w:val="TableParagraph"/>
              <w:rPr>
                <w:sz w:val="21"/>
              </w:rPr>
            </w:pPr>
            <w:r>
              <w:rPr>
                <w:w w:val="105"/>
                <w:sz w:val="21"/>
              </w:rPr>
              <w:t>Residual</w:t>
            </w:r>
          </w:p>
        </w:tc>
        <w:tc>
          <w:tcPr>
            <w:tcW w:w="1522" w:type="dxa"/>
            <w:tcBorders>
              <w:top w:val="nil"/>
              <w:bottom w:val="nil"/>
            </w:tcBorders>
          </w:tcPr>
          <w:p>
            <w:pPr>
              <w:pStyle w:val="TableParagraph"/>
              <w:rPr>
                <w:sz w:val="21"/>
              </w:rPr>
            </w:pPr>
            <w:r>
              <w:rPr>
                <w:w w:val="105"/>
                <w:sz w:val="21"/>
              </w:rPr>
              <w:t>5401063.181</w:t>
            </w:r>
          </w:p>
        </w:tc>
        <w:tc>
          <w:tcPr>
            <w:tcW w:w="653" w:type="dxa"/>
            <w:tcBorders>
              <w:top w:val="nil"/>
              <w:bottom w:val="nil"/>
            </w:tcBorders>
          </w:tcPr>
          <w:p>
            <w:pPr>
              <w:pStyle w:val="TableParagraph"/>
              <w:rPr>
                <w:sz w:val="21"/>
              </w:rPr>
            </w:pPr>
            <w:r>
              <w:rPr>
                <w:w w:val="105"/>
                <w:sz w:val="21"/>
              </w:rPr>
              <w:t>100</w:t>
            </w:r>
          </w:p>
        </w:tc>
        <w:tc>
          <w:tcPr>
            <w:tcW w:w="1498" w:type="dxa"/>
            <w:tcBorders>
              <w:top w:val="nil"/>
              <w:bottom w:val="nil"/>
            </w:tcBorders>
          </w:tcPr>
          <w:p>
            <w:pPr>
              <w:pStyle w:val="TableParagraph"/>
              <w:ind w:left="100"/>
              <w:rPr>
                <w:sz w:val="21"/>
              </w:rPr>
            </w:pPr>
            <w:r>
              <w:rPr>
                <w:w w:val="105"/>
                <w:sz w:val="21"/>
              </w:rPr>
              <w:t>54010.632</w:t>
            </w:r>
          </w:p>
        </w:tc>
        <w:tc>
          <w:tcPr>
            <w:tcW w:w="1037" w:type="dxa"/>
            <w:tcBorders>
              <w:top w:val="nil"/>
              <w:bottom w:val="nil"/>
            </w:tcBorders>
          </w:tcPr>
          <w:p>
            <w:pPr/>
          </w:p>
        </w:tc>
        <w:tc>
          <w:tcPr>
            <w:tcW w:w="1013" w:type="dxa"/>
            <w:tcBorders>
              <w:top w:val="nil"/>
              <w:bottom w:val="nil"/>
            </w:tcBorders>
          </w:tcPr>
          <w:p>
            <w:pPr/>
          </w:p>
        </w:tc>
      </w:tr>
      <w:tr>
        <w:trPr>
          <w:trHeight w:val="252" w:hRule="exact"/>
        </w:trPr>
        <w:tc>
          <w:tcPr>
            <w:tcW w:w="1392" w:type="dxa"/>
            <w:tcBorders>
              <w:top w:val="nil"/>
              <w:bottom w:val="nil"/>
            </w:tcBorders>
          </w:tcPr>
          <w:p>
            <w:pPr>
              <w:pStyle w:val="TableParagraph"/>
              <w:rPr>
                <w:sz w:val="21"/>
              </w:rPr>
            </w:pPr>
            <w:r>
              <w:rPr>
                <w:w w:val="105"/>
                <w:sz w:val="21"/>
              </w:rPr>
              <w:t>Cuadrático</w:t>
            </w:r>
          </w:p>
        </w:tc>
        <w:tc>
          <w:tcPr>
            <w:tcW w:w="1133" w:type="dxa"/>
            <w:tcBorders>
              <w:top w:val="nil"/>
              <w:bottom w:val="nil"/>
            </w:tcBorders>
          </w:tcPr>
          <w:p>
            <w:pPr>
              <w:pStyle w:val="TableParagraph"/>
              <w:rPr>
                <w:sz w:val="21"/>
              </w:rPr>
            </w:pPr>
            <w:r>
              <w:rPr>
                <w:w w:val="105"/>
                <w:sz w:val="21"/>
              </w:rPr>
              <w:t>0.455</w:t>
            </w:r>
          </w:p>
        </w:tc>
        <w:tc>
          <w:tcPr>
            <w:tcW w:w="1219" w:type="dxa"/>
            <w:tcBorders>
              <w:top w:val="nil"/>
              <w:bottom w:val="nil"/>
            </w:tcBorders>
          </w:tcPr>
          <w:p>
            <w:pPr>
              <w:pStyle w:val="TableParagraph"/>
              <w:rPr>
                <w:sz w:val="21"/>
              </w:rPr>
            </w:pPr>
            <w:r>
              <w:rPr>
                <w:w w:val="105"/>
                <w:sz w:val="21"/>
              </w:rPr>
              <w:t>Regresión</w:t>
            </w:r>
          </w:p>
        </w:tc>
        <w:tc>
          <w:tcPr>
            <w:tcW w:w="1522" w:type="dxa"/>
            <w:tcBorders>
              <w:top w:val="nil"/>
              <w:bottom w:val="nil"/>
            </w:tcBorders>
          </w:tcPr>
          <w:p>
            <w:pPr>
              <w:pStyle w:val="TableParagraph"/>
              <w:rPr>
                <w:sz w:val="21"/>
              </w:rPr>
            </w:pPr>
            <w:r>
              <w:rPr>
                <w:w w:val="105"/>
                <w:sz w:val="21"/>
              </w:rPr>
              <w:t>4502513.180</w:t>
            </w:r>
          </w:p>
        </w:tc>
        <w:tc>
          <w:tcPr>
            <w:tcW w:w="653" w:type="dxa"/>
            <w:tcBorders>
              <w:top w:val="nil"/>
              <w:bottom w:val="nil"/>
            </w:tcBorders>
          </w:tcPr>
          <w:p>
            <w:pPr>
              <w:pStyle w:val="TableParagraph"/>
              <w:rPr>
                <w:sz w:val="21"/>
              </w:rPr>
            </w:pPr>
            <w:r>
              <w:rPr>
                <w:w w:val="102"/>
                <w:sz w:val="21"/>
              </w:rPr>
              <w:t>1</w:t>
            </w:r>
          </w:p>
        </w:tc>
        <w:tc>
          <w:tcPr>
            <w:tcW w:w="1498" w:type="dxa"/>
            <w:tcBorders>
              <w:top w:val="nil"/>
              <w:bottom w:val="nil"/>
            </w:tcBorders>
          </w:tcPr>
          <w:p>
            <w:pPr>
              <w:pStyle w:val="TableParagraph"/>
              <w:ind w:left="100"/>
              <w:rPr>
                <w:sz w:val="21"/>
              </w:rPr>
            </w:pPr>
            <w:r>
              <w:rPr>
                <w:w w:val="105"/>
                <w:sz w:val="21"/>
              </w:rPr>
              <w:t>2251256.590</w:t>
            </w:r>
          </w:p>
        </w:tc>
        <w:tc>
          <w:tcPr>
            <w:tcW w:w="1037" w:type="dxa"/>
            <w:tcBorders>
              <w:top w:val="nil"/>
              <w:bottom w:val="nil"/>
            </w:tcBorders>
          </w:tcPr>
          <w:p>
            <w:pPr>
              <w:pStyle w:val="TableParagraph"/>
              <w:rPr>
                <w:sz w:val="21"/>
              </w:rPr>
            </w:pPr>
            <w:r>
              <w:rPr>
                <w:w w:val="105"/>
                <w:sz w:val="21"/>
              </w:rPr>
              <w:t>41.339</w:t>
            </w:r>
          </w:p>
        </w:tc>
        <w:tc>
          <w:tcPr>
            <w:tcW w:w="1013" w:type="dxa"/>
            <w:tcBorders>
              <w:top w:val="nil"/>
              <w:bottom w:val="nil"/>
            </w:tcBorders>
          </w:tcPr>
          <w:p>
            <w:pPr>
              <w:pStyle w:val="TableParagraph"/>
              <w:ind w:right="182"/>
              <w:rPr>
                <w:sz w:val="21"/>
              </w:rPr>
            </w:pPr>
            <w:r>
              <w:rPr>
                <w:w w:val="105"/>
                <w:sz w:val="21"/>
              </w:rPr>
              <w:t>0.000</w:t>
            </w:r>
          </w:p>
        </w:tc>
      </w:tr>
      <w:tr>
        <w:trPr>
          <w:trHeight w:val="252" w:hRule="exact"/>
        </w:trPr>
        <w:tc>
          <w:tcPr>
            <w:tcW w:w="1392" w:type="dxa"/>
            <w:tcBorders>
              <w:top w:val="nil"/>
              <w:bottom w:val="nil"/>
            </w:tcBorders>
          </w:tcPr>
          <w:p>
            <w:pPr/>
          </w:p>
        </w:tc>
        <w:tc>
          <w:tcPr>
            <w:tcW w:w="1133" w:type="dxa"/>
            <w:tcBorders>
              <w:top w:val="nil"/>
              <w:bottom w:val="nil"/>
            </w:tcBorders>
          </w:tcPr>
          <w:p>
            <w:pPr/>
          </w:p>
        </w:tc>
        <w:tc>
          <w:tcPr>
            <w:tcW w:w="1219" w:type="dxa"/>
            <w:tcBorders>
              <w:top w:val="nil"/>
              <w:bottom w:val="nil"/>
            </w:tcBorders>
          </w:tcPr>
          <w:p>
            <w:pPr>
              <w:pStyle w:val="TableParagraph"/>
              <w:spacing w:line="236" w:lineRule="exact"/>
              <w:rPr>
                <w:sz w:val="21"/>
              </w:rPr>
            </w:pPr>
            <w:r>
              <w:rPr>
                <w:w w:val="105"/>
                <w:sz w:val="21"/>
              </w:rPr>
              <w:t>Residual</w:t>
            </w:r>
          </w:p>
        </w:tc>
        <w:tc>
          <w:tcPr>
            <w:tcW w:w="1522" w:type="dxa"/>
            <w:tcBorders>
              <w:top w:val="nil"/>
              <w:bottom w:val="nil"/>
            </w:tcBorders>
          </w:tcPr>
          <w:p>
            <w:pPr>
              <w:pStyle w:val="TableParagraph"/>
              <w:spacing w:line="236" w:lineRule="exact"/>
              <w:rPr>
                <w:sz w:val="21"/>
              </w:rPr>
            </w:pPr>
            <w:r>
              <w:rPr>
                <w:w w:val="105"/>
                <w:sz w:val="21"/>
              </w:rPr>
              <w:t>5391341.820</w:t>
            </w:r>
          </w:p>
        </w:tc>
        <w:tc>
          <w:tcPr>
            <w:tcW w:w="653" w:type="dxa"/>
            <w:tcBorders>
              <w:top w:val="nil"/>
              <w:bottom w:val="nil"/>
            </w:tcBorders>
          </w:tcPr>
          <w:p>
            <w:pPr>
              <w:pStyle w:val="TableParagraph"/>
              <w:spacing w:line="236" w:lineRule="exact"/>
              <w:rPr>
                <w:sz w:val="21"/>
              </w:rPr>
            </w:pPr>
            <w:r>
              <w:rPr>
                <w:w w:val="105"/>
                <w:sz w:val="21"/>
              </w:rPr>
              <w:t>100</w:t>
            </w:r>
          </w:p>
        </w:tc>
        <w:tc>
          <w:tcPr>
            <w:tcW w:w="1498" w:type="dxa"/>
            <w:tcBorders>
              <w:top w:val="nil"/>
              <w:bottom w:val="nil"/>
            </w:tcBorders>
          </w:tcPr>
          <w:p>
            <w:pPr>
              <w:pStyle w:val="TableParagraph"/>
              <w:spacing w:line="236" w:lineRule="exact"/>
              <w:ind w:left="100"/>
              <w:rPr>
                <w:sz w:val="21"/>
              </w:rPr>
            </w:pPr>
            <w:r>
              <w:rPr>
                <w:w w:val="105"/>
                <w:sz w:val="21"/>
              </w:rPr>
              <w:t>54457.998</w:t>
            </w:r>
          </w:p>
        </w:tc>
        <w:tc>
          <w:tcPr>
            <w:tcW w:w="1037" w:type="dxa"/>
            <w:tcBorders>
              <w:top w:val="nil"/>
              <w:bottom w:val="nil"/>
            </w:tcBorders>
          </w:tcPr>
          <w:p>
            <w:pPr/>
          </w:p>
        </w:tc>
        <w:tc>
          <w:tcPr>
            <w:tcW w:w="1013" w:type="dxa"/>
            <w:tcBorders>
              <w:top w:val="nil"/>
              <w:bottom w:val="nil"/>
            </w:tcBorders>
          </w:tcPr>
          <w:p>
            <w:pPr/>
          </w:p>
        </w:tc>
      </w:tr>
      <w:tr>
        <w:trPr>
          <w:trHeight w:val="254" w:hRule="exact"/>
        </w:trPr>
        <w:tc>
          <w:tcPr>
            <w:tcW w:w="1392" w:type="dxa"/>
            <w:tcBorders>
              <w:top w:val="nil"/>
              <w:bottom w:val="nil"/>
            </w:tcBorders>
          </w:tcPr>
          <w:p>
            <w:pPr>
              <w:pStyle w:val="TableParagraph"/>
              <w:rPr>
                <w:sz w:val="21"/>
              </w:rPr>
            </w:pPr>
            <w:r>
              <w:rPr>
                <w:w w:val="105"/>
                <w:sz w:val="21"/>
              </w:rPr>
              <w:t>Cúbico</w:t>
            </w:r>
          </w:p>
        </w:tc>
        <w:tc>
          <w:tcPr>
            <w:tcW w:w="1133" w:type="dxa"/>
            <w:tcBorders>
              <w:top w:val="nil"/>
              <w:bottom w:val="nil"/>
            </w:tcBorders>
          </w:tcPr>
          <w:p>
            <w:pPr>
              <w:pStyle w:val="TableParagraph"/>
              <w:rPr>
                <w:sz w:val="21"/>
              </w:rPr>
            </w:pPr>
            <w:r>
              <w:rPr>
                <w:w w:val="105"/>
                <w:sz w:val="21"/>
              </w:rPr>
              <w:t>0.607</w:t>
            </w:r>
          </w:p>
        </w:tc>
        <w:tc>
          <w:tcPr>
            <w:tcW w:w="1219" w:type="dxa"/>
            <w:tcBorders>
              <w:top w:val="nil"/>
              <w:bottom w:val="nil"/>
            </w:tcBorders>
          </w:tcPr>
          <w:p>
            <w:pPr>
              <w:pStyle w:val="TableParagraph"/>
              <w:rPr>
                <w:sz w:val="21"/>
              </w:rPr>
            </w:pPr>
            <w:r>
              <w:rPr>
                <w:w w:val="105"/>
                <w:sz w:val="21"/>
              </w:rPr>
              <w:t>Regresión</w:t>
            </w:r>
          </w:p>
        </w:tc>
        <w:tc>
          <w:tcPr>
            <w:tcW w:w="1522" w:type="dxa"/>
            <w:tcBorders>
              <w:top w:val="nil"/>
              <w:bottom w:val="nil"/>
            </w:tcBorders>
          </w:tcPr>
          <w:p>
            <w:pPr>
              <w:pStyle w:val="TableParagraph"/>
              <w:rPr>
                <w:sz w:val="21"/>
              </w:rPr>
            </w:pPr>
            <w:r>
              <w:rPr>
                <w:w w:val="105"/>
                <w:sz w:val="21"/>
              </w:rPr>
              <w:t>6004860.765</w:t>
            </w:r>
          </w:p>
        </w:tc>
        <w:tc>
          <w:tcPr>
            <w:tcW w:w="653" w:type="dxa"/>
            <w:tcBorders>
              <w:top w:val="nil"/>
              <w:bottom w:val="nil"/>
            </w:tcBorders>
          </w:tcPr>
          <w:p>
            <w:pPr>
              <w:pStyle w:val="TableParagraph"/>
              <w:rPr>
                <w:sz w:val="21"/>
              </w:rPr>
            </w:pPr>
            <w:r>
              <w:rPr>
                <w:w w:val="102"/>
                <w:sz w:val="21"/>
              </w:rPr>
              <w:t>1</w:t>
            </w:r>
          </w:p>
        </w:tc>
        <w:tc>
          <w:tcPr>
            <w:tcW w:w="1498" w:type="dxa"/>
            <w:tcBorders>
              <w:top w:val="nil"/>
              <w:bottom w:val="nil"/>
            </w:tcBorders>
          </w:tcPr>
          <w:p>
            <w:pPr>
              <w:pStyle w:val="TableParagraph"/>
              <w:ind w:left="100"/>
              <w:rPr>
                <w:sz w:val="21"/>
              </w:rPr>
            </w:pPr>
            <w:r>
              <w:rPr>
                <w:w w:val="105"/>
                <w:sz w:val="21"/>
              </w:rPr>
              <w:t>2001620.255</w:t>
            </w:r>
          </w:p>
        </w:tc>
        <w:tc>
          <w:tcPr>
            <w:tcW w:w="1037" w:type="dxa"/>
            <w:tcBorders>
              <w:top w:val="nil"/>
              <w:bottom w:val="nil"/>
            </w:tcBorders>
          </w:tcPr>
          <w:p>
            <w:pPr>
              <w:pStyle w:val="TableParagraph"/>
              <w:rPr>
                <w:sz w:val="21"/>
              </w:rPr>
            </w:pPr>
            <w:r>
              <w:rPr>
                <w:w w:val="105"/>
                <w:sz w:val="21"/>
              </w:rPr>
              <w:t>50.439</w:t>
            </w:r>
          </w:p>
        </w:tc>
        <w:tc>
          <w:tcPr>
            <w:tcW w:w="1013" w:type="dxa"/>
            <w:tcBorders>
              <w:top w:val="nil"/>
              <w:bottom w:val="nil"/>
            </w:tcBorders>
          </w:tcPr>
          <w:p>
            <w:pPr>
              <w:pStyle w:val="TableParagraph"/>
              <w:ind w:right="182"/>
              <w:rPr>
                <w:sz w:val="21"/>
              </w:rPr>
            </w:pPr>
            <w:r>
              <w:rPr>
                <w:w w:val="105"/>
                <w:sz w:val="21"/>
              </w:rPr>
              <w:t>0.000</w:t>
            </w:r>
          </w:p>
        </w:tc>
      </w:tr>
      <w:tr>
        <w:trPr>
          <w:trHeight w:val="254" w:hRule="exact"/>
        </w:trPr>
        <w:tc>
          <w:tcPr>
            <w:tcW w:w="1392" w:type="dxa"/>
            <w:tcBorders>
              <w:top w:val="nil"/>
              <w:bottom w:val="nil"/>
            </w:tcBorders>
          </w:tcPr>
          <w:p>
            <w:pPr/>
          </w:p>
        </w:tc>
        <w:tc>
          <w:tcPr>
            <w:tcW w:w="1133" w:type="dxa"/>
            <w:tcBorders>
              <w:top w:val="nil"/>
              <w:bottom w:val="nil"/>
            </w:tcBorders>
          </w:tcPr>
          <w:p>
            <w:pPr/>
          </w:p>
        </w:tc>
        <w:tc>
          <w:tcPr>
            <w:tcW w:w="1219" w:type="dxa"/>
            <w:tcBorders>
              <w:top w:val="nil"/>
              <w:bottom w:val="nil"/>
            </w:tcBorders>
          </w:tcPr>
          <w:p>
            <w:pPr>
              <w:pStyle w:val="TableParagraph"/>
              <w:rPr>
                <w:sz w:val="21"/>
              </w:rPr>
            </w:pPr>
            <w:r>
              <w:rPr>
                <w:w w:val="105"/>
                <w:sz w:val="21"/>
              </w:rPr>
              <w:t>Residual</w:t>
            </w:r>
          </w:p>
        </w:tc>
        <w:tc>
          <w:tcPr>
            <w:tcW w:w="1522" w:type="dxa"/>
            <w:tcBorders>
              <w:top w:val="nil"/>
              <w:bottom w:val="nil"/>
            </w:tcBorders>
          </w:tcPr>
          <w:p>
            <w:pPr>
              <w:pStyle w:val="TableParagraph"/>
              <w:rPr>
                <w:sz w:val="21"/>
              </w:rPr>
            </w:pPr>
            <w:r>
              <w:rPr>
                <w:w w:val="105"/>
                <w:sz w:val="21"/>
              </w:rPr>
              <w:t>3888994.235</w:t>
            </w:r>
          </w:p>
        </w:tc>
        <w:tc>
          <w:tcPr>
            <w:tcW w:w="653" w:type="dxa"/>
            <w:tcBorders>
              <w:top w:val="nil"/>
              <w:bottom w:val="nil"/>
            </w:tcBorders>
          </w:tcPr>
          <w:p>
            <w:pPr>
              <w:pStyle w:val="TableParagraph"/>
              <w:rPr>
                <w:sz w:val="21"/>
              </w:rPr>
            </w:pPr>
            <w:r>
              <w:rPr>
                <w:w w:val="105"/>
                <w:sz w:val="21"/>
              </w:rPr>
              <w:t>100</w:t>
            </w:r>
          </w:p>
        </w:tc>
        <w:tc>
          <w:tcPr>
            <w:tcW w:w="1498" w:type="dxa"/>
            <w:tcBorders>
              <w:top w:val="nil"/>
              <w:bottom w:val="nil"/>
            </w:tcBorders>
          </w:tcPr>
          <w:p>
            <w:pPr>
              <w:pStyle w:val="TableParagraph"/>
              <w:ind w:left="100"/>
              <w:rPr>
                <w:sz w:val="21"/>
              </w:rPr>
            </w:pPr>
            <w:r>
              <w:rPr>
                <w:w w:val="105"/>
                <w:sz w:val="21"/>
              </w:rPr>
              <w:t>39683.615</w:t>
            </w:r>
          </w:p>
        </w:tc>
        <w:tc>
          <w:tcPr>
            <w:tcW w:w="1037" w:type="dxa"/>
            <w:tcBorders>
              <w:top w:val="nil"/>
              <w:bottom w:val="nil"/>
            </w:tcBorders>
          </w:tcPr>
          <w:p>
            <w:pPr/>
          </w:p>
        </w:tc>
        <w:tc>
          <w:tcPr>
            <w:tcW w:w="1013" w:type="dxa"/>
            <w:tcBorders>
              <w:top w:val="nil"/>
              <w:bottom w:val="nil"/>
            </w:tcBorders>
          </w:tcPr>
          <w:p>
            <w:pPr/>
          </w:p>
        </w:tc>
      </w:tr>
      <w:tr>
        <w:trPr>
          <w:trHeight w:val="252" w:hRule="exact"/>
        </w:trPr>
        <w:tc>
          <w:tcPr>
            <w:tcW w:w="1392" w:type="dxa"/>
            <w:tcBorders>
              <w:top w:val="nil"/>
              <w:bottom w:val="nil"/>
            </w:tcBorders>
          </w:tcPr>
          <w:p>
            <w:pPr>
              <w:pStyle w:val="TableParagraph"/>
              <w:rPr>
                <w:sz w:val="21"/>
              </w:rPr>
            </w:pPr>
            <w:r>
              <w:rPr>
                <w:w w:val="105"/>
                <w:sz w:val="21"/>
              </w:rPr>
              <w:t>Crecimiento</w:t>
            </w:r>
          </w:p>
        </w:tc>
        <w:tc>
          <w:tcPr>
            <w:tcW w:w="1133" w:type="dxa"/>
            <w:tcBorders>
              <w:top w:val="nil"/>
              <w:bottom w:val="nil"/>
            </w:tcBorders>
          </w:tcPr>
          <w:p>
            <w:pPr>
              <w:pStyle w:val="TableParagraph"/>
              <w:rPr>
                <w:sz w:val="21"/>
              </w:rPr>
            </w:pPr>
            <w:r>
              <w:rPr>
                <w:w w:val="105"/>
                <w:sz w:val="21"/>
              </w:rPr>
              <w:t>0.732</w:t>
            </w:r>
          </w:p>
        </w:tc>
        <w:tc>
          <w:tcPr>
            <w:tcW w:w="1219" w:type="dxa"/>
            <w:tcBorders>
              <w:top w:val="nil"/>
              <w:bottom w:val="nil"/>
            </w:tcBorders>
          </w:tcPr>
          <w:p>
            <w:pPr>
              <w:pStyle w:val="TableParagraph"/>
              <w:rPr>
                <w:sz w:val="21"/>
              </w:rPr>
            </w:pPr>
            <w:r>
              <w:rPr>
                <w:w w:val="105"/>
                <w:sz w:val="21"/>
              </w:rPr>
              <w:t>Regresión</w:t>
            </w:r>
          </w:p>
        </w:tc>
        <w:tc>
          <w:tcPr>
            <w:tcW w:w="1522" w:type="dxa"/>
            <w:tcBorders>
              <w:top w:val="nil"/>
              <w:bottom w:val="nil"/>
            </w:tcBorders>
          </w:tcPr>
          <w:p>
            <w:pPr>
              <w:pStyle w:val="TableParagraph"/>
              <w:rPr>
                <w:sz w:val="21"/>
              </w:rPr>
            </w:pPr>
            <w:r>
              <w:rPr>
                <w:w w:val="105"/>
                <w:sz w:val="21"/>
              </w:rPr>
              <w:t>2145.564</w:t>
            </w:r>
          </w:p>
        </w:tc>
        <w:tc>
          <w:tcPr>
            <w:tcW w:w="653" w:type="dxa"/>
            <w:tcBorders>
              <w:top w:val="nil"/>
              <w:bottom w:val="nil"/>
            </w:tcBorders>
          </w:tcPr>
          <w:p>
            <w:pPr>
              <w:pStyle w:val="TableParagraph"/>
              <w:rPr>
                <w:sz w:val="21"/>
              </w:rPr>
            </w:pPr>
            <w:r>
              <w:rPr>
                <w:w w:val="102"/>
                <w:sz w:val="21"/>
              </w:rPr>
              <w:t>1</w:t>
            </w:r>
          </w:p>
        </w:tc>
        <w:tc>
          <w:tcPr>
            <w:tcW w:w="1498" w:type="dxa"/>
            <w:tcBorders>
              <w:top w:val="nil"/>
              <w:bottom w:val="nil"/>
            </w:tcBorders>
          </w:tcPr>
          <w:p>
            <w:pPr>
              <w:pStyle w:val="TableParagraph"/>
              <w:ind w:left="100"/>
              <w:rPr>
                <w:sz w:val="21"/>
              </w:rPr>
            </w:pPr>
            <w:r>
              <w:rPr>
                <w:w w:val="105"/>
                <w:sz w:val="21"/>
              </w:rPr>
              <w:t>2145.564</w:t>
            </w:r>
          </w:p>
        </w:tc>
        <w:tc>
          <w:tcPr>
            <w:tcW w:w="1037" w:type="dxa"/>
            <w:tcBorders>
              <w:top w:val="nil"/>
              <w:bottom w:val="nil"/>
            </w:tcBorders>
          </w:tcPr>
          <w:p>
            <w:pPr>
              <w:pStyle w:val="TableParagraph"/>
              <w:rPr>
                <w:sz w:val="21"/>
              </w:rPr>
            </w:pPr>
            <w:r>
              <w:rPr>
                <w:w w:val="105"/>
                <w:sz w:val="21"/>
              </w:rPr>
              <w:t>73.562</w:t>
            </w:r>
          </w:p>
        </w:tc>
        <w:tc>
          <w:tcPr>
            <w:tcW w:w="1013" w:type="dxa"/>
            <w:tcBorders>
              <w:top w:val="nil"/>
              <w:bottom w:val="nil"/>
            </w:tcBorders>
          </w:tcPr>
          <w:p>
            <w:pPr>
              <w:pStyle w:val="TableParagraph"/>
              <w:ind w:right="182"/>
              <w:rPr>
                <w:sz w:val="21"/>
              </w:rPr>
            </w:pPr>
            <w:r>
              <w:rPr>
                <w:w w:val="105"/>
                <w:sz w:val="21"/>
              </w:rPr>
              <w:t>0.000</w:t>
            </w:r>
          </w:p>
        </w:tc>
      </w:tr>
      <w:tr>
        <w:trPr>
          <w:trHeight w:val="504" w:hRule="exact"/>
        </w:trPr>
        <w:tc>
          <w:tcPr>
            <w:tcW w:w="1392" w:type="dxa"/>
            <w:tcBorders>
              <w:top w:val="nil"/>
            </w:tcBorders>
          </w:tcPr>
          <w:p>
            <w:pPr/>
          </w:p>
        </w:tc>
        <w:tc>
          <w:tcPr>
            <w:tcW w:w="1133" w:type="dxa"/>
            <w:tcBorders>
              <w:top w:val="nil"/>
            </w:tcBorders>
          </w:tcPr>
          <w:p>
            <w:pPr/>
          </w:p>
        </w:tc>
        <w:tc>
          <w:tcPr>
            <w:tcW w:w="1219" w:type="dxa"/>
            <w:tcBorders>
              <w:top w:val="nil"/>
            </w:tcBorders>
          </w:tcPr>
          <w:p>
            <w:pPr>
              <w:pStyle w:val="TableParagraph"/>
              <w:spacing w:line="236" w:lineRule="exact"/>
              <w:rPr>
                <w:sz w:val="21"/>
              </w:rPr>
            </w:pPr>
            <w:r>
              <w:rPr>
                <w:w w:val="105"/>
                <w:sz w:val="21"/>
              </w:rPr>
              <w:t>Residual</w:t>
            </w:r>
          </w:p>
        </w:tc>
        <w:tc>
          <w:tcPr>
            <w:tcW w:w="1522" w:type="dxa"/>
            <w:tcBorders>
              <w:top w:val="nil"/>
            </w:tcBorders>
          </w:tcPr>
          <w:p>
            <w:pPr>
              <w:pStyle w:val="TableParagraph"/>
              <w:spacing w:line="236" w:lineRule="exact"/>
              <w:rPr>
                <w:sz w:val="21"/>
              </w:rPr>
            </w:pPr>
            <w:r>
              <w:rPr>
                <w:w w:val="105"/>
                <w:sz w:val="21"/>
              </w:rPr>
              <w:t>784.306</w:t>
            </w:r>
          </w:p>
        </w:tc>
        <w:tc>
          <w:tcPr>
            <w:tcW w:w="653" w:type="dxa"/>
            <w:tcBorders>
              <w:top w:val="nil"/>
            </w:tcBorders>
          </w:tcPr>
          <w:p>
            <w:pPr>
              <w:pStyle w:val="TableParagraph"/>
              <w:spacing w:line="236" w:lineRule="exact"/>
              <w:rPr>
                <w:sz w:val="21"/>
              </w:rPr>
            </w:pPr>
            <w:r>
              <w:rPr>
                <w:w w:val="105"/>
                <w:sz w:val="21"/>
              </w:rPr>
              <w:t>100</w:t>
            </w:r>
          </w:p>
        </w:tc>
        <w:tc>
          <w:tcPr>
            <w:tcW w:w="1498" w:type="dxa"/>
            <w:tcBorders>
              <w:top w:val="nil"/>
            </w:tcBorders>
          </w:tcPr>
          <w:p>
            <w:pPr>
              <w:pStyle w:val="TableParagraph"/>
              <w:spacing w:line="236" w:lineRule="exact"/>
              <w:ind w:left="100"/>
              <w:rPr>
                <w:sz w:val="21"/>
              </w:rPr>
            </w:pPr>
            <w:r>
              <w:rPr>
                <w:w w:val="105"/>
                <w:sz w:val="21"/>
              </w:rPr>
              <w:t>7.843</w:t>
            </w:r>
          </w:p>
        </w:tc>
        <w:tc>
          <w:tcPr>
            <w:tcW w:w="1037" w:type="dxa"/>
            <w:tcBorders>
              <w:top w:val="nil"/>
            </w:tcBorders>
          </w:tcPr>
          <w:p>
            <w:pPr/>
          </w:p>
        </w:tc>
        <w:tc>
          <w:tcPr>
            <w:tcW w:w="1013" w:type="dxa"/>
            <w:tcBorders>
              <w:top w:val="nil"/>
            </w:tcBorders>
          </w:tcPr>
          <w:p>
            <w:pPr/>
          </w:p>
        </w:tc>
      </w:tr>
    </w:tbl>
    <w:p>
      <w:pPr>
        <w:pStyle w:val="BodyText"/>
        <w:rPr>
          <w:sz w:val="27"/>
        </w:rPr>
      </w:pPr>
    </w:p>
    <w:p>
      <w:pPr>
        <w:pStyle w:val="BodyText"/>
        <w:spacing w:line="376" w:lineRule="auto" w:before="78"/>
        <w:ind w:left="219" w:right="38"/>
      </w:pPr>
      <w:r>
        <w:rPr>
          <w:w w:val="105"/>
        </w:rPr>
        <w:t>El siguiente paso fue establecer si existía alguna diferencia entre la media de nacimientos acorde a cada uno de los porcentajes de luminosidad. El histograma de la distribución se presenta en la Figura 3 y 4.</w:t>
      </w:r>
    </w:p>
    <w:p>
      <w:pPr>
        <w:spacing w:after="0" w:line="376" w:lineRule="auto"/>
        <w:sectPr>
          <w:footerReference w:type="default" r:id="rId52"/>
          <w:pgSz w:w="12240" w:h="15840"/>
          <w:pgMar w:footer="1234" w:header="1209" w:top="1400" w:bottom="1420" w:left="1480" w:right="1060"/>
          <w:pgNumType w:start="31"/>
        </w:sectPr>
      </w:pPr>
    </w:p>
    <w:p>
      <w:pPr>
        <w:pStyle w:val="BodyText"/>
        <w:rPr>
          <w:sz w:val="20"/>
        </w:rPr>
      </w:pPr>
    </w:p>
    <w:p>
      <w:pPr>
        <w:pStyle w:val="BodyText"/>
        <w:spacing w:before="8"/>
        <w:rPr>
          <w:sz w:val="13"/>
        </w:rPr>
      </w:pPr>
    </w:p>
    <w:p>
      <w:pPr>
        <w:pStyle w:val="BodyText"/>
        <w:ind w:left="511"/>
        <w:rPr>
          <w:sz w:val="20"/>
        </w:rPr>
      </w:pPr>
      <w:r>
        <w:rPr>
          <w:sz w:val="20"/>
        </w:rPr>
        <w:drawing>
          <wp:inline distT="0" distB="0" distL="0" distR="0">
            <wp:extent cx="5320200" cy="2503836"/>
            <wp:effectExtent l="0" t="0" r="0" b="0"/>
            <wp:docPr id="27" name="image38.jpeg" descr=""/>
            <wp:cNvGraphicFramePr>
              <a:graphicFrameLocks noChangeAspect="1"/>
            </wp:cNvGraphicFramePr>
            <a:graphic>
              <a:graphicData uri="http://schemas.openxmlformats.org/drawingml/2006/picture">
                <pic:pic>
                  <pic:nvPicPr>
                    <pic:cNvPr id="28" name="image38.jpeg"/>
                    <pic:cNvPicPr/>
                  </pic:nvPicPr>
                  <pic:blipFill>
                    <a:blip r:embed="rId54" cstate="print"/>
                    <a:stretch>
                      <a:fillRect/>
                    </a:stretch>
                  </pic:blipFill>
                  <pic:spPr>
                    <a:xfrm>
                      <a:off x="0" y="0"/>
                      <a:ext cx="5320200" cy="2503836"/>
                    </a:xfrm>
                    <a:prstGeom prst="rect">
                      <a:avLst/>
                    </a:prstGeom>
                  </pic:spPr>
                </pic:pic>
              </a:graphicData>
            </a:graphic>
          </wp:inline>
        </w:drawing>
      </w:r>
      <w:r>
        <w:rPr>
          <w:sz w:val="20"/>
        </w:rPr>
      </w:r>
    </w:p>
    <w:p>
      <w:pPr>
        <w:pStyle w:val="BodyText"/>
        <w:rPr>
          <w:sz w:val="20"/>
        </w:rPr>
      </w:pPr>
    </w:p>
    <w:p>
      <w:pPr>
        <w:pStyle w:val="BodyText"/>
        <w:spacing w:before="6"/>
        <w:rPr>
          <w:sz w:val="19"/>
        </w:rPr>
      </w:pPr>
    </w:p>
    <w:p>
      <w:pPr>
        <w:pStyle w:val="BodyText"/>
        <w:spacing w:line="376" w:lineRule="auto" w:before="78"/>
        <w:ind w:left="219" w:right="676"/>
      </w:pPr>
      <w:r>
        <w:rPr>
          <w:w w:val="105"/>
        </w:rPr>
        <w:t>Al igual que en los valores totales, los diferentes modelos también demostraron diferencias significativas. Los resultados del test de ANOVA se presentan en la Tabla 6.</w:t>
      </w:r>
    </w:p>
    <w:p>
      <w:pPr>
        <w:pStyle w:val="BodyText"/>
        <w:spacing w:before="7"/>
      </w:pPr>
    </w:p>
    <w:p>
      <w:pPr>
        <w:pStyle w:val="BodyText"/>
        <w:spacing w:line="252" w:lineRule="auto"/>
        <w:ind w:left="219" w:right="676"/>
      </w:pPr>
      <w:r>
        <w:rPr>
          <w:w w:val="105"/>
        </w:rPr>
        <w:t>Tabla 6.0 Test de ANOVA de una vía de los 4 modelos (cuadrático, lineal, cúbico, exponencial).</w:t>
      </w:r>
    </w:p>
    <w:p>
      <w:pPr>
        <w:pStyle w:val="BodyText"/>
        <w:spacing w:before="9"/>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92"/>
        <w:gridCol w:w="1133"/>
        <w:gridCol w:w="1219"/>
        <w:gridCol w:w="1406"/>
        <w:gridCol w:w="682"/>
        <w:gridCol w:w="1320"/>
        <w:gridCol w:w="1176"/>
        <w:gridCol w:w="1138"/>
      </w:tblGrid>
      <w:tr>
        <w:trPr>
          <w:trHeight w:val="259" w:hRule="exact"/>
        </w:trPr>
        <w:tc>
          <w:tcPr>
            <w:tcW w:w="3744" w:type="dxa"/>
            <w:gridSpan w:val="3"/>
            <w:tcBorders>
              <w:right w:val="nil"/>
            </w:tcBorders>
          </w:tcPr>
          <w:p>
            <w:pPr>
              <w:pStyle w:val="TableParagraph"/>
              <w:spacing w:line="240" w:lineRule="auto" w:before="4"/>
              <w:rPr>
                <w:sz w:val="21"/>
              </w:rPr>
            </w:pPr>
            <w:r>
              <w:rPr>
                <w:w w:val="105"/>
                <w:sz w:val="21"/>
              </w:rPr>
              <w:t>Resumen del test ANOVA (muestras</w:t>
            </w:r>
          </w:p>
        </w:tc>
        <w:tc>
          <w:tcPr>
            <w:tcW w:w="5722" w:type="dxa"/>
            <w:gridSpan w:val="5"/>
            <w:tcBorders>
              <w:left w:val="nil"/>
            </w:tcBorders>
          </w:tcPr>
          <w:p>
            <w:pPr>
              <w:pStyle w:val="TableParagraph"/>
              <w:spacing w:line="240" w:lineRule="auto" w:before="4"/>
              <w:ind w:left="9"/>
              <w:rPr>
                <w:sz w:val="21"/>
              </w:rPr>
            </w:pPr>
            <w:r>
              <w:rPr>
                <w:w w:val="105"/>
                <w:sz w:val="21"/>
              </w:rPr>
              <w:t>independientes )</w:t>
            </w:r>
          </w:p>
        </w:tc>
      </w:tr>
      <w:tr>
        <w:trPr>
          <w:trHeight w:val="773" w:hRule="exact"/>
        </w:trPr>
        <w:tc>
          <w:tcPr>
            <w:tcW w:w="1392" w:type="dxa"/>
          </w:tcPr>
          <w:p>
            <w:pPr>
              <w:pStyle w:val="TableParagraph"/>
              <w:spacing w:line="240" w:lineRule="auto" w:before="4"/>
              <w:rPr>
                <w:sz w:val="21"/>
              </w:rPr>
            </w:pPr>
            <w:r>
              <w:rPr>
                <w:w w:val="105"/>
                <w:sz w:val="21"/>
              </w:rPr>
              <w:t>Modelo</w:t>
            </w:r>
          </w:p>
        </w:tc>
        <w:tc>
          <w:tcPr>
            <w:tcW w:w="1133" w:type="dxa"/>
          </w:tcPr>
          <w:p>
            <w:pPr>
              <w:pStyle w:val="TableParagraph"/>
              <w:spacing w:line="240" w:lineRule="auto" w:before="4"/>
              <w:rPr>
                <w:sz w:val="21"/>
              </w:rPr>
            </w:pPr>
            <w:r>
              <w:rPr>
                <w:w w:val="102"/>
                <w:sz w:val="21"/>
              </w:rPr>
              <w:t>R</w:t>
            </w:r>
          </w:p>
          <w:p>
            <w:pPr>
              <w:pStyle w:val="TableParagraph"/>
              <w:spacing w:line="240" w:lineRule="auto" w:before="13"/>
              <w:rPr>
                <w:sz w:val="21"/>
              </w:rPr>
            </w:pPr>
            <w:r>
              <w:rPr>
                <w:w w:val="105"/>
                <w:sz w:val="21"/>
              </w:rPr>
              <w:t>cuadrado</w:t>
            </w:r>
          </w:p>
        </w:tc>
        <w:tc>
          <w:tcPr>
            <w:tcW w:w="1219" w:type="dxa"/>
          </w:tcPr>
          <w:p>
            <w:pPr/>
          </w:p>
        </w:tc>
        <w:tc>
          <w:tcPr>
            <w:tcW w:w="1406" w:type="dxa"/>
          </w:tcPr>
          <w:p>
            <w:pPr>
              <w:pStyle w:val="TableParagraph"/>
              <w:spacing w:line="252" w:lineRule="auto" w:before="4"/>
              <w:ind w:right="147"/>
              <w:rPr>
                <w:sz w:val="21"/>
              </w:rPr>
            </w:pPr>
            <w:r>
              <w:rPr>
                <w:w w:val="105"/>
                <w:sz w:val="21"/>
              </w:rPr>
              <w:t>Suma de los </w:t>
            </w:r>
            <w:r>
              <w:rPr>
                <w:sz w:val="21"/>
              </w:rPr>
              <w:t>cuadrados</w:t>
            </w:r>
          </w:p>
        </w:tc>
        <w:tc>
          <w:tcPr>
            <w:tcW w:w="682" w:type="dxa"/>
          </w:tcPr>
          <w:p>
            <w:pPr>
              <w:pStyle w:val="TableParagraph"/>
              <w:spacing w:line="240" w:lineRule="auto" w:before="4"/>
              <w:rPr>
                <w:sz w:val="21"/>
              </w:rPr>
            </w:pPr>
            <w:r>
              <w:rPr>
                <w:w w:val="105"/>
                <w:sz w:val="21"/>
              </w:rPr>
              <w:t>df</w:t>
            </w:r>
          </w:p>
        </w:tc>
        <w:tc>
          <w:tcPr>
            <w:tcW w:w="1320" w:type="dxa"/>
          </w:tcPr>
          <w:p>
            <w:pPr>
              <w:pStyle w:val="TableParagraph"/>
              <w:spacing w:line="252" w:lineRule="auto" w:before="4"/>
              <w:ind w:right="36"/>
              <w:rPr>
                <w:sz w:val="21"/>
              </w:rPr>
            </w:pPr>
            <w:r>
              <w:rPr>
                <w:w w:val="105"/>
                <w:sz w:val="21"/>
              </w:rPr>
              <w:t>Media de los </w:t>
            </w:r>
            <w:r>
              <w:rPr>
                <w:sz w:val="21"/>
              </w:rPr>
              <w:t>cuadrados</w:t>
            </w:r>
          </w:p>
        </w:tc>
        <w:tc>
          <w:tcPr>
            <w:tcW w:w="1176" w:type="dxa"/>
          </w:tcPr>
          <w:p>
            <w:pPr>
              <w:pStyle w:val="TableParagraph"/>
              <w:spacing w:line="252" w:lineRule="auto" w:before="4"/>
              <w:ind w:right="125"/>
              <w:rPr>
                <w:sz w:val="21"/>
              </w:rPr>
            </w:pPr>
            <w:r>
              <w:rPr>
                <w:w w:val="105"/>
                <w:sz w:val="21"/>
              </w:rPr>
              <w:t>Valor de F</w:t>
            </w:r>
          </w:p>
        </w:tc>
        <w:tc>
          <w:tcPr>
            <w:tcW w:w="1138" w:type="dxa"/>
          </w:tcPr>
          <w:p>
            <w:pPr>
              <w:pStyle w:val="TableParagraph"/>
              <w:spacing w:line="240" w:lineRule="auto" w:before="4"/>
              <w:rPr>
                <w:sz w:val="21"/>
              </w:rPr>
            </w:pPr>
            <w:r>
              <w:rPr>
                <w:w w:val="105"/>
                <w:sz w:val="21"/>
              </w:rPr>
              <w:t>Valor de</w:t>
            </w:r>
          </w:p>
          <w:p>
            <w:pPr>
              <w:pStyle w:val="TableParagraph"/>
              <w:spacing w:line="240" w:lineRule="auto" w:before="13"/>
              <w:rPr>
                <w:i/>
                <w:sz w:val="21"/>
              </w:rPr>
            </w:pPr>
            <w:r>
              <w:rPr>
                <w:i/>
                <w:w w:val="102"/>
                <w:sz w:val="21"/>
              </w:rPr>
              <w:t>p</w:t>
            </w:r>
          </w:p>
        </w:tc>
      </w:tr>
      <w:tr>
        <w:trPr>
          <w:trHeight w:val="264" w:hRule="exact"/>
        </w:trPr>
        <w:tc>
          <w:tcPr>
            <w:tcW w:w="1392" w:type="dxa"/>
            <w:tcBorders>
              <w:bottom w:val="nil"/>
            </w:tcBorders>
          </w:tcPr>
          <w:p>
            <w:pPr>
              <w:pStyle w:val="TableParagraph"/>
              <w:spacing w:line="240" w:lineRule="auto" w:before="4"/>
              <w:rPr>
                <w:sz w:val="21"/>
              </w:rPr>
            </w:pPr>
            <w:r>
              <w:rPr>
                <w:w w:val="105"/>
                <w:sz w:val="21"/>
              </w:rPr>
              <w:t>Lineal</w:t>
            </w:r>
          </w:p>
        </w:tc>
        <w:tc>
          <w:tcPr>
            <w:tcW w:w="1133" w:type="dxa"/>
            <w:tcBorders>
              <w:bottom w:val="nil"/>
            </w:tcBorders>
          </w:tcPr>
          <w:p>
            <w:pPr>
              <w:pStyle w:val="TableParagraph"/>
              <w:spacing w:line="240" w:lineRule="auto" w:before="4"/>
              <w:rPr>
                <w:sz w:val="21"/>
              </w:rPr>
            </w:pPr>
            <w:r>
              <w:rPr>
                <w:w w:val="105"/>
                <w:sz w:val="21"/>
              </w:rPr>
              <w:t>0.694</w:t>
            </w:r>
          </w:p>
        </w:tc>
        <w:tc>
          <w:tcPr>
            <w:tcW w:w="1219" w:type="dxa"/>
            <w:tcBorders>
              <w:bottom w:val="nil"/>
            </w:tcBorders>
          </w:tcPr>
          <w:p>
            <w:pPr>
              <w:pStyle w:val="TableParagraph"/>
              <w:spacing w:line="240" w:lineRule="auto" w:before="4"/>
              <w:rPr>
                <w:sz w:val="21"/>
              </w:rPr>
            </w:pPr>
            <w:r>
              <w:rPr>
                <w:w w:val="105"/>
                <w:sz w:val="21"/>
              </w:rPr>
              <w:t>Regresión</w:t>
            </w:r>
          </w:p>
        </w:tc>
        <w:tc>
          <w:tcPr>
            <w:tcW w:w="1406" w:type="dxa"/>
            <w:tcBorders>
              <w:bottom w:val="nil"/>
            </w:tcBorders>
          </w:tcPr>
          <w:p>
            <w:pPr>
              <w:pStyle w:val="TableParagraph"/>
              <w:spacing w:line="240" w:lineRule="auto" w:before="4"/>
              <w:ind w:right="147"/>
              <w:rPr>
                <w:sz w:val="21"/>
              </w:rPr>
            </w:pPr>
            <w:r>
              <w:rPr>
                <w:w w:val="105"/>
                <w:sz w:val="21"/>
              </w:rPr>
              <w:t>26691.424</w:t>
            </w:r>
          </w:p>
        </w:tc>
        <w:tc>
          <w:tcPr>
            <w:tcW w:w="682" w:type="dxa"/>
            <w:tcBorders>
              <w:bottom w:val="nil"/>
            </w:tcBorders>
          </w:tcPr>
          <w:p>
            <w:pPr>
              <w:pStyle w:val="TableParagraph"/>
              <w:spacing w:line="240" w:lineRule="auto" w:before="4"/>
              <w:rPr>
                <w:sz w:val="21"/>
              </w:rPr>
            </w:pPr>
            <w:r>
              <w:rPr>
                <w:w w:val="102"/>
                <w:sz w:val="21"/>
              </w:rPr>
              <w:t>1</w:t>
            </w:r>
          </w:p>
        </w:tc>
        <w:tc>
          <w:tcPr>
            <w:tcW w:w="1320" w:type="dxa"/>
            <w:tcBorders>
              <w:bottom w:val="nil"/>
            </w:tcBorders>
          </w:tcPr>
          <w:p>
            <w:pPr>
              <w:pStyle w:val="TableParagraph"/>
              <w:spacing w:line="240" w:lineRule="auto" w:before="4"/>
              <w:ind w:right="36"/>
              <w:rPr>
                <w:sz w:val="21"/>
              </w:rPr>
            </w:pPr>
            <w:r>
              <w:rPr>
                <w:w w:val="105"/>
                <w:sz w:val="21"/>
              </w:rPr>
              <w:t>26691.424</w:t>
            </w:r>
          </w:p>
        </w:tc>
        <w:tc>
          <w:tcPr>
            <w:tcW w:w="1176" w:type="dxa"/>
            <w:tcBorders>
              <w:bottom w:val="nil"/>
            </w:tcBorders>
          </w:tcPr>
          <w:p>
            <w:pPr>
              <w:pStyle w:val="TableParagraph"/>
              <w:spacing w:line="240" w:lineRule="auto" w:before="4"/>
              <w:ind w:right="125"/>
              <w:rPr>
                <w:sz w:val="21"/>
              </w:rPr>
            </w:pPr>
            <w:r>
              <w:rPr>
                <w:w w:val="105"/>
                <w:sz w:val="21"/>
              </w:rPr>
              <w:t>222.685</w:t>
            </w:r>
          </w:p>
        </w:tc>
        <w:tc>
          <w:tcPr>
            <w:tcW w:w="1138" w:type="dxa"/>
            <w:tcBorders>
              <w:bottom w:val="nil"/>
            </w:tcBorders>
          </w:tcPr>
          <w:p>
            <w:pPr>
              <w:pStyle w:val="TableParagraph"/>
              <w:spacing w:line="240" w:lineRule="auto" w:before="4"/>
              <w:rPr>
                <w:sz w:val="21"/>
              </w:rPr>
            </w:pPr>
            <w:r>
              <w:rPr>
                <w:w w:val="105"/>
                <w:sz w:val="21"/>
              </w:rPr>
              <w:t>0.000</w:t>
            </w:r>
          </w:p>
        </w:tc>
      </w:tr>
      <w:tr>
        <w:trPr>
          <w:trHeight w:val="252" w:hRule="exact"/>
        </w:trPr>
        <w:tc>
          <w:tcPr>
            <w:tcW w:w="1392" w:type="dxa"/>
            <w:tcBorders>
              <w:top w:val="nil"/>
              <w:bottom w:val="nil"/>
            </w:tcBorders>
          </w:tcPr>
          <w:p>
            <w:pPr/>
          </w:p>
        </w:tc>
        <w:tc>
          <w:tcPr>
            <w:tcW w:w="1133" w:type="dxa"/>
            <w:tcBorders>
              <w:top w:val="nil"/>
              <w:bottom w:val="nil"/>
            </w:tcBorders>
          </w:tcPr>
          <w:p>
            <w:pPr/>
          </w:p>
        </w:tc>
        <w:tc>
          <w:tcPr>
            <w:tcW w:w="1219" w:type="dxa"/>
            <w:tcBorders>
              <w:top w:val="nil"/>
              <w:bottom w:val="nil"/>
            </w:tcBorders>
          </w:tcPr>
          <w:p>
            <w:pPr>
              <w:pStyle w:val="TableParagraph"/>
              <w:spacing w:line="236" w:lineRule="exact"/>
              <w:rPr>
                <w:sz w:val="21"/>
              </w:rPr>
            </w:pPr>
            <w:r>
              <w:rPr>
                <w:w w:val="105"/>
                <w:sz w:val="21"/>
              </w:rPr>
              <w:t>Residual</w:t>
            </w:r>
          </w:p>
        </w:tc>
        <w:tc>
          <w:tcPr>
            <w:tcW w:w="1406" w:type="dxa"/>
            <w:tcBorders>
              <w:top w:val="nil"/>
              <w:bottom w:val="nil"/>
            </w:tcBorders>
          </w:tcPr>
          <w:p>
            <w:pPr>
              <w:pStyle w:val="TableParagraph"/>
              <w:spacing w:line="236" w:lineRule="exact"/>
              <w:ind w:right="147"/>
              <w:rPr>
                <w:sz w:val="21"/>
              </w:rPr>
            </w:pPr>
            <w:r>
              <w:rPr>
                <w:w w:val="105"/>
                <w:sz w:val="21"/>
              </w:rPr>
              <w:t>11774.697</w:t>
            </w:r>
          </w:p>
        </w:tc>
        <w:tc>
          <w:tcPr>
            <w:tcW w:w="682" w:type="dxa"/>
            <w:tcBorders>
              <w:top w:val="nil"/>
              <w:bottom w:val="nil"/>
            </w:tcBorders>
          </w:tcPr>
          <w:p>
            <w:pPr>
              <w:pStyle w:val="TableParagraph"/>
              <w:spacing w:line="236" w:lineRule="exact"/>
              <w:rPr>
                <w:sz w:val="21"/>
              </w:rPr>
            </w:pPr>
            <w:r>
              <w:rPr>
                <w:w w:val="105"/>
                <w:sz w:val="21"/>
              </w:rPr>
              <w:t>100</w:t>
            </w:r>
          </w:p>
        </w:tc>
        <w:tc>
          <w:tcPr>
            <w:tcW w:w="1320" w:type="dxa"/>
            <w:tcBorders>
              <w:top w:val="nil"/>
              <w:bottom w:val="nil"/>
            </w:tcBorders>
          </w:tcPr>
          <w:p>
            <w:pPr>
              <w:pStyle w:val="TableParagraph"/>
              <w:spacing w:line="236" w:lineRule="exact"/>
              <w:ind w:right="36"/>
              <w:rPr>
                <w:sz w:val="21"/>
              </w:rPr>
            </w:pPr>
            <w:r>
              <w:rPr>
                <w:w w:val="105"/>
                <w:sz w:val="21"/>
              </w:rPr>
              <w:t>117.747</w:t>
            </w:r>
          </w:p>
        </w:tc>
        <w:tc>
          <w:tcPr>
            <w:tcW w:w="1176" w:type="dxa"/>
            <w:tcBorders>
              <w:top w:val="nil"/>
              <w:bottom w:val="nil"/>
            </w:tcBorders>
          </w:tcPr>
          <w:p>
            <w:pPr/>
          </w:p>
        </w:tc>
        <w:tc>
          <w:tcPr>
            <w:tcW w:w="1138" w:type="dxa"/>
            <w:tcBorders>
              <w:top w:val="nil"/>
              <w:bottom w:val="nil"/>
            </w:tcBorders>
          </w:tcPr>
          <w:p>
            <w:pPr/>
          </w:p>
        </w:tc>
      </w:tr>
      <w:tr>
        <w:trPr>
          <w:trHeight w:val="254" w:hRule="exact"/>
        </w:trPr>
        <w:tc>
          <w:tcPr>
            <w:tcW w:w="1392" w:type="dxa"/>
            <w:tcBorders>
              <w:top w:val="nil"/>
              <w:bottom w:val="nil"/>
            </w:tcBorders>
          </w:tcPr>
          <w:p>
            <w:pPr>
              <w:pStyle w:val="TableParagraph"/>
              <w:rPr>
                <w:sz w:val="21"/>
              </w:rPr>
            </w:pPr>
            <w:r>
              <w:rPr>
                <w:w w:val="105"/>
                <w:sz w:val="21"/>
              </w:rPr>
              <w:t>Cuadrático</w:t>
            </w:r>
          </w:p>
        </w:tc>
        <w:tc>
          <w:tcPr>
            <w:tcW w:w="1133" w:type="dxa"/>
            <w:tcBorders>
              <w:top w:val="nil"/>
              <w:bottom w:val="nil"/>
            </w:tcBorders>
          </w:tcPr>
          <w:p>
            <w:pPr>
              <w:pStyle w:val="TableParagraph"/>
              <w:rPr>
                <w:sz w:val="21"/>
              </w:rPr>
            </w:pPr>
            <w:r>
              <w:rPr>
                <w:w w:val="105"/>
                <w:sz w:val="21"/>
              </w:rPr>
              <w:t>0.830</w:t>
            </w:r>
          </w:p>
        </w:tc>
        <w:tc>
          <w:tcPr>
            <w:tcW w:w="1219" w:type="dxa"/>
            <w:tcBorders>
              <w:top w:val="nil"/>
              <w:bottom w:val="nil"/>
            </w:tcBorders>
          </w:tcPr>
          <w:p>
            <w:pPr>
              <w:pStyle w:val="TableParagraph"/>
              <w:rPr>
                <w:sz w:val="21"/>
              </w:rPr>
            </w:pPr>
            <w:r>
              <w:rPr>
                <w:w w:val="105"/>
                <w:sz w:val="21"/>
              </w:rPr>
              <w:t>Regresión</w:t>
            </w:r>
          </w:p>
        </w:tc>
        <w:tc>
          <w:tcPr>
            <w:tcW w:w="1406" w:type="dxa"/>
            <w:tcBorders>
              <w:top w:val="nil"/>
              <w:bottom w:val="nil"/>
            </w:tcBorders>
          </w:tcPr>
          <w:p>
            <w:pPr>
              <w:pStyle w:val="TableParagraph"/>
              <w:ind w:right="147"/>
              <w:rPr>
                <w:sz w:val="21"/>
              </w:rPr>
            </w:pPr>
            <w:r>
              <w:rPr>
                <w:w w:val="105"/>
                <w:sz w:val="21"/>
              </w:rPr>
              <w:t>31936.000</w:t>
            </w:r>
          </w:p>
        </w:tc>
        <w:tc>
          <w:tcPr>
            <w:tcW w:w="682" w:type="dxa"/>
            <w:tcBorders>
              <w:top w:val="nil"/>
              <w:bottom w:val="nil"/>
            </w:tcBorders>
          </w:tcPr>
          <w:p>
            <w:pPr>
              <w:pStyle w:val="TableParagraph"/>
              <w:rPr>
                <w:sz w:val="21"/>
              </w:rPr>
            </w:pPr>
            <w:r>
              <w:rPr>
                <w:w w:val="102"/>
                <w:sz w:val="21"/>
              </w:rPr>
              <w:t>1</w:t>
            </w:r>
          </w:p>
        </w:tc>
        <w:tc>
          <w:tcPr>
            <w:tcW w:w="1320" w:type="dxa"/>
            <w:tcBorders>
              <w:top w:val="nil"/>
              <w:bottom w:val="nil"/>
            </w:tcBorders>
          </w:tcPr>
          <w:p>
            <w:pPr>
              <w:pStyle w:val="TableParagraph"/>
              <w:ind w:right="36"/>
              <w:rPr>
                <w:sz w:val="21"/>
              </w:rPr>
            </w:pPr>
            <w:r>
              <w:rPr>
                <w:w w:val="105"/>
                <w:sz w:val="21"/>
              </w:rPr>
              <w:t>15968.00</w:t>
            </w:r>
          </w:p>
        </w:tc>
        <w:tc>
          <w:tcPr>
            <w:tcW w:w="1176" w:type="dxa"/>
            <w:tcBorders>
              <w:top w:val="nil"/>
              <w:bottom w:val="nil"/>
            </w:tcBorders>
          </w:tcPr>
          <w:p>
            <w:pPr>
              <w:pStyle w:val="TableParagraph"/>
              <w:ind w:right="125"/>
              <w:rPr>
                <w:sz w:val="21"/>
              </w:rPr>
            </w:pPr>
            <w:r>
              <w:rPr>
                <w:w w:val="105"/>
                <w:sz w:val="21"/>
              </w:rPr>
              <w:t>242.083</w:t>
            </w:r>
          </w:p>
        </w:tc>
        <w:tc>
          <w:tcPr>
            <w:tcW w:w="1138" w:type="dxa"/>
            <w:tcBorders>
              <w:top w:val="nil"/>
              <w:bottom w:val="nil"/>
            </w:tcBorders>
          </w:tcPr>
          <w:p>
            <w:pPr>
              <w:pStyle w:val="TableParagraph"/>
              <w:rPr>
                <w:sz w:val="21"/>
              </w:rPr>
            </w:pPr>
            <w:r>
              <w:rPr>
                <w:w w:val="105"/>
                <w:sz w:val="21"/>
              </w:rPr>
              <w:t>0.000</w:t>
            </w:r>
          </w:p>
        </w:tc>
      </w:tr>
      <w:tr>
        <w:trPr>
          <w:trHeight w:val="252" w:hRule="exact"/>
        </w:trPr>
        <w:tc>
          <w:tcPr>
            <w:tcW w:w="1392" w:type="dxa"/>
            <w:tcBorders>
              <w:top w:val="nil"/>
              <w:bottom w:val="nil"/>
            </w:tcBorders>
          </w:tcPr>
          <w:p>
            <w:pPr/>
          </w:p>
        </w:tc>
        <w:tc>
          <w:tcPr>
            <w:tcW w:w="1133" w:type="dxa"/>
            <w:tcBorders>
              <w:top w:val="nil"/>
              <w:bottom w:val="nil"/>
            </w:tcBorders>
          </w:tcPr>
          <w:p>
            <w:pPr/>
          </w:p>
        </w:tc>
        <w:tc>
          <w:tcPr>
            <w:tcW w:w="1219" w:type="dxa"/>
            <w:tcBorders>
              <w:top w:val="nil"/>
              <w:bottom w:val="nil"/>
            </w:tcBorders>
          </w:tcPr>
          <w:p>
            <w:pPr>
              <w:pStyle w:val="TableParagraph"/>
              <w:rPr>
                <w:sz w:val="21"/>
              </w:rPr>
            </w:pPr>
            <w:r>
              <w:rPr>
                <w:w w:val="105"/>
                <w:sz w:val="21"/>
              </w:rPr>
              <w:t>Residual</w:t>
            </w:r>
          </w:p>
        </w:tc>
        <w:tc>
          <w:tcPr>
            <w:tcW w:w="1406" w:type="dxa"/>
            <w:tcBorders>
              <w:top w:val="nil"/>
              <w:bottom w:val="nil"/>
            </w:tcBorders>
          </w:tcPr>
          <w:p>
            <w:pPr>
              <w:pStyle w:val="TableParagraph"/>
              <w:ind w:right="147"/>
              <w:rPr>
                <w:sz w:val="21"/>
              </w:rPr>
            </w:pPr>
            <w:r>
              <w:rPr>
                <w:w w:val="105"/>
                <w:sz w:val="21"/>
              </w:rPr>
              <w:t>6530.121</w:t>
            </w:r>
          </w:p>
        </w:tc>
        <w:tc>
          <w:tcPr>
            <w:tcW w:w="682" w:type="dxa"/>
            <w:tcBorders>
              <w:top w:val="nil"/>
              <w:bottom w:val="nil"/>
            </w:tcBorders>
          </w:tcPr>
          <w:p>
            <w:pPr>
              <w:pStyle w:val="TableParagraph"/>
              <w:rPr>
                <w:sz w:val="21"/>
              </w:rPr>
            </w:pPr>
            <w:r>
              <w:rPr>
                <w:w w:val="105"/>
                <w:sz w:val="21"/>
              </w:rPr>
              <w:t>100</w:t>
            </w:r>
          </w:p>
        </w:tc>
        <w:tc>
          <w:tcPr>
            <w:tcW w:w="1320" w:type="dxa"/>
            <w:tcBorders>
              <w:top w:val="nil"/>
              <w:bottom w:val="nil"/>
            </w:tcBorders>
          </w:tcPr>
          <w:p>
            <w:pPr>
              <w:pStyle w:val="TableParagraph"/>
              <w:ind w:right="36"/>
              <w:rPr>
                <w:sz w:val="21"/>
              </w:rPr>
            </w:pPr>
            <w:r>
              <w:rPr>
                <w:w w:val="105"/>
                <w:sz w:val="21"/>
              </w:rPr>
              <w:t>65.961</w:t>
            </w:r>
          </w:p>
        </w:tc>
        <w:tc>
          <w:tcPr>
            <w:tcW w:w="1176" w:type="dxa"/>
            <w:tcBorders>
              <w:top w:val="nil"/>
              <w:bottom w:val="nil"/>
            </w:tcBorders>
          </w:tcPr>
          <w:p>
            <w:pPr/>
          </w:p>
        </w:tc>
        <w:tc>
          <w:tcPr>
            <w:tcW w:w="1138" w:type="dxa"/>
            <w:tcBorders>
              <w:top w:val="nil"/>
              <w:bottom w:val="nil"/>
            </w:tcBorders>
          </w:tcPr>
          <w:p>
            <w:pPr/>
          </w:p>
        </w:tc>
      </w:tr>
      <w:tr>
        <w:trPr>
          <w:trHeight w:val="252" w:hRule="exact"/>
        </w:trPr>
        <w:tc>
          <w:tcPr>
            <w:tcW w:w="1392" w:type="dxa"/>
            <w:tcBorders>
              <w:top w:val="nil"/>
              <w:bottom w:val="nil"/>
            </w:tcBorders>
          </w:tcPr>
          <w:p>
            <w:pPr>
              <w:pStyle w:val="TableParagraph"/>
              <w:spacing w:line="236" w:lineRule="exact"/>
              <w:rPr>
                <w:sz w:val="21"/>
              </w:rPr>
            </w:pPr>
            <w:r>
              <w:rPr>
                <w:w w:val="105"/>
                <w:sz w:val="21"/>
              </w:rPr>
              <w:t>Cúbico</w:t>
            </w:r>
          </w:p>
        </w:tc>
        <w:tc>
          <w:tcPr>
            <w:tcW w:w="1133" w:type="dxa"/>
            <w:tcBorders>
              <w:top w:val="nil"/>
              <w:bottom w:val="nil"/>
            </w:tcBorders>
          </w:tcPr>
          <w:p>
            <w:pPr>
              <w:pStyle w:val="TableParagraph"/>
              <w:spacing w:line="236" w:lineRule="exact"/>
              <w:rPr>
                <w:sz w:val="21"/>
              </w:rPr>
            </w:pPr>
            <w:r>
              <w:rPr>
                <w:w w:val="105"/>
                <w:sz w:val="21"/>
              </w:rPr>
              <w:t>0.897</w:t>
            </w:r>
          </w:p>
        </w:tc>
        <w:tc>
          <w:tcPr>
            <w:tcW w:w="1219" w:type="dxa"/>
            <w:tcBorders>
              <w:top w:val="nil"/>
              <w:bottom w:val="nil"/>
            </w:tcBorders>
          </w:tcPr>
          <w:p>
            <w:pPr>
              <w:pStyle w:val="TableParagraph"/>
              <w:spacing w:line="236" w:lineRule="exact"/>
              <w:rPr>
                <w:sz w:val="21"/>
              </w:rPr>
            </w:pPr>
            <w:r>
              <w:rPr>
                <w:w w:val="105"/>
                <w:sz w:val="21"/>
              </w:rPr>
              <w:t>Regresión</w:t>
            </w:r>
          </w:p>
        </w:tc>
        <w:tc>
          <w:tcPr>
            <w:tcW w:w="1406" w:type="dxa"/>
            <w:tcBorders>
              <w:top w:val="nil"/>
              <w:bottom w:val="nil"/>
            </w:tcBorders>
          </w:tcPr>
          <w:p>
            <w:pPr>
              <w:pStyle w:val="TableParagraph"/>
              <w:spacing w:line="236" w:lineRule="exact"/>
              <w:ind w:right="147"/>
              <w:rPr>
                <w:sz w:val="21"/>
              </w:rPr>
            </w:pPr>
            <w:r>
              <w:rPr>
                <w:w w:val="105"/>
                <w:sz w:val="21"/>
              </w:rPr>
              <w:t>34499.783</w:t>
            </w:r>
          </w:p>
        </w:tc>
        <w:tc>
          <w:tcPr>
            <w:tcW w:w="682" w:type="dxa"/>
            <w:tcBorders>
              <w:top w:val="nil"/>
              <w:bottom w:val="nil"/>
            </w:tcBorders>
          </w:tcPr>
          <w:p>
            <w:pPr>
              <w:pStyle w:val="TableParagraph"/>
              <w:spacing w:line="236" w:lineRule="exact"/>
              <w:rPr>
                <w:sz w:val="21"/>
              </w:rPr>
            </w:pPr>
            <w:r>
              <w:rPr>
                <w:w w:val="102"/>
                <w:sz w:val="21"/>
              </w:rPr>
              <w:t>1</w:t>
            </w:r>
          </w:p>
        </w:tc>
        <w:tc>
          <w:tcPr>
            <w:tcW w:w="1320" w:type="dxa"/>
            <w:tcBorders>
              <w:top w:val="nil"/>
              <w:bottom w:val="nil"/>
            </w:tcBorders>
          </w:tcPr>
          <w:p>
            <w:pPr>
              <w:pStyle w:val="TableParagraph"/>
              <w:spacing w:line="236" w:lineRule="exact"/>
              <w:ind w:right="36"/>
              <w:rPr>
                <w:sz w:val="21"/>
              </w:rPr>
            </w:pPr>
            <w:r>
              <w:rPr>
                <w:w w:val="105"/>
                <w:sz w:val="21"/>
              </w:rPr>
              <w:t>11499.928</w:t>
            </w:r>
          </w:p>
        </w:tc>
        <w:tc>
          <w:tcPr>
            <w:tcW w:w="1176" w:type="dxa"/>
            <w:tcBorders>
              <w:top w:val="nil"/>
              <w:bottom w:val="nil"/>
            </w:tcBorders>
          </w:tcPr>
          <w:p>
            <w:pPr>
              <w:pStyle w:val="TableParagraph"/>
              <w:spacing w:line="236" w:lineRule="exact"/>
              <w:ind w:right="125"/>
              <w:rPr>
                <w:sz w:val="21"/>
              </w:rPr>
            </w:pPr>
            <w:r>
              <w:rPr>
                <w:w w:val="105"/>
                <w:sz w:val="21"/>
              </w:rPr>
              <w:t>284.139</w:t>
            </w:r>
          </w:p>
        </w:tc>
        <w:tc>
          <w:tcPr>
            <w:tcW w:w="1138" w:type="dxa"/>
            <w:tcBorders>
              <w:top w:val="nil"/>
              <w:bottom w:val="nil"/>
            </w:tcBorders>
          </w:tcPr>
          <w:p>
            <w:pPr>
              <w:pStyle w:val="TableParagraph"/>
              <w:spacing w:line="236" w:lineRule="exact"/>
              <w:rPr>
                <w:sz w:val="21"/>
              </w:rPr>
            </w:pPr>
            <w:r>
              <w:rPr>
                <w:w w:val="105"/>
                <w:sz w:val="21"/>
              </w:rPr>
              <w:t>0.000</w:t>
            </w:r>
          </w:p>
        </w:tc>
      </w:tr>
      <w:tr>
        <w:trPr>
          <w:trHeight w:val="254" w:hRule="exact"/>
        </w:trPr>
        <w:tc>
          <w:tcPr>
            <w:tcW w:w="1392" w:type="dxa"/>
            <w:tcBorders>
              <w:top w:val="nil"/>
              <w:bottom w:val="nil"/>
            </w:tcBorders>
          </w:tcPr>
          <w:p>
            <w:pPr/>
          </w:p>
        </w:tc>
        <w:tc>
          <w:tcPr>
            <w:tcW w:w="1133" w:type="dxa"/>
            <w:tcBorders>
              <w:top w:val="nil"/>
              <w:bottom w:val="nil"/>
            </w:tcBorders>
          </w:tcPr>
          <w:p>
            <w:pPr/>
          </w:p>
        </w:tc>
        <w:tc>
          <w:tcPr>
            <w:tcW w:w="1219" w:type="dxa"/>
            <w:tcBorders>
              <w:top w:val="nil"/>
              <w:bottom w:val="nil"/>
            </w:tcBorders>
          </w:tcPr>
          <w:p>
            <w:pPr>
              <w:pStyle w:val="TableParagraph"/>
              <w:rPr>
                <w:sz w:val="21"/>
              </w:rPr>
            </w:pPr>
            <w:r>
              <w:rPr>
                <w:w w:val="105"/>
                <w:sz w:val="21"/>
              </w:rPr>
              <w:t>Residual</w:t>
            </w:r>
          </w:p>
        </w:tc>
        <w:tc>
          <w:tcPr>
            <w:tcW w:w="1406" w:type="dxa"/>
            <w:tcBorders>
              <w:top w:val="nil"/>
              <w:bottom w:val="nil"/>
            </w:tcBorders>
          </w:tcPr>
          <w:p>
            <w:pPr>
              <w:pStyle w:val="TableParagraph"/>
              <w:ind w:right="147"/>
              <w:rPr>
                <w:sz w:val="21"/>
              </w:rPr>
            </w:pPr>
            <w:r>
              <w:rPr>
                <w:w w:val="105"/>
                <w:sz w:val="21"/>
              </w:rPr>
              <w:t>3966.338</w:t>
            </w:r>
          </w:p>
        </w:tc>
        <w:tc>
          <w:tcPr>
            <w:tcW w:w="682" w:type="dxa"/>
            <w:tcBorders>
              <w:top w:val="nil"/>
              <w:bottom w:val="nil"/>
            </w:tcBorders>
          </w:tcPr>
          <w:p>
            <w:pPr>
              <w:pStyle w:val="TableParagraph"/>
              <w:rPr>
                <w:sz w:val="21"/>
              </w:rPr>
            </w:pPr>
            <w:r>
              <w:rPr>
                <w:w w:val="105"/>
                <w:sz w:val="21"/>
              </w:rPr>
              <w:t>100</w:t>
            </w:r>
          </w:p>
        </w:tc>
        <w:tc>
          <w:tcPr>
            <w:tcW w:w="1320" w:type="dxa"/>
            <w:tcBorders>
              <w:top w:val="nil"/>
              <w:bottom w:val="nil"/>
            </w:tcBorders>
          </w:tcPr>
          <w:p>
            <w:pPr>
              <w:pStyle w:val="TableParagraph"/>
              <w:ind w:right="36"/>
              <w:rPr>
                <w:sz w:val="21"/>
              </w:rPr>
            </w:pPr>
            <w:r>
              <w:rPr>
                <w:w w:val="105"/>
                <w:sz w:val="21"/>
              </w:rPr>
              <w:t>40.473</w:t>
            </w:r>
          </w:p>
        </w:tc>
        <w:tc>
          <w:tcPr>
            <w:tcW w:w="1176" w:type="dxa"/>
            <w:tcBorders>
              <w:top w:val="nil"/>
              <w:bottom w:val="nil"/>
            </w:tcBorders>
          </w:tcPr>
          <w:p>
            <w:pPr/>
          </w:p>
        </w:tc>
        <w:tc>
          <w:tcPr>
            <w:tcW w:w="1138" w:type="dxa"/>
            <w:tcBorders>
              <w:top w:val="nil"/>
              <w:bottom w:val="nil"/>
            </w:tcBorders>
          </w:tcPr>
          <w:p>
            <w:pPr/>
          </w:p>
        </w:tc>
      </w:tr>
      <w:tr>
        <w:trPr>
          <w:trHeight w:val="254" w:hRule="exact"/>
        </w:trPr>
        <w:tc>
          <w:tcPr>
            <w:tcW w:w="1392" w:type="dxa"/>
            <w:tcBorders>
              <w:top w:val="nil"/>
              <w:bottom w:val="nil"/>
            </w:tcBorders>
          </w:tcPr>
          <w:p>
            <w:pPr>
              <w:pStyle w:val="TableParagraph"/>
              <w:rPr>
                <w:sz w:val="21"/>
              </w:rPr>
            </w:pPr>
            <w:r>
              <w:rPr>
                <w:w w:val="105"/>
                <w:sz w:val="21"/>
              </w:rPr>
              <w:t>Crecimiento</w:t>
            </w:r>
          </w:p>
        </w:tc>
        <w:tc>
          <w:tcPr>
            <w:tcW w:w="1133" w:type="dxa"/>
            <w:tcBorders>
              <w:top w:val="nil"/>
              <w:bottom w:val="nil"/>
            </w:tcBorders>
          </w:tcPr>
          <w:p>
            <w:pPr>
              <w:pStyle w:val="TableParagraph"/>
              <w:rPr>
                <w:sz w:val="21"/>
              </w:rPr>
            </w:pPr>
            <w:r>
              <w:rPr>
                <w:w w:val="105"/>
                <w:sz w:val="21"/>
              </w:rPr>
              <w:t>0.731</w:t>
            </w:r>
          </w:p>
        </w:tc>
        <w:tc>
          <w:tcPr>
            <w:tcW w:w="1219" w:type="dxa"/>
            <w:tcBorders>
              <w:top w:val="nil"/>
              <w:bottom w:val="nil"/>
            </w:tcBorders>
          </w:tcPr>
          <w:p>
            <w:pPr>
              <w:pStyle w:val="TableParagraph"/>
              <w:rPr>
                <w:sz w:val="21"/>
              </w:rPr>
            </w:pPr>
            <w:r>
              <w:rPr>
                <w:w w:val="105"/>
                <w:sz w:val="21"/>
              </w:rPr>
              <w:t>Regresión</w:t>
            </w:r>
          </w:p>
        </w:tc>
        <w:tc>
          <w:tcPr>
            <w:tcW w:w="1406" w:type="dxa"/>
            <w:tcBorders>
              <w:top w:val="nil"/>
              <w:bottom w:val="nil"/>
            </w:tcBorders>
          </w:tcPr>
          <w:p>
            <w:pPr>
              <w:pStyle w:val="TableParagraph"/>
              <w:ind w:right="147"/>
              <w:rPr>
                <w:sz w:val="21"/>
              </w:rPr>
            </w:pPr>
            <w:r>
              <w:rPr>
                <w:w w:val="105"/>
                <w:sz w:val="21"/>
              </w:rPr>
              <w:t>643.843</w:t>
            </w:r>
          </w:p>
        </w:tc>
        <w:tc>
          <w:tcPr>
            <w:tcW w:w="682" w:type="dxa"/>
            <w:tcBorders>
              <w:top w:val="nil"/>
              <w:bottom w:val="nil"/>
            </w:tcBorders>
          </w:tcPr>
          <w:p>
            <w:pPr>
              <w:pStyle w:val="TableParagraph"/>
              <w:rPr>
                <w:sz w:val="21"/>
              </w:rPr>
            </w:pPr>
            <w:r>
              <w:rPr>
                <w:w w:val="102"/>
                <w:sz w:val="21"/>
              </w:rPr>
              <w:t>1</w:t>
            </w:r>
          </w:p>
        </w:tc>
        <w:tc>
          <w:tcPr>
            <w:tcW w:w="1320" w:type="dxa"/>
            <w:tcBorders>
              <w:top w:val="nil"/>
              <w:bottom w:val="nil"/>
            </w:tcBorders>
          </w:tcPr>
          <w:p>
            <w:pPr>
              <w:pStyle w:val="TableParagraph"/>
              <w:ind w:right="36"/>
              <w:rPr>
                <w:sz w:val="21"/>
              </w:rPr>
            </w:pPr>
            <w:r>
              <w:rPr>
                <w:w w:val="105"/>
                <w:sz w:val="21"/>
              </w:rPr>
              <w:t>643.843</w:t>
            </w:r>
          </w:p>
        </w:tc>
        <w:tc>
          <w:tcPr>
            <w:tcW w:w="1176" w:type="dxa"/>
            <w:tcBorders>
              <w:top w:val="nil"/>
              <w:bottom w:val="nil"/>
            </w:tcBorders>
          </w:tcPr>
          <w:p>
            <w:pPr>
              <w:pStyle w:val="TableParagraph"/>
              <w:ind w:right="125"/>
              <w:rPr>
                <w:sz w:val="21"/>
              </w:rPr>
            </w:pPr>
            <w:r>
              <w:rPr>
                <w:w w:val="105"/>
                <w:sz w:val="21"/>
              </w:rPr>
              <w:t>271.585</w:t>
            </w:r>
          </w:p>
        </w:tc>
        <w:tc>
          <w:tcPr>
            <w:tcW w:w="1138" w:type="dxa"/>
            <w:tcBorders>
              <w:top w:val="nil"/>
              <w:bottom w:val="nil"/>
            </w:tcBorders>
          </w:tcPr>
          <w:p>
            <w:pPr>
              <w:pStyle w:val="TableParagraph"/>
              <w:rPr>
                <w:sz w:val="21"/>
              </w:rPr>
            </w:pPr>
            <w:r>
              <w:rPr>
                <w:w w:val="105"/>
                <w:sz w:val="21"/>
              </w:rPr>
              <w:t>0.000</w:t>
            </w:r>
          </w:p>
        </w:tc>
      </w:tr>
      <w:tr>
        <w:trPr>
          <w:trHeight w:val="501" w:hRule="exact"/>
        </w:trPr>
        <w:tc>
          <w:tcPr>
            <w:tcW w:w="1392" w:type="dxa"/>
            <w:tcBorders>
              <w:top w:val="nil"/>
            </w:tcBorders>
          </w:tcPr>
          <w:p>
            <w:pPr/>
          </w:p>
        </w:tc>
        <w:tc>
          <w:tcPr>
            <w:tcW w:w="1133" w:type="dxa"/>
            <w:tcBorders>
              <w:top w:val="nil"/>
            </w:tcBorders>
          </w:tcPr>
          <w:p>
            <w:pPr/>
          </w:p>
        </w:tc>
        <w:tc>
          <w:tcPr>
            <w:tcW w:w="1219" w:type="dxa"/>
            <w:tcBorders>
              <w:top w:val="nil"/>
            </w:tcBorders>
          </w:tcPr>
          <w:p>
            <w:pPr>
              <w:pStyle w:val="TableParagraph"/>
              <w:rPr>
                <w:sz w:val="21"/>
              </w:rPr>
            </w:pPr>
            <w:r>
              <w:rPr>
                <w:w w:val="105"/>
                <w:sz w:val="21"/>
              </w:rPr>
              <w:t>Residual</w:t>
            </w:r>
          </w:p>
        </w:tc>
        <w:tc>
          <w:tcPr>
            <w:tcW w:w="1406" w:type="dxa"/>
            <w:tcBorders>
              <w:top w:val="nil"/>
            </w:tcBorders>
          </w:tcPr>
          <w:p>
            <w:pPr>
              <w:pStyle w:val="TableParagraph"/>
              <w:ind w:right="147"/>
              <w:rPr>
                <w:sz w:val="21"/>
              </w:rPr>
            </w:pPr>
            <w:r>
              <w:rPr>
                <w:w w:val="105"/>
                <w:sz w:val="21"/>
              </w:rPr>
              <w:t>237.068</w:t>
            </w:r>
          </w:p>
        </w:tc>
        <w:tc>
          <w:tcPr>
            <w:tcW w:w="682" w:type="dxa"/>
            <w:tcBorders>
              <w:top w:val="nil"/>
            </w:tcBorders>
          </w:tcPr>
          <w:p>
            <w:pPr>
              <w:pStyle w:val="TableParagraph"/>
              <w:rPr>
                <w:sz w:val="21"/>
              </w:rPr>
            </w:pPr>
            <w:r>
              <w:rPr>
                <w:w w:val="105"/>
                <w:sz w:val="21"/>
              </w:rPr>
              <w:t>100</w:t>
            </w:r>
          </w:p>
        </w:tc>
        <w:tc>
          <w:tcPr>
            <w:tcW w:w="1320" w:type="dxa"/>
            <w:tcBorders>
              <w:top w:val="nil"/>
            </w:tcBorders>
          </w:tcPr>
          <w:p>
            <w:pPr>
              <w:pStyle w:val="TableParagraph"/>
              <w:ind w:right="36"/>
              <w:rPr>
                <w:sz w:val="21"/>
              </w:rPr>
            </w:pPr>
            <w:r>
              <w:rPr>
                <w:w w:val="105"/>
                <w:sz w:val="21"/>
              </w:rPr>
              <w:t>2.371</w:t>
            </w:r>
          </w:p>
        </w:tc>
        <w:tc>
          <w:tcPr>
            <w:tcW w:w="1176" w:type="dxa"/>
            <w:tcBorders>
              <w:top w:val="nil"/>
            </w:tcBorders>
          </w:tcPr>
          <w:p>
            <w:pPr/>
          </w:p>
        </w:tc>
        <w:tc>
          <w:tcPr>
            <w:tcW w:w="1138" w:type="dxa"/>
            <w:tcBorders>
              <w:top w:val="nil"/>
            </w:tcBorders>
          </w:tcPr>
          <w:p>
            <w:pPr/>
          </w:p>
        </w:tc>
      </w:tr>
    </w:tbl>
    <w:p>
      <w:pPr>
        <w:pStyle w:val="BodyText"/>
        <w:rPr>
          <w:sz w:val="20"/>
        </w:rPr>
      </w:pPr>
    </w:p>
    <w:p>
      <w:pPr>
        <w:pStyle w:val="BodyText"/>
        <w:rPr>
          <w:sz w:val="20"/>
        </w:rPr>
      </w:pPr>
    </w:p>
    <w:p>
      <w:pPr>
        <w:pStyle w:val="BodyText"/>
        <w:spacing w:before="11"/>
        <w:rPr>
          <w:sz w:val="19"/>
        </w:rPr>
      </w:pPr>
    </w:p>
    <w:p>
      <w:pPr>
        <w:pStyle w:val="Heading3"/>
        <w:ind w:left="219"/>
      </w:pPr>
      <w:bookmarkStart w:name="_TOC_250002" w:id="20"/>
      <w:bookmarkEnd w:id="20"/>
      <w:r>
        <w:rPr>
          <w:w w:val="105"/>
        </w:rPr>
        <w:t>Ecuación de la curva</w:t>
      </w:r>
    </w:p>
    <w:p>
      <w:pPr>
        <w:pStyle w:val="BodyText"/>
        <w:spacing w:line="380" w:lineRule="atLeast"/>
        <w:ind w:left="219" w:right="637"/>
        <w:jc w:val="both"/>
      </w:pPr>
      <w:r>
        <w:rPr>
          <w:w w:val="105"/>
        </w:rPr>
        <w:t>Al conocer la distribución de la curva tanto de los valores absolutos como de los promedios, el siguiente paso fue el establecer la función de la curva. El polinomio resultante tanto de los valores de nacimientos absolutos como de los promedios se describen en la Figura 5 y 6. El resultado de la función polinómica de los valores totales  es  y = 0.1783x</w:t>
      </w:r>
      <w:r>
        <w:rPr>
          <w:w w:val="105"/>
          <w:position w:val="10"/>
          <w:sz w:val="14"/>
        </w:rPr>
        <w:t>2 </w:t>
      </w:r>
      <w:r>
        <w:rPr>
          <w:w w:val="105"/>
        </w:rPr>
        <w:t>- 18.253x +</w:t>
      </w:r>
      <w:r>
        <w:rPr>
          <w:spacing w:val="-1"/>
          <w:w w:val="105"/>
        </w:rPr>
        <w:t> </w:t>
      </w:r>
      <w:r>
        <w:rPr>
          <w:w w:val="105"/>
        </w:rPr>
        <w:t>566.68</w:t>
      </w:r>
    </w:p>
    <w:p>
      <w:pPr>
        <w:spacing w:after="0" w:line="380" w:lineRule="atLeast"/>
        <w:jc w:val="both"/>
        <w:sectPr>
          <w:pgSz w:w="12240" w:h="15840"/>
          <w:pgMar w:header="1209" w:footer="1234" w:top="1400" w:bottom="1420" w:left="1480" w:right="1060"/>
        </w:sectPr>
      </w:pPr>
    </w:p>
    <w:p>
      <w:pPr>
        <w:pStyle w:val="BodyText"/>
        <w:spacing w:line="376" w:lineRule="auto" w:before="16"/>
        <w:ind w:left="139" w:right="121"/>
        <w:jc w:val="both"/>
      </w:pPr>
      <w:r>
        <w:rPr>
          <w:w w:val="105"/>
        </w:rPr>
        <w:t>Para el promedio de nacimientos por día, la distribución muestra una diferencia con respecto a los valores absolutos, en esta podemos observar que la curva de distribución muestra una inflexión central, cercana al 50% de luminosidad. Hacia los extremos la  curva  muestra  sus  valores  críticos  mayores.  Al  realizar  una  línea  de  tendencia</w:t>
      </w:r>
      <w:r>
        <w:rPr>
          <w:spacing w:val="26"/>
          <w:w w:val="105"/>
        </w:rPr>
        <w:t> </w:t>
      </w:r>
      <w:r>
        <w:rPr>
          <w:w w:val="105"/>
        </w:rPr>
        <w:t>esta</w:t>
      </w:r>
    </w:p>
    <w:p>
      <w:pPr>
        <w:pStyle w:val="BodyText"/>
        <w:spacing w:line="338" w:lineRule="auto" w:before="4"/>
        <w:ind w:left="139" w:right="121"/>
        <w:jc w:val="both"/>
      </w:pPr>
      <w:r>
        <w:rPr>
          <w:w w:val="105"/>
        </w:rPr>
        <w:t>muestra también una forma curvilínea. El polinomio resultante de la distribución de los valores fue  y= 0.001 x</w:t>
      </w:r>
      <w:r>
        <w:rPr>
          <w:w w:val="105"/>
          <w:position w:val="10"/>
          <w:sz w:val="14"/>
        </w:rPr>
        <w:t>2 </w:t>
      </w:r>
      <w:r>
        <w:rPr>
          <w:w w:val="105"/>
        </w:rPr>
        <w:t>– 0.1306x + 22.455.</w:t>
      </w:r>
    </w:p>
    <w:p>
      <w:pPr>
        <w:pStyle w:val="BodyText"/>
        <w:spacing w:before="1"/>
        <w:rPr>
          <w:sz w:val="16"/>
        </w:rPr>
      </w:pPr>
      <w:r>
        <w:rPr/>
        <w:drawing>
          <wp:anchor distT="0" distB="0" distL="0" distR="0" allowOverlap="1" layoutInCell="1" locked="0" behindDoc="0" simplePos="0" relativeHeight="1432">
            <wp:simplePos x="0" y="0"/>
            <wp:positionH relativeFrom="page">
              <wp:posOffset>1080136</wp:posOffset>
            </wp:positionH>
            <wp:positionV relativeFrom="paragraph">
              <wp:posOffset>142556</wp:posOffset>
            </wp:positionV>
            <wp:extent cx="5602416" cy="2065115"/>
            <wp:effectExtent l="0" t="0" r="0" b="0"/>
            <wp:wrapTopAndBottom/>
            <wp:docPr id="29" name="image39.png" descr=""/>
            <wp:cNvGraphicFramePr>
              <a:graphicFrameLocks noChangeAspect="1"/>
            </wp:cNvGraphicFramePr>
            <a:graphic>
              <a:graphicData uri="http://schemas.openxmlformats.org/drawingml/2006/picture">
                <pic:pic>
                  <pic:nvPicPr>
                    <pic:cNvPr id="30" name="image39.png"/>
                    <pic:cNvPicPr/>
                  </pic:nvPicPr>
                  <pic:blipFill>
                    <a:blip r:embed="rId55" cstate="print"/>
                    <a:stretch>
                      <a:fillRect/>
                    </a:stretch>
                  </pic:blipFill>
                  <pic:spPr>
                    <a:xfrm>
                      <a:off x="0" y="0"/>
                      <a:ext cx="5602416" cy="2065115"/>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1080136</wp:posOffset>
            </wp:positionH>
            <wp:positionV relativeFrom="paragraph">
              <wp:posOffset>2426327</wp:posOffset>
            </wp:positionV>
            <wp:extent cx="5585930" cy="2569654"/>
            <wp:effectExtent l="0" t="0" r="0" b="0"/>
            <wp:wrapTopAndBottom/>
            <wp:docPr id="31" name="image40.png" descr=""/>
            <wp:cNvGraphicFramePr>
              <a:graphicFrameLocks noChangeAspect="1"/>
            </wp:cNvGraphicFramePr>
            <a:graphic>
              <a:graphicData uri="http://schemas.openxmlformats.org/drawingml/2006/picture">
                <pic:pic>
                  <pic:nvPicPr>
                    <pic:cNvPr id="32" name="image40.png"/>
                    <pic:cNvPicPr/>
                  </pic:nvPicPr>
                  <pic:blipFill>
                    <a:blip r:embed="rId56" cstate="print"/>
                    <a:stretch>
                      <a:fillRect/>
                    </a:stretch>
                  </pic:blipFill>
                  <pic:spPr>
                    <a:xfrm>
                      <a:off x="0" y="0"/>
                      <a:ext cx="5585930" cy="2569654"/>
                    </a:xfrm>
                    <a:prstGeom prst="rect">
                      <a:avLst/>
                    </a:prstGeom>
                  </pic:spPr>
                </pic:pic>
              </a:graphicData>
            </a:graphic>
          </wp:anchor>
        </w:drawing>
      </w:r>
    </w:p>
    <w:p>
      <w:pPr>
        <w:pStyle w:val="BodyText"/>
        <w:rPr>
          <w:sz w:val="24"/>
        </w:rPr>
      </w:pPr>
    </w:p>
    <w:p>
      <w:pPr>
        <w:spacing w:after="0"/>
        <w:rPr>
          <w:sz w:val="24"/>
        </w:rPr>
        <w:sectPr>
          <w:pgSz w:w="12240" w:h="15840"/>
          <w:pgMar w:header="1209" w:footer="1234" w:top="1400" w:bottom="1420" w:left="1560" w:right="1580"/>
        </w:sectPr>
      </w:pPr>
    </w:p>
    <w:p>
      <w:pPr>
        <w:pStyle w:val="BodyText"/>
        <w:rPr>
          <w:sz w:val="20"/>
        </w:rPr>
      </w:pPr>
    </w:p>
    <w:p>
      <w:pPr>
        <w:pStyle w:val="BodyText"/>
        <w:spacing w:before="8"/>
        <w:rPr>
          <w:sz w:val="24"/>
        </w:rPr>
      </w:pPr>
    </w:p>
    <w:p>
      <w:pPr>
        <w:pStyle w:val="Heading3"/>
        <w:ind w:right="82"/>
        <w:jc w:val="left"/>
      </w:pPr>
      <w:bookmarkStart w:name="_TOC_250001" w:id="21"/>
      <w:bookmarkEnd w:id="21"/>
      <w:r>
        <w:rPr>
          <w:w w:val="105"/>
        </w:rPr>
        <w:t>La luna como factor de riesgo para  productos pre-término</w:t>
      </w:r>
    </w:p>
    <w:p>
      <w:pPr>
        <w:pStyle w:val="BodyText"/>
        <w:spacing w:before="10"/>
        <w:rPr>
          <w:b/>
          <w:sz w:val="29"/>
        </w:rPr>
      </w:pPr>
    </w:p>
    <w:p>
      <w:pPr>
        <w:pStyle w:val="BodyText"/>
        <w:spacing w:line="374" w:lineRule="auto"/>
        <w:ind w:left="139" w:right="180"/>
      </w:pPr>
      <w:r>
        <w:rPr>
          <w:w w:val="105"/>
        </w:rPr>
        <w:t>Se realizó la estimación de los diferentes ODDS ratio para las etapas de luna nueva y luna llena en conjunto con otros factores como son la presencia de madres con múltiples gestaciones. Los resultados de los diferentes ODDS ratio se presentan en la Tabla 7.</w:t>
      </w:r>
    </w:p>
    <w:p>
      <w:pPr>
        <w:pStyle w:val="BodyText"/>
        <w:rPr>
          <w:sz w:val="22"/>
        </w:rPr>
      </w:pPr>
    </w:p>
    <w:p>
      <w:pPr>
        <w:pStyle w:val="BodyText"/>
        <w:spacing w:before="9"/>
        <w:rPr>
          <w:sz w:val="17"/>
        </w:rPr>
      </w:pPr>
    </w:p>
    <w:p>
      <w:pPr>
        <w:pStyle w:val="BodyText"/>
        <w:ind w:left="139" w:right="82"/>
      </w:pPr>
      <w:r>
        <w:rPr>
          <w:w w:val="105"/>
        </w:rPr>
        <w:t>Tabla 7.0 Resultados de los ODDS Ratio para la presencia de productos pretérmino.</w:t>
      </w:r>
    </w:p>
    <w:p>
      <w:pPr>
        <w:pStyle w:val="BodyText"/>
        <w:spacing w:before="9"/>
        <w:rPr>
          <w:sz w:val="22"/>
        </w:rPr>
      </w:pPr>
    </w:p>
    <w:tbl>
      <w:tblPr>
        <w:tblW w:w="0" w:type="auto"/>
        <w:jc w:val="left"/>
        <w:tblInd w:w="8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4"/>
        <w:gridCol w:w="2909"/>
        <w:gridCol w:w="1421"/>
      </w:tblGrid>
      <w:tr>
        <w:trPr>
          <w:trHeight w:val="259" w:hRule="exact"/>
        </w:trPr>
        <w:tc>
          <w:tcPr>
            <w:tcW w:w="3154" w:type="dxa"/>
          </w:tcPr>
          <w:p>
            <w:pPr>
              <w:pStyle w:val="TableParagraph"/>
              <w:spacing w:line="240" w:lineRule="auto" w:before="4"/>
              <w:ind w:left="1147" w:right="1147"/>
              <w:jc w:val="center"/>
              <w:rPr>
                <w:sz w:val="21"/>
              </w:rPr>
            </w:pPr>
            <w:r>
              <w:rPr>
                <w:w w:val="105"/>
                <w:sz w:val="21"/>
              </w:rPr>
              <w:t>Variable</w:t>
            </w:r>
          </w:p>
        </w:tc>
        <w:tc>
          <w:tcPr>
            <w:tcW w:w="2909" w:type="dxa"/>
          </w:tcPr>
          <w:p>
            <w:pPr>
              <w:pStyle w:val="TableParagraph"/>
              <w:spacing w:line="240" w:lineRule="auto" w:before="4"/>
              <w:ind w:left="277" w:right="277"/>
              <w:jc w:val="center"/>
              <w:rPr>
                <w:sz w:val="21"/>
              </w:rPr>
            </w:pPr>
            <w:r>
              <w:rPr>
                <w:w w:val="105"/>
                <w:sz w:val="21"/>
              </w:rPr>
              <w:t>ODDS</w:t>
            </w:r>
            <w:r>
              <w:rPr>
                <w:spacing w:val="52"/>
                <w:w w:val="105"/>
                <w:sz w:val="21"/>
              </w:rPr>
              <w:t> </w:t>
            </w:r>
            <w:r>
              <w:rPr>
                <w:w w:val="105"/>
                <w:sz w:val="21"/>
              </w:rPr>
              <w:t>ratio</w:t>
            </w:r>
          </w:p>
        </w:tc>
        <w:tc>
          <w:tcPr>
            <w:tcW w:w="1421" w:type="dxa"/>
          </w:tcPr>
          <w:p>
            <w:pPr>
              <w:pStyle w:val="TableParagraph"/>
              <w:spacing w:line="240" w:lineRule="auto" w:before="4"/>
              <w:ind w:left="182" w:right="183"/>
              <w:jc w:val="center"/>
              <w:rPr>
                <w:sz w:val="21"/>
              </w:rPr>
            </w:pPr>
            <w:r>
              <w:rPr>
                <w:w w:val="105"/>
                <w:sz w:val="21"/>
              </w:rPr>
              <w:t>Valor de p</w:t>
            </w:r>
          </w:p>
        </w:tc>
      </w:tr>
      <w:tr>
        <w:trPr>
          <w:trHeight w:val="267" w:hRule="exact"/>
        </w:trPr>
        <w:tc>
          <w:tcPr>
            <w:tcW w:w="3154" w:type="dxa"/>
            <w:tcBorders>
              <w:bottom w:val="nil"/>
            </w:tcBorders>
          </w:tcPr>
          <w:p>
            <w:pPr>
              <w:pStyle w:val="TableParagraph"/>
              <w:spacing w:line="240" w:lineRule="auto" w:before="4"/>
              <w:rPr>
                <w:sz w:val="21"/>
              </w:rPr>
            </w:pPr>
            <w:r>
              <w:rPr>
                <w:w w:val="105"/>
                <w:sz w:val="21"/>
              </w:rPr>
              <w:t>Luna Llena</w:t>
            </w:r>
          </w:p>
        </w:tc>
        <w:tc>
          <w:tcPr>
            <w:tcW w:w="2909" w:type="dxa"/>
            <w:tcBorders>
              <w:bottom w:val="nil"/>
            </w:tcBorders>
          </w:tcPr>
          <w:p>
            <w:pPr>
              <w:pStyle w:val="TableParagraph"/>
              <w:spacing w:line="240" w:lineRule="auto" w:before="4"/>
              <w:ind w:left="277" w:right="277"/>
              <w:jc w:val="center"/>
              <w:rPr>
                <w:sz w:val="21"/>
              </w:rPr>
            </w:pPr>
            <w:r>
              <w:rPr>
                <w:w w:val="105"/>
                <w:sz w:val="21"/>
              </w:rPr>
              <w:t>0.8311 (0.6871-1.0054)</w:t>
            </w:r>
          </w:p>
        </w:tc>
        <w:tc>
          <w:tcPr>
            <w:tcW w:w="1421" w:type="dxa"/>
            <w:tcBorders>
              <w:bottom w:val="nil"/>
            </w:tcBorders>
          </w:tcPr>
          <w:p>
            <w:pPr>
              <w:pStyle w:val="TableParagraph"/>
              <w:spacing w:line="240" w:lineRule="auto" w:before="4"/>
              <w:ind w:left="182" w:right="181"/>
              <w:jc w:val="center"/>
              <w:rPr>
                <w:sz w:val="21"/>
              </w:rPr>
            </w:pPr>
            <w:r>
              <w:rPr>
                <w:w w:val="105"/>
                <w:sz w:val="21"/>
              </w:rPr>
              <w:t>0.056*</w:t>
            </w:r>
          </w:p>
        </w:tc>
      </w:tr>
      <w:tr>
        <w:trPr>
          <w:trHeight w:val="254" w:hRule="exact"/>
        </w:trPr>
        <w:tc>
          <w:tcPr>
            <w:tcW w:w="3154" w:type="dxa"/>
            <w:tcBorders>
              <w:top w:val="nil"/>
              <w:bottom w:val="nil"/>
            </w:tcBorders>
          </w:tcPr>
          <w:p>
            <w:pPr>
              <w:pStyle w:val="TableParagraph"/>
              <w:rPr>
                <w:sz w:val="21"/>
              </w:rPr>
            </w:pPr>
            <w:r>
              <w:rPr>
                <w:w w:val="105"/>
                <w:sz w:val="21"/>
              </w:rPr>
              <w:t>Luna Nueva</w:t>
            </w:r>
          </w:p>
        </w:tc>
        <w:tc>
          <w:tcPr>
            <w:tcW w:w="2909" w:type="dxa"/>
            <w:tcBorders>
              <w:top w:val="nil"/>
              <w:bottom w:val="nil"/>
            </w:tcBorders>
          </w:tcPr>
          <w:p>
            <w:pPr>
              <w:pStyle w:val="TableParagraph"/>
              <w:ind w:left="277" w:right="277"/>
              <w:jc w:val="center"/>
              <w:rPr>
                <w:sz w:val="21"/>
              </w:rPr>
            </w:pPr>
            <w:r>
              <w:rPr>
                <w:w w:val="105"/>
                <w:sz w:val="21"/>
              </w:rPr>
              <w:t>0.9378 (0.7793-1.1285)</w:t>
            </w:r>
          </w:p>
        </w:tc>
        <w:tc>
          <w:tcPr>
            <w:tcW w:w="1421" w:type="dxa"/>
            <w:tcBorders>
              <w:top w:val="nil"/>
              <w:bottom w:val="nil"/>
            </w:tcBorders>
          </w:tcPr>
          <w:p>
            <w:pPr>
              <w:pStyle w:val="TableParagraph"/>
              <w:ind w:left="182" w:right="182"/>
              <w:jc w:val="center"/>
              <w:rPr>
                <w:sz w:val="21"/>
              </w:rPr>
            </w:pPr>
            <w:r>
              <w:rPr>
                <w:w w:val="105"/>
                <w:sz w:val="21"/>
              </w:rPr>
              <w:t>0.496</w:t>
            </w:r>
          </w:p>
        </w:tc>
      </w:tr>
      <w:tr>
        <w:trPr>
          <w:trHeight w:val="254" w:hRule="exact"/>
        </w:trPr>
        <w:tc>
          <w:tcPr>
            <w:tcW w:w="3154" w:type="dxa"/>
            <w:tcBorders>
              <w:top w:val="nil"/>
              <w:bottom w:val="nil"/>
            </w:tcBorders>
          </w:tcPr>
          <w:p>
            <w:pPr>
              <w:pStyle w:val="TableParagraph"/>
              <w:rPr>
                <w:sz w:val="21"/>
              </w:rPr>
            </w:pPr>
            <w:r>
              <w:rPr>
                <w:w w:val="105"/>
                <w:sz w:val="21"/>
              </w:rPr>
              <w:t>Luna Llena plus Luna Nueva</w:t>
            </w:r>
          </w:p>
        </w:tc>
        <w:tc>
          <w:tcPr>
            <w:tcW w:w="2909" w:type="dxa"/>
            <w:tcBorders>
              <w:top w:val="nil"/>
              <w:bottom w:val="nil"/>
            </w:tcBorders>
          </w:tcPr>
          <w:p>
            <w:pPr>
              <w:pStyle w:val="TableParagraph"/>
              <w:ind w:left="277" w:right="277"/>
              <w:jc w:val="center"/>
              <w:rPr>
                <w:sz w:val="21"/>
              </w:rPr>
            </w:pPr>
            <w:r>
              <w:rPr>
                <w:w w:val="105"/>
                <w:sz w:val="21"/>
              </w:rPr>
              <w:t>0.8850 (0.7732-1.0129)</w:t>
            </w:r>
          </w:p>
        </w:tc>
        <w:tc>
          <w:tcPr>
            <w:tcW w:w="1421" w:type="dxa"/>
            <w:tcBorders>
              <w:top w:val="nil"/>
              <w:bottom w:val="nil"/>
            </w:tcBorders>
          </w:tcPr>
          <w:p>
            <w:pPr>
              <w:pStyle w:val="TableParagraph"/>
              <w:ind w:left="182" w:right="182"/>
              <w:jc w:val="center"/>
              <w:rPr>
                <w:sz w:val="21"/>
              </w:rPr>
            </w:pPr>
            <w:r>
              <w:rPr>
                <w:w w:val="105"/>
                <w:sz w:val="21"/>
              </w:rPr>
              <w:t>0.076</w:t>
            </w:r>
          </w:p>
        </w:tc>
      </w:tr>
      <w:tr>
        <w:trPr>
          <w:trHeight w:val="252" w:hRule="exact"/>
        </w:trPr>
        <w:tc>
          <w:tcPr>
            <w:tcW w:w="3154" w:type="dxa"/>
            <w:tcBorders>
              <w:top w:val="nil"/>
              <w:bottom w:val="nil"/>
            </w:tcBorders>
          </w:tcPr>
          <w:p>
            <w:pPr>
              <w:pStyle w:val="TableParagraph"/>
              <w:rPr>
                <w:sz w:val="21"/>
              </w:rPr>
            </w:pPr>
            <w:r>
              <w:rPr>
                <w:w w:val="105"/>
                <w:sz w:val="21"/>
              </w:rPr>
              <w:t>Género Femenino</w:t>
            </w:r>
          </w:p>
        </w:tc>
        <w:tc>
          <w:tcPr>
            <w:tcW w:w="2909" w:type="dxa"/>
            <w:tcBorders>
              <w:top w:val="nil"/>
              <w:bottom w:val="nil"/>
            </w:tcBorders>
          </w:tcPr>
          <w:p>
            <w:pPr>
              <w:pStyle w:val="TableParagraph"/>
              <w:ind w:left="277" w:right="277"/>
              <w:jc w:val="center"/>
              <w:rPr>
                <w:sz w:val="21"/>
              </w:rPr>
            </w:pPr>
            <w:r>
              <w:rPr>
                <w:w w:val="105"/>
                <w:sz w:val="21"/>
              </w:rPr>
              <w:t>0.9192(0.8605-0.9820)</w:t>
            </w:r>
          </w:p>
        </w:tc>
        <w:tc>
          <w:tcPr>
            <w:tcW w:w="1421" w:type="dxa"/>
            <w:tcBorders>
              <w:top w:val="nil"/>
              <w:bottom w:val="nil"/>
            </w:tcBorders>
          </w:tcPr>
          <w:p>
            <w:pPr>
              <w:pStyle w:val="TableParagraph"/>
              <w:ind w:left="182" w:right="181"/>
              <w:jc w:val="center"/>
              <w:rPr>
                <w:sz w:val="21"/>
              </w:rPr>
            </w:pPr>
            <w:r>
              <w:rPr>
                <w:w w:val="105"/>
                <w:sz w:val="21"/>
              </w:rPr>
              <w:t>0.001*</w:t>
            </w:r>
          </w:p>
        </w:tc>
      </w:tr>
      <w:tr>
        <w:trPr>
          <w:trHeight w:val="252" w:hRule="exact"/>
        </w:trPr>
        <w:tc>
          <w:tcPr>
            <w:tcW w:w="3154" w:type="dxa"/>
            <w:tcBorders>
              <w:top w:val="nil"/>
              <w:bottom w:val="nil"/>
            </w:tcBorders>
          </w:tcPr>
          <w:p>
            <w:pPr>
              <w:pStyle w:val="TableParagraph"/>
              <w:spacing w:line="236" w:lineRule="exact"/>
              <w:rPr>
                <w:sz w:val="21"/>
              </w:rPr>
            </w:pPr>
            <w:r>
              <w:rPr>
                <w:w w:val="105"/>
                <w:sz w:val="21"/>
              </w:rPr>
              <w:t>Madre Multigesta</w:t>
            </w:r>
          </w:p>
        </w:tc>
        <w:tc>
          <w:tcPr>
            <w:tcW w:w="2909" w:type="dxa"/>
            <w:tcBorders>
              <w:top w:val="nil"/>
              <w:bottom w:val="nil"/>
            </w:tcBorders>
          </w:tcPr>
          <w:p>
            <w:pPr>
              <w:pStyle w:val="TableParagraph"/>
              <w:spacing w:line="236" w:lineRule="exact"/>
              <w:ind w:left="277" w:right="277"/>
              <w:jc w:val="center"/>
              <w:rPr>
                <w:sz w:val="21"/>
              </w:rPr>
            </w:pPr>
            <w:r>
              <w:rPr>
                <w:w w:val="105"/>
                <w:sz w:val="21"/>
              </w:rPr>
              <w:t>1.0013(0.9354-1.0718)</w:t>
            </w:r>
          </w:p>
        </w:tc>
        <w:tc>
          <w:tcPr>
            <w:tcW w:w="1421" w:type="dxa"/>
            <w:tcBorders>
              <w:top w:val="nil"/>
              <w:bottom w:val="nil"/>
            </w:tcBorders>
          </w:tcPr>
          <w:p>
            <w:pPr>
              <w:pStyle w:val="TableParagraph"/>
              <w:spacing w:line="236" w:lineRule="exact"/>
              <w:ind w:left="182" w:right="182"/>
              <w:jc w:val="center"/>
              <w:rPr>
                <w:sz w:val="21"/>
              </w:rPr>
            </w:pPr>
            <w:r>
              <w:rPr>
                <w:w w:val="105"/>
                <w:sz w:val="21"/>
              </w:rPr>
              <w:t>0.970</w:t>
            </w:r>
          </w:p>
        </w:tc>
      </w:tr>
      <w:tr>
        <w:trPr>
          <w:trHeight w:val="252" w:hRule="exact"/>
        </w:trPr>
        <w:tc>
          <w:tcPr>
            <w:tcW w:w="3154" w:type="dxa"/>
            <w:tcBorders>
              <w:top w:val="nil"/>
            </w:tcBorders>
          </w:tcPr>
          <w:p>
            <w:pPr>
              <w:pStyle w:val="TableParagraph"/>
              <w:rPr>
                <w:sz w:val="21"/>
              </w:rPr>
            </w:pPr>
            <w:r>
              <w:rPr>
                <w:w w:val="105"/>
                <w:sz w:val="21"/>
              </w:rPr>
              <w:t>Madre con &gt; 5 embarazos</w:t>
            </w:r>
          </w:p>
        </w:tc>
        <w:tc>
          <w:tcPr>
            <w:tcW w:w="2909" w:type="dxa"/>
            <w:tcBorders>
              <w:top w:val="nil"/>
            </w:tcBorders>
          </w:tcPr>
          <w:p>
            <w:pPr>
              <w:pStyle w:val="TableParagraph"/>
              <w:ind w:left="277" w:right="277"/>
              <w:jc w:val="center"/>
              <w:rPr>
                <w:sz w:val="21"/>
              </w:rPr>
            </w:pPr>
            <w:r>
              <w:rPr>
                <w:w w:val="105"/>
                <w:sz w:val="21"/>
              </w:rPr>
              <w:t>0.9643(0.8442-1.1015)</w:t>
            </w:r>
          </w:p>
        </w:tc>
        <w:tc>
          <w:tcPr>
            <w:tcW w:w="1421" w:type="dxa"/>
            <w:tcBorders>
              <w:top w:val="nil"/>
            </w:tcBorders>
          </w:tcPr>
          <w:p>
            <w:pPr>
              <w:pStyle w:val="TableParagraph"/>
              <w:ind w:left="182" w:right="182"/>
              <w:jc w:val="center"/>
              <w:rPr>
                <w:sz w:val="21"/>
              </w:rPr>
            </w:pPr>
            <w:r>
              <w:rPr>
                <w:w w:val="105"/>
                <w:sz w:val="21"/>
              </w:rPr>
              <w:t>0.592</w:t>
            </w:r>
          </w:p>
        </w:tc>
      </w:tr>
    </w:tbl>
    <w:p>
      <w:pPr>
        <w:spacing w:after="0"/>
        <w:jc w:val="center"/>
        <w:rPr>
          <w:sz w:val="21"/>
        </w:rPr>
        <w:sectPr>
          <w:pgSz w:w="12240" w:h="15840"/>
          <w:pgMar w:header="1209" w:footer="1234" w:top="1400" w:bottom="1420" w:left="1560" w:right="1580"/>
        </w:sectPr>
      </w:pPr>
    </w:p>
    <w:p>
      <w:pPr>
        <w:pStyle w:val="BodyText"/>
        <w:spacing w:before="7"/>
        <w:rPr>
          <w:sz w:val="27"/>
        </w:rPr>
      </w:pPr>
    </w:p>
    <w:p>
      <w:pPr>
        <w:pStyle w:val="Heading3"/>
      </w:pPr>
      <w:r>
        <w:rPr>
          <w:w w:val="105"/>
        </w:rPr>
        <w:t>Parte IV. Discusión y Conclusiones</w:t>
      </w:r>
    </w:p>
    <w:p>
      <w:pPr>
        <w:pStyle w:val="BodyText"/>
        <w:rPr>
          <w:b/>
          <w:sz w:val="22"/>
        </w:rPr>
      </w:pPr>
    </w:p>
    <w:p>
      <w:pPr>
        <w:pStyle w:val="BodyText"/>
        <w:spacing w:before="10"/>
        <w:rPr>
          <w:b/>
          <w:sz w:val="22"/>
        </w:rPr>
      </w:pPr>
    </w:p>
    <w:p>
      <w:pPr>
        <w:pStyle w:val="BodyText"/>
        <w:spacing w:line="376" w:lineRule="auto" w:before="1"/>
        <w:ind w:left="139" w:right="120"/>
        <w:jc w:val="both"/>
      </w:pPr>
      <w:r>
        <w:rPr>
          <w:w w:val="105"/>
        </w:rPr>
        <w:t>Este estudio presenta dos diferentes modelos para establecer una relación existente entre la cercanía de la luna y la frecuencia de nacimientos. En general la mayoría de los ensayos, considera la comparación de medias como el estándar de análisis para la frecuencia de nacimientos por cada uno de los periodos lunares (por ejemplo, luna llena versus luna creciente), desafortunadamente ese método de análisis no ha logrado establecer una asociación directa significativa. En este ensayo, nuestro grupo, se planteó contemplar  la formación de una nueva variable denominada  “luminosidad de la luna”,   en base a un modelo gráfico contrastándolo con el número de nacimientos. De forma indirecta la luminosidad de la luna, que es obtenida mediante el reflejo de la luz solar sobre la superficie de la luna, nos dará una medición de la cercanía a la tierra, tomando  en cuenta que la Luna no cuenta con un movimiento de rotación alrededor de la tierra, es más bien una elipse con un movimiento convexo en relación con el sol.  Esto nos  identifica dos tipos de áreas apogeo (momento más alejado de la tierra) y el perigeo (momento más cercano a la</w:t>
      </w:r>
      <w:r>
        <w:rPr>
          <w:spacing w:val="-16"/>
          <w:w w:val="105"/>
        </w:rPr>
        <w:t> </w:t>
      </w:r>
      <w:r>
        <w:rPr>
          <w:w w:val="105"/>
        </w:rPr>
        <w:t>tierra).</w:t>
      </w:r>
    </w:p>
    <w:p>
      <w:pPr>
        <w:pStyle w:val="BodyText"/>
        <w:spacing w:line="376" w:lineRule="auto" w:before="4"/>
        <w:ind w:left="139" w:right="119" w:firstLine="708"/>
        <w:jc w:val="both"/>
      </w:pPr>
      <w:r>
        <w:rPr>
          <w:w w:val="105"/>
        </w:rPr>
        <w:t>Esto, asociándolo con la luminosidad nos permite identificar aquellos momentos en los que la Luna se encuentra más cercana a la Tierra.  El gráfico que se desarrolló fue  una curva con una función decreciente y una ascendente, coincidiendo estos dos con los momentos en que la luna se encuentra más cercana a la tierra. Durante la construcción  de la gráfica un punto significativo fue la presencia de un incremento en el número de nacimientos durante los periodos en los cuales la luna se encuentra más cercana a la Tierra a diferencia del modelo clásico de comparación de medias el cual no logró establecer una diferencia significativa con los periodos de Luna Nueva o Llena. De forma interesante se logró establecer una relación entre los productos pre-término y el periodo de Luna Llena. A pesar de que la razón de momios no fue tan alta, si mostró la presencia en Luna Llena, de un valor estadísticamente significativo en cuanto a la aparición de productos pre-término. Sugerimos que dicha relación es debida  probablemente a que en el producto pre-término existe una mayor cantidad de fluido intrauterino el cual puede verse influenciado por la fuerza gravitatoria de la luna, dicho movimiento desencadenaría la actividad uterina y finalmente el nacimiento de un producto pretérmino. Intentando brindar una explicación a nuestros resultados, la mayor parte de los biólogos concluyen que        </w:t>
      </w:r>
      <w:r>
        <w:rPr>
          <w:spacing w:val="37"/>
          <w:w w:val="105"/>
        </w:rPr>
        <w:t> </w:t>
      </w:r>
      <w:r>
        <w:rPr>
          <w:w w:val="105"/>
        </w:rPr>
        <w:t>los efectos de la luna sobre las especies pueden ser influenciados mediante dos</w:t>
      </w:r>
    </w:p>
    <w:p>
      <w:pPr>
        <w:spacing w:after="0" w:line="376" w:lineRule="auto"/>
        <w:jc w:val="both"/>
        <w:sectPr>
          <w:pgSz w:w="12240" w:h="15840"/>
          <w:pgMar w:header="1209" w:footer="1234" w:top="1400" w:bottom="1420" w:left="1560" w:right="1580"/>
        </w:sectPr>
      </w:pPr>
    </w:p>
    <w:p>
      <w:pPr>
        <w:pStyle w:val="BodyText"/>
        <w:spacing w:line="376" w:lineRule="auto" w:before="16"/>
        <w:ind w:left="139" w:right="119"/>
        <w:jc w:val="both"/>
      </w:pPr>
      <w:r>
        <w:rPr>
          <w:w w:val="105"/>
        </w:rPr>
        <w:t>mecanismos, el primero aquel influenciado por la luminosidad y aquel el cual es influenciado por la gravedad. En cuanto a la luminosidad esta se ha asociado principalmente al comportamiento. Cutler y colaboradores al estudiar el ciclo menstrual de 312 mujeres, coincidieron que en su mayoría las mujeres tienden a ovular principalmente en la fase de luna nueva mientras se encontrasen en grupo (11). Otro ejemplo clásico es el efecto “romántico de la luna llena” o la  agresividad; acorde a lo establecido </w:t>
      </w:r>
      <w:r>
        <w:rPr>
          <w:spacing w:val="2"/>
          <w:w w:val="105"/>
        </w:rPr>
        <w:t>por</w:t>
      </w:r>
      <w:r>
        <w:rPr>
          <w:spacing w:val="65"/>
          <w:w w:val="105"/>
        </w:rPr>
        <w:t> </w:t>
      </w:r>
      <w:r>
        <w:rPr>
          <w:w w:val="105"/>
        </w:rPr>
        <w:t>algunos autores, diversos crímenes violentos se relacionan con la Luna Llena. En su serie Calver y colaboradores encontraron una asociación con crímenes violentos hasta en un 23% de los casos (15). En animales dicho efecto de los astros sobre el comportamiento  se le denomina efecto cronobiológico (31). Por ejemplo, la luminosidad de la luna logra modificar los diferentes patrones de comunicación en los búhos (17) y su intensidad logra modificar los comportamientos no solo de cacería sino de la adaptación de absorción de fotones modificando la visión de color</w:t>
      </w:r>
      <w:r>
        <w:rPr>
          <w:spacing w:val="-27"/>
          <w:w w:val="105"/>
        </w:rPr>
        <w:t> </w:t>
      </w:r>
      <w:r>
        <w:rPr>
          <w:w w:val="105"/>
        </w:rPr>
        <w:t>(18,19).</w:t>
      </w:r>
    </w:p>
    <w:p>
      <w:pPr>
        <w:pStyle w:val="BodyText"/>
        <w:spacing w:line="364" w:lineRule="auto" w:before="4"/>
        <w:ind w:left="139" w:right="118" w:firstLine="708"/>
        <w:jc w:val="both"/>
      </w:pPr>
      <w:r>
        <w:rPr>
          <w:w w:val="105"/>
        </w:rPr>
        <w:t>Considerando al fenómeno “nacimiento”, coincidimos que más que el efecto de la luz reflejada es el efecto mediado principalmente por la gravedad, ya que a pesar de que la luna cuenta con únicamente con el 1.2% de la masa de la Tierra (7.34767309 x 10</w:t>
      </w:r>
      <w:r>
        <w:rPr>
          <w:w w:val="105"/>
          <w:position w:val="10"/>
          <w:sz w:val="14"/>
        </w:rPr>
        <w:t>22 </w:t>
      </w:r>
      <w:r>
        <w:rPr>
          <w:w w:val="105"/>
        </w:rPr>
        <w:t>kg versus 5.97219 x 10</w:t>
      </w:r>
      <w:r>
        <w:rPr>
          <w:w w:val="105"/>
          <w:position w:val="10"/>
          <w:sz w:val="14"/>
        </w:rPr>
        <w:t>24 </w:t>
      </w:r>
      <w:r>
        <w:rPr>
          <w:w w:val="105"/>
        </w:rPr>
        <w:t>kg), su efecto gravitatorio es constante (fuerza Tidal o fuerza perturbadora de la luna) siendo mayor en los momentos que la luna se encuentra más cercana a la tierra (conocido como perigeo). Este efecto gravitatorio influye en todos los cuerpos de consistencia líquida, siendo el mejor ejemplo la marea (29,30). En cuanto al</w:t>
      </w:r>
    </w:p>
    <w:p>
      <w:pPr>
        <w:pStyle w:val="BodyText"/>
        <w:spacing w:line="376" w:lineRule="auto" w:before="15"/>
        <w:ind w:left="139" w:right="118"/>
        <w:jc w:val="both"/>
      </w:pPr>
      <w:r>
        <w:rPr>
          <w:w w:val="105"/>
        </w:rPr>
        <w:t>patrón de reproducción, su influencia ha sido descrita por gran cantidad de pescadores desde tiempos milenarios. Yoshida y otros autores reportaron que cetáceos como la </w:t>
      </w:r>
      <w:r>
        <w:rPr>
          <w:i/>
          <w:w w:val="105"/>
        </w:rPr>
        <w:t>Diadema setosum </w:t>
      </w:r>
      <w:r>
        <w:rPr>
          <w:w w:val="105"/>
        </w:rPr>
        <w:t>tienden a nacer en periodos cercanos a la luna llena. Otros invertebrados marinos como </w:t>
      </w:r>
      <w:r>
        <w:rPr>
          <w:i/>
          <w:w w:val="105"/>
        </w:rPr>
        <w:t>Palola viridis </w:t>
      </w:r>
      <w:r>
        <w:rPr>
          <w:w w:val="105"/>
        </w:rPr>
        <w:t>o </w:t>
      </w:r>
      <w:r>
        <w:rPr>
          <w:i/>
          <w:w w:val="105"/>
        </w:rPr>
        <w:t>Comanthus japanicus </w:t>
      </w:r>
      <w:r>
        <w:rPr>
          <w:w w:val="105"/>
        </w:rPr>
        <w:t>cuentan con un ritmo  de reproducción influenciado por la luna (20,21). La danza nupcial del anélido marino </w:t>
      </w:r>
      <w:r>
        <w:rPr>
          <w:i/>
          <w:w w:val="105"/>
        </w:rPr>
        <w:t>Platynereis dumerilli </w:t>
      </w:r>
      <w:r>
        <w:rPr>
          <w:w w:val="105"/>
        </w:rPr>
        <w:t>tiene un alto componente lunar (22). Algunos  biólogos  </w:t>
      </w:r>
      <w:r>
        <w:rPr>
          <w:spacing w:val="2"/>
          <w:w w:val="105"/>
        </w:rPr>
        <w:t>han  </w:t>
      </w:r>
      <w:r>
        <w:rPr>
          <w:w w:val="105"/>
        </w:rPr>
        <w:t>generado varias hipótesis. Trillmich y colaboradores al describir el comportamiento </w:t>
      </w:r>
      <w:r>
        <w:rPr>
          <w:spacing w:val="2"/>
          <w:w w:val="105"/>
        </w:rPr>
        <w:t>del </w:t>
      </w:r>
      <w:r>
        <w:rPr>
          <w:i/>
          <w:w w:val="105"/>
        </w:rPr>
        <w:t>Arcocephalus galapagoensis </w:t>
      </w:r>
      <w:r>
        <w:rPr>
          <w:w w:val="105"/>
        </w:rPr>
        <w:t>(Lobo Marino de la isla Galápagos) sugirieron que la influencia de la luna no es directa sino depende más bien del efecto sobre los depredadores (tiburones), la disposición de alimento y la influencia de la luminosidad sobre  la distribución vertical de la presas</w:t>
      </w:r>
      <w:r>
        <w:rPr>
          <w:spacing w:val="-25"/>
          <w:w w:val="105"/>
        </w:rPr>
        <w:t> </w:t>
      </w:r>
      <w:r>
        <w:rPr>
          <w:w w:val="105"/>
        </w:rPr>
        <w:t>(23).</w:t>
      </w:r>
    </w:p>
    <w:p>
      <w:pPr>
        <w:pStyle w:val="BodyText"/>
        <w:spacing w:line="376" w:lineRule="auto" w:before="4"/>
        <w:ind w:left="139" w:right="120" w:firstLine="708"/>
        <w:jc w:val="both"/>
      </w:pPr>
      <w:r>
        <w:rPr>
          <w:w w:val="105"/>
        </w:rPr>
        <w:t>Otras especies como las raza </w:t>
      </w:r>
      <w:r>
        <w:rPr>
          <w:i/>
          <w:w w:val="105"/>
        </w:rPr>
        <w:t>Pocillipora </w:t>
      </w:r>
      <w:r>
        <w:rPr>
          <w:w w:val="105"/>
        </w:rPr>
        <w:t>tienden a criarse en el periodo de luna llena, siendo el ritmo totalmente lunar o la </w:t>
      </w:r>
      <w:r>
        <w:rPr>
          <w:i/>
          <w:w w:val="105"/>
        </w:rPr>
        <w:t>Actinia equina </w:t>
      </w:r>
      <w:r>
        <w:rPr>
          <w:w w:val="105"/>
        </w:rPr>
        <w:t>que tiene un ciclo de contracción y expansión asociado al efecto tidal de la luna, semejante al </w:t>
      </w:r>
      <w:r>
        <w:rPr>
          <w:i/>
          <w:w w:val="105"/>
        </w:rPr>
        <w:t>Carcinus maenas</w:t>
      </w:r>
      <w:r>
        <w:rPr>
          <w:w w:val="105"/>
        </w:rPr>
        <w:t>. Hasta el</w:t>
      </w:r>
    </w:p>
    <w:p>
      <w:pPr>
        <w:spacing w:after="0" w:line="376" w:lineRule="auto"/>
        <w:jc w:val="both"/>
        <w:sectPr>
          <w:pgSz w:w="12240" w:h="15840"/>
          <w:pgMar w:header="1209" w:footer="1234" w:top="1400" w:bottom="1420" w:left="1560" w:right="1580"/>
        </w:sectPr>
      </w:pPr>
    </w:p>
    <w:p>
      <w:pPr>
        <w:pStyle w:val="BodyText"/>
        <w:spacing w:line="376" w:lineRule="auto" w:before="16"/>
        <w:ind w:left="139" w:right="118"/>
        <w:jc w:val="both"/>
      </w:pPr>
      <w:r>
        <w:rPr>
          <w:w w:val="105"/>
        </w:rPr>
        <w:t>momento, el mejor ejemplo de la asociación de un mamífero con la Luna continua siendo el </w:t>
      </w:r>
      <w:r>
        <w:rPr>
          <w:i/>
          <w:w w:val="105"/>
        </w:rPr>
        <w:t>Clunio marinus </w:t>
      </w:r>
      <w:r>
        <w:rPr>
          <w:w w:val="105"/>
        </w:rPr>
        <w:t>(24). Debido a que como especie compartimos una gran cantidad de material genético con diversos mamíferos marinos, no descartamos que por la ontogenia de las especias aún prevalecen estos patrones de comportamiento y podríamos estar influenciados por los efectos directos de la luna sobre el alumbramiento.  Con este  modelo matemático pudimos establecer una asociación entre los nacimientos en comparación con la luminosidad, situación que no había podido ser establecida previamente en otros trabajos. Se necesitara de  estudios  prospectivos  los  cuales puedan predecir la cantidad de nacimientos acorde a la intensidad de la luna para poder comprobar finalmente este comportamiento. Es probable que si se logra establecer algún patrón de reproducción, será posible coordinar recursos humanos y distribuirlos en las diversas áreas de</w:t>
      </w:r>
      <w:r>
        <w:rPr>
          <w:spacing w:val="-17"/>
          <w:w w:val="105"/>
        </w:rPr>
        <w:t> </w:t>
      </w:r>
      <w:r>
        <w:rPr>
          <w:w w:val="105"/>
        </w:rPr>
        <w:t>toco-cirugía.</w:t>
      </w:r>
    </w:p>
    <w:p>
      <w:pPr>
        <w:pStyle w:val="BodyText"/>
        <w:rPr>
          <w:sz w:val="22"/>
        </w:rPr>
      </w:pPr>
    </w:p>
    <w:p>
      <w:pPr>
        <w:pStyle w:val="Heading3"/>
        <w:spacing w:before="130"/>
      </w:pPr>
      <w:r>
        <w:rPr>
          <w:w w:val="105"/>
        </w:rPr>
        <w:t>Conclusión</w:t>
      </w:r>
    </w:p>
    <w:p>
      <w:pPr>
        <w:pStyle w:val="BodyText"/>
        <w:spacing w:line="376" w:lineRule="auto" w:before="137"/>
        <w:ind w:left="139" w:right="120"/>
        <w:jc w:val="both"/>
      </w:pPr>
      <w:r>
        <w:rPr>
          <w:w w:val="105"/>
        </w:rPr>
        <w:t>La Luna desde hace mucho tiempo se ha asociado a una diversidad de fenómenos biológicos y psiquiátricos. Nuestro modelo a pesar de no ser predictivo, se basó en establecer una asociación entre dos variables cuantitativas, creando una asociación directa, apostándo así que el efecto es puramente gravitatorio y ejerce una influencia positiva sobre la tasa de nacimientos totales. A su vez también se estableció una influencia directa  sobre los productos pre-término y las etapas de la Luna.</w:t>
      </w:r>
    </w:p>
    <w:p>
      <w:pPr>
        <w:pStyle w:val="BodyText"/>
        <w:spacing w:line="376" w:lineRule="auto" w:before="4"/>
        <w:ind w:left="139" w:right="119"/>
        <w:jc w:val="both"/>
      </w:pPr>
      <w:r>
        <w:rPr>
          <w:w w:val="105"/>
        </w:rPr>
        <w:t>En conclusión, son necesarios una mayor cantidad de estudios los cuales logren reproducir los resultados establecidos, con la finalidad de compararlos entre sí y elaborar un modelo predictivo que confirme la hipótesis.</w:t>
      </w:r>
    </w:p>
    <w:p>
      <w:pPr>
        <w:spacing w:after="0" w:line="376" w:lineRule="auto"/>
        <w:jc w:val="both"/>
        <w:sectPr>
          <w:pgSz w:w="12240" w:h="15840"/>
          <w:pgMar w:header="1209" w:footer="1234" w:top="1400" w:bottom="1420" w:left="1560" w:right="1580"/>
        </w:sectPr>
      </w:pPr>
    </w:p>
    <w:p>
      <w:pPr>
        <w:pStyle w:val="BodyText"/>
        <w:rPr>
          <w:sz w:val="20"/>
        </w:rPr>
      </w:pPr>
    </w:p>
    <w:p>
      <w:pPr>
        <w:pStyle w:val="BodyText"/>
        <w:spacing w:before="9"/>
        <w:rPr>
          <w:sz w:val="16"/>
        </w:rPr>
      </w:pPr>
    </w:p>
    <w:p>
      <w:pPr>
        <w:pStyle w:val="Heading3"/>
        <w:ind w:right="82"/>
        <w:jc w:val="left"/>
      </w:pPr>
      <w:bookmarkStart w:name="_TOC_250000" w:id="22"/>
      <w:bookmarkEnd w:id="22"/>
      <w:r>
        <w:rPr>
          <w:w w:val="105"/>
        </w:rPr>
        <w:t>Bibliografía:</w:t>
      </w:r>
    </w:p>
    <w:p>
      <w:pPr>
        <w:pStyle w:val="BodyText"/>
        <w:spacing w:before="11"/>
        <w:rPr>
          <w:b/>
        </w:rPr>
      </w:pPr>
    </w:p>
    <w:p>
      <w:pPr>
        <w:pStyle w:val="ListParagraph"/>
        <w:numPr>
          <w:ilvl w:val="0"/>
          <w:numId w:val="5"/>
        </w:numPr>
        <w:tabs>
          <w:tab w:pos="384" w:val="left" w:leader="none"/>
        </w:tabs>
        <w:spacing w:line="240" w:lineRule="auto" w:before="0" w:after="0"/>
        <w:ind w:left="565" w:right="0" w:hanging="426"/>
        <w:jc w:val="left"/>
        <w:rPr>
          <w:sz w:val="21"/>
        </w:rPr>
      </w:pPr>
      <w:r>
        <w:rPr>
          <w:w w:val="105"/>
          <w:sz w:val="21"/>
        </w:rPr>
        <w:t>Spence</w:t>
      </w:r>
      <w:r>
        <w:rPr>
          <w:spacing w:val="-4"/>
          <w:w w:val="105"/>
          <w:sz w:val="21"/>
        </w:rPr>
        <w:t> </w:t>
      </w:r>
      <w:r>
        <w:rPr>
          <w:w w:val="105"/>
          <w:sz w:val="21"/>
        </w:rPr>
        <w:t>L.</w:t>
      </w:r>
      <w:r>
        <w:rPr>
          <w:spacing w:val="-5"/>
          <w:w w:val="105"/>
          <w:sz w:val="21"/>
        </w:rPr>
        <w:t> </w:t>
      </w:r>
      <w:r>
        <w:rPr>
          <w:w w:val="105"/>
          <w:sz w:val="21"/>
        </w:rPr>
        <w:t>The</w:t>
      </w:r>
      <w:r>
        <w:rPr>
          <w:spacing w:val="-4"/>
          <w:w w:val="105"/>
          <w:sz w:val="21"/>
        </w:rPr>
        <w:t> </w:t>
      </w:r>
      <w:r>
        <w:rPr>
          <w:w w:val="105"/>
          <w:sz w:val="21"/>
        </w:rPr>
        <w:t>Myths</w:t>
      </w:r>
      <w:r>
        <w:rPr>
          <w:spacing w:val="-4"/>
          <w:w w:val="105"/>
          <w:sz w:val="21"/>
        </w:rPr>
        <w:t> </w:t>
      </w:r>
      <w:r>
        <w:rPr>
          <w:w w:val="105"/>
          <w:sz w:val="21"/>
        </w:rPr>
        <w:t>of</w:t>
      </w:r>
      <w:r>
        <w:rPr>
          <w:spacing w:val="-5"/>
          <w:w w:val="105"/>
          <w:sz w:val="21"/>
        </w:rPr>
        <w:t> </w:t>
      </w:r>
      <w:r>
        <w:rPr>
          <w:w w:val="105"/>
          <w:sz w:val="21"/>
        </w:rPr>
        <w:t>Mexico</w:t>
      </w:r>
      <w:r>
        <w:rPr>
          <w:spacing w:val="-4"/>
          <w:w w:val="105"/>
          <w:sz w:val="21"/>
        </w:rPr>
        <w:t> </w:t>
      </w:r>
      <w:r>
        <w:rPr>
          <w:w w:val="105"/>
          <w:sz w:val="21"/>
        </w:rPr>
        <w:t>and</w:t>
      </w:r>
      <w:r>
        <w:rPr>
          <w:spacing w:val="-4"/>
          <w:w w:val="105"/>
          <w:sz w:val="21"/>
        </w:rPr>
        <w:t> </w:t>
      </w:r>
      <w:r>
        <w:rPr>
          <w:w w:val="105"/>
          <w:sz w:val="21"/>
        </w:rPr>
        <w:t>Peru.</w:t>
      </w:r>
      <w:r>
        <w:rPr>
          <w:spacing w:val="-5"/>
          <w:w w:val="105"/>
          <w:sz w:val="21"/>
        </w:rPr>
        <w:t> </w:t>
      </w:r>
      <w:r>
        <w:rPr>
          <w:w w:val="105"/>
          <w:sz w:val="21"/>
        </w:rPr>
        <w:t>New</w:t>
      </w:r>
      <w:r>
        <w:rPr>
          <w:spacing w:val="-3"/>
          <w:w w:val="105"/>
          <w:sz w:val="21"/>
        </w:rPr>
        <w:t> </w:t>
      </w:r>
      <w:r>
        <w:rPr>
          <w:w w:val="105"/>
          <w:sz w:val="21"/>
        </w:rPr>
        <w:t>York,</w:t>
      </w:r>
      <w:r>
        <w:rPr>
          <w:spacing w:val="-5"/>
          <w:w w:val="105"/>
          <w:sz w:val="21"/>
        </w:rPr>
        <w:t> </w:t>
      </w:r>
      <w:r>
        <w:rPr>
          <w:w w:val="105"/>
          <w:sz w:val="21"/>
        </w:rPr>
        <w:t>USA:</w:t>
      </w:r>
      <w:r>
        <w:rPr>
          <w:spacing w:val="-5"/>
          <w:w w:val="105"/>
          <w:sz w:val="21"/>
        </w:rPr>
        <w:t> </w:t>
      </w:r>
      <w:r>
        <w:rPr>
          <w:w w:val="105"/>
          <w:sz w:val="21"/>
        </w:rPr>
        <w:t>Dover</w:t>
      </w:r>
      <w:r>
        <w:rPr>
          <w:spacing w:val="-4"/>
          <w:w w:val="105"/>
          <w:sz w:val="21"/>
        </w:rPr>
        <w:t> </w:t>
      </w:r>
      <w:r>
        <w:rPr>
          <w:w w:val="105"/>
          <w:sz w:val="21"/>
        </w:rPr>
        <w:t>Publications;</w:t>
      </w:r>
      <w:r>
        <w:rPr>
          <w:spacing w:val="-5"/>
          <w:w w:val="105"/>
          <w:sz w:val="21"/>
        </w:rPr>
        <w:t> </w:t>
      </w:r>
      <w:r>
        <w:rPr>
          <w:w w:val="105"/>
          <w:sz w:val="21"/>
        </w:rPr>
        <w:t>1995.</w:t>
      </w:r>
    </w:p>
    <w:p>
      <w:pPr>
        <w:pStyle w:val="BodyText"/>
        <w:spacing w:before="5"/>
        <w:rPr>
          <w:sz w:val="29"/>
        </w:rPr>
      </w:pPr>
    </w:p>
    <w:p>
      <w:pPr>
        <w:pStyle w:val="ListParagraph"/>
        <w:numPr>
          <w:ilvl w:val="0"/>
          <w:numId w:val="5"/>
        </w:numPr>
        <w:tabs>
          <w:tab w:pos="384" w:val="left" w:leader="none"/>
        </w:tabs>
        <w:spacing w:line="376" w:lineRule="auto" w:before="1" w:after="0"/>
        <w:ind w:left="565" w:right="854" w:hanging="426"/>
        <w:jc w:val="left"/>
        <w:rPr>
          <w:sz w:val="21"/>
        </w:rPr>
      </w:pPr>
      <w:r>
        <w:rPr>
          <w:w w:val="105"/>
          <w:sz w:val="21"/>
        </w:rPr>
        <w:t>Cruz-Cortés</w:t>
      </w:r>
      <w:r>
        <w:rPr>
          <w:spacing w:val="-5"/>
          <w:w w:val="105"/>
          <w:sz w:val="21"/>
        </w:rPr>
        <w:t> </w:t>
      </w:r>
      <w:r>
        <w:rPr>
          <w:w w:val="105"/>
          <w:sz w:val="21"/>
        </w:rPr>
        <w:t>N.</w:t>
      </w:r>
      <w:r>
        <w:rPr>
          <w:spacing w:val="-5"/>
          <w:w w:val="105"/>
          <w:sz w:val="21"/>
        </w:rPr>
        <w:t> </w:t>
      </w:r>
      <w:r>
        <w:rPr>
          <w:w w:val="105"/>
          <w:sz w:val="21"/>
        </w:rPr>
        <w:t>Las</w:t>
      </w:r>
      <w:r>
        <w:rPr>
          <w:spacing w:val="-5"/>
          <w:w w:val="105"/>
          <w:sz w:val="21"/>
        </w:rPr>
        <w:t> </w:t>
      </w:r>
      <w:r>
        <w:rPr>
          <w:w w:val="105"/>
          <w:sz w:val="21"/>
        </w:rPr>
        <w:t>señoras</w:t>
      </w:r>
      <w:r>
        <w:rPr>
          <w:spacing w:val="-5"/>
          <w:w w:val="105"/>
          <w:sz w:val="21"/>
        </w:rPr>
        <w:t> </w:t>
      </w:r>
      <w:r>
        <w:rPr>
          <w:w w:val="105"/>
          <w:sz w:val="21"/>
        </w:rPr>
        <w:t>de</w:t>
      </w:r>
      <w:r>
        <w:rPr>
          <w:spacing w:val="-5"/>
          <w:w w:val="105"/>
          <w:sz w:val="21"/>
        </w:rPr>
        <w:t> </w:t>
      </w:r>
      <w:r>
        <w:rPr>
          <w:w w:val="105"/>
          <w:sz w:val="21"/>
        </w:rPr>
        <w:t>la</w:t>
      </w:r>
      <w:r>
        <w:rPr>
          <w:spacing w:val="-5"/>
          <w:w w:val="105"/>
          <w:sz w:val="21"/>
        </w:rPr>
        <w:t> </w:t>
      </w:r>
      <w:r>
        <w:rPr>
          <w:w w:val="105"/>
          <w:sz w:val="21"/>
        </w:rPr>
        <w:t>luna.</w:t>
      </w:r>
      <w:r>
        <w:rPr>
          <w:spacing w:val="-5"/>
          <w:w w:val="105"/>
          <w:sz w:val="21"/>
        </w:rPr>
        <w:t> </w:t>
      </w:r>
      <w:r>
        <w:rPr>
          <w:w w:val="105"/>
          <w:sz w:val="21"/>
        </w:rPr>
        <w:t>Ciudad</w:t>
      </w:r>
      <w:r>
        <w:rPr>
          <w:spacing w:val="-4"/>
          <w:w w:val="105"/>
          <w:sz w:val="21"/>
        </w:rPr>
        <w:t> </w:t>
      </w:r>
      <w:r>
        <w:rPr>
          <w:w w:val="105"/>
          <w:sz w:val="21"/>
        </w:rPr>
        <w:t>Universitaria,</w:t>
      </w:r>
      <w:r>
        <w:rPr>
          <w:spacing w:val="-5"/>
          <w:w w:val="105"/>
          <w:sz w:val="21"/>
        </w:rPr>
        <w:t> </w:t>
      </w:r>
      <w:r>
        <w:rPr>
          <w:w w:val="105"/>
          <w:sz w:val="21"/>
        </w:rPr>
        <w:t>México:</w:t>
      </w:r>
      <w:r>
        <w:rPr>
          <w:spacing w:val="-5"/>
          <w:w w:val="105"/>
          <w:sz w:val="21"/>
        </w:rPr>
        <w:t> </w:t>
      </w:r>
      <w:r>
        <w:rPr>
          <w:w w:val="105"/>
          <w:sz w:val="21"/>
        </w:rPr>
        <w:t>Instituto</w:t>
      </w:r>
      <w:r>
        <w:rPr>
          <w:spacing w:val="-5"/>
          <w:w w:val="105"/>
          <w:sz w:val="21"/>
        </w:rPr>
        <w:t> </w:t>
      </w:r>
      <w:r>
        <w:rPr>
          <w:w w:val="105"/>
          <w:sz w:val="21"/>
        </w:rPr>
        <w:t>de Investigaciones</w:t>
      </w:r>
      <w:r>
        <w:rPr>
          <w:spacing w:val="-7"/>
          <w:w w:val="105"/>
          <w:sz w:val="21"/>
        </w:rPr>
        <w:t> </w:t>
      </w:r>
      <w:r>
        <w:rPr>
          <w:w w:val="105"/>
          <w:sz w:val="21"/>
        </w:rPr>
        <w:t>Filológicas,</w:t>
      </w:r>
      <w:r>
        <w:rPr>
          <w:spacing w:val="-8"/>
          <w:w w:val="105"/>
          <w:sz w:val="21"/>
        </w:rPr>
        <w:t> </w:t>
      </w:r>
      <w:r>
        <w:rPr>
          <w:w w:val="105"/>
          <w:sz w:val="21"/>
        </w:rPr>
        <w:t>Universidad</w:t>
      </w:r>
      <w:r>
        <w:rPr>
          <w:spacing w:val="-6"/>
          <w:w w:val="105"/>
          <w:sz w:val="21"/>
        </w:rPr>
        <w:t> </w:t>
      </w:r>
      <w:r>
        <w:rPr>
          <w:w w:val="105"/>
          <w:sz w:val="21"/>
        </w:rPr>
        <w:t>Nacional</w:t>
      </w:r>
      <w:r>
        <w:rPr>
          <w:spacing w:val="-8"/>
          <w:w w:val="105"/>
          <w:sz w:val="21"/>
        </w:rPr>
        <w:t> </w:t>
      </w:r>
      <w:r>
        <w:rPr>
          <w:w w:val="105"/>
          <w:sz w:val="21"/>
        </w:rPr>
        <w:t>Autónoma</w:t>
      </w:r>
      <w:r>
        <w:rPr>
          <w:spacing w:val="-6"/>
          <w:w w:val="105"/>
          <w:sz w:val="21"/>
        </w:rPr>
        <w:t> </w:t>
      </w:r>
      <w:r>
        <w:rPr>
          <w:w w:val="105"/>
          <w:sz w:val="21"/>
        </w:rPr>
        <w:t>de</w:t>
      </w:r>
      <w:r>
        <w:rPr>
          <w:spacing w:val="-6"/>
          <w:w w:val="105"/>
          <w:sz w:val="21"/>
        </w:rPr>
        <w:t> </w:t>
      </w:r>
      <w:r>
        <w:rPr>
          <w:w w:val="105"/>
          <w:sz w:val="21"/>
        </w:rPr>
        <w:t>México;</w:t>
      </w:r>
      <w:r>
        <w:rPr>
          <w:spacing w:val="-8"/>
          <w:w w:val="105"/>
          <w:sz w:val="21"/>
        </w:rPr>
        <w:t> </w:t>
      </w:r>
      <w:r>
        <w:rPr>
          <w:w w:val="105"/>
          <w:sz w:val="21"/>
        </w:rPr>
        <w:t>2005.</w:t>
      </w:r>
    </w:p>
    <w:p>
      <w:pPr>
        <w:pStyle w:val="BodyText"/>
        <w:spacing w:before="10"/>
        <w:rPr>
          <w:sz w:val="17"/>
        </w:rPr>
      </w:pPr>
    </w:p>
    <w:p>
      <w:pPr>
        <w:pStyle w:val="ListParagraph"/>
        <w:numPr>
          <w:ilvl w:val="0"/>
          <w:numId w:val="5"/>
        </w:numPr>
        <w:tabs>
          <w:tab w:pos="384" w:val="left" w:leader="none"/>
        </w:tabs>
        <w:spacing w:line="372" w:lineRule="auto" w:before="0" w:after="0"/>
        <w:ind w:left="565" w:right="703" w:hanging="426"/>
        <w:jc w:val="left"/>
        <w:rPr>
          <w:sz w:val="21"/>
        </w:rPr>
      </w:pPr>
      <w:r>
        <w:rPr>
          <w:w w:val="105"/>
          <w:sz w:val="21"/>
        </w:rPr>
        <w:t>Hermann</w:t>
      </w:r>
      <w:r>
        <w:rPr>
          <w:spacing w:val="-3"/>
          <w:w w:val="105"/>
          <w:sz w:val="21"/>
        </w:rPr>
        <w:t> </w:t>
      </w:r>
      <w:r>
        <w:rPr>
          <w:w w:val="105"/>
          <w:sz w:val="21"/>
        </w:rPr>
        <w:t>T.</w:t>
      </w:r>
      <w:r>
        <w:rPr>
          <w:spacing w:val="-4"/>
          <w:w w:val="105"/>
          <w:sz w:val="21"/>
        </w:rPr>
        <w:t> </w:t>
      </w:r>
      <w:r>
        <w:rPr>
          <w:w w:val="105"/>
          <w:sz w:val="21"/>
        </w:rPr>
        <w:t>El</w:t>
      </w:r>
      <w:r>
        <w:rPr>
          <w:spacing w:val="-4"/>
          <w:w w:val="105"/>
          <w:sz w:val="21"/>
        </w:rPr>
        <w:t> </w:t>
      </w:r>
      <w:r>
        <w:rPr>
          <w:w w:val="105"/>
          <w:sz w:val="21"/>
        </w:rPr>
        <w:t>oráculo</w:t>
      </w:r>
      <w:r>
        <w:rPr>
          <w:spacing w:val="-3"/>
          <w:w w:val="105"/>
          <w:sz w:val="21"/>
        </w:rPr>
        <w:t> </w:t>
      </w:r>
      <w:r>
        <w:rPr>
          <w:w w:val="105"/>
          <w:sz w:val="21"/>
        </w:rPr>
        <w:t>de</w:t>
      </w:r>
      <w:r>
        <w:rPr>
          <w:spacing w:val="-3"/>
          <w:w w:val="105"/>
          <w:sz w:val="21"/>
        </w:rPr>
        <w:t> </w:t>
      </w:r>
      <w:r>
        <w:rPr>
          <w:w w:val="105"/>
          <w:sz w:val="21"/>
        </w:rPr>
        <w:t>la</w:t>
      </w:r>
      <w:r>
        <w:rPr>
          <w:spacing w:val="-3"/>
          <w:w w:val="105"/>
          <w:sz w:val="21"/>
        </w:rPr>
        <w:t> </w:t>
      </w:r>
      <w:r>
        <w:rPr>
          <w:w w:val="105"/>
          <w:sz w:val="21"/>
        </w:rPr>
        <w:t>luna,</w:t>
      </w:r>
      <w:r>
        <w:rPr>
          <w:spacing w:val="-4"/>
          <w:w w:val="105"/>
          <w:sz w:val="21"/>
        </w:rPr>
        <w:t> </w:t>
      </w:r>
      <w:r>
        <w:rPr>
          <w:w w:val="105"/>
          <w:sz w:val="21"/>
        </w:rPr>
        <w:t>el</w:t>
      </w:r>
      <w:r>
        <w:rPr>
          <w:spacing w:val="-4"/>
          <w:w w:val="105"/>
          <w:sz w:val="21"/>
        </w:rPr>
        <w:t> </w:t>
      </w:r>
      <w:r>
        <w:rPr>
          <w:w w:val="105"/>
          <w:sz w:val="21"/>
        </w:rPr>
        <w:t>poder</w:t>
      </w:r>
      <w:r>
        <w:rPr>
          <w:spacing w:val="-3"/>
          <w:w w:val="105"/>
          <w:sz w:val="21"/>
        </w:rPr>
        <w:t> </w:t>
      </w:r>
      <w:r>
        <w:rPr>
          <w:w w:val="105"/>
          <w:sz w:val="21"/>
        </w:rPr>
        <w:t>oculto</w:t>
      </w:r>
      <w:r>
        <w:rPr>
          <w:spacing w:val="-3"/>
          <w:w w:val="105"/>
          <w:sz w:val="21"/>
        </w:rPr>
        <w:t> </w:t>
      </w:r>
      <w:r>
        <w:rPr>
          <w:w w:val="105"/>
          <w:sz w:val="21"/>
        </w:rPr>
        <w:t>de</w:t>
      </w:r>
      <w:r>
        <w:rPr>
          <w:spacing w:val="-3"/>
          <w:w w:val="105"/>
          <w:sz w:val="21"/>
        </w:rPr>
        <w:t> </w:t>
      </w:r>
      <w:r>
        <w:rPr>
          <w:w w:val="105"/>
          <w:sz w:val="21"/>
        </w:rPr>
        <w:t>lo</w:t>
      </w:r>
      <w:r>
        <w:rPr>
          <w:spacing w:val="-3"/>
          <w:w w:val="105"/>
          <w:sz w:val="21"/>
        </w:rPr>
        <w:t> </w:t>
      </w:r>
      <w:r>
        <w:rPr>
          <w:w w:val="105"/>
          <w:sz w:val="21"/>
        </w:rPr>
        <w:t>femenino.</w:t>
      </w:r>
      <w:r>
        <w:rPr>
          <w:spacing w:val="-4"/>
          <w:w w:val="105"/>
          <w:sz w:val="21"/>
        </w:rPr>
        <w:t> </w:t>
      </w:r>
      <w:r>
        <w:rPr>
          <w:w w:val="105"/>
          <w:sz w:val="21"/>
        </w:rPr>
        <w:t>Madrid,</w:t>
      </w:r>
      <w:r>
        <w:rPr>
          <w:spacing w:val="-4"/>
          <w:w w:val="105"/>
          <w:sz w:val="21"/>
        </w:rPr>
        <w:t> </w:t>
      </w:r>
      <w:r>
        <w:rPr>
          <w:w w:val="105"/>
          <w:sz w:val="21"/>
        </w:rPr>
        <w:t>España: Editorial EDAF; 2000. p.</w:t>
      </w:r>
      <w:r>
        <w:rPr>
          <w:spacing w:val="-17"/>
          <w:w w:val="105"/>
          <w:sz w:val="21"/>
        </w:rPr>
        <w:t> </w:t>
      </w:r>
      <w:r>
        <w:rPr>
          <w:w w:val="105"/>
          <w:sz w:val="21"/>
        </w:rPr>
        <w:t>37-39.</w:t>
      </w:r>
    </w:p>
    <w:p>
      <w:pPr>
        <w:pStyle w:val="BodyText"/>
        <w:spacing w:before="8"/>
        <w:rPr>
          <w:sz w:val="18"/>
        </w:rPr>
      </w:pPr>
    </w:p>
    <w:p>
      <w:pPr>
        <w:pStyle w:val="ListParagraph"/>
        <w:numPr>
          <w:ilvl w:val="0"/>
          <w:numId w:val="5"/>
        </w:numPr>
        <w:tabs>
          <w:tab w:pos="384" w:val="left" w:leader="none"/>
        </w:tabs>
        <w:spacing w:line="374" w:lineRule="auto" w:before="0" w:after="0"/>
        <w:ind w:left="565" w:right="292" w:hanging="426"/>
        <w:jc w:val="left"/>
        <w:rPr>
          <w:sz w:val="21"/>
        </w:rPr>
      </w:pPr>
      <w:r>
        <w:rPr>
          <w:w w:val="105"/>
          <w:sz w:val="21"/>
        </w:rPr>
        <w:t>Terra-Bustamante VC, Scorza CA, de Albuquerque M, Sakamoto AC, Machado HR, Arida</w:t>
      </w:r>
      <w:r>
        <w:rPr>
          <w:spacing w:val="-2"/>
          <w:w w:val="105"/>
          <w:sz w:val="21"/>
        </w:rPr>
        <w:t> </w:t>
      </w:r>
      <w:r>
        <w:rPr>
          <w:w w:val="105"/>
          <w:sz w:val="21"/>
        </w:rPr>
        <w:t>RM,</w:t>
      </w:r>
      <w:r>
        <w:rPr>
          <w:spacing w:val="-3"/>
          <w:w w:val="105"/>
          <w:sz w:val="21"/>
        </w:rPr>
        <w:t> </w:t>
      </w:r>
      <w:r>
        <w:rPr>
          <w:w w:val="105"/>
          <w:sz w:val="21"/>
        </w:rPr>
        <w:t>et</w:t>
      </w:r>
      <w:r>
        <w:rPr>
          <w:spacing w:val="-3"/>
          <w:w w:val="105"/>
          <w:sz w:val="21"/>
        </w:rPr>
        <w:t> </w:t>
      </w:r>
      <w:r>
        <w:rPr>
          <w:w w:val="105"/>
          <w:sz w:val="21"/>
        </w:rPr>
        <w:t>al.</w:t>
      </w:r>
      <w:r>
        <w:rPr>
          <w:spacing w:val="-4"/>
          <w:w w:val="105"/>
          <w:sz w:val="21"/>
        </w:rPr>
        <w:t> </w:t>
      </w:r>
      <w:r>
        <w:rPr>
          <w:w w:val="105"/>
          <w:sz w:val="21"/>
        </w:rPr>
        <w:t>Does</w:t>
      </w:r>
      <w:r>
        <w:rPr>
          <w:spacing w:val="-3"/>
          <w:w w:val="105"/>
          <w:sz w:val="21"/>
        </w:rPr>
        <w:t> </w:t>
      </w:r>
      <w:r>
        <w:rPr>
          <w:w w:val="105"/>
          <w:sz w:val="21"/>
        </w:rPr>
        <w:t>the</w:t>
      </w:r>
      <w:r>
        <w:rPr>
          <w:spacing w:val="-3"/>
          <w:w w:val="105"/>
          <w:sz w:val="21"/>
        </w:rPr>
        <w:t> </w:t>
      </w:r>
      <w:r>
        <w:rPr>
          <w:w w:val="105"/>
          <w:sz w:val="21"/>
        </w:rPr>
        <w:t>lunar</w:t>
      </w:r>
      <w:r>
        <w:rPr>
          <w:spacing w:val="-3"/>
          <w:w w:val="105"/>
          <w:sz w:val="21"/>
        </w:rPr>
        <w:t> </w:t>
      </w:r>
      <w:r>
        <w:rPr>
          <w:w w:val="105"/>
          <w:sz w:val="21"/>
        </w:rPr>
        <w:t>phase</w:t>
      </w:r>
      <w:r>
        <w:rPr>
          <w:spacing w:val="-3"/>
          <w:w w:val="105"/>
          <w:sz w:val="21"/>
        </w:rPr>
        <w:t> </w:t>
      </w:r>
      <w:r>
        <w:rPr>
          <w:w w:val="105"/>
          <w:sz w:val="21"/>
        </w:rPr>
        <w:t>have</w:t>
      </w:r>
      <w:r>
        <w:rPr>
          <w:spacing w:val="-3"/>
          <w:w w:val="105"/>
          <w:sz w:val="21"/>
        </w:rPr>
        <w:t> </w:t>
      </w:r>
      <w:r>
        <w:rPr>
          <w:w w:val="105"/>
          <w:sz w:val="21"/>
        </w:rPr>
        <w:t>an</w:t>
      </w:r>
      <w:r>
        <w:rPr>
          <w:spacing w:val="-3"/>
          <w:w w:val="105"/>
          <w:sz w:val="21"/>
        </w:rPr>
        <w:t> </w:t>
      </w:r>
      <w:r>
        <w:rPr>
          <w:w w:val="105"/>
          <w:sz w:val="21"/>
        </w:rPr>
        <w:t>effect</w:t>
      </w:r>
      <w:r>
        <w:rPr>
          <w:spacing w:val="-4"/>
          <w:w w:val="105"/>
          <w:sz w:val="21"/>
        </w:rPr>
        <w:t> </w:t>
      </w:r>
      <w:r>
        <w:rPr>
          <w:w w:val="105"/>
          <w:sz w:val="21"/>
        </w:rPr>
        <w:t>on</w:t>
      </w:r>
      <w:r>
        <w:rPr>
          <w:spacing w:val="-3"/>
          <w:w w:val="105"/>
          <w:sz w:val="21"/>
        </w:rPr>
        <w:t> </w:t>
      </w:r>
      <w:r>
        <w:rPr>
          <w:w w:val="105"/>
          <w:sz w:val="21"/>
        </w:rPr>
        <w:t>sudden</w:t>
      </w:r>
      <w:r>
        <w:rPr>
          <w:spacing w:val="-3"/>
          <w:w w:val="105"/>
          <w:sz w:val="21"/>
        </w:rPr>
        <w:t> </w:t>
      </w:r>
      <w:r>
        <w:rPr>
          <w:w w:val="105"/>
          <w:sz w:val="21"/>
        </w:rPr>
        <w:t>unexpected</w:t>
      </w:r>
      <w:r>
        <w:rPr>
          <w:spacing w:val="-3"/>
          <w:w w:val="105"/>
          <w:sz w:val="21"/>
        </w:rPr>
        <w:t> </w:t>
      </w:r>
      <w:r>
        <w:rPr>
          <w:w w:val="105"/>
          <w:sz w:val="21"/>
        </w:rPr>
        <w:t>death</w:t>
      </w:r>
      <w:r>
        <w:rPr>
          <w:spacing w:val="-3"/>
          <w:w w:val="105"/>
          <w:sz w:val="21"/>
        </w:rPr>
        <w:t> </w:t>
      </w:r>
      <w:r>
        <w:rPr>
          <w:w w:val="105"/>
          <w:sz w:val="21"/>
        </w:rPr>
        <w:t>in epilepsy? Epilepsy Behav. 2009</w:t>
      </w:r>
      <w:r>
        <w:rPr>
          <w:spacing w:val="-25"/>
          <w:w w:val="105"/>
          <w:sz w:val="21"/>
        </w:rPr>
        <w:t> </w:t>
      </w:r>
      <w:r>
        <w:rPr>
          <w:w w:val="105"/>
          <w:sz w:val="21"/>
        </w:rPr>
        <w:t>;14(2):404-406</w:t>
      </w:r>
    </w:p>
    <w:p>
      <w:pPr>
        <w:pStyle w:val="BodyText"/>
        <w:spacing w:before="5"/>
        <w:rPr>
          <w:sz w:val="18"/>
        </w:rPr>
      </w:pPr>
    </w:p>
    <w:p>
      <w:pPr>
        <w:pStyle w:val="ListParagraph"/>
        <w:numPr>
          <w:ilvl w:val="0"/>
          <w:numId w:val="5"/>
        </w:numPr>
        <w:tabs>
          <w:tab w:pos="384" w:val="left" w:leader="none"/>
        </w:tabs>
        <w:spacing w:line="372" w:lineRule="auto" w:before="0" w:after="0"/>
        <w:ind w:left="565" w:right="655" w:hanging="426"/>
        <w:jc w:val="left"/>
        <w:rPr>
          <w:sz w:val="21"/>
        </w:rPr>
      </w:pPr>
      <w:r>
        <w:rPr>
          <w:w w:val="105"/>
          <w:sz w:val="21"/>
        </w:rPr>
        <w:t>Zimecki M. The lunar cycle: effects on human and animal behavior and</w:t>
      </w:r>
      <w:r>
        <w:rPr>
          <w:spacing w:val="-42"/>
          <w:w w:val="105"/>
          <w:sz w:val="21"/>
        </w:rPr>
        <w:t> </w:t>
      </w:r>
      <w:r>
        <w:rPr>
          <w:w w:val="105"/>
          <w:sz w:val="21"/>
        </w:rPr>
        <w:t>physiology. Postepy Hig Med Dosw (Online).</w:t>
      </w:r>
      <w:r>
        <w:rPr>
          <w:spacing w:val="-25"/>
          <w:w w:val="105"/>
          <w:sz w:val="21"/>
        </w:rPr>
        <w:t> </w:t>
      </w:r>
      <w:r>
        <w:rPr>
          <w:w w:val="105"/>
          <w:sz w:val="21"/>
        </w:rPr>
        <w:t>2006;60:1-7</w:t>
      </w:r>
    </w:p>
    <w:p>
      <w:pPr>
        <w:pStyle w:val="BodyText"/>
        <w:spacing w:before="8"/>
        <w:rPr>
          <w:sz w:val="18"/>
        </w:rPr>
      </w:pPr>
    </w:p>
    <w:p>
      <w:pPr>
        <w:pStyle w:val="ListParagraph"/>
        <w:numPr>
          <w:ilvl w:val="0"/>
          <w:numId w:val="5"/>
        </w:numPr>
        <w:tabs>
          <w:tab w:pos="384" w:val="left" w:leader="none"/>
        </w:tabs>
        <w:spacing w:line="372" w:lineRule="auto" w:before="0" w:after="0"/>
        <w:ind w:left="565" w:right="1904" w:hanging="426"/>
        <w:jc w:val="left"/>
        <w:rPr>
          <w:sz w:val="21"/>
        </w:rPr>
      </w:pPr>
      <w:r>
        <w:rPr>
          <w:w w:val="105"/>
          <w:sz w:val="21"/>
        </w:rPr>
        <w:t>Owens M, McGowan I. Madness and the Moon: Tthe Lunar Cycle</w:t>
      </w:r>
      <w:r>
        <w:rPr>
          <w:spacing w:val="-41"/>
          <w:w w:val="105"/>
          <w:sz w:val="21"/>
        </w:rPr>
        <w:t> </w:t>
      </w:r>
      <w:r>
        <w:rPr>
          <w:spacing w:val="2"/>
          <w:w w:val="105"/>
          <w:sz w:val="21"/>
        </w:rPr>
        <w:t>and </w:t>
      </w:r>
      <w:r>
        <w:rPr>
          <w:w w:val="105"/>
          <w:sz w:val="21"/>
        </w:rPr>
        <w:t>Psychopathology- German K</w:t>
      </w:r>
      <w:r>
        <w:rPr>
          <w:spacing w:val="-23"/>
          <w:w w:val="105"/>
          <w:sz w:val="21"/>
        </w:rPr>
        <w:t> </w:t>
      </w:r>
      <w:r>
        <w:rPr>
          <w:w w:val="105"/>
          <w:sz w:val="21"/>
        </w:rPr>
        <w:t>Psychiatry.2006;9:123-127.</w:t>
      </w:r>
    </w:p>
    <w:p>
      <w:pPr>
        <w:pStyle w:val="BodyText"/>
        <w:spacing w:before="10"/>
        <w:rPr>
          <w:sz w:val="17"/>
        </w:rPr>
      </w:pPr>
    </w:p>
    <w:p>
      <w:pPr>
        <w:pStyle w:val="ListParagraph"/>
        <w:numPr>
          <w:ilvl w:val="0"/>
          <w:numId w:val="5"/>
        </w:numPr>
        <w:tabs>
          <w:tab w:pos="384" w:val="left" w:leader="none"/>
        </w:tabs>
        <w:spacing w:line="240" w:lineRule="auto" w:before="0" w:after="0"/>
        <w:ind w:left="383" w:right="0" w:hanging="244"/>
        <w:jc w:val="left"/>
        <w:rPr>
          <w:sz w:val="21"/>
        </w:rPr>
      </w:pPr>
      <w:r>
        <w:rPr>
          <w:w w:val="105"/>
          <w:sz w:val="21"/>
        </w:rPr>
        <w:t>Danzl DF.  Lunancy. J Emerg Med.1987; 5 (2):</w:t>
      </w:r>
      <w:r>
        <w:rPr>
          <w:spacing w:val="-29"/>
          <w:w w:val="105"/>
          <w:sz w:val="21"/>
        </w:rPr>
        <w:t> </w:t>
      </w:r>
      <w:r>
        <w:rPr>
          <w:w w:val="105"/>
          <w:sz w:val="21"/>
        </w:rPr>
        <w:t>91-5</w:t>
      </w:r>
    </w:p>
    <w:p>
      <w:pPr>
        <w:pStyle w:val="BodyText"/>
        <w:spacing w:before="5"/>
        <w:rPr>
          <w:sz w:val="29"/>
        </w:rPr>
      </w:pPr>
    </w:p>
    <w:p>
      <w:pPr>
        <w:pStyle w:val="ListParagraph"/>
        <w:numPr>
          <w:ilvl w:val="0"/>
          <w:numId w:val="5"/>
        </w:numPr>
        <w:tabs>
          <w:tab w:pos="384" w:val="left" w:leader="none"/>
        </w:tabs>
        <w:spacing w:line="240" w:lineRule="auto" w:before="1" w:after="0"/>
        <w:ind w:left="383" w:right="0" w:hanging="244"/>
        <w:jc w:val="left"/>
        <w:rPr>
          <w:sz w:val="21"/>
        </w:rPr>
      </w:pPr>
      <w:r>
        <w:rPr>
          <w:w w:val="105"/>
          <w:sz w:val="21"/>
        </w:rPr>
        <w:t>Schnurman</w:t>
      </w:r>
      <w:r>
        <w:rPr>
          <w:spacing w:val="-4"/>
          <w:w w:val="105"/>
          <w:sz w:val="21"/>
        </w:rPr>
        <w:t> </w:t>
      </w:r>
      <w:r>
        <w:rPr>
          <w:w w:val="105"/>
          <w:sz w:val="21"/>
        </w:rPr>
        <w:t>AG.</w:t>
      </w:r>
      <w:r>
        <w:rPr>
          <w:spacing w:val="-4"/>
          <w:w w:val="105"/>
          <w:sz w:val="21"/>
        </w:rPr>
        <w:t> </w:t>
      </w:r>
      <w:r>
        <w:rPr>
          <w:w w:val="105"/>
          <w:sz w:val="21"/>
        </w:rPr>
        <w:t>The</w:t>
      </w:r>
      <w:r>
        <w:rPr>
          <w:spacing w:val="-4"/>
          <w:w w:val="105"/>
          <w:sz w:val="21"/>
        </w:rPr>
        <w:t> </w:t>
      </w:r>
      <w:r>
        <w:rPr>
          <w:w w:val="105"/>
          <w:sz w:val="21"/>
        </w:rPr>
        <w:t>effect</w:t>
      </w:r>
      <w:r>
        <w:rPr>
          <w:spacing w:val="-4"/>
          <w:w w:val="105"/>
          <w:sz w:val="21"/>
        </w:rPr>
        <w:t> </w:t>
      </w:r>
      <w:r>
        <w:rPr>
          <w:w w:val="105"/>
          <w:sz w:val="21"/>
        </w:rPr>
        <w:t>of</w:t>
      </w:r>
      <w:r>
        <w:rPr>
          <w:spacing w:val="-4"/>
          <w:w w:val="105"/>
          <w:sz w:val="21"/>
        </w:rPr>
        <w:t> </w:t>
      </w:r>
      <w:r>
        <w:rPr>
          <w:w w:val="105"/>
          <w:sz w:val="21"/>
        </w:rPr>
        <w:t>the</w:t>
      </w:r>
      <w:r>
        <w:rPr>
          <w:spacing w:val="-4"/>
          <w:w w:val="105"/>
          <w:sz w:val="21"/>
        </w:rPr>
        <w:t> </w:t>
      </w:r>
      <w:r>
        <w:rPr>
          <w:w w:val="105"/>
          <w:sz w:val="21"/>
        </w:rPr>
        <w:t>moon</w:t>
      </w:r>
      <w:r>
        <w:rPr>
          <w:spacing w:val="-4"/>
          <w:w w:val="105"/>
          <w:sz w:val="21"/>
        </w:rPr>
        <w:t> </w:t>
      </w:r>
      <w:r>
        <w:rPr>
          <w:w w:val="105"/>
          <w:sz w:val="21"/>
        </w:rPr>
        <w:t>on</w:t>
      </w:r>
      <w:r>
        <w:rPr>
          <w:spacing w:val="-4"/>
          <w:w w:val="105"/>
          <w:sz w:val="21"/>
        </w:rPr>
        <w:t> </w:t>
      </w:r>
      <w:r>
        <w:rPr>
          <w:w w:val="105"/>
          <w:sz w:val="21"/>
        </w:rPr>
        <w:t>childbirth.</w:t>
      </w:r>
      <w:r>
        <w:rPr>
          <w:spacing w:val="-4"/>
          <w:w w:val="105"/>
          <w:sz w:val="21"/>
        </w:rPr>
        <w:t> </w:t>
      </w:r>
      <w:r>
        <w:rPr>
          <w:w w:val="105"/>
          <w:sz w:val="21"/>
        </w:rPr>
        <w:t>Va</w:t>
      </w:r>
      <w:r>
        <w:rPr>
          <w:spacing w:val="-4"/>
          <w:w w:val="105"/>
          <w:sz w:val="21"/>
        </w:rPr>
        <w:t> </w:t>
      </w:r>
      <w:r>
        <w:rPr>
          <w:w w:val="105"/>
          <w:sz w:val="21"/>
        </w:rPr>
        <w:t>Med</w:t>
      </w:r>
      <w:r>
        <w:rPr>
          <w:spacing w:val="-4"/>
          <w:w w:val="105"/>
          <w:sz w:val="21"/>
        </w:rPr>
        <w:t> </w:t>
      </w:r>
      <w:r>
        <w:rPr>
          <w:w w:val="105"/>
          <w:sz w:val="21"/>
        </w:rPr>
        <w:t>Mon.1949;</w:t>
      </w:r>
      <w:r>
        <w:rPr>
          <w:spacing w:val="-4"/>
          <w:w w:val="105"/>
          <w:sz w:val="21"/>
        </w:rPr>
        <w:t> </w:t>
      </w:r>
      <w:r>
        <w:rPr>
          <w:w w:val="105"/>
          <w:sz w:val="21"/>
        </w:rPr>
        <w:t>76(2):</w:t>
      </w:r>
      <w:r>
        <w:rPr>
          <w:spacing w:val="-4"/>
          <w:w w:val="105"/>
          <w:sz w:val="21"/>
        </w:rPr>
        <w:t> </w:t>
      </w:r>
      <w:r>
        <w:rPr>
          <w:w w:val="105"/>
          <w:sz w:val="21"/>
        </w:rPr>
        <w:t>78</w:t>
      </w:r>
    </w:p>
    <w:p>
      <w:pPr>
        <w:pStyle w:val="BodyText"/>
        <w:spacing w:before="10"/>
        <w:rPr>
          <w:sz w:val="29"/>
        </w:rPr>
      </w:pPr>
    </w:p>
    <w:p>
      <w:pPr>
        <w:pStyle w:val="ListParagraph"/>
        <w:numPr>
          <w:ilvl w:val="0"/>
          <w:numId w:val="5"/>
        </w:numPr>
        <w:tabs>
          <w:tab w:pos="384" w:val="left" w:leader="none"/>
        </w:tabs>
        <w:spacing w:line="374" w:lineRule="auto" w:before="0" w:after="0"/>
        <w:ind w:left="565" w:right="255" w:hanging="426"/>
        <w:jc w:val="left"/>
        <w:rPr>
          <w:sz w:val="21"/>
        </w:rPr>
      </w:pPr>
      <w:r>
        <w:rPr>
          <w:w w:val="105"/>
          <w:sz w:val="21"/>
        </w:rPr>
        <w:t>Ochiai AM, Gonçalves FL, Ambrizzi T, Florentino LC, Wei CY, Soares AV, De Araujo NM, Gualda DM. Atmospheric conditions, lunar phases, and childbirth: a multivariate analysis. Int J Biometeorol.</w:t>
      </w:r>
      <w:r>
        <w:rPr>
          <w:spacing w:val="-26"/>
          <w:w w:val="105"/>
          <w:sz w:val="21"/>
        </w:rPr>
        <w:t> </w:t>
      </w:r>
      <w:r>
        <w:rPr>
          <w:w w:val="105"/>
          <w:sz w:val="21"/>
        </w:rPr>
        <w:t>2012;56(4):661-667</w:t>
      </w:r>
    </w:p>
    <w:p>
      <w:pPr>
        <w:pStyle w:val="BodyText"/>
        <w:spacing w:before="5"/>
        <w:rPr>
          <w:sz w:val="18"/>
        </w:rPr>
      </w:pPr>
    </w:p>
    <w:p>
      <w:pPr>
        <w:pStyle w:val="ListParagraph"/>
        <w:numPr>
          <w:ilvl w:val="0"/>
          <w:numId w:val="5"/>
        </w:numPr>
        <w:tabs>
          <w:tab w:pos="506" w:val="left" w:leader="none"/>
        </w:tabs>
        <w:spacing w:line="374" w:lineRule="auto" w:before="0" w:after="0"/>
        <w:ind w:left="565" w:right="399" w:hanging="426"/>
        <w:jc w:val="left"/>
        <w:rPr>
          <w:sz w:val="21"/>
        </w:rPr>
      </w:pPr>
      <w:r>
        <w:rPr>
          <w:w w:val="105"/>
          <w:sz w:val="21"/>
        </w:rPr>
        <w:t>Morton-Pradhan S, Bay RC, Coonrod DV. Birth rate and its correlation with the</w:t>
      </w:r>
      <w:r>
        <w:rPr>
          <w:spacing w:val="-42"/>
          <w:w w:val="105"/>
          <w:sz w:val="21"/>
        </w:rPr>
        <w:t> </w:t>
      </w:r>
      <w:r>
        <w:rPr>
          <w:w w:val="105"/>
          <w:sz w:val="21"/>
        </w:rPr>
        <w:t>lunar cycle and specific atmospheric conditions. Am J Obstet Gynecol. 2005 Jun;192(6):1970-3.</w:t>
      </w:r>
    </w:p>
    <w:p>
      <w:pPr>
        <w:pStyle w:val="BodyText"/>
        <w:spacing w:before="5"/>
        <w:rPr>
          <w:sz w:val="18"/>
        </w:rPr>
      </w:pPr>
    </w:p>
    <w:p>
      <w:pPr>
        <w:pStyle w:val="ListParagraph"/>
        <w:numPr>
          <w:ilvl w:val="0"/>
          <w:numId w:val="5"/>
        </w:numPr>
        <w:tabs>
          <w:tab w:pos="506" w:val="left" w:leader="none"/>
        </w:tabs>
        <w:spacing w:line="374" w:lineRule="auto" w:before="0" w:after="0"/>
        <w:ind w:left="565" w:right="337" w:hanging="426"/>
        <w:jc w:val="left"/>
        <w:rPr>
          <w:sz w:val="21"/>
        </w:rPr>
      </w:pPr>
      <w:r>
        <w:rPr>
          <w:w w:val="105"/>
          <w:sz w:val="21"/>
        </w:rPr>
        <w:t>Bharati S, Sarkar M, Haldar PS, Jana S, Mandal S. The effect of the lunar cycle on frequency</w:t>
      </w:r>
      <w:r>
        <w:rPr>
          <w:spacing w:val="-5"/>
          <w:w w:val="105"/>
          <w:sz w:val="21"/>
        </w:rPr>
        <w:t> </w:t>
      </w:r>
      <w:r>
        <w:rPr>
          <w:w w:val="105"/>
          <w:sz w:val="21"/>
        </w:rPr>
        <w:t>of</w:t>
      </w:r>
      <w:r>
        <w:rPr>
          <w:spacing w:val="-6"/>
          <w:w w:val="105"/>
          <w:sz w:val="21"/>
        </w:rPr>
        <w:t> </w:t>
      </w:r>
      <w:r>
        <w:rPr>
          <w:w w:val="105"/>
          <w:sz w:val="21"/>
        </w:rPr>
        <w:t>births:</w:t>
      </w:r>
      <w:r>
        <w:rPr>
          <w:spacing w:val="-6"/>
          <w:w w:val="105"/>
          <w:sz w:val="21"/>
        </w:rPr>
        <w:t> </w:t>
      </w:r>
      <w:r>
        <w:rPr>
          <w:w w:val="105"/>
          <w:sz w:val="21"/>
        </w:rPr>
        <w:t>a</w:t>
      </w:r>
      <w:r>
        <w:rPr>
          <w:spacing w:val="-4"/>
          <w:w w:val="105"/>
          <w:sz w:val="21"/>
        </w:rPr>
        <w:t> </w:t>
      </w:r>
      <w:r>
        <w:rPr>
          <w:w w:val="105"/>
          <w:sz w:val="21"/>
        </w:rPr>
        <w:t>retrospective</w:t>
      </w:r>
      <w:r>
        <w:rPr>
          <w:spacing w:val="-4"/>
          <w:w w:val="105"/>
          <w:sz w:val="21"/>
        </w:rPr>
        <w:t> </w:t>
      </w:r>
      <w:r>
        <w:rPr>
          <w:w w:val="105"/>
          <w:sz w:val="21"/>
        </w:rPr>
        <w:t>observational</w:t>
      </w:r>
      <w:r>
        <w:rPr>
          <w:spacing w:val="-6"/>
          <w:w w:val="105"/>
          <w:sz w:val="21"/>
        </w:rPr>
        <w:t> </w:t>
      </w:r>
      <w:r>
        <w:rPr>
          <w:w w:val="105"/>
          <w:sz w:val="21"/>
        </w:rPr>
        <w:t>study</w:t>
      </w:r>
      <w:r>
        <w:rPr>
          <w:spacing w:val="-5"/>
          <w:w w:val="105"/>
          <w:sz w:val="21"/>
        </w:rPr>
        <w:t> </w:t>
      </w:r>
      <w:r>
        <w:rPr>
          <w:w w:val="105"/>
          <w:sz w:val="21"/>
        </w:rPr>
        <w:t>in</w:t>
      </w:r>
      <w:r>
        <w:rPr>
          <w:spacing w:val="-4"/>
          <w:w w:val="105"/>
          <w:sz w:val="21"/>
        </w:rPr>
        <w:t> </w:t>
      </w:r>
      <w:r>
        <w:rPr>
          <w:w w:val="105"/>
          <w:sz w:val="21"/>
        </w:rPr>
        <w:t>Indian</w:t>
      </w:r>
      <w:r>
        <w:rPr>
          <w:spacing w:val="-5"/>
          <w:w w:val="105"/>
          <w:sz w:val="21"/>
        </w:rPr>
        <w:t> </w:t>
      </w:r>
      <w:r>
        <w:rPr>
          <w:w w:val="105"/>
          <w:sz w:val="21"/>
        </w:rPr>
        <w:t>population.</w:t>
      </w:r>
      <w:r>
        <w:rPr>
          <w:spacing w:val="-6"/>
          <w:w w:val="105"/>
          <w:sz w:val="21"/>
        </w:rPr>
        <w:t> </w:t>
      </w:r>
      <w:r>
        <w:rPr>
          <w:w w:val="105"/>
          <w:sz w:val="21"/>
        </w:rPr>
        <w:t>Indian</w:t>
      </w:r>
      <w:r>
        <w:rPr>
          <w:spacing w:val="-4"/>
          <w:w w:val="105"/>
          <w:sz w:val="21"/>
        </w:rPr>
        <w:t> </w:t>
      </w:r>
      <w:r>
        <w:rPr>
          <w:w w:val="105"/>
          <w:sz w:val="21"/>
        </w:rPr>
        <w:t>J Public Health.</w:t>
      </w:r>
      <w:r>
        <w:rPr>
          <w:spacing w:val="-19"/>
          <w:w w:val="105"/>
          <w:sz w:val="21"/>
        </w:rPr>
        <w:t> </w:t>
      </w:r>
      <w:r>
        <w:rPr>
          <w:w w:val="105"/>
          <w:sz w:val="21"/>
        </w:rPr>
        <w:t>2012;56(2):152-154</w:t>
      </w:r>
    </w:p>
    <w:p>
      <w:pPr>
        <w:pStyle w:val="BodyText"/>
        <w:rPr>
          <w:sz w:val="18"/>
        </w:rPr>
      </w:pPr>
    </w:p>
    <w:p>
      <w:pPr>
        <w:pStyle w:val="ListParagraph"/>
        <w:numPr>
          <w:ilvl w:val="0"/>
          <w:numId w:val="5"/>
        </w:numPr>
        <w:tabs>
          <w:tab w:pos="506" w:val="left" w:leader="none"/>
        </w:tabs>
        <w:spacing w:line="372" w:lineRule="auto" w:before="1" w:after="0"/>
        <w:ind w:left="565" w:right="448" w:hanging="426"/>
        <w:jc w:val="left"/>
        <w:rPr>
          <w:sz w:val="21"/>
        </w:rPr>
      </w:pPr>
      <w:r>
        <w:rPr>
          <w:w w:val="105"/>
          <w:sz w:val="21"/>
        </w:rPr>
        <w:t>Arliss</w:t>
      </w:r>
      <w:r>
        <w:rPr>
          <w:spacing w:val="-3"/>
          <w:w w:val="105"/>
          <w:sz w:val="21"/>
        </w:rPr>
        <w:t> </w:t>
      </w:r>
      <w:r>
        <w:rPr>
          <w:w w:val="105"/>
          <w:sz w:val="21"/>
        </w:rPr>
        <w:t>JM,</w:t>
      </w:r>
      <w:r>
        <w:rPr>
          <w:spacing w:val="-4"/>
          <w:w w:val="105"/>
          <w:sz w:val="21"/>
        </w:rPr>
        <w:t> </w:t>
      </w:r>
      <w:r>
        <w:rPr>
          <w:w w:val="105"/>
          <w:sz w:val="21"/>
        </w:rPr>
        <w:t>Kaplan</w:t>
      </w:r>
      <w:r>
        <w:rPr>
          <w:spacing w:val="-3"/>
          <w:w w:val="105"/>
          <w:sz w:val="21"/>
        </w:rPr>
        <w:t> </w:t>
      </w:r>
      <w:r>
        <w:rPr>
          <w:w w:val="105"/>
          <w:sz w:val="21"/>
        </w:rPr>
        <w:t>EN,</w:t>
      </w:r>
      <w:r>
        <w:rPr>
          <w:spacing w:val="-4"/>
          <w:w w:val="105"/>
          <w:sz w:val="21"/>
        </w:rPr>
        <w:t> </w:t>
      </w:r>
      <w:r>
        <w:rPr>
          <w:w w:val="105"/>
          <w:sz w:val="21"/>
        </w:rPr>
        <w:t>Galvin</w:t>
      </w:r>
      <w:r>
        <w:rPr>
          <w:spacing w:val="-3"/>
          <w:w w:val="105"/>
          <w:sz w:val="21"/>
        </w:rPr>
        <w:t> </w:t>
      </w:r>
      <w:r>
        <w:rPr>
          <w:w w:val="105"/>
          <w:sz w:val="21"/>
        </w:rPr>
        <w:t>SL.</w:t>
      </w:r>
      <w:r>
        <w:rPr>
          <w:spacing w:val="-4"/>
          <w:w w:val="105"/>
          <w:sz w:val="21"/>
        </w:rPr>
        <w:t> </w:t>
      </w:r>
      <w:r>
        <w:rPr>
          <w:w w:val="105"/>
          <w:sz w:val="21"/>
        </w:rPr>
        <w:t>The</w:t>
      </w:r>
      <w:r>
        <w:rPr>
          <w:spacing w:val="-3"/>
          <w:w w:val="105"/>
          <w:sz w:val="21"/>
        </w:rPr>
        <w:t> </w:t>
      </w:r>
      <w:r>
        <w:rPr>
          <w:w w:val="105"/>
          <w:sz w:val="21"/>
        </w:rPr>
        <w:t>effect</w:t>
      </w:r>
      <w:r>
        <w:rPr>
          <w:spacing w:val="-4"/>
          <w:w w:val="105"/>
          <w:sz w:val="21"/>
        </w:rPr>
        <w:t> </w:t>
      </w:r>
      <w:r>
        <w:rPr>
          <w:w w:val="105"/>
          <w:sz w:val="21"/>
        </w:rPr>
        <w:t>of</w:t>
      </w:r>
      <w:r>
        <w:rPr>
          <w:spacing w:val="-4"/>
          <w:w w:val="105"/>
          <w:sz w:val="21"/>
        </w:rPr>
        <w:t> </w:t>
      </w:r>
      <w:r>
        <w:rPr>
          <w:w w:val="105"/>
          <w:sz w:val="21"/>
        </w:rPr>
        <w:t>the</w:t>
      </w:r>
      <w:r>
        <w:rPr>
          <w:spacing w:val="-3"/>
          <w:w w:val="105"/>
          <w:sz w:val="21"/>
        </w:rPr>
        <w:t> </w:t>
      </w:r>
      <w:r>
        <w:rPr>
          <w:w w:val="105"/>
          <w:sz w:val="21"/>
        </w:rPr>
        <w:t>lunar</w:t>
      </w:r>
      <w:r>
        <w:rPr>
          <w:spacing w:val="-3"/>
          <w:w w:val="105"/>
          <w:sz w:val="21"/>
        </w:rPr>
        <w:t> </w:t>
      </w:r>
      <w:r>
        <w:rPr>
          <w:w w:val="105"/>
          <w:sz w:val="21"/>
        </w:rPr>
        <w:t>cycle</w:t>
      </w:r>
      <w:r>
        <w:rPr>
          <w:spacing w:val="-3"/>
          <w:w w:val="105"/>
          <w:sz w:val="21"/>
        </w:rPr>
        <w:t> </w:t>
      </w:r>
      <w:r>
        <w:rPr>
          <w:w w:val="105"/>
          <w:sz w:val="21"/>
        </w:rPr>
        <w:t>on</w:t>
      </w:r>
      <w:r>
        <w:rPr>
          <w:spacing w:val="-3"/>
          <w:w w:val="105"/>
          <w:sz w:val="21"/>
        </w:rPr>
        <w:t> </w:t>
      </w:r>
      <w:r>
        <w:rPr>
          <w:w w:val="105"/>
          <w:sz w:val="21"/>
        </w:rPr>
        <w:t>frequency</w:t>
      </w:r>
      <w:r>
        <w:rPr>
          <w:spacing w:val="-3"/>
          <w:w w:val="105"/>
          <w:sz w:val="21"/>
        </w:rPr>
        <w:t> </w:t>
      </w:r>
      <w:r>
        <w:rPr>
          <w:w w:val="105"/>
          <w:sz w:val="21"/>
        </w:rPr>
        <w:t>of</w:t>
      </w:r>
      <w:r>
        <w:rPr>
          <w:spacing w:val="-4"/>
          <w:w w:val="105"/>
          <w:sz w:val="21"/>
        </w:rPr>
        <w:t> </w:t>
      </w:r>
      <w:r>
        <w:rPr>
          <w:w w:val="105"/>
          <w:sz w:val="21"/>
        </w:rPr>
        <w:t>births and birth complications. Am J Obstet Gynecol. 2005</w:t>
      </w:r>
      <w:r>
        <w:rPr>
          <w:spacing w:val="-34"/>
          <w:w w:val="105"/>
          <w:sz w:val="21"/>
        </w:rPr>
        <w:t> </w:t>
      </w:r>
      <w:r>
        <w:rPr>
          <w:w w:val="105"/>
          <w:sz w:val="21"/>
        </w:rPr>
        <w:t>;192(5):1462-1464.</w:t>
      </w:r>
    </w:p>
    <w:p>
      <w:pPr>
        <w:spacing w:after="0" w:line="372" w:lineRule="auto"/>
        <w:jc w:val="left"/>
        <w:rPr>
          <w:sz w:val="21"/>
        </w:rPr>
        <w:sectPr>
          <w:pgSz w:w="12240" w:h="15840"/>
          <w:pgMar w:header="1209" w:footer="1234" w:top="1400" w:bottom="1420" w:left="1560" w:right="1580"/>
        </w:sectPr>
      </w:pPr>
    </w:p>
    <w:p>
      <w:pPr>
        <w:pStyle w:val="ListParagraph"/>
        <w:numPr>
          <w:ilvl w:val="0"/>
          <w:numId w:val="5"/>
        </w:numPr>
        <w:tabs>
          <w:tab w:pos="506" w:val="left" w:leader="none"/>
        </w:tabs>
        <w:spacing w:line="372" w:lineRule="auto" w:before="16" w:after="0"/>
        <w:ind w:left="565" w:right="228" w:hanging="426"/>
        <w:jc w:val="left"/>
        <w:rPr>
          <w:sz w:val="21"/>
        </w:rPr>
      </w:pPr>
      <w:r>
        <w:rPr>
          <w:w w:val="105"/>
          <w:sz w:val="21"/>
        </w:rPr>
        <w:t>Bueno</w:t>
      </w:r>
      <w:r>
        <w:rPr>
          <w:spacing w:val="-3"/>
          <w:w w:val="105"/>
          <w:sz w:val="21"/>
        </w:rPr>
        <w:t> </w:t>
      </w:r>
      <w:r>
        <w:rPr>
          <w:w w:val="105"/>
          <w:sz w:val="21"/>
        </w:rPr>
        <w:t>A,</w:t>
      </w:r>
      <w:r>
        <w:rPr>
          <w:spacing w:val="-5"/>
          <w:w w:val="105"/>
          <w:sz w:val="21"/>
        </w:rPr>
        <w:t> </w:t>
      </w:r>
      <w:r>
        <w:rPr>
          <w:w w:val="105"/>
          <w:sz w:val="21"/>
        </w:rPr>
        <w:t>Iessi</w:t>
      </w:r>
      <w:r>
        <w:rPr>
          <w:spacing w:val="-5"/>
          <w:w w:val="105"/>
          <w:sz w:val="21"/>
        </w:rPr>
        <w:t> </w:t>
      </w:r>
      <w:r>
        <w:rPr>
          <w:w w:val="105"/>
          <w:sz w:val="21"/>
        </w:rPr>
        <w:t>IL,</w:t>
      </w:r>
      <w:r>
        <w:rPr>
          <w:spacing w:val="-5"/>
          <w:w w:val="105"/>
          <w:sz w:val="21"/>
        </w:rPr>
        <w:t> </w:t>
      </w:r>
      <w:r>
        <w:rPr>
          <w:w w:val="105"/>
          <w:sz w:val="21"/>
        </w:rPr>
        <w:t>Damasceno</w:t>
      </w:r>
      <w:r>
        <w:rPr>
          <w:spacing w:val="-4"/>
          <w:w w:val="105"/>
          <w:sz w:val="21"/>
        </w:rPr>
        <w:t> </w:t>
      </w:r>
      <w:r>
        <w:rPr>
          <w:w w:val="105"/>
          <w:sz w:val="21"/>
        </w:rPr>
        <w:t>DC.</w:t>
      </w:r>
      <w:r>
        <w:rPr>
          <w:spacing w:val="-4"/>
          <w:w w:val="105"/>
          <w:sz w:val="21"/>
        </w:rPr>
        <w:t> </w:t>
      </w:r>
      <w:r>
        <w:rPr>
          <w:w w:val="105"/>
          <w:sz w:val="21"/>
        </w:rPr>
        <w:t>Influences</w:t>
      </w:r>
      <w:r>
        <w:rPr>
          <w:spacing w:val="-4"/>
          <w:w w:val="105"/>
          <w:sz w:val="21"/>
        </w:rPr>
        <w:t> </w:t>
      </w:r>
      <w:r>
        <w:rPr>
          <w:w w:val="105"/>
          <w:sz w:val="21"/>
        </w:rPr>
        <w:t>of</w:t>
      </w:r>
      <w:r>
        <w:rPr>
          <w:spacing w:val="-5"/>
          <w:w w:val="105"/>
          <w:sz w:val="21"/>
        </w:rPr>
        <w:t> </w:t>
      </w:r>
      <w:r>
        <w:rPr>
          <w:w w:val="105"/>
          <w:sz w:val="21"/>
        </w:rPr>
        <w:t>lunar</w:t>
      </w:r>
      <w:r>
        <w:rPr>
          <w:spacing w:val="-4"/>
          <w:w w:val="105"/>
          <w:sz w:val="21"/>
        </w:rPr>
        <w:t> </w:t>
      </w:r>
      <w:r>
        <w:rPr>
          <w:w w:val="105"/>
          <w:sz w:val="21"/>
        </w:rPr>
        <w:t>cycle</w:t>
      </w:r>
      <w:r>
        <w:rPr>
          <w:spacing w:val="-3"/>
          <w:w w:val="105"/>
          <w:sz w:val="21"/>
        </w:rPr>
        <w:t> </w:t>
      </w:r>
      <w:r>
        <w:rPr>
          <w:w w:val="105"/>
          <w:sz w:val="21"/>
        </w:rPr>
        <w:t>in</w:t>
      </w:r>
      <w:r>
        <w:rPr>
          <w:spacing w:val="-3"/>
          <w:w w:val="105"/>
          <w:sz w:val="21"/>
        </w:rPr>
        <w:t> </w:t>
      </w:r>
      <w:r>
        <w:rPr>
          <w:w w:val="105"/>
          <w:sz w:val="21"/>
        </w:rPr>
        <w:t>labor:</w:t>
      </w:r>
      <w:r>
        <w:rPr>
          <w:spacing w:val="-5"/>
          <w:w w:val="105"/>
          <w:sz w:val="21"/>
        </w:rPr>
        <w:t> </w:t>
      </w:r>
      <w:r>
        <w:rPr>
          <w:w w:val="105"/>
          <w:sz w:val="21"/>
        </w:rPr>
        <w:t>myth</w:t>
      </w:r>
      <w:r>
        <w:rPr>
          <w:spacing w:val="-3"/>
          <w:w w:val="105"/>
          <w:sz w:val="21"/>
        </w:rPr>
        <w:t> </w:t>
      </w:r>
      <w:r>
        <w:rPr>
          <w:w w:val="105"/>
          <w:sz w:val="21"/>
        </w:rPr>
        <w:t>or</w:t>
      </w:r>
      <w:r>
        <w:rPr>
          <w:spacing w:val="-4"/>
          <w:w w:val="105"/>
          <w:sz w:val="21"/>
        </w:rPr>
        <w:t> </w:t>
      </w:r>
      <w:r>
        <w:rPr>
          <w:w w:val="105"/>
          <w:sz w:val="21"/>
        </w:rPr>
        <w:t>scientific finding? Rev Bras Enferm.</w:t>
      </w:r>
      <w:r>
        <w:rPr>
          <w:spacing w:val="-25"/>
          <w:w w:val="105"/>
          <w:sz w:val="21"/>
        </w:rPr>
        <w:t> </w:t>
      </w:r>
      <w:r>
        <w:rPr>
          <w:w w:val="105"/>
          <w:sz w:val="21"/>
        </w:rPr>
        <w:t>2010;63(3):477-479.</w:t>
      </w:r>
    </w:p>
    <w:p>
      <w:pPr>
        <w:pStyle w:val="BodyText"/>
        <w:spacing w:before="8"/>
        <w:rPr>
          <w:sz w:val="18"/>
        </w:rPr>
      </w:pPr>
    </w:p>
    <w:p>
      <w:pPr>
        <w:pStyle w:val="ListParagraph"/>
        <w:numPr>
          <w:ilvl w:val="0"/>
          <w:numId w:val="5"/>
        </w:numPr>
        <w:tabs>
          <w:tab w:pos="506" w:val="left" w:leader="none"/>
        </w:tabs>
        <w:spacing w:line="374" w:lineRule="auto" w:before="0" w:after="0"/>
        <w:ind w:left="565" w:right="315" w:hanging="426"/>
        <w:jc w:val="left"/>
        <w:rPr>
          <w:sz w:val="21"/>
        </w:rPr>
      </w:pPr>
      <w:r>
        <w:rPr>
          <w:w w:val="105"/>
          <w:sz w:val="21"/>
        </w:rPr>
        <w:t>Valandro L, Zordan M, Polanska M, Puricelli P, Colombo L. Relevance of lunar periodicity in human spontaneous abortions. Gynecol Obstet Invest.</w:t>
      </w:r>
      <w:r>
        <w:rPr>
          <w:spacing w:val="-40"/>
          <w:w w:val="105"/>
          <w:sz w:val="21"/>
        </w:rPr>
        <w:t> </w:t>
      </w:r>
      <w:r>
        <w:rPr>
          <w:w w:val="105"/>
          <w:sz w:val="21"/>
        </w:rPr>
        <w:t>2004;58(4):179- </w:t>
      </w:r>
      <w:r>
        <w:rPr>
          <w:spacing w:val="2"/>
          <w:w w:val="105"/>
          <w:sz w:val="21"/>
        </w:rPr>
        <w:t>82.</w:t>
      </w:r>
    </w:p>
    <w:p>
      <w:pPr>
        <w:pStyle w:val="BodyText"/>
        <w:spacing w:before="5"/>
        <w:rPr>
          <w:sz w:val="18"/>
        </w:rPr>
      </w:pPr>
    </w:p>
    <w:p>
      <w:pPr>
        <w:pStyle w:val="ListParagraph"/>
        <w:numPr>
          <w:ilvl w:val="0"/>
          <w:numId w:val="5"/>
        </w:numPr>
        <w:tabs>
          <w:tab w:pos="506" w:val="left" w:leader="none"/>
        </w:tabs>
        <w:spacing w:line="374" w:lineRule="auto" w:before="0" w:after="0"/>
        <w:ind w:left="565" w:right="194" w:hanging="426"/>
        <w:jc w:val="left"/>
        <w:rPr>
          <w:sz w:val="21"/>
        </w:rPr>
      </w:pPr>
      <w:r>
        <w:rPr>
          <w:w w:val="105"/>
          <w:sz w:val="21"/>
        </w:rPr>
        <w:t>Ghiandoni G, Seclì R, Rocchi MB, Ugolini G. Does lunar position influence the time of delivery? A statistical analysis. Eur J Obstet Gynecol Reprod Biol. 1998</w:t>
      </w:r>
      <w:r>
        <w:rPr>
          <w:spacing w:val="-42"/>
          <w:w w:val="105"/>
          <w:sz w:val="21"/>
        </w:rPr>
        <w:t> </w:t>
      </w:r>
      <w:r>
        <w:rPr>
          <w:w w:val="105"/>
          <w:sz w:val="21"/>
        </w:rPr>
        <w:t>Mar;77(1):47- </w:t>
      </w:r>
      <w:r>
        <w:rPr>
          <w:spacing w:val="2"/>
          <w:w w:val="105"/>
          <w:sz w:val="21"/>
        </w:rPr>
        <w:t>50.</w:t>
      </w:r>
    </w:p>
    <w:p>
      <w:pPr>
        <w:pStyle w:val="BodyText"/>
        <w:spacing w:before="5"/>
        <w:rPr>
          <w:sz w:val="18"/>
        </w:rPr>
      </w:pPr>
    </w:p>
    <w:p>
      <w:pPr>
        <w:pStyle w:val="ListParagraph"/>
        <w:numPr>
          <w:ilvl w:val="0"/>
          <w:numId w:val="5"/>
        </w:numPr>
        <w:tabs>
          <w:tab w:pos="506" w:val="left" w:leader="none"/>
        </w:tabs>
        <w:spacing w:line="372" w:lineRule="auto" w:before="0" w:after="0"/>
        <w:ind w:left="565" w:right="231" w:hanging="426"/>
        <w:jc w:val="left"/>
        <w:rPr>
          <w:sz w:val="21"/>
        </w:rPr>
      </w:pPr>
      <w:r>
        <w:rPr>
          <w:w w:val="105"/>
          <w:sz w:val="21"/>
        </w:rPr>
        <w:t>Bueno</w:t>
      </w:r>
      <w:r>
        <w:rPr>
          <w:spacing w:val="-3"/>
          <w:w w:val="105"/>
          <w:sz w:val="21"/>
        </w:rPr>
        <w:t> </w:t>
      </w:r>
      <w:r>
        <w:rPr>
          <w:w w:val="105"/>
          <w:sz w:val="21"/>
        </w:rPr>
        <w:t>A,</w:t>
      </w:r>
      <w:r>
        <w:rPr>
          <w:spacing w:val="-5"/>
          <w:w w:val="105"/>
          <w:sz w:val="21"/>
        </w:rPr>
        <w:t> </w:t>
      </w:r>
      <w:r>
        <w:rPr>
          <w:w w:val="105"/>
          <w:sz w:val="21"/>
        </w:rPr>
        <w:t>Iessi</w:t>
      </w:r>
      <w:r>
        <w:rPr>
          <w:spacing w:val="-5"/>
          <w:w w:val="105"/>
          <w:sz w:val="21"/>
        </w:rPr>
        <w:t> </w:t>
      </w:r>
      <w:r>
        <w:rPr>
          <w:w w:val="105"/>
          <w:sz w:val="21"/>
        </w:rPr>
        <w:t>IL,</w:t>
      </w:r>
      <w:r>
        <w:rPr>
          <w:spacing w:val="-5"/>
          <w:w w:val="105"/>
          <w:sz w:val="21"/>
        </w:rPr>
        <w:t> </w:t>
      </w:r>
      <w:r>
        <w:rPr>
          <w:w w:val="105"/>
          <w:sz w:val="21"/>
        </w:rPr>
        <w:t>Damasceno</w:t>
      </w:r>
      <w:r>
        <w:rPr>
          <w:spacing w:val="-4"/>
          <w:w w:val="105"/>
          <w:sz w:val="21"/>
        </w:rPr>
        <w:t> </w:t>
      </w:r>
      <w:r>
        <w:rPr>
          <w:w w:val="105"/>
          <w:sz w:val="21"/>
        </w:rPr>
        <w:t>DC.</w:t>
      </w:r>
      <w:r>
        <w:rPr>
          <w:spacing w:val="-5"/>
          <w:w w:val="105"/>
          <w:sz w:val="21"/>
        </w:rPr>
        <w:t> </w:t>
      </w:r>
      <w:r>
        <w:rPr>
          <w:w w:val="105"/>
          <w:sz w:val="21"/>
        </w:rPr>
        <w:t>Influences</w:t>
      </w:r>
      <w:r>
        <w:rPr>
          <w:spacing w:val="-4"/>
          <w:w w:val="105"/>
          <w:sz w:val="21"/>
        </w:rPr>
        <w:t> </w:t>
      </w:r>
      <w:r>
        <w:rPr>
          <w:w w:val="105"/>
          <w:sz w:val="21"/>
        </w:rPr>
        <w:t>of</w:t>
      </w:r>
      <w:r>
        <w:rPr>
          <w:spacing w:val="-5"/>
          <w:w w:val="105"/>
          <w:sz w:val="21"/>
        </w:rPr>
        <w:t> </w:t>
      </w:r>
      <w:r>
        <w:rPr>
          <w:w w:val="105"/>
          <w:sz w:val="21"/>
        </w:rPr>
        <w:t>lunar</w:t>
      </w:r>
      <w:r>
        <w:rPr>
          <w:spacing w:val="-4"/>
          <w:w w:val="105"/>
          <w:sz w:val="21"/>
        </w:rPr>
        <w:t> </w:t>
      </w:r>
      <w:r>
        <w:rPr>
          <w:w w:val="105"/>
          <w:sz w:val="21"/>
        </w:rPr>
        <w:t>cycle</w:t>
      </w:r>
      <w:r>
        <w:rPr>
          <w:spacing w:val="-4"/>
          <w:w w:val="105"/>
          <w:sz w:val="21"/>
        </w:rPr>
        <w:t> </w:t>
      </w:r>
      <w:r>
        <w:rPr>
          <w:w w:val="105"/>
          <w:sz w:val="21"/>
        </w:rPr>
        <w:t>in</w:t>
      </w:r>
      <w:r>
        <w:rPr>
          <w:spacing w:val="-4"/>
          <w:w w:val="105"/>
          <w:sz w:val="21"/>
        </w:rPr>
        <w:t> </w:t>
      </w:r>
      <w:r>
        <w:rPr>
          <w:w w:val="105"/>
          <w:sz w:val="21"/>
        </w:rPr>
        <w:t>labor:</w:t>
      </w:r>
      <w:r>
        <w:rPr>
          <w:spacing w:val="-5"/>
          <w:w w:val="105"/>
          <w:sz w:val="21"/>
        </w:rPr>
        <w:t> </w:t>
      </w:r>
      <w:r>
        <w:rPr>
          <w:w w:val="105"/>
          <w:sz w:val="21"/>
        </w:rPr>
        <w:t>myth</w:t>
      </w:r>
      <w:r>
        <w:rPr>
          <w:spacing w:val="-4"/>
          <w:w w:val="105"/>
          <w:sz w:val="21"/>
        </w:rPr>
        <w:t> </w:t>
      </w:r>
      <w:r>
        <w:rPr>
          <w:w w:val="105"/>
          <w:sz w:val="21"/>
        </w:rPr>
        <w:t>or</w:t>
      </w:r>
      <w:r>
        <w:rPr>
          <w:spacing w:val="-4"/>
          <w:w w:val="105"/>
          <w:sz w:val="21"/>
        </w:rPr>
        <w:t> </w:t>
      </w:r>
      <w:r>
        <w:rPr>
          <w:w w:val="105"/>
          <w:sz w:val="21"/>
        </w:rPr>
        <w:t>scientific finding?.  Rev Bras Enferm. 2010</w:t>
      </w:r>
      <w:r>
        <w:rPr>
          <w:spacing w:val="-28"/>
          <w:w w:val="105"/>
          <w:sz w:val="21"/>
        </w:rPr>
        <w:t> </w:t>
      </w:r>
      <w:r>
        <w:rPr>
          <w:w w:val="105"/>
          <w:sz w:val="21"/>
        </w:rPr>
        <w:t>May-Jun;63(3):477-9.</w:t>
      </w:r>
    </w:p>
    <w:p>
      <w:pPr>
        <w:pStyle w:val="BodyText"/>
        <w:spacing w:before="3"/>
        <w:rPr>
          <w:sz w:val="18"/>
        </w:rPr>
      </w:pPr>
    </w:p>
    <w:p>
      <w:pPr>
        <w:pStyle w:val="ListParagraph"/>
        <w:numPr>
          <w:ilvl w:val="0"/>
          <w:numId w:val="5"/>
        </w:numPr>
        <w:tabs>
          <w:tab w:pos="506" w:val="left" w:leader="none"/>
        </w:tabs>
        <w:spacing w:line="372" w:lineRule="auto" w:before="0" w:after="0"/>
        <w:ind w:left="565" w:right="1781" w:hanging="426"/>
        <w:jc w:val="left"/>
        <w:rPr>
          <w:sz w:val="21"/>
        </w:rPr>
      </w:pPr>
      <w:r>
        <w:rPr>
          <w:w w:val="105"/>
          <w:sz w:val="21"/>
        </w:rPr>
        <w:t>Cutler WB. Lunar and menstrual phase locking. Am J Obstet</w:t>
      </w:r>
      <w:r>
        <w:rPr>
          <w:spacing w:val="-34"/>
          <w:w w:val="105"/>
          <w:sz w:val="21"/>
        </w:rPr>
        <w:t> </w:t>
      </w:r>
      <w:r>
        <w:rPr>
          <w:w w:val="105"/>
          <w:sz w:val="21"/>
        </w:rPr>
        <w:t>Gynecol. 1980;137(7):834-839.</w:t>
      </w:r>
    </w:p>
    <w:p>
      <w:pPr>
        <w:pStyle w:val="BodyText"/>
        <w:spacing w:before="3"/>
        <w:rPr>
          <w:sz w:val="18"/>
        </w:rPr>
      </w:pPr>
    </w:p>
    <w:p>
      <w:pPr>
        <w:pStyle w:val="ListParagraph"/>
        <w:numPr>
          <w:ilvl w:val="0"/>
          <w:numId w:val="5"/>
        </w:numPr>
        <w:tabs>
          <w:tab w:pos="506" w:val="left" w:leader="none"/>
        </w:tabs>
        <w:spacing w:line="240" w:lineRule="auto" w:before="0" w:after="0"/>
        <w:ind w:left="505" w:right="0" w:hanging="366"/>
        <w:jc w:val="left"/>
        <w:rPr>
          <w:sz w:val="21"/>
        </w:rPr>
      </w:pPr>
      <w:r>
        <w:rPr>
          <w:w w:val="105"/>
          <w:sz w:val="21"/>
        </w:rPr>
        <w:t>Friedmann E. Menstrual and lunar cycles. Am J Obstet Gynecol.</w:t>
      </w:r>
      <w:r>
        <w:rPr>
          <w:spacing w:val="-41"/>
          <w:w w:val="105"/>
          <w:sz w:val="21"/>
        </w:rPr>
        <w:t> </w:t>
      </w:r>
      <w:r>
        <w:rPr>
          <w:w w:val="105"/>
          <w:sz w:val="21"/>
        </w:rPr>
        <w:t>1981;140(3):350</w:t>
      </w:r>
    </w:p>
    <w:p>
      <w:pPr>
        <w:pStyle w:val="BodyText"/>
        <w:spacing w:before="10"/>
        <w:rPr>
          <w:sz w:val="29"/>
        </w:rPr>
      </w:pPr>
    </w:p>
    <w:p>
      <w:pPr>
        <w:pStyle w:val="ListParagraph"/>
        <w:numPr>
          <w:ilvl w:val="0"/>
          <w:numId w:val="5"/>
        </w:numPr>
        <w:tabs>
          <w:tab w:pos="506" w:val="left" w:leader="none"/>
        </w:tabs>
        <w:spacing w:line="372" w:lineRule="auto" w:before="0" w:after="0"/>
        <w:ind w:left="565" w:right="302" w:hanging="426"/>
        <w:jc w:val="left"/>
        <w:rPr>
          <w:sz w:val="21"/>
        </w:rPr>
      </w:pPr>
      <w:r>
        <w:rPr>
          <w:w w:val="105"/>
          <w:sz w:val="21"/>
        </w:rPr>
        <w:t>Owen</w:t>
      </w:r>
      <w:r>
        <w:rPr>
          <w:spacing w:val="-4"/>
          <w:w w:val="105"/>
          <w:sz w:val="21"/>
        </w:rPr>
        <w:t> </w:t>
      </w:r>
      <w:r>
        <w:rPr>
          <w:w w:val="105"/>
          <w:sz w:val="21"/>
        </w:rPr>
        <w:t>C,</w:t>
      </w:r>
      <w:r>
        <w:rPr>
          <w:spacing w:val="-5"/>
          <w:w w:val="105"/>
          <w:sz w:val="21"/>
        </w:rPr>
        <w:t> </w:t>
      </w:r>
      <w:r>
        <w:rPr>
          <w:w w:val="105"/>
          <w:sz w:val="21"/>
        </w:rPr>
        <w:t>Tarantello</w:t>
      </w:r>
      <w:r>
        <w:rPr>
          <w:spacing w:val="-4"/>
          <w:w w:val="105"/>
          <w:sz w:val="21"/>
        </w:rPr>
        <w:t> </w:t>
      </w:r>
      <w:r>
        <w:rPr>
          <w:w w:val="105"/>
          <w:sz w:val="21"/>
        </w:rPr>
        <w:t>C,</w:t>
      </w:r>
      <w:r>
        <w:rPr>
          <w:spacing w:val="-5"/>
          <w:w w:val="105"/>
          <w:sz w:val="21"/>
        </w:rPr>
        <w:t> </w:t>
      </w:r>
      <w:r>
        <w:rPr>
          <w:w w:val="105"/>
          <w:sz w:val="21"/>
        </w:rPr>
        <w:t>Jones</w:t>
      </w:r>
      <w:r>
        <w:rPr>
          <w:spacing w:val="-4"/>
          <w:w w:val="105"/>
          <w:sz w:val="21"/>
        </w:rPr>
        <w:t> </w:t>
      </w:r>
      <w:r>
        <w:rPr>
          <w:w w:val="105"/>
          <w:sz w:val="21"/>
        </w:rPr>
        <w:t>M,</w:t>
      </w:r>
      <w:r>
        <w:rPr>
          <w:spacing w:val="-5"/>
          <w:w w:val="105"/>
          <w:sz w:val="21"/>
        </w:rPr>
        <w:t> </w:t>
      </w:r>
      <w:r>
        <w:rPr>
          <w:w w:val="105"/>
          <w:sz w:val="21"/>
        </w:rPr>
        <w:t>Tennant</w:t>
      </w:r>
      <w:r>
        <w:rPr>
          <w:spacing w:val="-5"/>
          <w:w w:val="105"/>
          <w:sz w:val="21"/>
        </w:rPr>
        <w:t> </w:t>
      </w:r>
      <w:r>
        <w:rPr>
          <w:w w:val="105"/>
          <w:sz w:val="21"/>
        </w:rPr>
        <w:t>C.</w:t>
      </w:r>
      <w:r>
        <w:rPr>
          <w:spacing w:val="-5"/>
          <w:w w:val="105"/>
          <w:sz w:val="21"/>
        </w:rPr>
        <w:t> </w:t>
      </w:r>
      <w:r>
        <w:rPr>
          <w:w w:val="105"/>
          <w:sz w:val="21"/>
        </w:rPr>
        <w:t>Lunar</w:t>
      </w:r>
      <w:r>
        <w:rPr>
          <w:spacing w:val="-4"/>
          <w:w w:val="105"/>
          <w:sz w:val="21"/>
        </w:rPr>
        <w:t> </w:t>
      </w:r>
      <w:r>
        <w:rPr>
          <w:w w:val="105"/>
          <w:sz w:val="21"/>
        </w:rPr>
        <w:t>cycles</w:t>
      </w:r>
      <w:r>
        <w:rPr>
          <w:spacing w:val="-4"/>
          <w:w w:val="105"/>
          <w:sz w:val="21"/>
        </w:rPr>
        <w:t> </w:t>
      </w:r>
      <w:r>
        <w:rPr>
          <w:w w:val="105"/>
          <w:sz w:val="21"/>
        </w:rPr>
        <w:t>and</w:t>
      </w:r>
      <w:r>
        <w:rPr>
          <w:spacing w:val="-4"/>
          <w:w w:val="105"/>
          <w:sz w:val="21"/>
        </w:rPr>
        <w:t> </w:t>
      </w:r>
      <w:r>
        <w:rPr>
          <w:w w:val="105"/>
          <w:sz w:val="21"/>
        </w:rPr>
        <w:t>violent</w:t>
      </w:r>
      <w:r>
        <w:rPr>
          <w:spacing w:val="-5"/>
          <w:w w:val="105"/>
          <w:sz w:val="21"/>
        </w:rPr>
        <w:t> </w:t>
      </w:r>
      <w:r>
        <w:rPr>
          <w:w w:val="105"/>
          <w:sz w:val="21"/>
        </w:rPr>
        <w:t>behaviour.</w:t>
      </w:r>
      <w:r>
        <w:rPr>
          <w:spacing w:val="-5"/>
          <w:w w:val="105"/>
          <w:sz w:val="21"/>
        </w:rPr>
        <w:t> </w:t>
      </w:r>
      <w:r>
        <w:rPr>
          <w:w w:val="105"/>
          <w:sz w:val="21"/>
        </w:rPr>
        <w:t>Aust N Z J Psychiatry.</w:t>
      </w:r>
      <w:r>
        <w:rPr>
          <w:spacing w:val="-17"/>
          <w:w w:val="105"/>
          <w:sz w:val="21"/>
        </w:rPr>
        <w:t> </w:t>
      </w:r>
      <w:r>
        <w:rPr>
          <w:w w:val="105"/>
          <w:sz w:val="21"/>
        </w:rPr>
        <w:t>1998;32(4):496-499.</w:t>
      </w:r>
    </w:p>
    <w:p>
      <w:pPr>
        <w:pStyle w:val="BodyText"/>
        <w:spacing w:before="8"/>
        <w:rPr>
          <w:sz w:val="18"/>
        </w:rPr>
      </w:pPr>
    </w:p>
    <w:p>
      <w:pPr>
        <w:pStyle w:val="ListParagraph"/>
        <w:numPr>
          <w:ilvl w:val="0"/>
          <w:numId w:val="5"/>
        </w:numPr>
        <w:tabs>
          <w:tab w:pos="506" w:val="left" w:leader="none"/>
        </w:tabs>
        <w:spacing w:line="374" w:lineRule="auto" w:before="0" w:after="0"/>
        <w:ind w:left="565" w:right="228" w:hanging="426"/>
        <w:jc w:val="left"/>
        <w:rPr>
          <w:sz w:val="21"/>
        </w:rPr>
      </w:pPr>
      <w:r>
        <w:rPr>
          <w:w w:val="105"/>
          <w:sz w:val="21"/>
        </w:rPr>
        <w:t>Biermann T, Asemann R, McAuliffe C, Ströbel A, Keller J, Sperling W, et al. Relationship</w:t>
      </w:r>
      <w:r>
        <w:rPr>
          <w:spacing w:val="-5"/>
          <w:w w:val="105"/>
          <w:sz w:val="21"/>
        </w:rPr>
        <w:t> </w:t>
      </w:r>
      <w:r>
        <w:rPr>
          <w:w w:val="105"/>
          <w:sz w:val="21"/>
        </w:rPr>
        <w:t>between</w:t>
      </w:r>
      <w:r>
        <w:rPr>
          <w:spacing w:val="-5"/>
          <w:w w:val="105"/>
          <w:sz w:val="21"/>
        </w:rPr>
        <w:t> </w:t>
      </w:r>
      <w:r>
        <w:rPr>
          <w:w w:val="105"/>
          <w:sz w:val="21"/>
        </w:rPr>
        <w:t>lunar</w:t>
      </w:r>
      <w:r>
        <w:rPr>
          <w:spacing w:val="-5"/>
          <w:w w:val="105"/>
          <w:sz w:val="21"/>
        </w:rPr>
        <w:t> </w:t>
      </w:r>
      <w:r>
        <w:rPr>
          <w:w w:val="105"/>
          <w:sz w:val="21"/>
        </w:rPr>
        <w:t>phases</w:t>
      </w:r>
      <w:r>
        <w:rPr>
          <w:spacing w:val="-5"/>
          <w:w w:val="105"/>
          <w:sz w:val="21"/>
        </w:rPr>
        <w:t> </w:t>
      </w:r>
      <w:r>
        <w:rPr>
          <w:w w:val="105"/>
          <w:sz w:val="21"/>
        </w:rPr>
        <w:t>and</w:t>
      </w:r>
      <w:r>
        <w:rPr>
          <w:spacing w:val="-5"/>
          <w:w w:val="105"/>
          <w:sz w:val="21"/>
        </w:rPr>
        <w:t> </w:t>
      </w:r>
      <w:r>
        <w:rPr>
          <w:w w:val="105"/>
          <w:sz w:val="21"/>
        </w:rPr>
        <w:t>serious</w:t>
      </w:r>
      <w:r>
        <w:rPr>
          <w:spacing w:val="-5"/>
          <w:w w:val="105"/>
          <w:sz w:val="21"/>
        </w:rPr>
        <w:t> </w:t>
      </w:r>
      <w:r>
        <w:rPr>
          <w:w w:val="105"/>
          <w:sz w:val="21"/>
        </w:rPr>
        <w:t>crimes</w:t>
      </w:r>
      <w:r>
        <w:rPr>
          <w:spacing w:val="-5"/>
          <w:w w:val="105"/>
          <w:sz w:val="21"/>
        </w:rPr>
        <w:t> </w:t>
      </w:r>
      <w:r>
        <w:rPr>
          <w:w w:val="105"/>
          <w:sz w:val="21"/>
        </w:rPr>
        <w:t>of</w:t>
      </w:r>
      <w:r>
        <w:rPr>
          <w:spacing w:val="-6"/>
          <w:w w:val="105"/>
          <w:sz w:val="21"/>
        </w:rPr>
        <w:t> </w:t>
      </w:r>
      <w:r>
        <w:rPr>
          <w:w w:val="105"/>
          <w:sz w:val="21"/>
        </w:rPr>
        <w:t>battery:</w:t>
      </w:r>
      <w:r>
        <w:rPr>
          <w:spacing w:val="-6"/>
          <w:w w:val="105"/>
          <w:sz w:val="21"/>
        </w:rPr>
        <w:t> </w:t>
      </w:r>
      <w:r>
        <w:rPr>
          <w:w w:val="105"/>
          <w:sz w:val="21"/>
        </w:rPr>
        <w:t>a</w:t>
      </w:r>
      <w:r>
        <w:rPr>
          <w:spacing w:val="-5"/>
          <w:w w:val="105"/>
          <w:sz w:val="21"/>
        </w:rPr>
        <w:t> </w:t>
      </w:r>
      <w:r>
        <w:rPr>
          <w:w w:val="105"/>
          <w:sz w:val="21"/>
        </w:rPr>
        <w:t>population-based study. Compr Psychiatry.</w:t>
      </w:r>
      <w:r>
        <w:rPr>
          <w:spacing w:val="-21"/>
          <w:w w:val="105"/>
          <w:sz w:val="21"/>
        </w:rPr>
        <w:t> </w:t>
      </w:r>
      <w:r>
        <w:rPr>
          <w:w w:val="105"/>
          <w:sz w:val="21"/>
        </w:rPr>
        <w:t>2009;50(6):573-577</w:t>
      </w:r>
    </w:p>
    <w:p>
      <w:pPr>
        <w:pStyle w:val="BodyText"/>
        <w:spacing w:before="5"/>
        <w:rPr>
          <w:sz w:val="18"/>
        </w:rPr>
      </w:pPr>
    </w:p>
    <w:p>
      <w:pPr>
        <w:pStyle w:val="ListParagraph"/>
        <w:numPr>
          <w:ilvl w:val="0"/>
          <w:numId w:val="5"/>
        </w:numPr>
        <w:tabs>
          <w:tab w:pos="506" w:val="left" w:leader="none"/>
        </w:tabs>
        <w:spacing w:line="372" w:lineRule="auto" w:before="0" w:after="0"/>
        <w:ind w:left="565" w:right="1341" w:hanging="426"/>
        <w:jc w:val="left"/>
        <w:rPr>
          <w:sz w:val="21"/>
        </w:rPr>
      </w:pPr>
      <w:r>
        <w:rPr>
          <w:w w:val="105"/>
          <w:sz w:val="21"/>
        </w:rPr>
        <w:t>Calver LA, Stokes BJ, Isbister GK. The dark side of the moon. Med J</w:t>
      </w:r>
      <w:r>
        <w:rPr>
          <w:spacing w:val="-39"/>
          <w:w w:val="105"/>
          <w:sz w:val="21"/>
        </w:rPr>
        <w:t> </w:t>
      </w:r>
      <w:r>
        <w:rPr>
          <w:w w:val="105"/>
          <w:sz w:val="21"/>
        </w:rPr>
        <w:t>Aust. 2009;191(11-12):692-694</w:t>
      </w:r>
    </w:p>
    <w:p>
      <w:pPr>
        <w:pStyle w:val="BodyText"/>
        <w:spacing w:before="3"/>
        <w:rPr>
          <w:sz w:val="18"/>
        </w:rPr>
      </w:pPr>
    </w:p>
    <w:p>
      <w:pPr>
        <w:pStyle w:val="ListParagraph"/>
        <w:numPr>
          <w:ilvl w:val="0"/>
          <w:numId w:val="5"/>
        </w:numPr>
        <w:tabs>
          <w:tab w:pos="506" w:val="left" w:leader="none"/>
        </w:tabs>
        <w:spacing w:line="374" w:lineRule="auto" w:before="0" w:after="0"/>
        <w:ind w:left="565" w:right="499" w:hanging="426"/>
        <w:jc w:val="left"/>
        <w:rPr>
          <w:sz w:val="21"/>
        </w:rPr>
      </w:pPr>
      <w:r>
        <w:rPr>
          <w:w w:val="105"/>
          <w:sz w:val="21"/>
        </w:rPr>
        <w:t>Jaumann</w:t>
      </w:r>
      <w:r>
        <w:rPr>
          <w:spacing w:val="-3"/>
          <w:w w:val="105"/>
          <w:sz w:val="21"/>
        </w:rPr>
        <w:t> </w:t>
      </w:r>
      <w:r>
        <w:rPr>
          <w:w w:val="105"/>
          <w:sz w:val="21"/>
        </w:rPr>
        <w:t>R,</w:t>
      </w:r>
      <w:r>
        <w:rPr>
          <w:spacing w:val="-4"/>
          <w:w w:val="105"/>
          <w:sz w:val="21"/>
        </w:rPr>
        <w:t> </w:t>
      </w:r>
      <w:r>
        <w:rPr>
          <w:w w:val="105"/>
          <w:sz w:val="21"/>
        </w:rPr>
        <w:t>Hiesinger</w:t>
      </w:r>
      <w:r>
        <w:rPr>
          <w:spacing w:val="-3"/>
          <w:w w:val="105"/>
          <w:sz w:val="21"/>
        </w:rPr>
        <w:t> </w:t>
      </w:r>
      <w:r>
        <w:rPr>
          <w:w w:val="105"/>
          <w:sz w:val="21"/>
        </w:rPr>
        <w:t>H,</w:t>
      </w:r>
      <w:r>
        <w:rPr>
          <w:spacing w:val="-4"/>
          <w:w w:val="105"/>
          <w:sz w:val="21"/>
        </w:rPr>
        <w:t> </w:t>
      </w:r>
      <w:r>
        <w:rPr>
          <w:w w:val="105"/>
          <w:sz w:val="21"/>
        </w:rPr>
        <w:t>Anand</w:t>
      </w:r>
      <w:r>
        <w:rPr>
          <w:spacing w:val="-2"/>
          <w:w w:val="105"/>
          <w:sz w:val="21"/>
        </w:rPr>
        <w:t> </w:t>
      </w:r>
      <w:r>
        <w:rPr>
          <w:w w:val="105"/>
          <w:sz w:val="21"/>
        </w:rPr>
        <w:t>M,</w:t>
      </w:r>
      <w:r>
        <w:rPr>
          <w:spacing w:val="-4"/>
          <w:w w:val="105"/>
          <w:sz w:val="21"/>
        </w:rPr>
        <w:t> </w:t>
      </w:r>
      <w:r>
        <w:rPr>
          <w:w w:val="105"/>
          <w:sz w:val="21"/>
        </w:rPr>
        <w:t>Crawford</w:t>
      </w:r>
      <w:r>
        <w:rPr>
          <w:spacing w:val="-3"/>
          <w:w w:val="105"/>
          <w:sz w:val="21"/>
        </w:rPr>
        <w:t> </w:t>
      </w:r>
      <w:r>
        <w:rPr>
          <w:w w:val="105"/>
          <w:sz w:val="21"/>
        </w:rPr>
        <w:t>IA,</w:t>
      </w:r>
      <w:r>
        <w:rPr>
          <w:spacing w:val="-4"/>
          <w:w w:val="105"/>
          <w:sz w:val="21"/>
        </w:rPr>
        <w:t> </w:t>
      </w:r>
      <w:r>
        <w:rPr>
          <w:w w:val="105"/>
          <w:sz w:val="21"/>
        </w:rPr>
        <w:t>Wagner</w:t>
      </w:r>
      <w:r>
        <w:rPr>
          <w:spacing w:val="-3"/>
          <w:w w:val="105"/>
          <w:sz w:val="21"/>
        </w:rPr>
        <w:t> </w:t>
      </w:r>
      <w:r>
        <w:rPr>
          <w:w w:val="105"/>
          <w:sz w:val="21"/>
        </w:rPr>
        <w:t>R,</w:t>
      </w:r>
      <w:r>
        <w:rPr>
          <w:spacing w:val="-4"/>
          <w:w w:val="105"/>
          <w:sz w:val="21"/>
        </w:rPr>
        <w:t> </w:t>
      </w:r>
      <w:r>
        <w:rPr>
          <w:w w:val="105"/>
          <w:sz w:val="21"/>
        </w:rPr>
        <w:t>Sohl</w:t>
      </w:r>
      <w:r>
        <w:rPr>
          <w:spacing w:val="-4"/>
          <w:w w:val="105"/>
          <w:sz w:val="21"/>
        </w:rPr>
        <w:t> </w:t>
      </w:r>
      <w:r>
        <w:rPr>
          <w:w w:val="105"/>
          <w:sz w:val="21"/>
        </w:rPr>
        <w:t>F,</w:t>
      </w:r>
      <w:r>
        <w:rPr>
          <w:spacing w:val="-4"/>
          <w:w w:val="105"/>
          <w:sz w:val="21"/>
        </w:rPr>
        <w:t> </w:t>
      </w:r>
      <w:r>
        <w:rPr>
          <w:w w:val="105"/>
          <w:sz w:val="21"/>
        </w:rPr>
        <w:t>et</w:t>
      </w:r>
      <w:r>
        <w:rPr>
          <w:spacing w:val="-4"/>
          <w:w w:val="105"/>
          <w:sz w:val="21"/>
        </w:rPr>
        <w:t> </w:t>
      </w:r>
      <w:r>
        <w:rPr>
          <w:w w:val="105"/>
          <w:sz w:val="21"/>
        </w:rPr>
        <w:t>al.</w:t>
      </w:r>
      <w:r>
        <w:rPr>
          <w:spacing w:val="-4"/>
          <w:w w:val="105"/>
          <w:sz w:val="21"/>
        </w:rPr>
        <w:t> </w:t>
      </w:r>
      <w:r>
        <w:rPr>
          <w:w w:val="105"/>
          <w:sz w:val="21"/>
        </w:rPr>
        <w:t>Geology, geochemistry, and geophysics of the Moon: Status of current understanding. Planetary and Space Science</w:t>
      </w:r>
      <w:r>
        <w:rPr>
          <w:spacing w:val="-22"/>
          <w:w w:val="105"/>
          <w:sz w:val="21"/>
        </w:rPr>
        <w:t> </w:t>
      </w:r>
      <w:r>
        <w:rPr>
          <w:w w:val="105"/>
          <w:sz w:val="21"/>
        </w:rPr>
        <w:t>2012;74(1):15-41</w:t>
      </w:r>
    </w:p>
    <w:p>
      <w:pPr>
        <w:pStyle w:val="BodyText"/>
        <w:spacing w:before="5"/>
        <w:rPr>
          <w:sz w:val="18"/>
        </w:rPr>
      </w:pPr>
    </w:p>
    <w:p>
      <w:pPr>
        <w:pStyle w:val="ListParagraph"/>
        <w:numPr>
          <w:ilvl w:val="0"/>
          <w:numId w:val="5"/>
        </w:numPr>
        <w:tabs>
          <w:tab w:pos="506" w:val="left" w:leader="none"/>
        </w:tabs>
        <w:spacing w:line="372" w:lineRule="auto" w:before="0" w:after="0"/>
        <w:ind w:left="565" w:right="227" w:hanging="426"/>
        <w:jc w:val="left"/>
        <w:rPr>
          <w:sz w:val="21"/>
        </w:rPr>
      </w:pPr>
      <w:r>
        <w:rPr>
          <w:w w:val="105"/>
          <w:sz w:val="21"/>
        </w:rPr>
        <w:t>Coughenour</w:t>
      </w:r>
      <w:r>
        <w:rPr>
          <w:spacing w:val="-4"/>
          <w:w w:val="105"/>
          <w:sz w:val="21"/>
        </w:rPr>
        <w:t> </w:t>
      </w:r>
      <w:r>
        <w:rPr>
          <w:w w:val="105"/>
          <w:sz w:val="21"/>
        </w:rPr>
        <w:t>CL,</w:t>
      </w:r>
      <w:r>
        <w:rPr>
          <w:spacing w:val="-5"/>
          <w:w w:val="105"/>
          <w:sz w:val="21"/>
        </w:rPr>
        <w:t> </w:t>
      </w:r>
      <w:r>
        <w:rPr>
          <w:w w:val="105"/>
          <w:sz w:val="21"/>
        </w:rPr>
        <w:t>Archer</w:t>
      </w:r>
      <w:r>
        <w:rPr>
          <w:spacing w:val="-4"/>
          <w:w w:val="105"/>
          <w:sz w:val="21"/>
        </w:rPr>
        <w:t> </w:t>
      </w:r>
      <w:r>
        <w:rPr>
          <w:w w:val="105"/>
          <w:sz w:val="21"/>
        </w:rPr>
        <w:t>AW,</w:t>
      </w:r>
      <w:r>
        <w:rPr>
          <w:spacing w:val="-5"/>
          <w:w w:val="105"/>
          <w:sz w:val="21"/>
        </w:rPr>
        <w:t> </w:t>
      </w:r>
      <w:r>
        <w:rPr>
          <w:w w:val="105"/>
          <w:sz w:val="21"/>
        </w:rPr>
        <w:t>Lacovara</w:t>
      </w:r>
      <w:r>
        <w:rPr>
          <w:spacing w:val="-4"/>
          <w:w w:val="105"/>
          <w:sz w:val="21"/>
        </w:rPr>
        <w:t> </w:t>
      </w:r>
      <w:r>
        <w:rPr>
          <w:w w:val="105"/>
          <w:sz w:val="21"/>
        </w:rPr>
        <w:t>KJ.</w:t>
      </w:r>
      <w:r>
        <w:rPr>
          <w:spacing w:val="-5"/>
          <w:w w:val="105"/>
          <w:sz w:val="21"/>
        </w:rPr>
        <w:t> </w:t>
      </w:r>
      <w:r>
        <w:rPr>
          <w:w w:val="105"/>
          <w:sz w:val="21"/>
        </w:rPr>
        <w:t>Tides,</w:t>
      </w:r>
      <w:r>
        <w:rPr>
          <w:spacing w:val="-5"/>
          <w:w w:val="105"/>
          <w:sz w:val="21"/>
        </w:rPr>
        <w:t> </w:t>
      </w:r>
      <w:r>
        <w:rPr>
          <w:w w:val="105"/>
          <w:sz w:val="21"/>
        </w:rPr>
        <w:t>tidalites,</w:t>
      </w:r>
      <w:r>
        <w:rPr>
          <w:spacing w:val="-5"/>
          <w:w w:val="105"/>
          <w:sz w:val="21"/>
        </w:rPr>
        <w:t> </w:t>
      </w:r>
      <w:r>
        <w:rPr>
          <w:w w:val="105"/>
          <w:sz w:val="21"/>
        </w:rPr>
        <w:t>and</w:t>
      </w:r>
      <w:r>
        <w:rPr>
          <w:spacing w:val="-4"/>
          <w:w w:val="105"/>
          <w:sz w:val="21"/>
        </w:rPr>
        <w:t> </w:t>
      </w:r>
      <w:r>
        <w:rPr>
          <w:w w:val="105"/>
          <w:sz w:val="21"/>
        </w:rPr>
        <w:t>secular</w:t>
      </w:r>
      <w:r>
        <w:rPr>
          <w:spacing w:val="-4"/>
          <w:w w:val="105"/>
          <w:sz w:val="21"/>
        </w:rPr>
        <w:t> </w:t>
      </w:r>
      <w:r>
        <w:rPr>
          <w:w w:val="105"/>
          <w:sz w:val="21"/>
        </w:rPr>
        <w:t>changes</w:t>
      </w:r>
      <w:r>
        <w:rPr>
          <w:spacing w:val="-4"/>
          <w:w w:val="105"/>
          <w:sz w:val="21"/>
        </w:rPr>
        <w:t> </w:t>
      </w:r>
      <w:r>
        <w:rPr>
          <w:w w:val="105"/>
          <w:sz w:val="21"/>
        </w:rPr>
        <w:t>in</w:t>
      </w:r>
      <w:r>
        <w:rPr>
          <w:spacing w:val="-4"/>
          <w:w w:val="105"/>
          <w:sz w:val="21"/>
        </w:rPr>
        <w:t> </w:t>
      </w:r>
      <w:r>
        <w:rPr>
          <w:w w:val="105"/>
          <w:sz w:val="21"/>
        </w:rPr>
        <w:t>the Earth–Moon system. Earth-Science Reviews 2009;97(1–4):</w:t>
      </w:r>
      <w:r>
        <w:rPr>
          <w:spacing w:val="-34"/>
          <w:w w:val="105"/>
          <w:sz w:val="21"/>
        </w:rPr>
        <w:t> </w:t>
      </w:r>
      <w:r>
        <w:rPr>
          <w:w w:val="105"/>
          <w:sz w:val="21"/>
        </w:rPr>
        <w:t>59-79.</w:t>
      </w:r>
    </w:p>
    <w:p>
      <w:pPr>
        <w:pStyle w:val="BodyText"/>
        <w:spacing w:before="8"/>
        <w:rPr>
          <w:sz w:val="18"/>
        </w:rPr>
      </w:pPr>
    </w:p>
    <w:p>
      <w:pPr>
        <w:pStyle w:val="ListParagraph"/>
        <w:numPr>
          <w:ilvl w:val="0"/>
          <w:numId w:val="5"/>
        </w:numPr>
        <w:tabs>
          <w:tab w:pos="506" w:val="left" w:leader="none"/>
        </w:tabs>
        <w:spacing w:line="372" w:lineRule="auto" w:before="0" w:after="0"/>
        <w:ind w:left="565" w:right="205" w:hanging="426"/>
        <w:jc w:val="left"/>
        <w:rPr>
          <w:sz w:val="21"/>
        </w:rPr>
      </w:pPr>
      <w:r>
        <w:rPr>
          <w:w w:val="105"/>
          <w:sz w:val="21"/>
        </w:rPr>
        <w:t>Kronfeld-Schor</w:t>
      </w:r>
      <w:r>
        <w:rPr>
          <w:spacing w:val="-4"/>
          <w:w w:val="105"/>
          <w:sz w:val="21"/>
        </w:rPr>
        <w:t> </w:t>
      </w:r>
      <w:r>
        <w:rPr>
          <w:w w:val="105"/>
          <w:sz w:val="21"/>
        </w:rPr>
        <w:t>N,</w:t>
      </w:r>
      <w:r>
        <w:rPr>
          <w:spacing w:val="-4"/>
          <w:w w:val="105"/>
          <w:sz w:val="21"/>
        </w:rPr>
        <w:t> </w:t>
      </w:r>
      <w:r>
        <w:rPr>
          <w:w w:val="105"/>
          <w:sz w:val="21"/>
        </w:rPr>
        <w:t>Dominoni</w:t>
      </w:r>
      <w:r>
        <w:rPr>
          <w:spacing w:val="-5"/>
          <w:w w:val="105"/>
          <w:sz w:val="21"/>
        </w:rPr>
        <w:t> </w:t>
      </w:r>
      <w:r>
        <w:rPr>
          <w:w w:val="105"/>
          <w:sz w:val="21"/>
        </w:rPr>
        <w:t>D,</w:t>
      </w:r>
      <w:r>
        <w:rPr>
          <w:spacing w:val="-4"/>
          <w:w w:val="105"/>
          <w:sz w:val="21"/>
        </w:rPr>
        <w:t> </w:t>
      </w:r>
      <w:r>
        <w:rPr>
          <w:w w:val="105"/>
          <w:sz w:val="21"/>
        </w:rPr>
        <w:t>de</w:t>
      </w:r>
      <w:r>
        <w:rPr>
          <w:spacing w:val="-3"/>
          <w:w w:val="105"/>
          <w:sz w:val="21"/>
        </w:rPr>
        <w:t> </w:t>
      </w:r>
      <w:r>
        <w:rPr>
          <w:w w:val="105"/>
          <w:sz w:val="21"/>
        </w:rPr>
        <w:t>la</w:t>
      </w:r>
      <w:r>
        <w:rPr>
          <w:spacing w:val="-3"/>
          <w:w w:val="105"/>
          <w:sz w:val="21"/>
        </w:rPr>
        <w:t> </w:t>
      </w:r>
      <w:r>
        <w:rPr>
          <w:w w:val="105"/>
          <w:sz w:val="21"/>
        </w:rPr>
        <w:t>Iglesia</w:t>
      </w:r>
      <w:r>
        <w:rPr>
          <w:spacing w:val="-3"/>
          <w:w w:val="105"/>
          <w:sz w:val="21"/>
        </w:rPr>
        <w:t> </w:t>
      </w:r>
      <w:r>
        <w:rPr>
          <w:w w:val="105"/>
          <w:sz w:val="21"/>
        </w:rPr>
        <w:t>H,</w:t>
      </w:r>
      <w:r>
        <w:rPr>
          <w:spacing w:val="-4"/>
          <w:w w:val="105"/>
          <w:sz w:val="21"/>
        </w:rPr>
        <w:t> </w:t>
      </w:r>
      <w:r>
        <w:rPr>
          <w:w w:val="105"/>
          <w:sz w:val="21"/>
        </w:rPr>
        <w:t>Levy</w:t>
      </w:r>
      <w:r>
        <w:rPr>
          <w:spacing w:val="-4"/>
          <w:w w:val="105"/>
          <w:sz w:val="21"/>
        </w:rPr>
        <w:t> </w:t>
      </w:r>
      <w:r>
        <w:rPr>
          <w:w w:val="105"/>
          <w:sz w:val="21"/>
        </w:rPr>
        <w:t>O,</w:t>
      </w:r>
      <w:r>
        <w:rPr>
          <w:spacing w:val="-4"/>
          <w:w w:val="105"/>
          <w:sz w:val="21"/>
        </w:rPr>
        <w:t> </w:t>
      </w:r>
      <w:r>
        <w:rPr>
          <w:w w:val="105"/>
          <w:sz w:val="21"/>
        </w:rPr>
        <w:t>Herzog</w:t>
      </w:r>
      <w:r>
        <w:rPr>
          <w:spacing w:val="-3"/>
          <w:w w:val="105"/>
          <w:sz w:val="21"/>
        </w:rPr>
        <w:t> </w:t>
      </w:r>
      <w:r>
        <w:rPr>
          <w:w w:val="105"/>
          <w:sz w:val="21"/>
        </w:rPr>
        <w:t>ED,</w:t>
      </w:r>
      <w:r>
        <w:rPr>
          <w:spacing w:val="-4"/>
          <w:w w:val="105"/>
          <w:sz w:val="21"/>
        </w:rPr>
        <w:t> </w:t>
      </w:r>
      <w:r>
        <w:rPr>
          <w:w w:val="105"/>
          <w:sz w:val="21"/>
        </w:rPr>
        <w:t>Dayan</w:t>
      </w:r>
      <w:r>
        <w:rPr>
          <w:spacing w:val="-3"/>
          <w:w w:val="105"/>
          <w:sz w:val="21"/>
        </w:rPr>
        <w:t> </w:t>
      </w:r>
      <w:r>
        <w:rPr>
          <w:w w:val="105"/>
          <w:sz w:val="21"/>
        </w:rPr>
        <w:t>T,</w:t>
      </w:r>
      <w:r>
        <w:rPr>
          <w:spacing w:val="-4"/>
          <w:w w:val="105"/>
          <w:sz w:val="21"/>
        </w:rPr>
        <w:t> </w:t>
      </w:r>
      <w:r>
        <w:rPr>
          <w:w w:val="105"/>
          <w:sz w:val="21"/>
        </w:rPr>
        <w:t>Helfrich- Forster C. Chronobiology by moonlight. Proc Biol Sci.</w:t>
      </w:r>
      <w:r>
        <w:rPr>
          <w:spacing w:val="-41"/>
          <w:w w:val="105"/>
          <w:sz w:val="21"/>
        </w:rPr>
        <w:t> </w:t>
      </w:r>
      <w:r>
        <w:rPr>
          <w:w w:val="105"/>
          <w:sz w:val="21"/>
        </w:rPr>
        <w:t>2013;280(1765):20123088</w:t>
      </w:r>
    </w:p>
    <w:p>
      <w:pPr>
        <w:spacing w:after="0" w:line="372" w:lineRule="auto"/>
        <w:jc w:val="left"/>
        <w:rPr>
          <w:sz w:val="21"/>
        </w:rPr>
        <w:sectPr>
          <w:pgSz w:w="12240" w:h="15840"/>
          <w:pgMar w:header="1209" w:footer="1234" w:top="1400" w:bottom="1420" w:left="1560" w:right="1580"/>
        </w:sectPr>
      </w:pPr>
    </w:p>
    <w:p>
      <w:pPr>
        <w:pStyle w:val="ListParagraph"/>
        <w:numPr>
          <w:ilvl w:val="0"/>
          <w:numId w:val="5"/>
        </w:numPr>
        <w:tabs>
          <w:tab w:pos="506" w:val="left" w:leader="none"/>
        </w:tabs>
        <w:spacing w:line="372" w:lineRule="auto" w:before="16" w:after="0"/>
        <w:ind w:left="565" w:right="328" w:hanging="426"/>
        <w:jc w:val="left"/>
        <w:rPr>
          <w:sz w:val="21"/>
        </w:rPr>
      </w:pPr>
      <w:r>
        <w:rPr>
          <w:w w:val="105"/>
          <w:sz w:val="21"/>
        </w:rPr>
        <w:t>Penteriani</w:t>
      </w:r>
      <w:r>
        <w:rPr>
          <w:spacing w:val="-5"/>
          <w:w w:val="105"/>
          <w:sz w:val="21"/>
        </w:rPr>
        <w:t> </w:t>
      </w:r>
      <w:r>
        <w:rPr>
          <w:w w:val="105"/>
          <w:sz w:val="21"/>
        </w:rPr>
        <w:t>V,</w:t>
      </w:r>
      <w:r>
        <w:rPr>
          <w:spacing w:val="-5"/>
          <w:w w:val="105"/>
          <w:sz w:val="21"/>
        </w:rPr>
        <w:t> </w:t>
      </w:r>
      <w:r>
        <w:rPr>
          <w:w w:val="105"/>
          <w:sz w:val="21"/>
        </w:rPr>
        <w:t>Delgado</w:t>
      </w:r>
      <w:r>
        <w:rPr>
          <w:spacing w:val="-3"/>
          <w:w w:val="105"/>
          <w:sz w:val="21"/>
        </w:rPr>
        <w:t> </w:t>
      </w:r>
      <w:r>
        <w:rPr>
          <w:w w:val="105"/>
          <w:sz w:val="21"/>
        </w:rPr>
        <w:t>Mdel</w:t>
      </w:r>
      <w:r>
        <w:rPr>
          <w:spacing w:val="-5"/>
          <w:w w:val="105"/>
          <w:sz w:val="21"/>
        </w:rPr>
        <w:t> </w:t>
      </w:r>
      <w:r>
        <w:rPr>
          <w:w w:val="105"/>
          <w:sz w:val="21"/>
        </w:rPr>
        <w:t>M,</w:t>
      </w:r>
      <w:r>
        <w:rPr>
          <w:spacing w:val="-5"/>
          <w:w w:val="105"/>
          <w:sz w:val="21"/>
        </w:rPr>
        <w:t> </w:t>
      </w:r>
      <w:r>
        <w:rPr>
          <w:w w:val="105"/>
          <w:sz w:val="21"/>
        </w:rPr>
        <w:t>Campioni</w:t>
      </w:r>
      <w:r>
        <w:rPr>
          <w:spacing w:val="-5"/>
          <w:w w:val="105"/>
          <w:sz w:val="21"/>
        </w:rPr>
        <w:t> </w:t>
      </w:r>
      <w:r>
        <w:rPr>
          <w:w w:val="105"/>
          <w:sz w:val="21"/>
        </w:rPr>
        <w:t>L,</w:t>
      </w:r>
      <w:r>
        <w:rPr>
          <w:spacing w:val="-5"/>
          <w:w w:val="105"/>
          <w:sz w:val="21"/>
        </w:rPr>
        <w:t> </w:t>
      </w:r>
      <w:r>
        <w:rPr>
          <w:w w:val="105"/>
          <w:sz w:val="21"/>
        </w:rPr>
        <w:t>Lourenço</w:t>
      </w:r>
      <w:r>
        <w:rPr>
          <w:spacing w:val="-4"/>
          <w:w w:val="105"/>
          <w:sz w:val="21"/>
        </w:rPr>
        <w:t> </w:t>
      </w:r>
      <w:r>
        <w:rPr>
          <w:w w:val="105"/>
          <w:sz w:val="21"/>
        </w:rPr>
        <w:t>R.</w:t>
      </w:r>
      <w:r>
        <w:rPr>
          <w:spacing w:val="-5"/>
          <w:w w:val="105"/>
          <w:sz w:val="21"/>
        </w:rPr>
        <w:t> </w:t>
      </w:r>
      <w:r>
        <w:rPr>
          <w:w w:val="105"/>
          <w:sz w:val="21"/>
        </w:rPr>
        <w:t>Moonlight</w:t>
      </w:r>
      <w:r>
        <w:rPr>
          <w:spacing w:val="-5"/>
          <w:w w:val="105"/>
          <w:sz w:val="21"/>
        </w:rPr>
        <w:t> </w:t>
      </w:r>
      <w:r>
        <w:rPr>
          <w:w w:val="105"/>
          <w:sz w:val="21"/>
        </w:rPr>
        <w:t>makes</w:t>
      </w:r>
      <w:r>
        <w:rPr>
          <w:spacing w:val="-4"/>
          <w:w w:val="105"/>
          <w:sz w:val="21"/>
        </w:rPr>
        <w:t> </w:t>
      </w:r>
      <w:r>
        <w:rPr>
          <w:w w:val="105"/>
          <w:sz w:val="21"/>
        </w:rPr>
        <w:t>owls</w:t>
      </w:r>
      <w:r>
        <w:rPr>
          <w:spacing w:val="-4"/>
          <w:w w:val="105"/>
          <w:sz w:val="21"/>
        </w:rPr>
        <w:t> </w:t>
      </w:r>
      <w:r>
        <w:rPr>
          <w:w w:val="105"/>
          <w:sz w:val="21"/>
        </w:rPr>
        <w:t>more chatty. PLoS One. 2010 Jan</w:t>
      </w:r>
      <w:r>
        <w:rPr>
          <w:spacing w:val="-19"/>
          <w:w w:val="105"/>
          <w:sz w:val="21"/>
        </w:rPr>
        <w:t> </w:t>
      </w:r>
      <w:r>
        <w:rPr>
          <w:w w:val="105"/>
          <w:sz w:val="21"/>
        </w:rPr>
        <w:t>20;5(1):e8696</w:t>
      </w:r>
    </w:p>
    <w:p>
      <w:pPr>
        <w:pStyle w:val="BodyText"/>
        <w:spacing w:before="8"/>
        <w:rPr>
          <w:sz w:val="18"/>
        </w:rPr>
      </w:pPr>
    </w:p>
    <w:p>
      <w:pPr>
        <w:pStyle w:val="ListParagraph"/>
        <w:numPr>
          <w:ilvl w:val="0"/>
          <w:numId w:val="5"/>
        </w:numPr>
        <w:tabs>
          <w:tab w:pos="506" w:val="left" w:leader="none"/>
        </w:tabs>
        <w:spacing w:line="372" w:lineRule="auto" w:before="0" w:after="0"/>
        <w:ind w:left="565" w:right="730" w:hanging="426"/>
        <w:jc w:val="left"/>
        <w:rPr>
          <w:sz w:val="21"/>
        </w:rPr>
      </w:pPr>
      <w:r>
        <w:rPr>
          <w:w w:val="105"/>
          <w:sz w:val="21"/>
        </w:rPr>
        <w:t>Veilleux CC, Cummings ME. Nocturnal light environments and species ecology: implications</w:t>
      </w:r>
      <w:r>
        <w:rPr>
          <w:spacing w:val="-5"/>
          <w:w w:val="105"/>
          <w:sz w:val="21"/>
        </w:rPr>
        <w:t> </w:t>
      </w:r>
      <w:r>
        <w:rPr>
          <w:w w:val="105"/>
          <w:sz w:val="21"/>
        </w:rPr>
        <w:t>for</w:t>
      </w:r>
      <w:r>
        <w:rPr>
          <w:spacing w:val="-5"/>
          <w:w w:val="105"/>
          <w:sz w:val="21"/>
        </w:rPr>
        <w:t> </w:t>
      </w:r>
      <w:r>
        <w:rPr>
          <w:w w:val="105"/>
          <w:sz w:val="21"/>
        </w:rPr>
        <w:t>nocturnal</w:t>
      </w:r>
      <w:r>
        <w:rPr>
          <w:spacing w:val="-6"/>
          <w:w w:val="105"/>
          <w:sz w:val="21"/>
        </w:rPr>
        <w:t> </w:t>
      </w:r>
      <w:r>
        <w:rPr>
          <w:w w:val="105"/>
          <w:sz w:val="21"/>
        </w:rPr>
        <w:t>color</w:t>
      </w:r>
      <w:r>
        <w:rPr>
          <w:spacing w:val="-5"/>
          <w:w w:val="105"/>
          <w:sz w:val="21"/>
        </w:rPr>
        <w:t> </w:t>
      </w:r>
      <w:r>
        <w:rPr>
          <w:w w:val="105"/>
          <w:sz w:val="21"/>
        </w:rPr>
        <w:t>vision</w:t>
      </w:r>
      <w:r>
        <w:rPr>
          <w:spacing w:val="-4"/>
          <w:w w:val="105"/>
          <w:sz w:val="21"/>
        </w:rPr>
        <w:t> </w:t>
      </w:r>
      <w:r>
        <w:rPr>
          <w:w w:val="105"/>
          <w:sz w:val="21"/>
        </w:rPr>
        <w:t>in</w:t>
      </w:r>
      <w:r>
        <w:rPr>
          <w:spacing w:val="-4"/>
          <w:w w:val="105"/>
          <w:sz w:val="21"/>
        </w:rPr>
        <w:t> </w:t>
      </w:r>
      <w:r>
        <w:rPr>
          <w:w w:val="105"/>
          <w:sz w:val="21"/>
        </w:rPr>
        <w:t>forests.</w:t>
      </w:r>
      <w:r>
        <w:rPr>
          <w:spacing w:val="-7"/>
          <w:w w:val="105"/>
          <w:sz w:val="21"/>
        </w:rPr>
        <w:t> </w:t>
      </w:r>
      <w:r>
        <w:rPr>
          <w:w w:val="105"/>
          <w:sz w:val="21"/>
        </w:rPr>
        <w:t>J</w:t>
      </w:r>
      <w:r>
        <w:rPr>
          <w:spacing w:val="-5"/>
          <w:w w:val="105"/>
          <w:sz w:val="21"/>
        </w:rPr>
        <w:t> </w:t>
      </w:r>
      <w:r>
        <w:rPr>
          <w:w w:val="105"/>
          <w:sz w:val="21"/>
        </w:rPr>
        <w:t>Exp</w:t>
      </w:r>
      <w:r>
        <w:rPr>
          <w:spacing w:val="-4"/>
          <w:w w:val="105"/>
          <w:sz w:val="21"/>
        </w:rPr>
        <w:t> </w:t>
      </w:r>
      <w:r>
        <w:rPr>
          <w:w w:val="105"/>
          <w:sz w:val="21"/>
        </w:rPr>
        <w:t>Biol.</w:t>
      </w:r>
      <w:r>
        <w:rPr>
          <w:spacing w:val="-5"/>
          <w:w w:val="105"/>
          <w:sz w:val="21"/>
        </w:rPr>
        <w:t> </w:t>
      </w:r>
      <w:r>
        <w:rPr>
          <w:w w:val="105"/>
          <w:sz w:val="21"/>
        </w:rPr>
        <w:t>2012;215:4085-4096</w:t>
      </w:r>
    </w:p>
    <w:p>
      <w:pPr>
        <w:pStyle w:val="BodyText"/>
        <w:spacing w:before="8"/>
        <w:rPr>
          <w:sz w:val="18"/>
        </w:rPr>
      </w:pPr>
    </w:p>
    <w:p>
      <w:pPr>
        <w:pStyle w:val="ListParagraph"/>
        <w:numPr>
          <w:ilvl w:val="0"/>
          <w:numId w:val="5"/>
        </w:numPr>
        <w:tabs>
          <w:tab w:pos="506" w:val="left" w:leader="none"/>
        </w:tabs>
        <w:spacing w:line="374" w:lineRule="auto" w:before="0" w:after="0"/>
        <w:ind w:left="565" w:right="486" w:hanging="426"/>
        <w:jc w:val="left"/>
        <w:rPr>
          <w:sz w:val="21"/>
        </w:rPr>
      </w:pPr>
      <w:r>
        <w:rPr>
          <w:w w:val="105"/>
          <w:sz w:val="21"/>
        </w:rPr>
        <w:t>Veilleux CC, Louis EE Jr, Bolnick DA. Nocturnal light environments influence color vision</w:t>
      </w:r>
      <w:r>
        <w:rPr>
          <w:spacing w:val="-4"/>
          <w:w w:val="105"/>
          <w:sz w:val="21"/>
        </w:rPr>
        <w:t> </w:t>
      </w:r>
      <w:r>
        <w:rPr>
          <w:w w:val="105"/>
          <w:sz w:val="21"/>
        </w:rPr>
        <w:t>and</w:t>
      </w:r>
      <w:r>
        <w:rPr>
          <w:spacing w:val="-4"/>
          <w:w w:val="105"/>
          <w:sz w:val="21"/>
        </w:rPr>
        <w:t> </w:t>
      </w:r>
      <w:r>
        <w:rPr>
          <w:w w:val="105"/>
          <w:sz w:val="21"/>
        </w:rPr>
        <w:t>signatures</w:t>
      </w:r>
      <w:r>
        <w:rPr>
          <w:spacing w:val="-5"/>
          <w:w w:val="105"/>
          <w:sz w:val="21"/>
        </w:rPr>
        <w:t> </w:t>
      </w:r>
      <w:r>
        <w:rPr>
          <w:w w:val="105"/>
          <w:sz w:val="21"/>
        </w:rPr>
        <w:t>of</w:t>
      </w:r>
      <w:r>
        <w:rPr>
          <w:spacing w:val="-6"/>
          <w:w w:val="105"/>
          <w:sz w:val="21"/>
        </w:rPr>
        <w:t> </w:t>
      </w:r>
      <w:r>
        <w:rPr>
          <w:w w:val="105"/>
          <w:sz w:val="21"/>
        </w:rPr>
        <w:t>selection</w:t>
      </w:r>
      <w:r>
        <w:rPr>
          <w:spacing w:val="-4"/>
          <w:w w:val="105"/>
          <w:sz w:val="21"/>
        </w:rPr>
        <w:t> </w:t>
      </w:r>
      <w:r>
        <w:rPr>
          <w:w w:val="105"/>
          <w:sz w:val="21"/>
        </w:rPr>
        <w:t>on</w:t>
      </w:r>
      <w:r>
        <w:rPr>
          <w:spacing w:val="-4"/>
          <w:w w:val="105"/>
          <w:sz w:val="21"/>
        </w:rPr>
        <w:t> </w:t>
      </w:r>
      <w:r>
        <w:rPr>
          <w:w w:val="105"/>
          <w:sz w:val="21"/>
        </w:rPr>
        <w:t>the</w:t>
      </w:r>
      <w:r>
        <w:rPr>
          <w:spacing w:val="-4"/>
          <w:w w:val="105"/>
          <w:sz w:val="21"/>
        </w:rPr>
        <w:t> </w:t>
      </w:r>
      <w:r>
        <w:rPr>
          <w:w w:val="105"/>
          <w:sz w:val="21"/>
        </w:rPr>
        <w:t>OPN1SW</w:t>
      </w:r>
      <w:r>
        <w:rPr>
          <w:spacing w:val="-3"/>
          <w:w w:val="105"/>
          <w:sz w:val="21"/>
        </w:rPr>
        <w:t> </w:t>
      </w:r>
      <w:r>
        <w:rPr>
          <w:w w:val="105"/>
          <w:sz w:val="21"/>
        </w:rPr>
        <w:t>opsin</w:t>
      </w:r>
      <w:r>
        <w:rPr>
          <w:spacing w:val="-4"/>
          <w:w w:val="105"/>
          <w:sz w:val="21"/>
        </w:rPr>
        <w:t> </w:t>
      </w:r>
      <w:r>
        <w:rPr>
          <w:w w:val="105"/>
          <w:sz w:val="21"/>
        </w:rPr>
        <w:t>gene</w:t>
      </w:r>
      <w:r>
        <w:rPr>
          <w:spacing w:val="-4"/>
          <w:w w:val="105"/>
          <w:sz w:val="21"/>
        </w:rPr>
        <w:t> </w:t>
      </w:r>
      <w:r>
        <w:rPr>
          <w:w w:val="105"/>
          <w:sz w:val="21"/>
        </w:rPr>
        <w:t>in</w:t>
      </w:r>
      <w:r>
        <w:rPr>
          <w:spacing w:val="-4"/>
          <w:w w:val="105"/>
          <w:sz w:val="21"/>
        </w:rPr>
        <w:t> </w:t>
      </w:r>
      <w:r>
        <w:rPr>
          <w:w w:val="105"/>
          <w:sz w:val="21"/>
        </w:rPr>
        <w:t>nocturnal</w:t>
      </w:r>
      <w:r>
        <w:rPr>
          <w:spacing w:val="-6"/>
          <w:w w:val="105"/>
          <w:sz w:val="21"/>
        </w:rPr>
        <w:t> </w:t>
      </w:r>
      <w:r>
        <w:rPr>
          <w:w w:val="105"/>
          <w:sz w:val="21"/>
        </w:rPr>
        <w:t>lemurs. Mol Biol Evol. 2013;30</w:t>
      </w:r>
      <w:r>
        <w:rPr>
          <w:spacing w:val="-18"/>
          <w:w w:val="105"/>
          <w:sz w:val="21"/>
        </w:rPr>
        <w:t> </w:t>
      </w:r>
      <w:r>
        <w:rPr>
          <w:w w:val="105"/>
          <w:sz w:val="21"/>
        </w:rPr>
        <w:t>(6):1420-1437.</w:t>
      </w:r>
    </w:p>
    <w:p>
      <w:pPr>
        <w:pStyle w:val="BodyText"/>
        <w:spacing w:before="5"/>
        <w:rPr>
          <w:sz w:val="18"/>
        </w:rPr>
      </w:pPr>
    </w:p>
    <w:p>
      <w:pPr>
        <w:pStyle w:val="ListParagraph"/>
        <w:numPr>
          <w:ilvl w:val="0"/>
          <w:numId w:val="5"/>
        </w:numPr>
        <w:tabs>
          <w:tab w:pos="506" w:val="left" w:leader="none"/>
        </w:tabs>
        <w:spacing w:line="372" w:lineRule="auto" w:before="0" w:after="0"/>
        <w:ind w:left="565" w:right="596" w:hanging="426"/>
        <w:jc w:val="left"/>
        <w:rPr>
          <w:sz w:val="21"/>
        </w:rPr>
      </w:pPr>
      <w:r>
        <w:rPr>
          <w:w w:val="105"/>
          <w:sz w:val="21"/>
        </w:rPr>
        <w:t>Prease JS. Lunar Reproductive Rhythms in Sea Urchins. A Review. J Interdiscipl. Cycle Res.1975; 6 (1):</w:t>
      </w:r>
      <w:r>
        <w:rPr>
          <w:spacing w:val="-17"/>
          <w:w w:val="105"/>
          <w:sz w:val="21"/>
        </w:rPr>
        <w:t> </w:t>
      </w:r>
      <w:r>
        <w:rPr>
          <w:w w:val="105"/>
          <w:sz w:val="21"/>
        </w:rPr>
        <w:t>47-52</w:t>
      </w:r>
    </w:p>
    <w:p>
      <w:pPr>
        <w:pStyle w:val="BodyText"/>
        <w:spacing w:before="3"/>
        <w:rPr>
          <w:sz w:val="18"/>
        </w:rPr>
      </w:pPr>
    </w:p>
    <w:p>
      <w:pPr>
        <w:pStyle w:val="ListParagraph"/>
        <w:numPr>
          <w:ilvl w:val="0"/>
          <w:numId w:val="5"/>
        </w:numPr>
        <w:tabs>
          <w:tab w:pos="506" w:val="left" w:leader="none"/>
        </w:tabs>
        <w:spacing w:line="374" w:lineRule="auto" w:before="0" w:after="0"/>
        <w:ind w:left="565" w:right="337" w:hanging="426"/>
        <w:jc w:val="left"/>
        <w:rPr>
          <w:sz w:val="21"/>
        </w:rPr>
      </w:pPr>
      <w:r>
        <w:rPr>
          <w:w w:val="105"/>
          <w:sz w:val="21"/>
        </w:rPr>
        <w:t>Bentley MG, Olive PJ, Last K. Sexual Satellites Moonlight and the Nuptial Dances of Worms: The Influence of the Moon on the Reproduction of Marine Animals. Earth, Moon and Planets. 1999;85-86:</w:t>
      </w:r>
      <w:r>
        <w:rPr>
          <w:spacing w:val="-20"/>
          <w:w w:val="105"/>
          <w:sz w:val="21"/>
        </w:rPr>
        <w:t> </w:t>
      </w:r>
      <w:r>
        <w:rPr>
          <w:w w:val="105"/>
          <w:sz w:val="21"/>
        </w:rPr>
        <w:t>67-84</w:t>
      </w:r>
    </w:p>
    <w:p>
      <w:pPr>
        <w:pStyle w:val="BodyText"/>
        <w:spacing w:before="5"/>
        <w:rPr>
          <w:sz w:val="18"/>
        </w:rPr>
      </w:pPr>
    </w:p>
    <w:p>
      <w:pPr>
        <w:pStyle w:val="ListParagraph"/>
        <w:numPr>
          <w:ilvl w:val="0"/>
          <w:numId w:val="5"/>
        </w:numPr>
        <w:tabs>
          <w:tab w:pos="506" w:val="left" w:leader="none"/>
        </w:tabs>
        <w:spacing w:line="372" w:lineRule="auto" w:before="0" w:after="0"/>
        <w:ind w:left="565" w:right="924" w:hanging="426"/>
        <w:jc w:val="left"/>
        <w:rPr>
          <w:sz w:val="21"/>
        </w:rPr>
      </w:pPr>
      <w:r>
        <w:rPr>
          <w:w w:val="105"/>
          <w:sz w:val="21"/>
        </w:rPr>
        <w:t>Fischer, A. H.; Henrich, T.; Arendt, D. "The normal development of Platynereis dumerilii</w:t>
      </w:r>
      <w:r>
        <w:rPr>
          <w:spacing w:val="-8"/>
          <w:w w:val="105"/>
          <w:sz w:val="21"/>
        </w:rPr>
        <w:t> </w:t>
      </w:r>
      <w:r>
        <w:rPr>
          <w:w w:val="105"/>
          <w:sz w:val="21"/>
        </w:rPr>
        <w:t>(Nereididae,</w:t>
      </w:r>
      <w:r>
        <w:rPr>
          <w:spacing w:val="-8"/>
          <w:w w:val="105"/>
          <w:sz w:val="21"/>
        </w:rPr>
        <w:t> </w:t>
      </w:r>
      <w:r>
        <w:rPr>
          <w:w w:val="105"/>
          <w:sz w:val="21"/>
        </w:rPr>
        <w:t>Annelida)".Frontiers</w:t>
      </w:r>
      <w:r>
        <w:rPr>
          <w:spacing w:val="-8"/>
          <w:w w:val="105"/>
          <w:sz w:val="21"/>
        </w:rPr>
        <w:t> </w:t>
      </w:r>
      <w:r>
        <w:rPr>
          <w:w w:val="105"/>
          <w:sz w:val="21"/>
        </w:rPr>
        <w:t>in</w:t>
      </w:r>
      <w:r>
        <w:rPr>
          <w:spacing w:val="-8"/>
          <w:w w:val="105"/>
          <w:sz w:val="21"/>
        </w:rPr>
        <w:t> </w:t>
      </w:r>
      <w:r>
        <w:rPr>
          <w:w w:val="105"/>
          <w:sz w:val="21"/>
        </w:rPr>
        <w:t>Zoology.2000;</w:t>
      </w:r>
      <w:r>
        <w:rPr>
          <w:spacing w:val="-8"/>
          <w:w w:val="105"/>
          <w:sz w:val="21"/>
        </w:rPr>
        <w:t> </w:t>
      </w:r>
      <w:r>
        <w:rPr>
          <w:w w:val="105"/>
          <w:sz w:val="21"/>
        </w:rPr>
        <w:t>7:</w:t>
      </w:r>
      <w:r>
        <w:rPr>
          <w:spacing w:val="-8"/>
          <w:w w:val="105"/>
          <w:sz w:val="21"/>
        </w:rPr>
        <w:t> </w:t>
      </w:r>
      <w:r>
        <w:rPr>
          <w:spacing w:val="2"/>
          <w:w w:val="105"/>
          <w:sz w:val="21"/>
        </w:rPr>
        <w:t>31.</w:t>
      </w:r>
    </w:p>
    <w:p>
      <w:pPr>
        <w:pStyle w:val="BodyText"/>
        <w:spacing w:before="8"/>
        <w:rPr>
          <w:sz w:val="18"/>
        </w:rPr>
      </w:pPr>
    </w:p>
    <w:p>
      <w:pPr>
        <w:pStyle w:val="ListParagraph"/>
        <w:numPr>
          <w:ilvl w:val="0"/>
          <w:numId w:val="5"/>
        </w:numPr>
        <w:tabs>
          <w:tab w:pos="506" w:val="left" w:leader="none"/>
        </w:tabs>
        <w:spacing w:line="372" w:lineRule="auto" w:before="0" w:after="0"/>
        <w:ind w:left="565" w:right="1048" w:hanging="426"/>
        <w:jc w:val="left"/>
        <w:rPr>
          <w:sz w:val="21"/>
        </w:rPr>
      </w:pPr>
      <w:r>
        <w:rPr>
          <w:w w:val="105"/>
          <w:sz w:val="21"/>
        </w:rPr>
        <w:t>Trillmich F, Mohren W. Effects of the Lunar Cycle on the Galápagos Fur</w:t>
      </w:r>
      <w:r>
        <w:rPr>
          <w:spacing w:val="-37"/>
          <w:w w:val="105"/>
          <w:sz w:val="21"/>
        </w:rPr>
        <w:t> </w:t>
      </w:r>
      <w:r>
        <w:rPr>
          <w:w w:val="105"/>
          <w:sz w:val="21"/>
        </w:rPr>
        <w:t>Seal, Arctocephalus galapagoensis. Oecologia.1981;48:85</w:t>
      </w:r>
      <w:r>
        <w:rPr>
          <w:spacing w:val="-27"/>
          <w:w w:val="105"/>
          <w:sz w:val="21"/>
        </w:rPr>
        <w:t> </w:t>
      </w:r>
      <w:r>
        <w:rPr>
          <w:w w:val="105"/>
          <w:sz w:val="21"/>
        </w:rPr>
        <w:t>-92</w:t>
      </w:r>
    </w:p>
    <w:p>
      <w:pPr>
        <w:pStyle w:val="BodyText"/>
        <w:spacing w:before="8"/>
        <w:rPr>
          <w:sz w:val="18"/>
        </w:rPr>
      </w:pPr>
    </w:p>
    <w:p>
      <w:pPr>
        <w:pStyle w:val="ListParagraph"/>
        <w:numPr>
          <w:ilvl w:val="0"/>
          <w:numId w:val="5"/>
        </w:numPr>
        <w:tabs>
          <w:tab w:pos="506" w:val="left" w:leader="none"/>
        </w:tabs>
        <w:spacing w:line="372" w:lineRule="auto" w:before="0" w:after="0"/>
        <w:ind w:left="565" w:right="181" w:hanging="426"/>
        <w:jc w:val="left"/>
        <w:rPr>
          <w:sz w:val="21"/>
        </w:rPr>
      </w:pPr>
      <w:r>
        <w:rPr>
          <w:w w:val="105"/>
          <w:sz w:val="21"/>
        </w:rPr>
        <w:t>McDowall</w:t>
      </w:r>
      <w:r>
        <w:rPr>
          <w:spacing w:val="-6"/>
          <w:w w:val="105"/>
          <w:sz w:val="21"/>
        </w:rPr>
        <w:t> </w:t>
      </w:r>
      <w:r>
        <w:rPr>
          <w:w w:val="105"/>
          <w:sz w:val="21"/>
        </w:rPr>
        <w:t>RM.</w:t>
      </w:r>
      <w:r>
        <w:rPr>
          <w:spacing w:val="-6"/>
          <w:w w:val="105"/>
          <w:sz w:val="21"/>
        </w:rPr>
        <w:t> </w:t>
      </w:r>
      <w:r>
        <w:rPr>
          <w:w w:val="105"/>
          <w:sz w:val="21"/>
        </w:rPr>
        <w:t>Lunar</w:t>
      </w:r>
      <w:r>
        <w:rPr>
          <w:spacing w:val="-5"/>
          <w:w w:val="105"/>
          <w:sz w:val="21"/>
        </w:rPr>
        <w:t> </w:t>
      </w:r>
      <w:r>
        <w:rPr>
          <w:w w:val="105"/>
          <w:sz w:val="21"/>
        </w:rPr>
        <w:t>Rhythms</w:t>
      </w:r>
      <w:r>
        <w:rPr>
          <w:spacing w:val="-5"/>
          <w:w w:val="105"/>
          <w:sz w:val="21"/>
        </w:rPr>
        <w:t> </w:t>
      </w:r>
      <w:r>
        <w:rPr>
          <w:w w:val="105"/>
          <w:sz w:val="21"/>
        </w:rPr>
        <w:t>in</w:t>
      </w:r>
      <w:r>
        <w:rPr>
          <w:spacing w:val="-5"/>
          <w:w w:val="105"/>
          <w:sz w:val="21"/>
        </w:rPr>
        <w:t> </w:t>
      </w:r>
      <w:r>
        <w:rPr>
          <w:w w:val="105"/>
          <w:sz w:val="21"/>
        </w:rPr>
        <w:t>Aquatic</w:t>
      </w:r>
      <w:r>
        <w:rPr>
          <w:spacing w:val="-5"/>
          <w:w w:val="105"/>
          <w:sz w:val="21"/>
        </w:rPr>
        <w:t> </w:t>
      </w:r>
      <w:r>
        <w:rPr>
          <w:w w:val="105"/>
          <w:sz w:val="21"/>
        </w:rPr>
        <w:t>Animals</w:t>
      </w:r>
      <w:r>
        <w:rPr>
          <w:spacing w:val="-5"/>
          <w:w w:val="105"/>
          <w:sz w:val="21"/>
        </w:rPr>
        <w:t> </w:t>
      </w:r>
      <w:r>
        <w:rPr>
          <w:w w:val="105"/>
          <w:sz w:val="21"/>
        </w:rPr>
        <w:t>A</w:t>
      </w:r>
      <w:r>
        <w:rPr>
          <w:spacing w:val="-4"/>
          <w:w w:val="105"/>
          <w:sz w:val="21"/>
        </w:rPr>
        <w:t> </w:t>
      </w:r>
      <w:r>
        <w:rPr>
          <w:w w:val="105"/>
          <w:sz w:val="21"/>
        </w:rPr>
        <w:t>General</w:t>
      </w:r>
      <w:r>
        <w:rPr>
          <w:spacing w:val="-6"/>
          <w:w w:val="105"/>
          <w:sz w:val="21"/>
        </w:rPr>
        <w:t> </w:t>
      </w:r>
      <w:r>
        <w:rPr>
          <w:w w:val="105"/>
          <w:sz w:val="21"/>
        </w:rPr>
        <w:t>Review.</w:t>
      </w:r>
      <w:r>
        <w:rPr>
          <w:spacing w:val="-5"/>
          <w:w w:val="105"/>
          <w:sz w:val="21"/>
        </w:rPr>
        <w:t> </w:t>
      </w:r>
      <w:r>
        <w:rPr>
          <w:w w:val="105"/>
          <w:sz w:val="21"/>
        </w:rPr>
        <w:t>Tuatara.1969;17 (3):</w:t>
      </w:r>
      <w:r>
        <w:rPr>
          <w:spacing w:val="-6"/>
          <w:w w:val="105"/>
          <w:sz w:val="21"/>
        </w:rPr>
        <w:t> </w:t>
      </w:r>
      <w:r>
        <w:rPr>
          <w:w w:val="105"/>
          <w:sz w:val="21"/>
        </w:rPr>
        <w:t>133-143</w:t>
      </w:r>
    </w:p>
    <w:p>
      <w:pPr>
        <w:spacing w:after="0" w:line="372" w:lineRule="auto"/>
        <w:jc w:val="left"/>
        <w:rPr>
          <w:sz w:val="21"/>
        </w:rPr>
        <w:sectPr>
          <w:footerReference w:type="default" r:id="rId57"/>
          <w:pgSz w:w="12240" w:h="15840"/>
          <w:pgMar w:footer="1234" w:header="1209" w:top="1400" w:bottom="1420" w:left="1560" w:right="1580"/>
        </w:sectPr>
      </w:pPr>
    </w:p>
    <w:p>
      <w:pPr>
        <w:pStyle w:val="BodyText"/>
        <w:rPr>
          <w:sz w:val="20"/>
        </w:rPr>
      </w:pPr>
    </w:p>
    <w:p>
      <w:pPr>
        <w:pStyle w:val="BodyText"/>
        <w:spacing w:before="9"/>
        <w:rPr>
          <w:sz w:val="16"/>
        </w:rPr>
      </w:pPr>
    </w:p>
    <w:p>
      <w:pPr>
        <w:pStyle w:val="BodyText"/>
        <w:spacing w:before="78"/>
        <w:ind w:left="139" w:right="82"/>
      </w:pPr>
      <w:r>
        <w:rPr>
          <w:w w:val="105"/>
        </w:rPr>
        <w:t>Participación en Congresos.</w:t>
      </w:r>
    </w:p>
    <w:p>
      <w:pPr>
        <w:pStyle w:val="BodyText"/>
        <w:spacing w:before="11"/>
      </w:pPr>
    </w:p>
    <w:p>
      <w:pPr>
        <w:pStyle w:val="BodyText"/>
        <w:spacing w:line="288" w:lineRule="auto"/>
        <w:ind w:left="139" w:right="82"/>
      </w:pPr>
      <w:r>
        <w:rPr>
          <w:w w:val="105"/>
        </w:rPr>
        <w:t>Este trabajo ha sido presentado en dos congresos relacionados a la especialidad, el primero el XXXIII Congreso de la Agrupación Mexicana de Pediatría, Ciudad de México y durante las actividades del  XVI Foro de Investigación en Salud.</w:t>
      </w:r>
    </w:p>
    <w:p>
      <w:pPr>
        <w:pStyle w:val="BodyText"/>
        <w:spacing w:before="1"/>
        <w:rPr>
          <w:sz w:val="15"/>
        </w:rPr>
      </w:pPr>
      <w:r>
        <w:rPr/>
        <w:pict>
          <v:group style="position:absolute;margin-left:85.800079pt;margin-top:10.640798pt;width:435.35pt;height:495.2pt;mso-position-horizontal-relative:page;mso-position-vertical-relative:paragraph;z-index:1480;mso-wrap-distance-left:0;mso-wrap-distance-right:0" coordorigin="1716,213" coordsize="8707,9904">
            <v:shape style="position:absolute;left:1731;top:228;width:8677;height:9874" type="#_x0000_t75" stroked="false">
              <v:imagedata r:id="rId59" o:title=""/>
            </v:shape>
            <v:rect style="position:absolute;left:1724;top:220;width:8692;height:9889" filled="false" stroked="true" strokeweight=".75pt" strokecolor="#9ec2e9"/>
            <w10:wrap type="topAndBottom"/>
          </v:group>
        </w:pict>
      </w:r>
    </w:p>
    <w:sectPr>
      <w:footerReference w:type="default" r:id="rId58"/>
      <w:pgSz w:w="12240" w:h="15840"/>
      <w:pgMar w:footer="1234" w:header="1209" w:top="1400" w:bottom="1420" w:left="156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984" from="85.050003pt,718.799988pt" to="525.600004pt,718.800064pt" stroked="true" strokeweight="3.0pt" strokecolor="#000000">
          <w10:wrap type="none"/>
        </v:line>
      </w:pict>
    </w:r>
    <w:r>
      <w:rPr/>
      <w:pict>
        <v:shapetype id="_x0000_t202" o:spt="202" coordsize="21600,21600" path="m,l,21600r21600,l21600,xe">
          <v:stroke joinstyle="miter"/>
          <v:path gradientshapeok="t" o:connecttype="rect"/>
        </v:shapetype>
        <v:shape style="position:absolute;margin-left:518.777771pt;margin-top:721.399963pt;width:10.1pt;height:14pt;mso-position-horizontal-relative:page;mso-position-vertical-relative:page;z-index:-43960" type="#_x0000_t202" filled="false" stroked="false">
          <v:textbox inset="0,0,0,0">
            <w:txbxContent>
              <w:p>
                <w:pPr>
                  <w:spacing w:line="272"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576" from="85.050003pt,718.799988pt" to="525.600004pt,718.800064pt" stroked="true" strokeweight="3.0pt" strokecolor="#000000">
          <w10:wrap type="none"/>
        </v:line>
      </w:pict>
    </w:r>
    <w:r>
      <w:rPr/>
      <w:pict>
        <v:shape style="position:absolute;margin-left:513.695801pt;margin-top:721.399963pt;width:14.2pt;height:14pt;mso-position-horizontal-relative:page;mso-position-vertical-relative:page;z-index:-43552" type="#_x0000_t202" filled="false" stroked="false">
          <v:textbox inset="0,0,0,0">
            <w:txbxContent>
              <w:p>
                <w:pPr>
                  <w:spacing w:line="272" w:lineRule="exact" w:before="0"/>
                  <w:ind w:left="20" w:right="0" w:firstLine="0"/>
                  <w:jc w:val="left"/>
                  <w:rPr>
                    <w:rFonts w:ascii="Calibri"/>
                    <w:b/>
                    <w:sz w:val="24"/>
                  </w:rPr>
                </w:pPr>
                <w:r>
                  <w:rPr>
                    <w:rFonts w:ascii="Calibri"/>
                    <w:b/>
                    <w:sz w:val="24"/>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528" from="85.050003pt,718.799988pt" to="525.600004pt,718.800064pt" stroked="true" strokeweight="3.0pt" strokecolor="#000000">
          <w10:wrap type="none"/>
        </v:line>
      </w:pict>
    </w:r>
    <w:r>
      <w:rPr/>
      <w:pict>
        <v:shape style="position:absolute;margin-left:513.695801pt;margin-top:721.399963pt;width:14.2pt;height:14pt;mso-position-horizontal-relative:page;mso-position-vertical-relative:page;z-index:-43504" type="#_x0000_t202" filled="false" stroked="false">
          <v:textbox inset="0,0,0,0">
            <w:txbxContent>
              <w:p>
                <w:pPr>
                  <w:spacing w:line="272" w:lineRule="exact" w:before="0"/>
                  <w:ind w:left="20" w:right="0" w:firstLine="0"/>
                  <w:jc w:val="left"/>
                  <w:rPr>
                    <w:rFonts w:ascii="Calibri"/>
                    <w:b/>
                    <w:sz w:val="24"/>
                  </w:rPr>
                </w:pPr>
                <w:r>
                  <w:rPr>
                    <w:rFonts w:ascii="Calibri"/>
                    <w:b/>
                    <w:sz w:val="24"/>
                  </w:rPr>
                  <w:t>41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936" from="85.050003pt,718.799988pt" to="525.600004pt,718.800064pt" stroked="true" strokeweight="3.0pt" strokecolor="#000000">
          <w10:wrap type="none"/>
        </v:line>
      </w:pict>
    </w:r>
    <w:r>
      <w:rPr/>
      <w:pict>
        <v:shape style="position:absolute;margin-left:513.695801pt;margin-top:721.399963pt;width:14.2pt;height:14pt;mso-position-horizontal-relative:page;mso-position-vertical-relative:page;z-index:-43912" type="#_x0000_t202" filled="false" stroked="false">
          <v:textbox inset="0,0,0,0">
            <w:txbxContent>
              <w:p>
                <w:pPr>
                  <w:spacing w:line="272" w:lineRule="exact" w:before="0"/>
                  <w:ind w:left="20" w:right="0" w:firstLine="0"/>
                  <w:jc w:val="left"/>
                  <w:rPr>
                    <w:rFonts w:ascii="Calibri"/>
                    <w:b/>
                    <w:sz w:val="24"/>
                  </w:rPr>
                </w:pPr>
                <w:r>
                  <w:rPr>
                    <w:rFonts w:ascii="Calibri"/>
                    <w:b/>
                    <w:sz w:val="24"/>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888" from="85.050003pt,718.799988pt" to="525.600004pt,718.800064pt" stroked="true" strokeweight="3.0pt" strokecolor="#000000">
          <w10:wrap type="none"/>
        </v:line>
      </w:pict>
    </w:r>
    <w:r>
      <w:rPr/>
      <w:pict>
        <v:shape style="position:absolute;margin-left:512.695801pt;margin-top:721.399963pt;width:16.2pt;height:14pt;mso-position-horizontal-relative:page;mso-position-vertical-relative:page;z-index:-43864" type="#_x0000_t202" filled="false" stroked="false">
          <v:textbox inset="0,0,0,0">
            <w:txbxContent>
              <w:p>
                <w:pPr>
                  <w:spacing w:line="272"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95801pt;margin-top:721.399963pt;width:16.2pt;height:14pt;mso-position-horizontal-relative:page;mso-position-vertical-relative:page;z-index:-43840" type="#_x0000_t202" filled="false" stroked="false">
          <v:textbox inset="0,0,0,0">
            <w:txbxContent>
              <w:p>
                <w:pPr>
                  <w:spacing w:line="272"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17</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816" from="85.050003pt,718.799988pt" to="525.600004pt,718.800064pt" stroked="true" strokeweight="3.0pt" strokecolor="#000000">
          <w10:wrap type="none"/>
        </v:line>
      </w:pict>
    </w:r>
    <w:r>
      <w:rPr/>
      <w:pict>
        <v:shape style="position:absolute;margin-left:512.695801pt;margin-top:721.399963pt;width:16.2pt;height:14pt;mso-position-horizontal-relative:page;mso-position-vertical-relative:page;z-index:-43792" type="#_x0000_t202" filled="false" stroked="false">
          <v:textbox inset="0,0,0,0">
            <w:txbxContent>
              <w:p>
                <w:pPr>
                  <w:spacing w:line="272"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18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768" from="85.050003pt,718.799988pt" to="525.600004pt,718.800064pt" stroked="true" strokeweight="3.0pt" strokecolor="#000000">
          <w10:wrap type="none"/>
        </v:line>
      </w:pict>
    </w:r>
    <w:r>
      <w:rPr/>
      <w:pict>
        <v:shape style="position:absolute;margin-left:513.695801pt;margin-top:721.399963pt;width:14.2pt;height:14pt;mso-position-horizontal-relative:page;mso-position-vertical-relative:page;z-index:-43744" type="#_x0000_t202" filled="false" stroked="false">
          <v:textbox inset="0,0,0,0">
            <w:txbxContent>
              <w:p>
                <w:pPr>
                  <w:spacing w:line="272" w:lineRule="exact" w:before="0"/>
                  <w:ind w:left="20" w:right="0" w:firstLine="0"/>
                  <w:jc w:val="left"/>
                  <w:rPr>
                    <w:rFonts w:ascii="Calibri"/>
                    <w:b/>
                    <w:sz w:val="24"/>
                  </w:rPr>
                </w:pPr>
                <w:r>
                  <w:rPr>
                    <w:rFonts w:ascii="Calibri"/>
                    <w:b/>
                    <w:sz w:val="24"/>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720" from="85.050003pt,718.799988pt" to="525.600004pt,718.800064pt" stroked="true" strokeweight="3.0pt" strokecolor="#000000">
          <w10:wrap type="none"/>
        </v:line>
      </w:pict>
    </w:r>
    <w:r>
      <w:rPr/>
      <w:pict>
        <v:shape style="position:absolute;margin-left:512.695801pt;margin-top:721.399963pt;width:16.2pt;height:14pt;mso-position-horizontal-relative:page;mso-position-vertical-relative:page;z-index:-43696" type="#_x0000_t202" filled="false" stroked="false">
          <v:textbox inset="0,0,0,0">
            <w:txbxContent>
              <w:p>
                <w:pPr>
                  <w:spacing w:line="272"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672" from="85.050003pt,718.799988pt" to="525.600004pt,718.800064pt" stroked="true" strokeweight="3.0pt" strokecolor="#000000">
          <w10:wrap type="none"/>
        </v:line>
      </w:pict>
    </w:r>
    <w:r>
      <w:rPr/>
      <w:pict>
        <v:shape style="position:absolute;margin-left:513.695801pt;margin-top:721.399963pt;width:14.2pt;height:14pt;mso-position-horizontal-relative:page;mso-position-vertical-relative:page;z-index:-43648" type="#_x0000_t202" filled="false" stroked="false">
          <v:textbox inset="0,0,0,0">
            <w:txbxContent>
              <w:p>
                <w:pPr>
                  <w:spacing w:line="272" w:lineRule="exact" w:before="0"/>
                  <w:ind w:left="20" w:right="0" w:firstLine="0"/>
                  <w:jc w:val="left"/>
                  <w:rPr>
                    <w:rFonts w:ascii="Calibri"/>
                    <w:b/>
                    <w:sz w:val="24"/>
                  </w:rPr>
                </w:pPr>
                <w:r>
                  <w:rPr>
                    <w:rFonts w:ascii="Calibri"/>
                    <w:b/>
                    <w:sz w:val="24"/>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624" from="85.050003pt,718.799988pt" to="525.600004pt,718.800064pt" stroked="true" strokeweight="3.0pt" strokecolor="#000000">
          <w10:wrap type="none"/>
        </v:line>
      </w:pict>
    </w:r>
    <w:r>
      <w:rPr/>
      <w:pict>
        <v:shape style="position:absolute;margin-left:512.695801pt;margin-top:721.399963pt;width:16.2pt;height:14pt;mso-position-horizontal-relative:page;mso-position-vertical-relative:page;z-index:-43600" type="#_x0000_t202" filled="false" stroked="false">
          <v:textbox inset="0,0,0,0">
            <w:txbxContent>
              <w:p>
                <w:pPr>
                  <w:spacing w:line="272" w:lineRule="exact" w:before="0"/>
                  <w:ind w:left="40" w:right="0" w:firstLine="0"/>
                  <w:jc w:val="left"/>
                  <w:rPr>
                    <w:rFonts w:ascii="Calibri"/>
                    <w:b/>
                    <w:sz w:val="24"/>
                  </w:rPr>
                </w:pPr>
                <w:r>
                  <w:rPr/>
                  <w:fldChar w:fldCharType="begin"/>
                </w:r>
                <w:r>
                  <w:rPr>
                    <w:rFonts w:ascii="Calibri"/>
                    <w:b/>
                    <w:sz w:val="24"/>
                  </w:rPr>
                  <w:instrText> PAGE </w:instrText>
                </w:r>
                <w:r>
                  <w:rPr/>
                  <w:fldChar w:fldCharType="separate"/>
                </w:r>
                <w:r>
                  <w:rPr/>
                  <w:t>31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4008" from="85.050003pt,68.950012pt" to="525.600004pt,68.950073pt" stroked="true" strokeweight="3.0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565" w:hanging="245"/>
        <w:jc w:val="left"/>
      </w:pPr>
      <w:rPr>
        <w:rFonts w:hint="default" w:ascii="Arial" w:hAnsi="Arial" w:eastAsia="Arial" w:cs="Arial"/>
        <w:spacing w:val="0"/>
        <w:w w:val="102"/>
        <w:sz w:val="21"/>
        <w:szCs w:val="21"/>
      </w:rPr>
    </w:lvl>
    <w:lvl w:ilvl="1">
      <w:start w:val="1"/>
      <w:numFmt w:val="bullet"/>
      <w:lvlText w:val="•"/>
      <w:lvlJc w:val="left"/>
      <w:pPr>
        <w:ind w:left="1414" w:hanging="245"/>
      </w:pPr>
      <w:rPr>
        <w:rFonts w:hint="default"/>
      </w:rPr>
    </w:lvl>
    <w:lvl w:ilvl="2">
      <w:start w:val="1"/>
      <w:numFmt w:val="bullet"/>
      <w:lvlText w:val="•"/>
      <w:lvlJc w:val="left"/>
      <w:pPr>
        <w:ind w:left="2268" w:hanging="245"/>
      </w:pPr>
      <w:rPr>
        <w:rFonts w:hint="default"/>
      </w:rPr>
    </w:lvl>
    <w:lvl w:ilvl="3">
      <w:start w:val="1"/>
      <w:numFmt w:val="bullet"/>
      <w:lvlText w:val="•"/>
      <w:lvlJc w:val="left"/>
      <w:pPr>
        <w:ind w:left="3122" w:hanging="245"/>
      </w:pPr>
      <w:rPr>
        <w:rFonts w:hint="default"/>
      </w:rPr>
    </w:lvl>
    <w:lvl w:ilvl="4">
      <w:start w:val="1"/>
      <w:numFmt w:val="bullet"/>
      <w:lvlText w:val="•"/>
      <w:lvlJc w:val="left"/>
      <w:pPr>
        <w:ind w:left="3976" w:hanging="245"/>
      </w:pPr>
      <w:rPr>
        <w:rFonts w:hint="default"/>
      </w:rPr>
    </w:lvl>
    <w:lvl w:ilvl="5">
      <w:start w:val="1"/>
      <w:numFmt w:val="bullet"/>
      <w:lvlText w:val="•"/>
      <w:lvlJc w:val="left"/>
      <w:pPr>
        <w:ind w:left="4830" w:hanging="245"/>
      </w:pPr>
      <w:rPr>
        <w:rFonts w:hint="default"/>
      </w:rPr>
    </w:lvl>
    <w:lvl w:ilvl="6">
      <w:start w:val="1"/>
      <w:numFmt w:val="bullet"/>
      <w:lvlText w:val="•"/>
      <w:lvlJc w:val="left"/>
      <w:pPr>
        <w:ind w:left="5684" w:hanging="245"/>
      </w:pPr>
      <w:rPr>
        <w:rFonts w:hint="default"/>
      </w:rPr>
    </w:lvl>
    <w:lvl w:ilvl="7">
      <w:start w:val="1"/>
      <w:numFmt w:val="bullet"/>
      <w:lvlText w:val="•"/>
      <w:lvlJc w:val="left"/>
      <w:pPr>
        <w:ind w:left="6538" w:hanging="245"/>
      </w:pPr>
      <w:rPr>
        <w:rFonts w:hint="default"/>
      </w:rPr>
    </w:lvl>
    <w:lvl w:ilvl="8">
      <w:start w:val="1"/>
      <w:numFmt w:val="bullet"/>
      <w:lvlText w:val="•"/>
      <w:lvlJc w:val="left"/>
      <w:pPr>
        <w:ind w:left="7392" w:hanging="245"/>
      </w:pPr>
      <w:rPr>
        <w:rFonts w:hint="default"/>
      </w:rPr>
    </w:lvl>
  </w:abstractNum>
  <w:abstractNum w:abstractNumId="3">
    <w:multiLevelType w:val="hybridMultilevel"/>
    <w:lvl w:ilvl="0">
      <w:start w:val="1"/>
      <w:numFmt w:val="bullet"/>
      <w:lvlText w:val="-"/>
      <w:lvlJc w:val="left"/>
      <w:pPr>
        <w:ind w:left="139" w:hanging="162"/>
      </w:pPr>
      <w:rPr>
        <w:rFonts w:hint="default" w:ascii="Arial" w:hAnsi="Arial" w:eastAsia="Arial" w:cs="Arial"/>
        <w:w w:val="102"/>
        <w:sz w:val="21"/>
        <w:szCs w:val="21"/>
      </w:rPr>
    </w:lvl>
    <w:lvl w:ilvl="1">
      <w:start w:val="1"/>
      <w:numFmt w:val="bullet"/>
      <w:lvlText w:val="•"/>
      <w:lvlJc w:val="left"/>
      <w:pPr>
        <w:ind w:left="3620" w:hanging="162"/>
      </w:pPr>
      <w:rPr>
        <w:rFonts w:hint="default"/>
      </w:rPr>
    </w:lvl>
    <w:lvl w:ilvl="2">
      <w:start w:val="1"/>
      <w:numFmt w:val="bullet"/>
      <w:lvlText w:val="•"/>
      <w:lvlJc w:val="left"/>
      <w:pPr>
        <w:ind w:left="4228" w:hanging="162"/>
      </w:pPr>
      <w:rPr>
        <w:rFonts w:hint="default"/>
      </w:rPr>
    </w:lvl>
    <w:lvl w:ilvl="3">
      <w:start w:val="1"/>
      <w:numFmt w:val="bullet"/>
      <w:lvlText w:val="•"/>
      <w:lvlJc w:val="left"/>
      <w:pPr>
        <w:ind w:left="4837" w:hanging="162"/>
      </w:pPr>
      <w:rPr>
        <w:rFonts w:hint="default"/>
      </w:rPr>
    </w:lvl>
    <w:lvl w:ilvl="4">
      <w:start w:val="1"/>
      <w:numFmt w:val="bullet"/>
      <w:lvlText w:val="•"/>
      <w:lvlJc w:val="left"/>
      <w:pPr>
        <w:ind w:left="5446" w:hanging="162"/>
      </w:pPr>
      <w:rPr>
        <w:rFonts w:hint="default"/>
      </w:rPr>
    </w:lvl>
    <w:lvl w:ilvl="5">
      <w:start w:val="1"/>
      <w:numFmt w:val="bullet"/>
      <w:lvlText w:val="•"/>
      <w:lvlJc w:val="left"/>
      <w:pPr>
        <w:ind w:left="6055" w:hanging="162"/>
      </w:pPr>
      <w:rPr>
        <w:rFonts w:hint="default"/>
      </w:rPr>
    </w:lvl>
    <w:lvl w:ilvl="6">
      <w:start w:val="1"/>
      <w:numFmt w:val="bullet"/>
      <w:lvlText w:val="•"/>
      <w:lvlJc w:val="left"/>
      <w:pPr>
        <w:ind w:left="6664" w:hanging="162"/>
      </w:pPr>
      <w:rPr>
        <w:rFonts w:hint="default"/>
      </w:rPr>
    </w:lvl>
    <w:lvl w:ilvl="7">
      <w:start w:val="1"/>
      <w:numFmt w:val="bullet"/>
      <w:lvlText w:val="•"/>
      <w:lvlJc w:val="left"/>
      <w:pPr>
        <w:ind w:left="7273" w:hanging="162"/>
      </w:pPr>
      <w:rPr>
        <w:rFonts w:hint="default"/>
      </w:rPr>
    </w:lvl>
    <w:lvl w:ilvl="8">
      <w:start w:val="1"/>
      <w:numFmt w:val="bullet"/>
      <w:lvlText w:val="•"/>
      <w:lvlJc w:val="left"/>
      <w:pPr>
        <w:ind w:left="7882" w:hanging="162"/>
      </w:pPr>
      <w:rPr>
        <w:rFonts w:hint="default"/>
      </w:rPr>
    </w:lvl>
  </w:abstractNum>
  <w:abstractNum w:abstractNumId="2">
    <w:multiLevelType w:val="hybridMultilevel"/>
    <w:lvl w:ilvl="0">
      <w:start w:val="1"/>
      <w:numFmt w:val="bullet"/>
      <w:lvlText w:val=""/>
      <w:lvlJc w:val="left"/>
      <w:pPr>
        <w:ind w:left="859" w:hanging="360"/>
      </w:pPr>
      <w:rPr>
        <w:rFonts w:hint="default" w:ascii="Symbol" w:hAnsi="Symbol" w:eastAsia="Symbol" w:cs="Symbol"/>
        <w:w w:val="102"/>
        <w:sz w:val="21"/>
        <w:szCs w:val="21"/>
      </w:rPr>
    </w:lvl>
    <w:lvl w:ilvl="1">
      <w:start w:val="1"/>
      <w:numFmt w:val="bullet"/>
      <w:lvlText w:val=""/>
      <w:lvlJc w:val="left"/>
      <w:pPr>
        <w:ind w:left="1426" w:hanging="360"/>
      </w:pPr>
      <w:rPr>
        <w:rFonts w:hint="default" w:ascii="Symbol" w:hAnsi="Symbol" w:eastAsia="Symbol" w:cs="Symbol"/>
        <w:w w:val="102"/>
        <w:sz w:val="21"/>
        <w:szCs w:val="21"/>
      </w:rPr>
    </w:lvl>
    <w:lvl w:ilvl="2">
      <w:start w:val="1"/>
      <w:numFmt w:val="bullet"/>
      <w:lvlText w:val=""/>
      <w:lvlJc w:val="left"/>
      <w:pPr>
        <w:ind w:left="1579" w:hanging="360"/>
      </w:pPr>
      <w:rPr>
        <w:rFonts w:hint="default" w:ascii="Symbol" w:hAnsi="Symbol" w:eastAsia="Symbol" w:cs="Symbol"/>
        <w:w w:val="102"/>
        <w:sz w:val="21"/>
        <w:szCs w:val="21"/>
      </w:rPr>
    </w:lvl>
    <w:lvl w:ilvl="3">
      <w:start w:val="1"/>
      <w:numFmt w:val="bullet"/>
      <w:lvlText w:val=""/>
      <w:lvlJc w:val="left"/>
      <w:pPr>
        <w:ind w:left="1939" w:hanging="360"/>
      </w:pPr>
      <w:rPr>
        <w:rFonts w:hint="default" w:ascii="Symbol" w:hAnsi="Symbol" w:eastAsia="Symbol" w:cs="Symbol"/>
        <w:w w:val="102"/>
        <w:sz w:val="21"/>
        <w:szCs w:val="21"/>
      </w:rPr>
    </w:lvl>
    <w:lvl w:ilvl="4">
      <w:start w:val="1"/>
      <w:numFmt w:val="bullet"/>
      <w:lvlText w:val="•"/>
      <w:lvlJc w:val="left"/>
      <w:pPr>
        <w:ind w:left="2962" w:hanging="360"/>
      </w:pPr>
      <w:rPr>
        <w:rFonts w:hint="default"/>
      </w:rPr>
    </w:lvl>
    <w:lvl w:ilvl="5">
      <w:start w:val="1"/>
      <w:numFmt w:val="bullet"/>
      <w:lvlText w:val="•"/>
      <w:lvlJc w:val="left"/>
      <w:pPr>
        <w:ind w:left="3985" w:hanging="360"/>
      </w:pPr>
      <w:rPr>
        <w:rFonts w:hint="default"/>
      </w:rPr>
    </w:lvl>
    <w:lvl w:ilvl="6">
      <w:start w:val="1"/>
      <w:numFmt w:val="bullet"/>
      <w:lvlText w:val="•"/>
      <w:lvlJc w:val="left"/>
      <w:pPr>
        <w:ind w:left="5008" w:hanging="360"/>
      </w:pPr>
      <w:rPr>
        <w:rFonts w:hint="default"/>
      </w:rPr>
    </w:lvl>
    <w:lvl w:ilvl="7">
      <w:start w:val="1"/>
      <w:numFmt w:val="bullet"/>
      <w:lvlText w:val="•"/>
      <w:lvlJc w:val="left"/>
      <w:pPr>
        <w:ind w:left="6031" w:hanging="360"/>
      </w:pPr>
      <w:rPr>
        <w:rFonts w:hint="default"/>
      </w:rPr>
    </w:lvl>
    <w:lvl w:ilvl="8">
      <w:start w:val="1"/>
      <w:numFmt w:val="bullet"/>
      <w:lvlText w:val="•"/>
      <w:lvlJc w:val="left"/>
      <w:pPr>
        <w:ind w:left="7054" w:hanging="360"/>
      </w:pPr>
      <w:rPr>
        <w:rFonts w:hint="default"/>
      </w:rPr>
    </w:lvl>
  </w:abstractNum>
  <w:abstractNum w:abstractNumId="1">
    <w:multiLevelType w:val="hybridMultilevel"/>
    <w:lvl w:ilvl="0">
      <w:start w:val="38"/>
      <w:numFmt w:val="decimal"/>
      <w:lvlText w:val="%1"/>
      <w:lvlJc w:val="left"/>
      <w:pPr>
        <w:ind w:left="139" w:hanging="680"/>
        <w:jc w:val="left"/>
      </w:pPr>
      <w:rPr>
        <w:rFonts w:hint="default"/>
      </w:rPr>
    </w:lvl>
    <w:lvl w:ilvl="1">
      <w:start w:val="96"/>
      <w:numFmt w:val="decimal"/>
      <w:lvlText w:val="%1.%2"/>
      <w:lvlJc w:val="left"/>
      <w:pPr>
        <w:ind w:left="139" w:hanging="680"/>
        <w:jc w:val="left"/>
      </w:pPr>
      <w:rPr>
        <w:rFonts w:hint="default" w:ascii="Arial" w:hAnsi="Arial" w:eastAsia="Arial" w:cs="Arial"/>
        <w:w w:val="100"/>
        <w:sz w:val="24"/>
        <w:szCs w:val="24"/>
      </w:rPr>
    </w:lvl>
    <w:lvl w:ilvl="2">
      <w:start w:val="1"/>
      <w:numFmt w:val="bullet"/>
      <w:lvlText w:val=""/>
      <w:lvlJc w:val="left"/>
      <w:pPr>
        <w:ind w:left="1426" w:hanging="360"/>
      </w:pPr>
      <w:rPr>
        <w:rFonts w:hint="default" w:ascii="Symbol" w:hAnsi="Symbol" w:eastAsia="Symbol" w:cs="Symbol"/>
        <w:w w:val="102"/>
        <w:sz w:val="21"/>
        <w:szCs w:val="21"/>
      </w:rPr>
    </w:lvl>
    <w:lvl w:ilvl="3">
      <w:start w:val="1"/>
      <w:numFmt w:val="bullet"/>
      <w:lvlText w:val="•"/>
      <w:lvlJc w:val="left"/>
      <w:pPr>
        <w:ind w:left="3126" w:hanging="360"/>
      </w:pPr>
      <w:rPr>
        <w:rFonts w:hint="default"/>
      </w:rPr>
    </w:lvl>
    <w:lvl w:ilvl="4">
      <w:start w:val="1"/>
      <w:numFmt w:val="bullet"/>
      <w:lvlText w:val="•"/>
      <w:lvlJc w:val="left"/>
      <w:pPr>
        <w:ind w:left="3980" w:hanging="360"/>
      </w:pPr>
      <w:rPr>
        <w:rFonts w:hint="default"/>
      </w:rPr>
    </w:lvl>
    <w:lvl w:ilvl="5">
      <w:start w:val="1"/>
      <w:numFmt w:val="bullet"/>
      <w:lvlText w:val="•"/>
      <w:lvlJc w:val="left"/>
      <w:pPr>
        <w:ind w:left="4833" w:hanging="360"/>
      </w:pPr>
      <w:rPr>
        <w:rFonts w:hint="default"/>
      </w:rPr>
    </w:lvl>
    <w:lvl w:ilvl="6">
      <w:start w:val="1"/>
      <w:numFmt w:val="bullet"/>
      <w:lvlText w:val="•"/>
      <w:lvlJc w:val="left"/>
      <w:pPr>
        <w:ind w:left="568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393" w:hanging="360"/>
      </w:pPr>
      <w:rPr>
        <w:rFonts w:hint="default"/>
      </w:rPr>
    </w:lvl>
  </w:abstractNum>
  <w:abstractNum w:abstractNumId="0">
    <w:multiLevelType w:val="hybridMultilevel"/>
    <w:lvl w:ilvl="0">
      <w:start w:val="1"/>
      <w:numFmt w:val="bullet"/>
      <w:lvlText w:val=""/>
      <w:lvlJc w:val="left"/>
      <w:pPr>
        <w:ind w:left="859" w:hanging="360"/>
      </w:pPr>
      <w:rPr>
        <w:rFonts w:hint="default"/>
        <w:w w:val="103"/>
      </w:rPr>
    </w:lvl>
    <w:lvl w:ilvl="1">
      <w:start w:val="1"/>
      <w:numFmt w:val="bullet"/>
      <w:lvlText w:val="•"/>
      <w:lvlJc w:val="left"/>
      <w:pPr>
        <w:ind w:left="1684" w:hanging="360"/>
      </w:pPr>
      <w:rPr>
        <w:rFonts w:hint="default"/>
      </w:rPr>
    </w:lvl>
    <w:lvl w:ilvl="2">
      <w:start w:val="1"/>
      <w:numFmt w:val="bullet"/>
      <w:lvlText w:val="•"/>
      <w:lvlJc w:val="left"/>
      <w:pPr>
        <w:ind w:left="2508" w:hanging="360"/>
      </w:pPr>
      <w:rPr>
        <w:rFonts w:hint="default"/>
      </w:rPr>
    </w:lvl>
    <w:lvl w:ilvl="3">
      <w:start w:val="1"/>
      <w:numFmt w:val="bullet"/>
      <w:lvlText w:val="•"/>
      <w:lvlJc w:val="left"/>
      <w:pPr>
        <w:ind w:left="3332" w:hanging="360"/>
      </w:pPr>
      <w:rPr>
        <w:rFonts w:hint="default"/>
      </w:rPr>
    </w:lvl>
    <w:lvl w:ilvl="4">
      <w:start w:val="1"/>
      <w:numFmt w:val="bullet"/>
      <w:lvlText w:val="•"/>
      <w:lvlJc w:val="left"/>
      <w:pPr>
        <w:ind w:left="4156"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804" w:hanging="360"/>
      </w:pPr>
      <w:rPr>
        <w:rFonts w:hint="default"/>
      </w:rPr>
    </w:lvl>
    <w:lvl w:ilvl="7">
      <w:start w:val="1"/>
      <w:numFmt w:val="bullet"/>
      <w:lvlText w:val="•"/>
      <w:lvlJc w:val="left"/>
      <w:pPr>
        <w:ind w:left="6628" w:hanging="360"/>
      </w:pPr>
      <w:rPr>
        <w:rFonts w:hint="default"/>
      </w:rPr>
    </w:lvl>
    <w:lvl w:ilvl="8">
      <w:start w:val="1"/>
      <w:numFmt w:val="bullet"/>
      <w:lvlText w:val="•"/>
      <w:lvlJc w:val="left"/>
      <w:pPr>
        <w:ind w:left="7452" w:hanging="360"/>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09"/>
      <w:ind w:left="139" w:right="82"/>
    </w:pPr>
    <w:rPr>
      <w:rFonts w:ascii="Arial" w:hAnsi="Arial" w:eastAsia="Arial" w:cs="Arial"/>
      <w:b/>
      <w:bCs/>
      <w:sz w:val="19"/>
      <w:szCs w:val="19"/>
    </w:rPr>
  </w:style>
  <w:style w:styleId="TOC2" w:type="paragraph">
    <w:name w:val="TOC 2"/>
    <w:basedOn w:val="Normal"/>
    <w:uiPriority w:val="1"/>
    <w:qFormat/>
    <w:pPr>
      <w:spacing w:before="45"/>
      <w:ind w:left="859" w:hanging="360"/>
    </w:pPr>
    <w:rPr>
      <w:rFonts w:ascii="Arial" w:hAnsi="Arial" w:eastAsia="Arial" w:cs="Arial"/>
      <w:sz w:val="19"/>
      <w:szCs w:val="19"/>
    </w:rPr>
  </w:style>
  <w:style w:styleId="BodyText" w:type="paragraph">
    <w:name w:val="Body Text"/>
    <w:basedOn w:val="Normal"/>
    <w:uiPriority w:val="1"/>
    <w:qFormat/>
    <w:pPr/>
    <w:rPr>
      <w:rFonts w:ascii="Arial" w:hAnsi="Arial" w:eastAsia="Arial" w:cs="Arial"/>
      <w:sz w:val="21"/>
      <w:szCs w:val="21"/>
    </w:rPr>
  </w:style>
  <w:style w:styleId="Heading1" w:type="paragraph">
    <w:name w:val="Heading 1"/>
    <w:basedOn w:val="Normal"/>
    <w:uiPriority w:val="1"/>
    <w:qFormat/>
    <w:pPr>
      <w:spacing w:line="272" w:lineRule="exact"/>
      <w:ind w:left="40"/>
      <w:outlineLvl w:val="1"/>
    </w:pPr>
    <w:rPr>
      <w:rFonts w:ascii="Calibri" w:hAnsi="Calibri" w:eastAsia="Calibri" w:cs="Calibri"/>
      <w:b/>
      <w:bCs/>
      <w:sz w:val="24"/>
      <w:szCs w:val="24"/>
    </w:rPr>
  </w:style>
  <w:style w:styleId="Heading2" w:type="paragraph">
    <w:name w:val="Heading 2"/>
    <w:basedOn w:val="Normal"/>
    <w:uiPriority w:val="1"/>
    <w:qFormat/>
    <w:pPr>
      <w:ind w:left="139" w:right="120"/>
      <w:jc w:val="both"/>
      <w:outlineLvl w:val="2"/>
    </w:pPr>
    <w:rPr>
      <w:rFonts w:ascii="Arial" w:hAnsi="Arial" w:eastAsia="Arial" w:cs="Arial"/>
      <w:sz w:val="24"/>
      <w:szCs w:val="24"/>
    </w:rPr>
  </w:style>
  <w:style w:styleId="Heading3" w:type="paragraph">
    <w:name w:val="Heading 3"/>
    <w:basedOn w:val="Normal"/>
    <w:uiPriority w:val="1"/>
    <w:qFormat/>
    <w:pPr>
      <w:spacing w:before="78"/>
      <w:ind w:left="139"/>
      <w:jc w:val="both"/>
      <w:outlineLvl w:val="3"/>
    </w:pPr>
    <w:rPr>
      <w:rFonts w:ascii="Arial" w:hAnsi="Arial" w:eastAsia="Arial" w:cs="Arial"/>
      <w:b/>
      <w:bCs/>
      <w:sz w:val="21"/>
      <w:szCs w:val="21"/>
    </w:rPr>
  </w:style>
  <w:style w:styleId="Heading4" w:type="paragraph">
    <w:name w:val="Heading 4"/>
    <w:basedOn w:val="Normal"/>
    <w:uiPriority w:val="1"/>
    <w:qFormat/>
    <w:pPr>
      <w:spacing w:before="137"/>
      <w:ind w:left="139"/>
      <w:outlineLvl w:val="4"/>
    </w:pPr>
    <w:rPr>
      <w:rFonts w:ascii="Arial" w:hAnsi="Arial" w:eastAsia="Arial" w:cs="Arial"/>
      <w:b/>
      <w:bCs/>
      <w:i/>
      <w:sz w:val="21"/>
      <w:szCs w:val="21"/>
    </w:rPr>
  </w:style>
  <w:style w:styleId="ListParagraph" w:type="paragraph">
    <w:name w:val="List Paragraph"/>
    <w:basedOn w:val="Normal"/>
    <w:uiPriority w:val="1"/>
    <w:qFormat/>
    <w:pPr>
      <w:ind w:left="859" w:hanging="360"/>
    </w:pPr>
    <w:rPr>
      <w:rFonts w:ascii="Arial" w:hAnsi="Arial" w:eastAsia="Arial" w:cs="Arial"/>
    </w:rPr>
  </w:style>
  <w:style w:styleId="TableParagraph" w:type="paragraph">
    <w:name w:val="Table Paragraph"/>
    <w:basedOn w:val="Normal"/>
    <w:uiPriority w:val="1"/>
    <w:qFormat/>
    <w:pPr>
      <w:spacing w:line="239" w:lineRule="exact"/>
      <w:ind w:left="10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jpeg"/><Relationship Id="rId24" Type="http://schemas.openxmlformats.org/officeDocument/2006/relationships/image" Target="media/image18.png"/><Relationship Id="rId25" Type="http://schemas.openxmlformats.org/officeDocument/2006/relationships/image" Target="media/image19.jpeg"/><Relationship Id="rId26" Type="http://schemas.openxmlformats.org/officeDocument/2006/relationships/footer" Target="footer2.xml"/><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footer" Target="footer3.xml"/><Relationship Id="rId30" Type="http://schemas.openxmlformats.org/officeDocument/2006/relationships/image" Target="media/image22.jpeg"/><Relationship Id="rId31" Type="http://schemas.openxmlformats.org/officeDocument/2006/relationships/image" Target="media/image23.jpeg"/><Relationship Id="rId32" Type="http://schemas.openxmlformats.org/officeDocument/2006/relationships/image" Target="media/image24.jpeg"/><Relationship Id="rId33" Type="http://schemas.openxmlformats.org/officeDocument/2006/relationships/image" Target="media/image25.png"/><Relationship Id="rId34" Type="http://schemas.openxmlformats.org/officeDocument/2006/relationships/image" Target="media/image26.jpeg"/><Relationship Id="rId35" Type="http://schemas.openxmlformats.org/officeDocument/2006/relationships/footer" Target="footer4.xml"/><Relationship Id="rId36" Type="http://schemas.openxmlformats.org/officeDocument/2006/relationships/image" Target="media/image27.jpeg"/><Relationship Id="rId37" Type="http://schemas.openxmlformats.org/officeDocument/2006/relationships/footer" Target="footer5.xml"/><Relationship Id="rId38" Type="http://schemas.openxmlformats.org/officeDocument/2006/relationships/footer" Target="footer6.xml"/><Relationship Id="rId39" Type="http://schemas.openxmlformats.org/officeDocument/2006/relationships/footer" Target="footer7.xml"/><Relationship Id="rId40" Type="http://schemas.openxmlformats.org/officeDocument/2006/relationships/image" Target="media/image28.jpeg"/><Relationship Id="rId41" Type="http://schemas.openxmlformats.org/officeDocument/2006/relationships/hyperlink" Target="http://www.sbkmexico.com/" TargetMode="External"/><Relationship Id="rId42" Type="http://schemas.openxmlformats.org/officeDocument/2006/relationships/image" Target="media/image29.png"/><Relationship Id="rId43" Type="http://schemas.openxmlformats.org/officeDocument/2006/relationships/image" Target="media/image30.jpeg"/><Relationship Id="rId44" Type="http://schemas.openxmlformats.org/officeDocument/2006/relationships/image" Target="media/image31.png"/><Relationship Id="rId45" Type="http://schemas.openxmlformats.org/officeDocument/2006/relationships/image" Target="media/image32.png"/><Relationship Id="rId46" Type="http://schemas.openxmlformats.org/officeDocument/2006/relationships/image" Target="media/image33.png"/><Relationship Id="rId47" Type="http://schemas.openxmlformats.org/officeDocument/2006/relationships/image" Target="media/image34.png"/><Relationship Id="rId48" Type="http://schemas.openxmlformats.org/officeDocument/2006/relationships/image" Target="media/image35.png"/><Relationship Id="rId49" Type="http://schemas.openxmlformats.org/officeDocument/2006/relationships/hyperlink" Target="http://www.sbkmexico.com/calendarioLunar.php)" TargetMode="External"/><Relationship Id="rId50" Type="http://schemas.openxmlformats.org/officeDocument/2006/relationships/image" Target="media/image36.jpeg"/><Relationship Id="rId51" Type="http://schemas.openxmlformats.org/officeDocument/2006/relationships/footer" Target="footer8.xml"/><Relationship Id="rId52" Type="http://schemas.openxmlformats.org/officeDocument/2006/relationships/footer" Target="footer9.xml"/><Relationship Id="rId53" Type="http://schemas.openxmlformats.org/officeDocument/2006/relationships/image" Target="media/image37.jpeg"/><Relationship Id="rId54" Type="http://schemas.openxmlformats.org/officeDocument/2006/relationships/image" Target="media/image38.jpeg"/><Relationship Id="rId55" Type="http://schemas.openxmlformats.org/officeDocument/2006/relationships/image" Target="media/image39.png"/><Relationship Id="rId56" Type="http://schemas.openxmlformats.org/officeDocument/2006/relationships/image" Target="media/image40.png"/><Relationship Id="rId57" Type="http://schemas.openxmlformats.org/officeDocument/2006/relationships/footer" Target="footer10.xml"/><Relationship Id="rId58" Type="http://schemas.openxmlformats.org/officeDocument/2006/relationships/footer" Target="footer11.xml"/><Relationship Id="rId59" Type="http://schemas.openxmlformats.org/officeDocument/2006/relationships/image" Target="media/image41.jpeg"/><Relationship Id="rId6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2017-05-22T23:09:01Z</dcterms:created>
  <dcterms:modified xsi:type="dcterms:W3CDTF">2017-05-22T23:09:01Z</dcterms:modified>
</cp:coreProperties>
</file>