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5"/>
        <w:rPr>
          <w:sz w:val="20"/>
        </w:rPr>
      </w:pPr>
      <w:r>
        <w:rPr>
          <w:sz w:val="20"/>
        </w:rPr>
        <w:pict>
          <v:group style="width:462.5pt;height:457.15pt;mso-position-horizontal-relative:char;mso-position-vertical-relative:line" coordorigin="0,0" coordsize="9250,9143">
            <v:shape style="position:absolute;left:0;top:0;width:2143;height:1929" type="#_x0000_t75" stroked="false">
              <v:imagedata r:id="rId5" o:title=""/>
            </v:shape>
            <v:shape style="position:absolute;left:7200;top:13;width:2048;height:1915" type="#_x0000_t75" stroked="false">
              <v:imagedata r:id="rId6" o:title=""/>
            </v:shape>
            <v:shape style="position:absolute;left:1;top:1712;width:9248;height:7431" type="#_x0000_t75" stroked="false">
              <v:imagedata r:id="rId7" o:title=""/>
            </v:shape>
            <v:shapetype id="_x0000_t202" o:spt="202" coordsize="21600,21600" path="m,l,21600r21600,l21600,xe">
              <v:stroke joinstyle="miter"/>
              <v:path gradientshapeok="t" o:connecttype="rect"/>
            </v:shapetype>
            <v:shape style="position:absolute;left:1410;top:2834;width:6610;height:946" type="#_x0000_t202" filled="false" stroked="false">
              <v:textbox inset="0,0,0,0">
                <w:txbxContent>
                  <w:p>
                    <w:pPr>
                      <w:spacing w:line="449" w:lineRule="exact" w:before="0"/>
                      <w:ind w:left="0" w:right="0" w:firstLine="0"/>
                      <w:jc w:val="center"/>
                      <w:rPr>
                        <w:b/>
                        <w:sz w:val="35"/>
                      </w:rPr>
                    </w:pPr>
                    <w:r>
                      <w:rPr>
                        <w:b/>
                        <w:sz w:val="44"/>
                      </w:rPr>
                      <w:t>C</w:t>
                    </w:r>
                    <w:r>
                      <w:rPr>
                        <w:b/>
                        <w:sz w:val="35"/>
                      </w:rPr>
                      <w:t>ALIDAD E </w:t>
                    </w:r>
                    <w:r>
                      <w:rPr>
                        <w:b/>
                        <w:spacing w:val="-6"/>
                        <w:sz w:val="44"/>
                      </w:rPr>
                      <w:t>I</w:t>
                    </w:r>
                    <w:r>
                      <w:rPr>
                        <w:b/>
                        <w:spacing w:val="-6"/>
                        <w:sz w:val="35"/>
                      </w:rPr>
                      <w:t>MPACTO </w:t>
                    </w:r>
                    <w:r>
                      <w:rPr>
                        <w:b/>
                        <w:sz w:val="35"/>
                      </w:rPr>
                      <w:t>DE LA </w:t>
                    </w:r>
                    <w:r>
                      <w:rPr>
                        <w:b/>
                        <w:spacing w:val="-5"/>
                        <w:sz w:val="44"/>
                      </w:rPr>
                      <w:t>R</w:t>
                    </w:r>
                    <w:r>
                      <w:rPr>
                        <w:b/>
                        <w:spacing w:val="-5"/>
                        <w:sz w:val="35"/>
                      </w:rPr>
                      <w:t>EVISTA</w:t>
                    </w:r>
                  </w:p>
                  <w:p>
                    <w:pPr>
                      <w:spacing w:line="497" w:lineRule="exact" w:before="0"/>
                      <w:ind w:left="0" w:right="16" w:firstLine="0"/>
                      <w:jc w:val="center"/>
                      <w:rPr>
                        <w:b/>
                        <w:sz w:val="35"/>
                      </w:rPr>
                    </w:pPr>
                    <w:r>
                      <w:rPr>
                        <w:b/>
                        <w:sz w:val="44"/>
                      </w:rPr>
                      <w:t>I</w:t>
                    </w:r>
                    <w:r>
                      <w:rPr>
                        <w:b/>
                        <w:sz w:val="35"/>
                      </w:rPr>
                      <w:t>BEROAMERICANA</w:t>
                    </w:r>
                  </w:p>
                </w:txbxContent>
              </v:textbox>
              <w10:wrap type="none"/>
            </v:shape>
            <v:shape style="position:absolute;left:417;top:4351;width:8580;height:946" type="#_x0000_t202" filled="false" stroked="false">
              <v:textbox inset="0,0,0,0">
                <w:txbxContent>
                  <w:p>
                    <w:pPr>
                      <w:spacing w:line="449" w:lineRule="exact" w:before="0"/>
                      <w:ind w:left="0" w:right="0" w:firstLine="0"/>
                      <w:jc w:val="center"/>
                      <w:rPr>
                        <w:b/>
                        <w:sz w:val="35"/>
                      </w:rPr>
                    </w:pPr>
                    <w:r>
                      <w:rPr>
                        <w:b/>
                        <w:sz w:val="44"/>
                      </w:rPr>
                      <w:t>Q</w:t>
                    </w:r>
                    <w:r>
                      <w:rPr>
                        <w:b/>
                        <w:sz w:val="35"/>
                      </w:rPr>
                      <w:t>UALITY AN </w:t>
                    </w:r>
                    <w:r>
                      <w:rPr>
                        <w:b/>
                        <w:spacing w:val="-5"/>
                        <w:sz w:val="44"/>
                      </w:rPr>
                      <w:t>I</w:t>
                    </w:r>
                    <w:r>
                      <w:rPr>
                        <w:b/>
                        <w:spacing w:val="-5"/>
                        <w:sz w:val="35"/>
                      </w:rPr>
                      <w:t>MPACT </w:t>
                    </w:r>
                    <w:r>
                      <w:rPr>
                        <w:b/>
                        <w:sz w:val="35"/>
                      </w:rPr>
                      <w:t>OF THE</w:t>
                    </w:r>
                    <w:r>
                      <w:rPr>
                        <w:b/>
                        <w:spacing w:val="-58"/>
                        <w:sz w:val="35"/>
                      </w:rPr>
                      <w:t> </w:t>
                    </w:r>
                    <w:r>
                      <w:rPr>
                        <w:b/>
                        <w:sz w:val="44"/>
                      </w:rPr>
                      <w:t>I</w:t>
                    </w:r>
                    <w:r>
                      <w:rPr>
                        <w:b/>
                        <w:sz w:val="35"/>
                      </w:rPr>
                      <w:t>BERO</w:t>
                    </w:r>
                    <w:r>
                      <w:rPr>
                        <w:b/>
                        <w:sz w:val="44"/>
                      </w:rPr>
                      <w:t>-A</w:t>
                    </w:r>
                    <w:r>
                      <w:rPr>
                        <w:b/>
                        <w:sz w:val="35"/>
                      </w:rPr>
                      <w:t>MERICAN</w:t>
                    </w:r>
                  </w:p>
                  <w:p>
                    <w:pPr>
                      <w:spacing w:line="497" w:lineRule="exact" w:before="0"/>
                      <w:ind w:left="0" w:right="3" w:firstLine="0"/>
                      <w:jc w:val="center"/>
                      <w:rPr>
                        <w:b/>
                        <w:sz w:val="35"/>
                      </w:rPr>
                    </w:pPr>
                    <w:r>
                      <w:rPr>
                        <w:b/>
                        <w:sz w:val="44"/>
                      </w:rPr>
                      <w:t>J</w:t>
                    </w:r>
                    <w:r>
                      <w:rPr>
                        <w:b/>
                        <w:sz w:val="35"/>
                      </w:rPr>
                      <w:t>OURNALS</w:t>
                    </w:r>
                  </w:p>
                </w:txbxContent>
              </v:textbox>
              <w10:wrap type="none"/>
            </v:shape>
            <v:shape style="position:absolute;left:1516;top:5849;width:6377;height:1241" type="#_x0000_t202" filled="false" stroked="false">
              <v:textbox inset="0,0,0,0">
                <w:txbxContent>
                  <w:p>
                    <w:pPr>
                      <w:spacing w:line="284" w:lineRule="exact" w:before="0"/>
                      <w:ind w:left="3" w:right="0" w:firstLine="0"/>
                      <w:jc w:val="center"/>
                      <w:rPr>
                        <w:b/>
                        <w:sz w:val="22"/>
                      </w:rPr>
                    </w:pPr>
                    <w:r>
                      <w:rPr>
                        <w:b/>
                        <w:sz w:val="28"/>
                      </w:rPr>
                      <w:t>C</w:t>
                    </w:r>
                    <w:r>
                      <w:rPr>
                        <w:b/>
                        <w:sz w:val="22"/>
                      </w:rPr>
                      <w:t>OMPILADORES</w:t>
                    </w:r>
                  </w:p>
                  <w:p>
                    <w:pPr>
                      <w:spacing w:line="319" w:lineRule="exact" w:before="0"/>
                      <w:ind w:left="-1" w:right="0" w:firstLine="0"/>
                      <w:jc w:val="center"/>
                      <w:rPr>
                        <w:sz w:val="28"/>
                      </w:rPr>
                    </w:pPr>
                    <w:r>
                      <w:rPr>
                        <w:sz w:val="28"/>
                      </w:rPr>
                      <w:t>Ana María Cetto Kramis y José Octavio Alonso</w:t>
                    </w:r>
                    <w:r>
                      <w:rPr>
                        <w:spacing w:val="-37"/>
                        <w:sz w:val="28"/>
                      </w:rPr>
                      <w:t> </w:t>
                    </w:r>
                    <w:r>
                      <w:rPr>
                        <w:sz w:val="28"/>
                      </w:rPr>
                      <w:t>Gamboa</w:t>
                    </w:r>
                  </w:p>
                  <w:p>
                    <w:pPr>
                      <w:spacing w:line="240" w:lineRule="auto" w:before="10"/>
                      <w:rPr>
                        <w:sz w:val="27"/>
                      </w:rPr>
                    </w:pPr>
                  </w:p>
                  <w:p>
                    <w:pPr>
                      <w:spacing w:line="316" w:lineRule="exact" w:before="0"/>
                      <w:ind w:left="0" w:right="0" w:firstLine="0"/>
                      <w:jc w:val="center"/>
                      <w:rPr>
                        <w:sz w:val="28"/>
                      </w:rPr>
                    </w:pPr>
                    <w:hyperlink r:id="rId8">
                      <w:r>
                        <w:rPr>
                          <w:sz w:val="28"/>
                        </w:rPr>
                        <w:t>[h</w:t>
                      </w:r>
                    </w:hyperlink>
                    <w:r>
                      <w:rPr>
                        <w:sz w:val="28"/>
                      </w:rPr>
                      <w:t>t</w:t>
                    </w:r>
                    <w:hyperlink r:id="rId8">
                      <w:r>
                        <w:rPr>
                          <w:sz w:val="28"/>
                        </w:rPr>
                        <w:t>tp://www.latindex.unam.mx/librociri/</w:t>
                      </w:r>
                    </w:hyperlink>
                    <w:r>
                      <w:rPr>
                        <w:sz w:val="28"/>
                      </w:rPr>
                      <w:t>]</w:t>
                    </w:r>
                  </w:p>
                </w:txbxContent>
              </v:textbox>
              <w10:wrap type="none"/>
            </v:shape>
            <v:shape style="position:absolute;left:2625;top:8131;width:4162;height:987" type="#_x0000_t202" filled="false" stroked="false">
              <v:textbox inset="0,0,0,0">
                <w:txbxContent>
                  <w:p>
                    <w:pPr>
                      <w:spacing w:line="227" w:lineRule="exact" w:before="0"/>
                      <w:ind w:left="0" w:right="0" w:firstLine="0"/>
                      <w:jc w:val="center"/>
                      <w:rPr>
                        <w:rFonts w:ascii="Trebuchet MS" w:hAnsi="Trebuchet MS"/>
                        <w:sz w:val="22"/>
                      </w:rPr>
                    </w:pPr>
                    <w:r>
                      <w:rPr>
                        <w:rFonts w:ascii="Trebuchet MS" w:hAnsi="Trebuchet MS"/>
                        <w:sz w:val="22"/>
                      </w:rPr>
                      <w:t>Universidad Nacional Autónoma de</w:t>
                    </w:r>
                    <w:r>
                      <w:rPr>
                        <w:rFonts w:ascii="Trebuchet MS" w:hAnsi="Trebuchet MS"/>
                        <w:spacing w:val="-31"/>
                        <w:sz w:val="22"/>
                      </w:rPr>
                      <w:t> </w:t>
                    </w:r>
                    <w:r>
                      <w:rPr>
                        <w:rFonts w:ascii="Trebuchet MS" w:hAnsi="Trebuchet MS"/>
                        <w:sz w:val="22"/>
                      </w:rPr>
                      <w:t>México</w:t>
                    </w:r>
                  </w:p>
                  <w:p>
                    <w:pPr>
                      <w:spacing w:line="255" w:lineRule="exact" w:before="0"/>
                      <w:ind w:left="1" w:right="0" w:firstLine="0"/>
                      <w:jc w:val="center"/>
                      <w:rPr>
                        <w:rFonts w:ascii="Trebuchet MS"/>
                        <w:sz w:val="22"/>
                      </w:rPr>
                    </w:pPr>
                    <w:r>
                      <w:rPr>
                        <w:rFonts w:ascii="Trebuchet MS"/>
                        <w:sz w:val="22"/>
                      </w:rPr>
                      <w:t>LATINDEX</w:t>
                    </w:r>
                  </w:p>
                  <w:p>
                    <w:pPr>
                      <w:spacing w:before="1"/>
                      <w:ind w:left="1284" w:right="1282" w:firstLine="0"/>
                      <w:jc w:val="center"/>
                      <w:rPr>
                        <w:rFonts w:ascii="Trebuchet MS" w:hAnsi="Trebuchet MS"/>
                        <w:sz w:val="22"/>
                      </w:rPr>
                    </w:pPr>
                    <w:r>
                      <w:rPr>
                        <w:rFonts w:ascii="Trebuchet MS" w:hAnsi="Trebuchet MS"/>
                        <w:sz w:val="22"/>
                      </w:rPr>
                      <w:t>Primera edición México, 2011</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1"/>
        </w:rPr>
      </w:pPr>
      <w:r>
        <w:rPr/>
        <w:drawing>
          <wp:anchor distT="0" distB="0" distL="0" distR="0" allowOverlap="1" layoutInCell="1" locked="0" behindDoc="0" simplePos="0" relativeHeight="1144">
            <wp:simplePos x="0" y="0"/>
            <wp:positionH relativeFrom="page">
              <wp:posOffset>1311910</wp:posOffset>
            </wp:positionH>
            <wp:positionV relativeFrom="paragraph">
              <wp:posOffset>111833</wp:posOffset>
            </wp:positionV>
            <wp:extent cx="5136634" cy="961834"/>
            <wp:effectExtent l="0" t="0" r="0" b="0"/>
            <wp:wrapTopAndBottom/>
            <wp:docPr id="1" name="image4.jpeg" descr=""/>
            <wp:cNvGraphicFramePr>
              <a:graphicFrameLocks noChangeAspect="1"/>
            </wp:cNvGraphicFramePr>
            <a:graphic>
              <a:graphicData uri="http://schemas.openxmlformats.org/drawingml/2006/picture">
                <pic:pic>
                  <pic:nvPicPr>
                    <pic:cNvPr id="2" name="image4.jpeg"/>
                    <pic:cNvPicPr/>
                  </pic:nvPicPr>
                  <pic:blipFill>
                    <a:blip r:embed="rId9" cstate="print"/>
                    <a:stretch>
                      <a:fillRect/>
                    </a:stretch>
                  </pic:blipFill>
                  <pic:spPr>
                    <a:xfrm>
                      <a:off x="0" y="0"/>
                      <a:ext cx="5136634" cy="961834"/>
                    </a:xfrm>
                    <a:prstGeom prst="rect">
                      <a:avLst/>
                    </a:prstGeom>
                  </pic:spPr>
                </pic:pic>
              </a:graphicData>
            </a:graphic>
          </wp:anchor>
        </w:drawing>
      </w:r>
    </w:p>
    <w:p>
      <w:pPr>
        <w:spacing w:after="0"/>
        <w:rPr>
          <w:sz w:val="11"/>
        </w:rPr>
        <w:sectPr>
          <w:type w:val="continuous"/>
          <w:pgSz w:w="12240" w:h="15840"/>
          <w:pgMar w:top="1160" w:bottom="280" w:left="1300" w:right="1460"/>
        </w:sectPr>
      </w:pPr>
    </w:p>
    <w:p>
      <w:pPr>
        <w:pStyle w:val="BodyText"/>
        <w:spacing w:before="9"/>
        <w:rPr>
          <w:sz w:val="19"/>
        </w:rPr>
      </w:pPr>
    </w:p>
    <w:p>
      <w:pPr>
        <w:spacing w:after="0"/>
        <w:rPr>
          <w:sz w:val="19"/>
        </w:rPr>
        <w:sectPr>
          <w:headerReference w:type="default" r:id="rId10"/>
          <w:footerReference w:type="default" r:id="rId11"/>
          <w:pgSz w:w="12240" w:h="15840"/>
          <w:pgMar w:header="733" w:footer="1460" w:top="1120" w:bottom="1660" w:left="1600" w:right="1580"/>
        </w:sectPr>
      </w:pPr>
    </w:p>
    <w:p>
      <w:pPr>
        <w:pStyle w:val="BodyText"/>
        <w:rPr>
          <w:sz w:val="28"/>
        </w:rPr>
      </w:pPr>
    </w:p>
    <w:p>
      <w:pPr>
        <w:pStyle w:val="BodyText"/>
        <w:spacing w:before="4"/>
        <w:rPr>
          <w:sz w:val="28"/>
        </w:rPr>
      </w:pPr>
    </w:p>
    <w:p>
      <w:pPr>
        <w:pStyle w:val="Heading2"/>
        <w:ind w:left="102" w:right="-17" w:firstLine="0"/>
        <w:jc w:val="left"/>
      </w:pPr>
      <w:bookmarkStart w:name="_bookmark0" w:id="1"/>
      <w:bookmarkEnd w:id="1"/>
      <w:r>
        <w:rPr>
          <w:b w:val="0"/>
        </w:rPr>
      </w:r>
      <w:r>
        <w:rPr/>
        <w:t>ISO</w:t>
      </w:r>
      <w:r>
        <w:rPr>
          <w:spacing w:val="-42"/>
        </w:rPr>
        <w:t> </w:t>
      </w:r>
      <w:r>
        <w:rPr/>
        <w:t>690-2</w:t>
      </w:r>
    </w:p>
    <w:p>
      <w:pPr>
        <w:pStyle w:val="Heading1"/>
        <w:ind w:left="102"/>
      </w:pPr>
      <w:r>
        <w:rPr>
          <w:b w:val="0"/>
        </w:rPr>
        <w:br w:type="column"/>
      </w:r>
      <w:r>
        <w:rPr/>
        <w:t>CÓMO </w:t>
      </w:r>
      <w:r>
        <w:rPr>
          <w:spacing w:val="-6"/>
        </w:rPr>
        <w:t>CITAR </w:t>
      </w:r>
      <w:r>
        <w:rPr/>
        <w:t>ESTE</w:t>
      </w:r>
      <w:r>
        <w:rPr>
          <w:spacing w:val="-50"/>
        </w:rPr>
        <w:t> </w:t>
      </w:r>
      <w:r>
        <w:rPr/>
        <w:t>LIBRO</w:t>
      </w:r>
    </w:p>
    <w:p>
      <w:pPr>
        <w:spacing w:after="0"/>
        <w:sectPr>
          <w:type w:val="continuous"/>
          <w:pgSz w:w="12240" w:h="15840"/>
          <w:pgMar w:top="1160" w:bottom="280" w:left="1600" w:right="1580"/>
          <w:cols w:num="2" w:equalWidth="0">
            <w:col w:w="1269" w:space="1107"/>
            <w:col w:w="6684"/>
          </w:cols>
        </w:sectPr>
      </w:pPr>
    </w:p>
    <w:p>
      <w:pPr>
        <w:pStyle w:val="BodyText"/>
        <w:spacing w:before="6"/>
        <w:rPr>
          <w:b/>
          <w:sz w:val="15"/>
        </w:rPr>
      </w:pPr>
    </w:p>
    <w:p>
      <w:pPr>
        <w:spacing w:line="360" w:lineRule="auto" w:before="69"/>
        <w:ind w:left="102" w:right="121" w:firstLine="0"/>
        <w:jc w:val="both"/>
        <w:rPr>
          <w:b/>
          <w:sz w:val="24"/>
        </w:rPr>
      </w:pPr>
      <w:r>
        <w:rPr>
          <w:sz w:val="24"/>
        </w:rPr>
        <w:t>CETTO, Ana María y ALONSO GAMBOA, José Octavio (comps.) </w:t>
      </w:r>
      <w:r>
        <w:rPr>
          <w:i/>
          <w:sz w:val="24"/>
        </w:rPr>
        <w:t>Calidad e Impacto de </w:t>
      </w:r>
      <w:r>
        <w:rPr>
          <w:i/>
          <w:sz w:val="24"/>
        </w:rPr>
        <w:t>la revista Iberoamericana </w:t>
      </w:r>
      <w:r>
        <w:rPr>
          <w:sz w:val="24"/>
        </w:rPr>
        <w:t>[En línea]. Primera edición [México]: Facultad de Ciencias, UNAM, 2011. Disponible en Internet: &lt;</w:t>
      </w:r>
      <w:hyperlink r:id="rId8">
        <w:r>
          <w:rPr>
            <w:b/>
            <w:sz w:val="24"/>
          </w:rPr>
          <w:t>http://www.latindex.unam.mx/librociri/</w:t>
        </w:r>
      </w:hyperlink>
      <w:r>
        <w:rPr>
          <w:sz w:val="24"/>
        </w:rPr>
        <w:t>&gt; </w:t>
      </w:r>
      <w:r>
        <w:rPr>
          <w:b/>
          <w:sz w:val="24"/>
        </w:rPr>
        <w:t>ISBN</w:t>
      </w:r>
    </w:p>
    <w:p>
      <w:pPr>
        <w:pStyle w:val="BodyText"/>
        <w:rPr>
          <w:b/>
          <w:sz w:val="20"/>
        </w:rPr>
      </w:pPr>
    </w:p>
    <w:p>
      <w:pPr>
        <w:pStyle w:val="Heading2"/>
        <w:ind w:left="102" w:firstLine="0"/>
      </w:pPr>
      <w:r>
        <w:rPr/>
        <w:t>APA</w:t>
      </w:r>
    </w:p>
    <w:p>
      <w:pPr>
        <w:spacing w:line="360" w:lineRule="auto" w:before="248"/>
        <w:ind w:left="102" w:right="118" w:firstLine="0"/>
        <w:jc w:val="both"/>
        <w:rPr>
          <w:sz w:val="24"/>
        </w:rPr>
      </w:pPr>
      <w:r>
        <w:rPr>
          <w:sz w:val="24"/>
        </w:rPr>
        <w:t>Cetto, Ana María y Alonso Gamboa, José Octavio (comps.) (2011). </w:t>
      </w:r>
      <w:r>
        <w:rPr>
          <w:i/>
          <w:sz w:val="24"/>
        </w:rPr>
        <w:t>Calidad e Impacto de  </w:t>
      </w:r>
      <w:r>
        <w:rPr>
          <w:i/>
          <w:sz w:val="24"/>
        </w:rPr>
        <w:t>la revista Iberoamericana </w:t>
      </w:r>
      <w:r>
        <w:rPr>
          <w:sz w:val="24"/>
        </w:rPr>
        <w:t>[En línea]. México: Facultad de Ciencias, UNAM, &lt; </w:t>
      </w:r>
      <w:hyperlink r:id="rId8">
        <w:r>
          <w:rPr>
            <w:b/>
            <w:sz w:val="24"/>
          </w:rPr>
          <w:t>http://www.latindex.unam.mx/librociri/</w:t>
        </w:r>
      </w:hyperlink>
      <w:r>
        <w:rPr>
          <w:sz w:val="24"/>
        </w:rPr>
        <w:t>&gt;</w:t>
      </w:r>
    </w:p>
    <w:p>
      <w:pPr>
        <w:spacing w:after="0" w:line="360" w:lineRule="auto"/>
        <w:jc w:val="both"/>
        <w:rPr>
          <w:sz w:val="24"/>
        </w:rPr>
        <w:sectPr>
          <w:type w:val="continuous"/>
          <w:pgSz w:w="12240" w:h="15840"/>
          <w:pgMar w:top="1160" w:bottom="280" w:left="1600" w:right="1580"/>
        </w:sectPr>
      </w:pPr>
    </w:p>
    <w:p>
      <w:pPr>
        <w:pStyle w:val="BodyText"/>
        <w:spacing w:before="7"/>
        <w:rPr>
          <w:sz w:val="20"/>
        </w:rPr>
      </w:pPr>
    </w:p>
    <w:p>
      <w:pPr>
        <w:pStyle w:val="Heading1"/>
        <w:spacing w:before="58"/>
        <w:ind w:right="18"/>
        <w:jc w:val="center"/>
      </w:pPr>
      <w:r>
        <w:rPr/>
        <w:t>CONTENIDO</w:t>
      </w:r>
    </w:p>
    <w:p>
      <w:pPr>
        <w:spacing w:after="0"/>
        <w:jc w:val="center"/>
        <w:sectPr>
          <w:footerReference w:type="default" r:id="rId12"/>
          <w:pgSz w:w="12240" w:h="15840"/>
          <w:pgMar w:footer="1460" w:header="733" w:top="1120" w:bottom="1708" w:left="1600" w:right="1580"/>
          <w:pgNumType w:start="5"/>
        </w:sectPr>
      </w:pPr>
    </w:p>
    <w:sdt>
      <w:sdtPr>
        <w:docPartObj>
          <w:docPartGallery w:val="Table of Contents"/>
          <w:docPartUnique/>
        </w:docPartObj>
      </w:sdtPr>
      <w:sdtEndPr/>
      <w:sdtContent>
        <w:p>
          <w:pPr>
            <w:pStyle w:val="TOC2"/>
            <w:tabs>
              <w:tab w:pos="8929" w:val="right" w:leader="dot"/>
            </w:tabs>
            <w:spacing w:before="49"/>
            <w:ind w:right="0"/>
          </w:pPr>
          <w:hyperlink w:history="true" w:anchor="_bookmark0">
            <w:r>
              <w:rPr/>
              <w:t>CÓMO CITAR</w:t>
            </w:r>
            <w:r>
              <w:rPr>
                <w:spacing w:val="-2"/>
              </w:rPr>
              <w:t> </w:t>
            </w:r>
            <w:r>
              <w:rPr/>
              <w:t>ESTE</w:t>
            </w:r>
            <w:r>
              <w:rPr>
                <w:spacing w:val="-1"/>
              </w:rPr>
              <w:t> </w:t>
            </w:r>
            <w:r>
              <w:rPr/>
              <w:t>LIBRO</w:t>
              <w:tab/>
              <w:t>2</w:t>
            </w:r>
          </w:hyperlink>
        </w:p>
        <w:p>
          <w:pPr>
            <w:pStyle w:val="TOC2"/>
            <w:tabs>
              <w:tab w:pos="8929" w:val="right" w:leader="dot"/>
            </w:tabs>
            <w:ind w:right="0"/>
          </w:pPr>
          <w:r>
            <w:rPr/>
            <w:t>PREFACIO</w:t>
            <w:tab/>
            <w:t>3</w:t>
          </w:r>
        </w:p>
        <w:p>
          <w:pPr>
            <w:pStyle w:val="TOC1"/>
            <w:tabs>
              <w:tab w:pos="8831" w:val="right" w:leader="dot"/>
            </w:tabs>
          </w:pPr>
          <w:r>
            <w:rPr/>
            <w:t>INTRODUCCIÓN</w:t>
            <w:tab/>
            <w:t>13</w:t>
          </w:r>
        </w:p>
        <w:p>
          <w:pPr>
            <w:pStyle w:val="TOC2"/>
            <w:numPr>
              <w:ilvl w:val="0"/>
              <w:numId w:val="1"/>
            </w:numPr>
            <w:tabs>
              <w:tab w:pos="270" w:val="left" w:leader="none"/>
              <w:tab w:pos="8933" w:val="right" w:leader="dot"/>
            </w:tabs>
            <w:spacing w:line="240" w:lineRule="auto" w:before="101" w:after="0"/>
            <w:ind w:left="102" w:right="124" w:firstLine="0"/>
            <w:jc w:val="left"/>
          </w:pPr>
          <w:r>
            <w:rPr/>
            <w:t>PRESTIGIO, CALIDAD E IMPACTO DE LAS REVISTAS IBEROAMERICANAS; INDICADORES Y SISTEMAS</w:t>
          </w:r>
          <w:r>
            <w:rPr>
              <w:spacing w:val="-2"/>
            </w:rPr>
            <w:t> </w:t>
          </w:r>
          <w:r>
            <w:rPr/>
            <w:t>DE EVALUACIÓN</w:t>
            <w:tab/>
            <w:t>19</w:t>
          </w:r>
        </w:p>
        <w:p>
          <w:pPr>
            <w:pStyle w:val="TOC2"/>
            <w:tabs>
              <w:tab w:pos="8933" w:val="right" w:leader="dot"/>
            </w:tabs>
          </w:pPr>
          <w:r>
            <w:rPr/>
            <w:t>I.1 BETWEEN QUALITY, AND EXCELLENCE; FROM NATION TO REGION: STRATEGIES FOR LATIN AMERICAN SCHOLARLY AND SCIENTIFIC</w:t>
          </w:r>
          <w:r>
            <w:rPr>
              <w:spacing w:val="-2"/>
            </w:rPr>
            <w:t> </w:t>
          </w:r>
          <w:r>
            <w:rPr/>
            <w:t>JOURNALS</w:t>
            <w:tab/>
            <w:t>20</w:t>
          </w:r>
        </w:p>
        <w:p>
          <w:pPr>
            <w:pStyle w:val="TOC3"/>
            <w:numPr>
              <w:ilvl w:val="1"/>
              <w:numId w:val="1"/>
            </w:numPr>
            <w:tabs>
              <w:tab w:pos="761" w:val="left" w:leader="none"/>
              <w:tab w:pos="762" w:val="left" w:leader="none"/>
              <w:tab w:pos="8933" w:val="right" w:leader="dot"/>
            </w:tabs>
            <w:spacing w:line="240" w:lineRule="auto" w:before="99" w:after="0"/>
            <w:ind w:left="762" w:right="0" w:hanging="461"/>
            <w:jc w:val="left"/>
          </w:pPr>
          <w:r>
            <w:rPr/>
            <w:t>Setting the stage: professionalism, quality,</w:t>
          </w:r>
          <w:r>
            <w:rPr>
              <w:spacing w:val="-3"/>
            </w:rPr>
            <w:t> </w:t>
          </w:r>
          <w:r>
            <w:rPr/>
            <w:t>and excellence</w:t>
            <w:tab/>
            <w:t>21</w:t>
          </w:r>
        </w:p>
        <w:p>
          <w:pPr>
            <w:pStyle w:val="TOC3"/>
            <w:numPr>
              <w:ilvl w:val="1"/>
              <w:numId w:val="1"/>
            </w:numPr>
            <w:tabs>
              <w:tab w:pos="761" w:val="left" w:leader="none"/>
              <w:tab w:pos="762" w:val="left" w:leader="none"/>
              <w:tab w:pos="8933" w:val="right" w:leader="dot"/>
            </w:tabs>
            <w:spacing w:line="240" w:lineRule="auto" w:before="101" w:after="0"/>
            <w:ind w:left="762" w:right="0" w:hanging="461"/>
            <w:jc w:val="left"/>
          </w:pPr>
          <w:r>
            <w:rPr/>
            <w:t>Comparing scientific journals: the trouble with</w:t>
          </w:r>
          <w:r>
            <w:rPr>
              <w:spacing w:val="1"/>
            </w:rPr>
            <w:t> </w:t>
          </w:r>
          <w:r>
            <w:rPr/>
            <w:t>Impact</w:t>
          </w:r>
          <w:r>
            <w:rPr>
              <w:spacing w:val="-2"/>
            </w:rPr>
            <w:t> </w:t>
          </w:r>
          <w:r>
            <w:rPr/>
            <w:t>Factors</w:t>
            <w:tab/>
            <w:t>25</w:t>
          </w:r>
        </w:p>
        <w:p>
          <w:pPr>
            <w:pStyle w:val="TOC3"/>
            <w:numPr>
              <w:ilvl w:val="1"/>
              <w:numId w:val="1"/>
            </w:numPr>
            <w:tabs>
              <w:tab w:pos="761" w:val="left" w:leader="none"/>
              <w:tab w:pos="762" w:val="left" w:leader="none"/>
              <w:tab w:pos="8933" w:val="right" w:leader="dot"/>
            </w:tabs>
            <w:spacing w:line="240" w:lineRule="auto" w:before="99" w:after="0"/>
            <w:ind w:left="762" w:right="0" w:hanging="461"/>
            <w:jc w:val="left"/>
          </w:pPr>
          <w:r>
            <w:rPr/>
            <w:t>Scientific publishing in</w:t>
          </w:r>
          <w:r>
            <w:rPr>
              <w:spacing w:val="-1"/>
            </w:rPr>
            <w:t> </w:t>
          </w:r>
          <w:r>
            <w:rPr/>
            <w:t>Latin America</w:t>
            <w:tab/>
            <w:t>30</w:t>
          </w:r>
        </w:p>
        <w:p>
          <w:pPr>
            <w:pStyle w:val="TOC3"/>
            <w:numPr>
              <w:ilvl w:val="1"/>
              <w:numId w:val="1"/>
            </w:numPr>
            <w:tabs>
              <w:tab w:pos="761" w:val="left" w:leader="none"/>
              <w:tab w:pos="762" w:val="left" w:leader="none"/>
              <w:tab w:pos="8933" w:val="right" w:leader="dot"/>
            </w:tabs>
            <w:spacing w:line="240" w:lineRule="auto" w:before="101" w:after="0"/>
            <w:ind w:left="762" w:right="0" w:hanging="461"/>
            <w:jc w:val="left"/>
          </w:pPr>
          <w:r>
            <w:rPr/>
            <w:t>The role of</w:t>
          </w:r>
          <w:r>
            <w:rPr>
              <w:spacing w:val="-5"/>
            </w:rPr>
            <w:t> </w:t>
          </w:r>
          <w:r>
            <w:rPr/>
            <w:t>Open Access</w:t>
            <w:tab/>
            <w:t>37</w:t>
          </w:r>
        </w:p>
        <w:p>
          <w:pPr>
            <w:pStyle w:val="TOC3"/>
            <w:numPr>
              <w:ilvl w:val="1"/>
              <w:numId w:val="1"/>
            </w:numPr>
            <w:tabs>
              <w:tab w:pos="761" w:val="left" w:leader="none"/>
              <w:tab w:pos="762" w:val="left" w:leader="none"/>
              <w:tab w:pos="8933" w:val="right" w:leader="dot"/>
            </w:tabs>
            <w:spacing w:line="240" w:lineRule="auto" w:before="99" w:after="0"/>
            <w:ind w:left="762" w:right="0" w:hanging="461"/>
            <w:jc w:val="left"/>
          </w:pPr>
          <w:r>
            <w:rPr/>
            <w:t>Conclusion</w:t>
            <w:tab/>
            <w:t>39</w:t>
          </w:r>
        </w:p>
        <w:p>
          <w:pPr>
            <w:pStyle w:val="TOC3"/>
            <w:numPr>
              <w:ilvl w:val="1"/>
              <w:numId w:val="1"/>
            </w:numPr>
            <w:tabs>
              <w:tab w:pos="761" w:val="left" w:leader="none"/>
              <w:tab w:pos="762" w:val="left" w:leader="none"/>
              <w:tab w:pos="8933" w:val="right" w:leader="dot"/>
            </w:tabs>
            <w:spacing w:line="240" w:lineRule="auto" w:before="101" w:after="0"/>
            <w:ind w:left="762" w:right="0" w:hanging="461"/>
            <w:jc w:val="left"/>
          </w:pPr>
          <w:r>
            <w:rPr/>
            <w:t>References</w:t>
            <w:tab/>
            <w:t>41</w:t>
          </w:r>
        </w:p>
        <w:p>
          <w:pPr>
            <w:pStyle w:val="TOC2"/>
            <w:numPr>
              <w:ilvl w:val="1"/>
              <w:numId w:val="2"/>
            </w:numPr>
            <w:tabs>
              <w:tab w:pos="370" w:val="left" w:leader="none"/>
              <w:tab w:pos="8831" w:val="right" w:leader="dot"/>
            </w:tabs>
            <w:spacing w:line="240" w:lineRule="auto" w:before="99" w:after="0"/>
            <w:ind w:left="102" w:right="22" w:firstLine="0"/>
            <w:jc w:val="center"/>
          </w:pPr>
          <w:r>
            <w:rPr/>
            <w:t>MEASURING SCIENTIFIC PRODUCTION: USES</w:t>
          </w:r>
          <w:r>
            <w:rPr>
              <w:spacing w:val="-2"/>
            </w:rPr>
            <w:t> </w:t>
          </w:r>
          <w:r>
            <w:rPr/>
            <w:t>AND</w:t>
          </w:r>
          <w:r>
            <w:rPr>
              <w:spacing w:val="-1"/>
            </w:rPr>
            <w:t> </w:t>
          </w:r>
          <w:r>
            <w:rPr/>
            <w:t>ABUSES</w:t>
            <w:tab/>
            <w:t>45</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Introduction: the evaluation of</w:t>
          </w:r>
          <w:r>
            <w:rPr>
              <w:spacing w:val="-3"/>
            </w:rPr>
            <w:t> </w:t>
          </w:r>
          <w:r>
            <w:rPr/>
            <w:t>scientific</w:t>
          </w:r>
          <w:r>
            <w:rPr>
              <w:spacing w:val="1"/>
            </w:rPr>
            <w:t> </w:t>
          </w:r>
          <w:r>
            <w:rPr/>
            <w:t>work</w:t>
            <w:tab/>
            <w:t>45</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The</w:t>
          </w:r>
          <w:r>
            <w:rPr>
              <w:spacing w:val="-1"/>
            </w:rPr>
            <w:t> </w:t>
          </w:r>
          <w:r>
            <w:rPr/>
            <w:t>evaluation</w:t>
          </w:r>
          <w:r>
            <w:rPr>
              <w:spacing w:val="-2"/>
            </w:rPr>
            <w:t> </w:t>
          </w:r>
          <w:r>
            <w:rPr/>
            <w:t>game.</w:t>
            <w:tab/>
            <w:t>48</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Measuring the impact of</w:t>
          </w:r>
          <w:r>
            <w:rPr>
              <w:spacing w:val="-5"/>
            </w:rPr>
            <w:t> </w:t>
          </w:r>
          <w:r>
            <w:rPr/>
            <w:t>scientific</w:t>
          </w:r>
          <w:r>
            <w:rPr>
              <w:spacing w:val="1"/>
            </w:rPr>
            <w:t> </w:t>
          </w:r>
          <w:r>
            <w:rPr/>
            <w:t>work</w:t>
            <w:tab/>
            <w:t>51</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Towards a scientific measurement of the</w:t>
          </w:r>
          <w:r>
            <w:rPr>
              <w:spacing w:val="-4"/>
            </w:rPr>
            <w:t> </w:t>
          </w:r>
          <w:r>
            <w:rPr/>
            <w:t>academic</w:t>
          </w:r>
          <w:r>
            <w:rPr>
              <w:spacing w:val="1"/>
            </w:rPr>
            <w:t> </w:t>
          </w:r>
          <w:r>
            <w:rPr/>
            <w:t>work</w:t>
            <w:tab/>
            <w:t>55</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Conclusions</w:t>
            <w:tab/>
            <w:t>56</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References</w:t>
            <w:tab/>
            <w:t>57</w:t>
          </w:r>
        </w:p>
        <w:p>
          <w:pPr>
            <w:pStyle w:val="TOC2"/>
            <w:numPr>
              <w:ilvl w:val="1"/>
              <w:numId w:val="2"/>
            </w:numPr>
            <w:tabs>
              <w:tab w:pos="368" w:val="left" w:leader="none"/>
              <w:tab w:pos="8933" w:val="right" w:leader="dot"/>
            </w:tabs>
            <w:spacing w:line="240" w:lineRule="auto" w:before="101" w:after="0"/>
            <w:ind w:left="102" w:right="124" w:firstLine="0"/>
            <w:jc w:val="left"/>
          </w:pPr>
          <w:r>
            <w:rPr/>
            <w:t>THE EVALUATION OF RESEARCHERS AND THE FUTURE OF LATIN AMERICAN SCIENTIFIC JOURNALS</w:t>
            <w:tab/>
            <w:t>59</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Introduction</w:t>
            <w:tab/>
            <w:t>60</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ISI’s Citation Index (CI) and Impact</w:t>
          </w:r>
          <w:r>
            <w:rPr>
              <w:spacing w:val="-4"/>
            </w:rPr>
            <w:t> </w:t>
          </w:r>
          <w:r>
            <w:rPr/>
            <w:t>Factor</w:t>
          </w:r>
          <w:r>
            <w:rPr>
              <w:spacing w:val="-1"/>
            </w:rPr>
            <w:t> </w:t>
          </w:r>
          <w:r>
            <w:rPr/>
            <w:t>(IF)</w:t>
            <w:tab/>
            <w:t>62</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The origin and evolution of ISI’s</w:t>
          </w:r>
          <w:r>
            <w:rPr>
              <w:spacing w:val="-6"/>
            </w:rPr>
            <w:t> </w:t>
          </w:r>
          <w:r>
            <w:rPr/>
            <w:t>Citation</w:t>
          </w:r>
          <w:r>
            <w:rPr>
              <w:spacing w:val="-2"/>
            </w:rPr>
            <w:t> </w:t>
          </w:r>
          <w:r>
            <w:rPr/>
            <w:t>Index</w:t>
            <w:tab/>
            <w:t>63</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Limitations of the ISI IF as an</w:t>
          </w:r>
          <w:r>
            <w:rPr>
              <w:spacing w:val="-5"/>
            </w:rPr>
            <w:t> </w:t>
          </w:r>
          <w:r>
            <w:rPr/>
            <w:t>evaluation</w:t>
          </w:r>
          <w:r>
            <w:rPr>
              <w:spacing w:val="2"/>
            </w:rPr>
            <w:t> </w:t>
          </w:r>
          <w:r>
            <w:rPr/>
            <w:t>tool</w:t>
            <w:tab/>
            <w:t>64</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Problems with the ISI IF</w:t>
          </w:r>
          <w:r>
            <w:rPr>
              <w:spacing w:val="-1"/>
            </w:rPr>
            <w:t> </w:t>
          </w:r>
          <w:r>
            <w:rPr/>
            <w:t>impact</w:t>
          </w:r>
          <w:r>
            <w:rPr>
              <w:spacing w:val="-1"/>
            </w:rPr>
            <w:t> </w:t>
          </w:r>
          <w:r>
            <w:rPr/>
            <w:t>indicator</w:t>
            <w:tab/>
            <w:t>64</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Distorted use of the</w:t>
          </w:r>
          <w:r>
            <w:rPr>
              <w:spacing w:val="-2"/>
            </w:rPr>
            <w:t> </w:t>
          </w:r>
          <w:r>
            <w:rPr/>
            <w:t>ISI</w:t>
          </w:r>
          <w:r>
            <w:rPr>
              <w:spacing w:val="-1"/>
            </w:rPr>
            <w:t> </w:t>
          </w:r>
          <w:r>
            <w:rPr/>
            <w:t>IF</w:t>
            <w:tab/>
            <w:t>66</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Some repercussions of misusing the</w:t>
          </w:r>
          <w:r>
            <w:rPr>
              <w:spacing w:val="-2"/>
            </w:rPr>
            <w:t> </w:t>
          </w:r>
          <w:r>
            <w:rPr/>
            <w:t>ISI</w:t>
          </w:r>
          <w:r>
            <w:rPr>
              <w:spacing w:val="-1"/>
            </w:rPr>
            <w:t> </w:t>
          </w:r>
          <w:r>
            <w:rPr/>
            <w:t>IF</w:t>
            <w:tab/>
            <w:t>69</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Some alternatives to the ISI CI</w:t>
          </w:r>
          <w:r>
            <w:rPr>
              <w:spacing w:val="-1"/>
            </w:rPr>
            <w:t> </w:t>
          </w:r>
          <w:r>
            <w:rPr/>
            <w:t>&amp;</w:t>
          </w:r>
          <w:r>
            <w:rPr>
              <w:spacing w:val="-3"/>
            </w:rPr>
            <w:t> </w:t>
          </w:r>
          <w:r>
            <w:rPr/>
            <w:t>IF</w:t>
            <w:tab/>
            <w:t>71</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Latin American</w:t>
          </w:r>
          <w:r>
            <w:rPr>
              <w:spacing w:val="-2"/>
            </w:rPr>
            <w:t> </w:t>
          </w:r>
          <w:r>
            <w:rPr/>
            <w:t>initiatives</w:t>
            <w:tab/>
            <w:t>72</w:t>
          </w:r>
        </w:p>
        <w:p>
          <w:pPr>
            <w:pStyle w:val="TOC3"/>
            <w:numPr>
              <w:ilvl w:val="2"/>
              <w:numId w:val="2"/>
            </w:numPr>
            <w:tabs>
              <w:tab w:pos="982" w:val="left" w:leader="none"/>
              <w:tab w:pos="983" w:val="left" w:leader="none"/>
              <w:tab w:pos="8933" w:val="right" w:leader="dot"/>
            </w:tabs>
            <w:spacing w:line="240" w:lineRule="auto" w:before="99" w:after="0"/>
            <w:ind w:left="982" w:right="0" w:hanging="681"/>
            <w:jc w:val="left"/>
          </w:pPr>
          <w:r>
            <w:rPr/>
            <w:t>National Journal Indexes, Mexico’s</w:t>
          </w:r>
          <w:r>
            <w:rPr>
              <w:spacing w:val="-2"/>
            </w:rPr>
            <w:t> </w:t>
          </w:r>
          <w:r>
            <w:rPr/>
            <w:t>CONACyT</w:t>
          </w:r>
          <w:r>
            <w:rPr>
              <w:spacing w:val="2"/>
            </w:rPr>
            <w:t> </w:t>
          </w:r>
          <w:r>
            <w:rPr/>
            <w:t>index</w:t>
            <w:tab/>
            <w:t>73</w:t>
          </w:r>
        </w:p>
        <w:p>
          <w:pPr>
            <w:pStyle w:val="TOC3"/>
            <w:numPr>
              <w:ilvl w:val="2"/>
              <w:numId w:val="2"/>
            </w:numPr>
            <w:tabs>
              <w:tab w:pos="982" w:val="left" w:leader="none"/>
              <w:tab w:pos="983" w:val="left" w:leader="none"/>
              <w:tab w:pos="8933" w:val="right" w:leader="dot"/>
            </w:tabs>
            <w:spacing w:line="240" w:lineRule="auto" w:before="102" w:after="0"/>
            <w:ind w:left="982" w:right="0" w:hanging="681"/>
            <w:jc w:val="left"/>
          </w:pPr>
          <w:r>
            <w:rPr/>
            <w:t>Conclusion</w:t>
            <w:tab/>
            <w:t>75</w:t>
          </w:r>
        </w:p>
        <w:p>
          <w:pPr>
            <w:pStyle w:val="TOC3"/>
            <w:numPr>
              <w:ilvl w:val="2"/>
              <w:numId w:val="2"/>
            </w:numPr>
            <w:tabs>
              <w:tab w:pos="982" w:val="left" w:leader="none"/>
              <w:tab w:pos="983" w:val="left" w:leader="none"/>
              <w:tab w:pos="8933" w:val="right" w:leader="dot"/>
            </w:tabs>
            <w:spacing w:line="240" w:lineRule="auto" w:before="99" w:after="0"/>
            <w:ind w:left="982" w:right="0" w:hanging="681"/>
            <w:jc w:val="left"/>
          </w:pPr>
          <w:r>
            <w:rPr/>
            <w:t>References</w:t>
            <w:tab/>
            <w:t>77</w:t>
          </w:r>
        </w:p>
        <w:p>
          <w:pPr>
            <w:pStyle w:val="TOC2"/>
            <w:numPr>
              <w:ilvl w:val="1"/>
              <w:numId w:val="2"/>
            </w:numPr>
            <w:tabs>
              <w:tab w:pos="370" w:val="left" w:leader="none"/>
              <w:tab w:pos="8933" w:val="right" w:leader="dot"/>
            </w:tabs>
            <w:spacing w:line="240" w:lineRule="auto" w:before="101" w:after="0"/>
            <w:ind w:left="102" w:right="124" w:firstLine="0"/>
            <w:jc w:val="left"/>
          </w:pPr>
          <w:r>
            <w:rPr/>
            <w:t>EVALUACIÓN DE PUBLICACIONES EN CIENCIAS HUMANAS Y SOCIALES EN EL CSIC (ESPAÑA):</w:t>
          </w:r>
          <w:r>
            <w:rPr>
              <w:spacing w:val="-2"/>
            </w:rPr>
            <w:t> </w:t>
          </w:r>
          <w:r>
            <w:rPr/>
            <w:t>UNA</w:t>
          </w:r>
          <w:r>
            <w:rPr>
              <w:spacing w:val="-3"/>
            </w:rPr>
            <w:t> </w:t>
          </w:r>
          <w:r>
            <w:rPr/>
            <w:t>PROPUESTA</w:t>
            <w:tab/>
            <w:t>81</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hyperlink w:history="true" w:anchor="_TOC_250002">
            <w:r>
              <w:rPr/>
              <w:t>Introducción</w:t>
              <w:tab/>
              <w:t>82</w:t>
            </w:r>
          </w:hyperlink>
        </w:p>
        <w:p>
          <w:pPr>
            <w:pStyle w:val="TOC3"/>
            <w:numPr>
              <w:ilvl w:val="2"/>
              <w:numId w:val="2"/>
            </w:numPr>
            <w:tabs>
              <w:tab w:pos="761" w:val="left" w:leader="none"/>
              <w:tab w:pos="762" w:val="left" w:leader="none"/>
            </w:tabs>
            <w:spacing w:line="240" w:lineRule="auto" w:before="101" w:after="0"/>
            <w:ind w:left="762" w:right="220" w:hanging="461"/>
            <w:jc w:val="left"/>
          </w:pPr>
          <w:r>
            <w:rPr/>
            <w:t>La apuesta del CSIC-CCHS para evaluar la producción científica en ciencias sociales y</w:t>
          </w:r>
          <w:r>
            <w:rPr>
              <w:spacing w:val="-26"/>
            </w:rPr>
            <w:t> </w:t>
          </w:r>
          <w:r>
            <w:rPr/>
            <w:t>humanidades 83</w:t>
          </w:r>
        </w:p>
        <w:p>
          <w:pPr>
            <w:pStyle w:val="TOC3"/>
            <w:numPr>
              <w:ilvl w:val="2"/>
              <w:numId w:val="2"/>
            </w:numPr>
            <w:tabs>
              <w:tab w:pos="761" w:val="left" w:leader="none"/>
              <w:tab w:pos="762" w:val="left" w:leader="none"/>
              <w:tab w:pos="8933" w:val="right" w:leader="dot"/>
            </w:tabs>
            <w:spacing w:line="240" w:lineRule="auto" w:before="290" w:after="0"/>
            <w:ind w:left="762" w:right="0" w:hanging="461"/>
            <w:jc w:val="left"/>
          </w:pPr>
          <w:r>
            <w:rPr/>
            <w:t>Metodología</w:t>
          </w:r>
          <w:r>
            <w:rPr>
              <w:spacing w:val="-1"/>
            </w:rPr>
            <w:t> </w:t>
          </w:r>
          <w:r>
            <w:rPr/>
            <w:t>propuesta</w:t>
            <w:tab/>
            <w:t>88</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Discusión</w:t>
            <w:tab/>
            <w:t>93</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Algunas</w:t>
          </w:r>
          <w:r>
            <w:rPr>
              <w:spacing w:val="-2"/>
            </w:rPr>
            <w:t> </w:t>
          </w:r>
          <w:r>
            <w:rPr/>
            <w:t>reflexiones</w:t>
          </w:r>
          <w:r>
            <w:rPr>
              <w:spacing w:val="-2"/>
            </w:rPr>
            <w:t> </w:t>
          </w:r>
          <w:r>
            <w:rPr/>
            <w:t>finales</w:t>
            <w:tab/>
            <w:t>94</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Referencias</w:t>
            <w:tab/>
            <w:t>96</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Recursos</w:t>
          </w:r>
          <w:r>
            <w:rPr>
              <w:spacing w:val="-1"/>
            </w:rPr>
            <w:t> </w:t>
          </w:r>
          <w:r>
            <w:rPr/>
            <w:t>citados</w:t>
            <w:tab/>
            <w:t>98</w:t>
          </w:r>
        </w:p>
        <w:p>
          <w:pPr>
            <w:pStyle w:val="TOC2"/>
            <w:numPr>
              <w:ilvl w:val="1"/>
              <w:numId w:val="2"/>
            </w:numPr>
            <w:tabs>
              <w:tab w:pos="370" w:val="left" w:leader="none"/>
              <w:tab w:pos="8933" w:val="right" w:leader="dot"/>
            </w:tabs>
            <w:spacing w:line="240" w:lineRule="auto" w:before="99" w:after="0"/>
            <w:ind w:left="102" w:right="124" w:firstLine="0"/>
            <w:jc w:val="left"/>
          </w:pPr>
          <w:r>
            <w:rPr/>
            <w:t>CRITERIOS NACIONALES E INTERNACIONALES DE CALIDAD DE LAS REVISTAS CIENTÍFICAS EN IBEROAMÉRICA: ANÁLISIS</w:t>
          </w:r>
          <w:r>
            <w:rPr>
              <w:spacing w:val="-1"/>
            </w:rPr>
            <w:t> </w:t>
          </w:r>
          <w:r>
            <w:rPr/>
            <w:t>COMPARATIVO</w:t>
            <w:tab/>
            <w:t>99</w:t>
          </w:r>
        </w:p>
        <w:p>
          <w:pPr>
            <w:pStyle w:val="TOC3"/>
            <w:numPr>
              <w:ilvl w:val="2"/>
              <w:numId w:val="2"/>
            </w:numPr>
            <w:tabs>
              <w:tab w:pos="761" w:val="left" w:leader="none"/>
              <w:tab w:pos="762" w:val="left" w:leader="none"/>
              <w:tab w:pos="8933" w:val="right" w:leader="dot"/>
            </w:tabs>
            <w:spacing w:line="240" w:lineRule="auto" w:before="101" w:after="0"/>
            <w:ind w:left="301" w:right="0" w:firstLine="0"/>
            <w:jc w:val="left"/>
          </w:pPr>
          <w:r>
            <w:rPr/>
            <w:t>Introducción</w:t>
            <w:tab/>
            <w:t>100</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Metodología</w:t>
            <w:tab/>
            <w:t>101</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La ciencia</w:t>
          </w:r>
          <w:r>
            <w:rPr>
              <w:spacing w:val="-1"/>
            </w:rPr>
            <w:t> </w:t>
          </w:r>
          <w:r>
            <w:rPr/>
            <w:t>en</w:t>
          </w:r>
          <w:r>
            <w:rPr>
              <w:spacing w:val="-2"/>
            </w:rPr>
            <w:t> </w:t>
          </w:r>
          <w:r>
            <w:rPr/>
            <w:t>Iberoamérica</w:t>
            <w:tab/>
            <w:t>101</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La publicación</w:t>
          </w:r>
          <w:r>
            <w:rPr>
              <w:spacing w:val="-2"/>
            </w:rPr>
            <w:t> </w:t>
          </w:r>
          <w:r>
            <w:rPr/>
            <w:t>científica</w:t>
          </w:r>
          <w:r>
            <w:rPr>
              <w:spacing w:val="-1"/>
            </w:rPr>
            <w:t> </w:t>
          </w:r>
          <w:r>
            <w:rPr/>
            <w:t>iberoamericana</w:t>
            <w:tab/>
            <w:t>103</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Evaluación de la calidad de las</w:t>
          </w:r>
          <w:r>
            <w:rPr>
              <w:spacing w:val="-2"/>
            </w:rPr>
            <w:t> </w:t>
          </w:r>
          <w:r>
            <w:rPr/>
            <w:t>revistas</w:t>
          </w:r>
          <w:r>
            <w:rPr>
              <w:spacing w:val="-2"/>
            </w:rPr>
            <w:t> </w:t>
          </w:r>
          <w:r>
            <w:rPr/>
            <w:t>científicas</w:t>
            <w:tab/>
            <w:t>105</w:t>
          </w:r>
        </w:p>
        <w:p>
          <w:pPr>
            <w:pStyle w:val="TOC3"/>
            <w:numPr>
              <w:ilvl w:val="2"/>
              <w:numId w:val="2"/>
            </w:numPr>
            <w:tabs>
              <w:tab w:pos="761" w:val="left" w:leader="none"/>
              <w:tab w:pos="762" w:val="left" w:leader="none"/>
              <w:tab w:pos="8933" w:val="right" w:leader="dot"/>
            </w:tabs>
            <w:spacing w:line="240" w:lineRule="auto" w:before="99" w:after="0"/>
            <w:ind w:left="301" w:right="124" w:firstLine="0"/>
            <w:jc w:val="left"/>
          </w:pPr>
          <w:r>
            <w:rPr/>
            <w:t>Criterios para evaluación de la calidad de revistas científicas de proyectos regionales e  internacionales</w:t>
            <w:tab/>
            <w:t>106</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Criterios nacionales de ingreso y permanencia de revistas científicas</w:t>
          </w:r>
          <w:r>
            <w:rPr>
              <w:spacing w:val="-12"/>
            </w:rPr>
            <w:t> </w:t>
          </w:r>
          <w:r>
            <w:rPr/>
            <w:t>en</w:t>
          </w:r>
          <w:r>
            <w:rPr>
              <w:spacing w:val="-2"/>
            </w:rPr>
            <w:t> </w:t>
          </w:r>
          <w:r>
            <w:rPr/>
            <w:t>SciELO</w:t>
            <w:tab/>
            <w:t>108</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Criterios nacionales para evaluación de la calidad de</w:t>
          </w:r>
          <w:r>
            <w:rPr>
              <w:spacing w:val="-5"/>
            </w:rPr>
            <w:t> </w:t>
          </w:r>
          <w:r>
            <w:rPr/>
            <w:t>revistas</w:t>
          </w:r>
          <w:r>
            <w:rPr>
              <w:spacing w:val="-2"/>
            </w:rPr>
            <w:t> </w:t>
          </w:r>
          <w:r>
            <w:rPr/>
            <w:t>científicas</w:t>
            <w:tab/>
            <w:t>110</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Criterios particulares de expertos iberoamericanos para la evaluación de las</w:t>
          </w:r>
          <w:r>
            <w:rPr>
              <w:spacing w:val="-16"/>
            </w:rPr>
            <w:t> </w:t>
          </w:r>
          <w:r>
            <w:rPr/>
            <w:t>revistas</w:t>
          </w:r>
          <w:r>
            <w:rPr>
              <w:spacing w:val="-2"/>
            </w:rPr>
            <w:t> </w:t>
          </w:r>
          <w:r>
            <w:rPr/>
            <w:t>científicas</w:t>
            <w:tab/>
            <w:t>111</w:t>
          </w:r>
        </w:p>
        <w:p>
          <w:pPr>
            <w:pStyle w:val="TOC3"/>
            <w:numPr>
              <w:ilvl w:val="2"/>
              <w:numId w:val="2"/>
            </w:numPr>
            <w:tabs>
              <w:tab w:pos="982" w:val="left" w:leader="none"/>
              <w:tab w:pos="983" w:val="left" w:leader="none"/>
              <w:tab w:pos="8933" w:val="right" w:leader="dot"/>
            </w:tabs>
            <w:spacing w:line="240" w:lineRule="auto" w:before="101" w:after="0"/>
            <w:ind w:left="301" w:right="124" w:firstLine="0"/>
            <w:jc w:val="left"/>
          </w:pPr>
          <w:r>
            <w:rPr/>
            <w:t>Comparación de los criterios con presencia frecuente en proyectos nacionales, internacionales y particulares</w:t>
            <w:tab/>
            <w:t>111</w:t>
          </w:r>
        </w:p>
        <w:p>
          <w:pPr>
            <w:pStyle w:val="TOC3"/>
            <w:numPr>
              <w:ilvl w:val="2"/>
              <w:numId w:val="2"/>
            </w:numPr>
            <w:tabs>
              <w:tab w:pos="982" w:val="left" w:leader="none"/>
              <w:tab w:pos="983" w:val="left" w:leader="none"/>
              <w:tab w:pos="8933" w:val="right" w:leader="dot"/>
            </w:tabs>
            <w:spacing w:line="240" w:lineRule="auto" w:before="99" w:after="0"/>
            <w:ind w:left="982" w:right="0" w:hanging="681"/>
            <w:jc w:val="left"/>
          </w:pPr>
          <w:hyperlink w:history="true" w:anchor="_TOC_250001">
            <w:r>
              <w:rPr/>
              <w:t>Conclusiones</w:t>
              <w:tab/>
              <w:t>113</w:t>
            </w:r>
          </w:hyperlink>
        </w:p>
        <w:p>
          <w:pPr>
            <w:pStyle w:val="TOC3"/>
            <w:numPr>
              <w:ilvl w:val="2"/>
              <w:numId w:val="2"/>
            </w:numPr>
            <w:tabs>
              <w:tab w:pos="982" w:val="left" w:leader="none"/>
              <w:tab w:pos="983" w:val="left" w:leader="none"/>
              <w:tab w:pos="8933" w:val="right" w:leader="dot"/>
            </w:tabs>
            <w:spacing w:line="240" w:lineRule="auto" w:before="101" w:after="0"/>
            <w:ind w:left="982" w:right="0" w:hanging="681"/>
            <w:jc w:val="left"/>
          </w:pPr>
          <w:hyperlink w:history="true" w:anchor="_TOC_250000">
            <w:r>
              <w:rPr/>
              <w:t>Referencias</w:t>
              <w:tab/>
              <w:t>117</w:t>
            </w:r>
          </w:hyperlink>
        </w:p>
        <w:p>
          <w:pPr>
            <w:pStyle w:val="TOC2"/>
            <w:numPr>
              <w:ilvl w:val="1"/>
              <w:numId w:val="2"/>
            </w:numPr>
            <w:tabs>
              <w:tab w:pos="370" w:val="left" w:leader="none"/>
              <w:tab w:pos="8933" w:val="right" w:leader="dot"/>
            </w:tabs>
            <w:spacing w:line="240" w:lineRule="auto" w:before="99" w:after="0"/>
            <w:ind w:left="370" w:right="0" w:hanging="268"/>
            <w:jc w:val="left"/>
          </w:pPr>
          <w:r>
            <w:rPr/>
            <w:t>EVALUACIÓN PARA EL NÚCLEO BÁSICO: ¿POR QUÉ Y</w:t>
          </w:r>
          <w:r>
            <w:rPr>
              <w:spacing w:val="-6"/>
            </w:rPr>
            <w:t> </w:t>
          </w:r>
          <w:r>
            <w:rPr/>
            <w:t>PARA</w:t>
          </w:r>
          <w:r>
            <w:rPr>
              <w:spacing w:val="-3"/>
            </w:rPr>
            <w:t> </w:t>
          </w:r>
          <w:r>
            <w:rPr/>
            <w:t>QUÉ?</w:t>
            <w:tab/>
            <w:t>122</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Introducción</w:t>
            <w:tab/>
            <w:t>123</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Antecedentes</w:t>
          </w:r>
          <w:r>
            <w:rPr>
              <w:spacing w:val="-2"/>
            </w:rPr>
            <w:t> </w:t>
          </w:r>
          <w:r>
            <w:rPr/>
            <w:t>regionales</w:t>
            <w:tab/>
            <w:t>124</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Antecedentes</w:t>
          </w:r>
          <w:r>
            <w:rPr>
              <w:spacing w:val="-1"/>
            </w:rPr>
            <w:t> </w:t>
          </w:r>
          <w:r>
            <w:rPr/>
            <w:t>históricos</w:t>
            <w:tab/>
            <w:t>124</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Características generales de la</w:t>
          </w:r>
          <w:r>
            <w:rPr>
              <w:spacing w:val="-3"/>
            </w:rPr>
            <w:t> </w:t>
          </w:r>
          <w:r>
            <w:rPr/>
            <w:t>resolución</w:t>
          </w:r>
          <w:r>
            <w:rPr>
              <w:spacing w:val="-2"/>
            </w:rPr>
            <w:t> </w:t>
          </w:r>
          <w:r>
            <w:rPr/>
            <w:t>1640/05</w:t>
            <w:tab/>
            <w:t>125</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Comité Científico Asesor</w:t>
          </w:r>
          <w:r>
            <w:rPr>
              <w:spacing w:val="4"/>
            </w:rPr>
            <w:t> </w:t>
          </w:r>
          <w:r>
            <w:rPr/>
            <w:t>del</w:t>
          </w:r>
          <w:r>
            <w:rPr>
              <w:spacing w:val="-1"/>
            </w:rPr>
            <w:t> </w:t>
          </w:r>
          <w:r>
            <w:rPr/>
            <w:t>Conicet</w:t>
            <w:tab/>
            <w:t>127</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Normas de presentación y proceso</w:t>
          </w:r>
          <w:r>
            <w:rPr>
              <w:spacing w:val="-1"/>
            </w:rPr>
            <w:t> </w:t>
          </w:r>
          <w:r>
            <w:rPr/>
            <w:t>de</w:t>
          </w:r>
          <w:r>
            <w:rPr>
              <w:spacing w:val="-1"/>
            </w:rPr>
            <w:t> </w:t>
          </w:r>
          <w:r>
            <w:rPr/>
            <w:t>selección</w:t>
            <w:tab/>
            <w:t>127</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Características generales de la colección del</w:t>
          </w:r>
          <w:r>
            <w:rPr>
              <w:spacing w:val="-5"/>
            </w:rPr>
            <w:t> </w:t>
          </w:r>
          <w:r>
            <w:rPr/>
            <w:t>Núcleo Básico</w:t>
            <w:tab/>
            <w:t>128</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Conclusión</w:t>
            <w:tab/>
            <w:t>139</w:t>
          </w:r>
        </w:p>
        <w:p>
          <w:pPr>
            <w:pStyle w:val="TOC3"/>
            <w:numPr>
              <w:ilvl w:val="2"/>
              <w:numId w:val="2"/>
            </w:numPr>
            <w:tabs>
              <w:tab w:pos="761" w:val="left" w:leader="none"/>
              <w:tab w:pos="762" w:val="left" w:leader="none"/>
              <w:tab w:pos="8931" w:val="right" w:leader="dot"/>
            </w:tabs>
            <w:spacing w:line="240" w:lineRule="auto" w:before="101" w:after="0"/>
            <w:ind w:left="762" w:right="0" w:hanging="461"/>
            <w:jc w:val="left"/>
          </w:pPr>
          <w:r>
            <w:rPr/>
            <w:t>Referencias</w:t>
            <w:tab/>
            <w:t>140</w:t>
          </w:r>
        </w:p>
        <w:p>
          <w:pPr>
            <w:pStyle w:val="TOC2"/>
            <w:numPr>
              <w:ilvl w:val="1"/>
              <w:numId w:val="2"/>
            </w:numPr>
            <w:tabs>
              <w:tab w:pos="370" w:val="left" w:leader="none"/>
              <w:tab w:pos="8933" w:val="right" w:leader="dot"/>
            </w:tabs>
            <w:spacing w:line="240" w:lineRule="auto" w:before="99" w:after="0"/>
            <w:ind w:left="370" w:right="0" w:hanging="268"/>
            <w:jc w:val="left"/>
          </w:pPr>
          <w:r>
            <w:rPr/>
            <w:t>VIEJOS Y NUEVOS DESAFÍOS PARA LAS PUBLICACIONES ACADÉMICAS</w:t>
          </w:r>
          <w:r>
            <w:rPr>
              <w:spacing w:val="-16"/>
            </w:rPr>
            <w:t> </w:t>
          </w:r>
          <w:r>
            <w:rPr/>
            <w:t>EN</w:t>
          </w:r>
          <w:r>
            <w:rPr>
              <w:spacing w:val="-2"/>
            </w:rPr>
            <w:t> </w:t>
          </w:r>
          <w:r>
            <w:rPr/>
            <w:t>ESPAÑOL</w:t>
            <w:tab/>
            <w:t>141</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Introducción</w:t>
            <w:tab/>
            <w:t>142</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Muestra de estudio</w:t>
          </w:r>
          <w:r>
            <w:rPr>
              <w:spacing w:val="2"/>
            </w:rPr>
            <w:t> </w:t>
          </w:r>
          <w:r>
            <w:rPr/>
            <w:t>y</w:t>
          </w:r>
          <w:r>
            <w:rPr>
              <w:spacing w:val="-2"/>
            </w:rPr>
            <w:t> </w:t>
          </w:r>
          <w:r>
            <w:rPr/>
            <w:t>metodología</w:t>
            <w:tab/>
            <w:t>143</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Resultados</w:t>
            <w:tab/>
            <w:t>144</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Conclusiones</w:t>
            <w:tab/>
            <w:t>156</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Referencias</w:t>
            <w:tab/>
            <w:t>161</w:t>
          </w:r>
        </w:p>
        <w:p>
          <w:pPr>
            <w:pStyle w:val="TOC2"/>
            <w:numPr>
              <w:ilvl w:val="1"/>
              <w:numId w:val="2"/>
            </w:numPr>
            <w:tabs>
              <w:tab w:pos="371" w:val="left" w:leader="none"/>
              <w:tab w:pos="8933" w:val="right" w:leader="dot"/>
            </w:tabs>
            <w:spacing w:line="240" w:lineRule="auto" w:before="99" w:after="0"/>
            <w:ind w:left="102" w:right="124" w:firstLine="0"/>
            <w:jc w:val="left"/>
          </w:pPr>
          <w:r>
            <w:rPr/>
            <w:t>METODOLOGÍA Y RESULTADOS DE LA I EDICIÓN DE LA EVALUACIÓN DE LA CALIDAD DE REVISTAS CIENTÍFICAS ESPAÑOLAS REALIZADA POR FECyT</w:t>
          </w:r>
          <w:r>
            <w:rPr>
              <w:spacing w:val="-3"/>
            </w:rPr>
            <w:t> </w:t>
          </w:r>
          <w:r>
            <w:rPr/>
            <w:t>EN</w:t>
          </w:r>
          <w:r>
            <w:rPr>
              <w:spacing w:val="-1"/>
            </w:rPr>
            <w:t> </w:t>
          </w:r>
          <w:r>
            <w:rPr/>
            <w:t>2008</w:t>
            <w:tab/>
            <w:t>165</w:t>
          </w:r>
        </w:p>
        <w:p>
          <w:pPr>
            <w:pStyle w:val="TOC3"/>
            <w:numPr>
              <w:ilvl w:val="2"/>
              <w:numId w:val="2"/>
            </w:numPr>
            <w:tabs>
              <w:tab w:pos="761" w:val="left" w:leader="none"/>
              <w:tab w:pos="762" w:val="left" w:leader="none"/>
              <w:tab w:pos="8933" w:val="right" w:leader="dot"/>
            </w:tabs>
            <w:spacing w:line="240" w:lineRule="auto" w:before="98" w:after="0"/>
            <w:ind w:left="762" w:right="0" w:hanging="461"/>
            <w:jc w:val="left"/>
          </w:pPr>
          <w:r>
            <w:rPr/>
            <w:t>Introducción</w:t>
            <w:tab/>
            <w:t>166</w:t>
          </w:r>
        </w:p>
        <w:p>
          <w:pPr>
            <w:pStyle w:val="TOC3"/>
            <w:numPr>
              <w:ilvl w:val="2"/>
              <w:numId w:val="2"/>
            </w:numPr>
            <w:tabs>
              <w:tab w:pos="761" w:val="left" w:leader="none"/>
              <w:tab w:pos="762" w:val="left" w:leader="none"/>
              <w:tab w:pos="8933" w:val="right" w:leader="dot"/>
            </w:tabs>
            <w:spacing w:line="240" w:lineRule="auto" w:before="290" w:after="0"/>
            <w:ind w:left="762" w:right="0" w:hanging="461"/>
            <w:jc w:val="left"/>
          </w:pPr>
          <w:r>
            <w:rPr/>
            <w:t>Análisis del sistema de</w:t>
          </w:r>
          <w:r>
            <w:rPr>
              <w:spacing w:val="-2"/>
            </w:rPr>
            <w:t> </w:t>
          </w:r>
          <w:r>
            <w:rPr/>
            <w:t>evaluación</w:t>
          </w:r>
          <w:r>
            <w:rPr>
              <w:spacing w:val="-2"/>
            </w:rPr>
            <w:t> </w:t>
          </w:r>
          <w:r>
            <w:rPr/>
            <w:t>FECyT</w:t>
            <w:tab/>
            <w:t>168</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Resultados estadísticos de la</w:t>
          </w:r>
          <w:r>
            <w:rPr>
              <w:spacing w:val="-3"/>
            </w:rPr>
            <w:t> </w:t>
          </w:r>
          <w:r>
            <w:rPr/>
            <w:t>evaluación</w:t>
          </w:r>
          <w:r>
            <w:rPr>
              <w:spacing w:val="-2"/>
            </w:rPr>
            <w:t> </w:t>
          </w:r>
          <w:r>
            <w:rPr/>
            <w:t>FECyT</w:t>
            <w:tab/>
            <w:t>174</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Conclusiones</w:t>
            <w:tab/>
            <w:t>180</w:t>
          </w:r>
        </w:p>
        <w:p>
          <w:pPr>
            <w:pStyle w:val="TOC3"/>
            <w:numPr>
              <w:ilvl w:val="2"/>
              <w:numId w:val="2"/>
            </w:numPr>
            <w:tabs>
              <w:tab w:pos="761" w:val="left" w:leader="none"/>
              <w:tab w:pos="762" w:val="left" w:leader="none"/>
              <w:tab w:pos="8933" w:val="right" w:leader="dot"/>
            </w:tabs>
            <w:spacing w:line="240" w:lineRule="auto" w:before="99" w:after="0"/>
            <w:ind w:left="762" w:right="0" w:hanging="461"/>
            <w:jc w:val="left"/>
          </w:pPr>
          <w:r>
            <w:rPr/>
            <w:t>Agradecimientos</w:t>
            <w:tab/>
            <w:t>182</w:t>
          </w:r>
        </w:p>
        <w:p>
          <w:pPr>
            <w:pStyle w:val="TOC3"/>
            <w:numPr>
              <w:ilvl w:val="2"/>
              <w:numId w:val="2"/>
            </w:numPr>
            <w:tabs>
              <w:tab w:pos="761" w:val="left" w:leader="none"/>
              <w:tab w:pos="762" w:val="left" w:leader="none"/>
              <w:tab w:pos="8933" w:val="right" w:leader="dot"/>
            </w:tabs>
            <w:spacing w:line="240" w:lineRule="auto" w:before="101" w:after="0"/>
            <w:ind w:left="762" w:right="0" w:hanging="461"/>
            <w:jc w:val="left"/>
          </w:pPr>
          <w:r>
            <w:rPr/>
            <w:t>Referencias</w:t>
            <w:tab/>
            <w:t>182</w:t>
          </w:r>
        </w:p>
        <w:p>
          <w:pPr>
            <w:pStyle w:val="TOC2"/>
            <w:numPr>
              <w:ilvl w:val="0"/>
              <w:numId w:val="1"/>
            </w:numPr>
            <w:tabs>
              <w:tab w:pos="337" w:val="left" w:leader="none"/>
            </w:tabs>
            <w:spacing w:line="240" w:lineRule="auto" w:before="99" w:after="0"/>
            <w:ind w:left="336" w:right="0" w:hanging="234"/>
            <w:jc w:val="left"/>
          </w:pPr>
          <w:r>
            <w:rPr/>
            <w:t>FORTALECIMIENTO DE LAS REVISTAS IBEROAMERICANAS: EL ROL DE LOS EDITORES</w:t>
          </w:r>
          <w:r>
            <w:rPr>
              <w:spacing w:val="-38"/>
            </w:rPr>
            <w:t> </w:t>
          </w:r>
          <w:r>
            <w:rPr/>
            <w:t>. 184</w:t>
          </w:r>
        </w:p>
        <w:p>
          <w:pPr>
            <w:pStyle w:val="TOC2"/>
            <w:numPr>
              <w:ilvl w:val="1"/>
              <w:numId w:val="3"/>
            </w:numPr>
            <w:tabs>
              <w:tab w:pos="437" w:val="left" w:leader="none"/>
              <w:tab w:pos="8933" w:val="right" w:leader="dot"/>
            </w:tabs>
            <w:spacing w:line="240" w:lineRule="auto" w:before="101" w:after="0"/>
            <w:ind w:left="102" w:right="0" w:firstLine="0"/>
            <w:jc w:val="left"/>
          </w:pPr>
          <w:r>
            <w:rPr/>
            <w:t>LAS REVISTAS DE LATINOAMÉRICA: SU ROL EN EL</w:t>
          </w:r>
          <w:r>
            <w:rPr>
              <w:spacing w:val="-5"/>
            </w:rPr>
            <w:t> </w:t>
          </w:r>
          <w:r>
            <w:rPr/>
            <w:t>MUNDO</w:t>
          </w:r>
          <w:r>
            <w:rPr>
              <w:spacing w:val="-1"/>
            </w:rPr>
            <w:t> </w:t>
          </w:r>
          <w:r>
            <w:rPr/>
            <w:t>CIENTÍFICO</w:t>
            <w:tab/>
            <w:t>185</w:t>
          </w:r>
        </w:p>
        <w:p>
          <w:pPr>
            <w:pStyle w:val="TOC1"/>
            <w:tabs>
              <w:tab w:pos="8831" w:val="right" w:leader="dot"/>
            </w:tabs>
          </w:pPr>
          <w:r>
            <w:rPr/>
            <w:t>LATIN AMERICAN JOURNALS: THEIR ROLE IN THE</w:t>
          </w:r>
          <w:r>
            <w:rPr>
              <w:spacing w:val="-6"/>
            </w:rPr>
            <w:t> </w:t>
          </w:r>
          <w:r>
            <w:rPr/>
            <w:t>SCIENTIFIC</w:t>
          </w:r>
          <w:r>
            <w:rPr>
              <w:spacing w:val="-2"/>
            </w:rPr>
            <w:t> </w:t>
          </w:r>
          <w:r>
            <w:rPr/>
            <w:t>WORLD</w:t>
            <w:tab/>
            <w:t>185</w:t>
          </w:r>
        </w:p>
        <w:p>
          <w:pPr>
            <w:pStyle w:val="TOC3"/>
            <w:numPr>
              <w:ilvl w:val="2"/>
              <w:numId w:val="3"/>
            </w:numPr>
            <w:tabs>
              <w:tab w:pos="761" w:val="left" w:leader="none"/>
              <w:tab w:pos="762" w:val="left" w:leader="none"/>
              <w:tab w:pos="8933" w:val="right" w:leader="dot"/>
            </w:tabs>
            <w:spacing w:line="240" w:lineRule="auto" w:before="101" w:after="0"/>
            <w:ind w:left="301" w:right="0" w:firstLine="0"/>
            <w:jc w:val="left"/>
          </w:pPr>
          <w:r>
            <w:rPr/>
            <w:t>Introducción</w:t>
            <w:tab/>
            <w:t>186</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Evolución de la comunicación y las</w:t>
          </w:r>
          <w:r>
            <w:rPr>
              <w:spacing w:val="-5"/>
            </w:rPr>
            <w:t> </w:t>
          </w:r>
          <w:r>
            <w:rPr/>
            <w:t>revistas</w:t>
          </w:r>
          <w:r>
            <w:rPr>
              <w:spacing w:val="-2"/>
            </w:rPr>
            <w:t> </w:t>
          </w:r>
          <w:r>
            <w:rPr/>
            <w:t>científicas</w:t>
            <w:tab/>
            <w:t>187</w:t>
          </w:r>
        </w:p>
        <w:p>
          <w:pPr>
            <w:pStyle w:val="TOC3"/>
            <w:numPr>
              <w:ilvl w:val="2"/>
              <w:numId w:val="3"/>
            </w:numPr>
            <w:tabs>
              <w:tab w:pos="761" w:val="left" w:leader="none"/>
              <w:tab w:pos="762" w:val="left" w:leader="none"/>
              <w:tab w:pos="8933" w:val="right" w:leader="dot"/>
            </w:tabs>
            <w:spacing w:line="240" w:lineRule="auto" w:before="101" w:after="0"/>
            <w:ind w:left="301" w:right="124" w:firstLine="0"/>
            <w:jc w:val="left"/>
          </w:pPr>
          <w:r>
            <w:rPr/>
            <w:t>La internacionalidad/localidad de la ciencia latinoamericana en las revistas donde se publican sus resultados</w:t>
            <w:tab/>
            <w:t>191</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Éxito variable de las publicaciones en</w:t>
          </w:r>
          <w:r>
            <w:rPr>
              <w:spacing w:val="-4"/>
            </w:rPr>
            <w:t> </w:t>
          </w:r>
          <w:r>
            <w:rPr/>
            <w:t>la</w:t>
          </w:r>
          <w:r>
            <w:rPr>
              <w:spacing w:val="-1"/>
            </w:rPr>
            <w:t> </w:t>
          </w:r>
          <w:r>
            <w:rPr/>
            <w:t>región</w:t>
            <w:tab/>
            <w:t>197</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A modo de</w:t>
          </w:r>
          <w:r>
            <w:rPr>
              <w:spacing w:val="-1"/>
            </w:rPr>
            <w:t> </w:t>
          </w:r>
          <w:r>
            <w:rPr/>
            <w:t>conclusión</w:t>
            <w:tab/>
            <w:t>203</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Referencias</w:t>
            <w:tab/>
            <w:t>204</w:t>
          </w:r>
        </w:p>
        <w:p>
          <w:pPr>
            <w:pStyle w:val="TOC2"/>
            <w:numPr>
              <w:ilvl w:val="1"/>
              <w:numId w:val="3"/>
            </w:numPr>
            <w:tabs>
              <w:tab w:pos="435" w:val="left" w:leader="none"/>
              <w:tab w:pos="8933" w:val="right" w:leader="dot"/>
            </w:tabs>
            <w:spacing w:line="240" w:lineRule="auto" w:before="101" w:after="0"/>
            <w:ind w:left="434" w:right="0" w:hanging="332"/>
            <w:jc w:val="left"/>
          </w:pPr>
          <w:r>
            <w:rPr/>
            <w:t>BUENAS PRÁCTICAS EN LAS REVISTAS</w:t>
          </w:r>
          <w:r>
            <w:rPr>
              <w:spacing w:val="-6"/>
            </w:rPr>
            <w:t> </w:t>
          </w:r>
          <w:r>
            <w:rPr/>
            <w:t>ELECTRÓNICAS</w:t>
          </w:r>
          <w:r>
            <w:rPr>
              <w:spacing w:val="1"/>
            </w:rPr>
            <w:t> </w:t>
          </w:r>
          <w:r>
            <w:rPr/>
            <w:t>LATINOAMERICANAS</w:t>
            <w:tab/>
            <w:t>206</w:t>
          </w:r>
        </w:p>
        <w:p>
          <w:pPr>
            <w:pStyle w:val="TOC1"/>
            <w:tabs>
              <w:tab w:pos="8831" w:val="right" w:leader="dot"/>
            </w:tabs>
          </w:pPr>
          <w:r>
            <w:rPr/>
            <w:t>GOOD PRACTICES IN THE LATINAMERICAN</w:t>
          </w:r>
          <w:r>
            <w:rPr>
              <w:spacing w:val="-5"/>
            </w:rPr>
            <w:t> </w:t>
          </w:r>
          <w:r>
            <w:rPr/>
            <w:t>ELECTRONIC</w:t>
          </w:r>
          <w:r>
            <w:rPr>
              <w:spacing w:val="-2"/>
            </w:rPr>
            <w:t> </w:t>
          </w:r>
          <w:r>
            <w:rPr/>
            <w:t>JOURNALS</w:t>
            <w:tab/>
            <w:t>206</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Introducción</w:t>
            <w:tab/>
            <w:t>207</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Revisión</w:t>
          </w:r>
          <w:r>
            <w:rPr>
              <w:spacing w:val="-2"/>
            </w:rPr>
            <w:t> </w:t>
          </w:r>
          <w:r>
            <w:rPr/>
            <w:t>bibliográfica</w:t>
            <w:tab/>
            <w:t>209</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Descripción de las características de las</w:t>
          </w:r>
          <w:r>
            <w:rPr>
              <w:spacing w:val="-6"/>
            </w:rPr>
            <w:t> </w:t>
          </w:r>
          <w:r>
            <w:rPr/>
            <w:t>revistas</w:t>
          </w:r>
          <w:r>
            <w:rPr>
              <w:spacing w:val="-2"/>
            </w:rPr>
            <w:t> </w:t>
          </w:r>
          <w:r>
            <w:rPr/>
            <w:t>electrónicas</w:t>
            <w:tab/>
            <w:t>213</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La situación</w:t>
          </w:r>
          <w:r>
            <w:rPr>
              <w:spacing w:val="-2"/>
            </w:rPr>
            <w:t> </w:t>
          </w:r>
          <w:r>
            <w:rPr/>
            <w:t>en Latinoamérica</w:t>
            <w:tab/>
            <w:t>216</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Conclusiones</w:t>
            <w:tab/>
            <w:t>221</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Referencias</w:t>
            <w:tab/>
            <w:t>222</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Revistas de</w:t>
          </w:r>
          <w:r>
            <w:rPr>
              <w:spacing w:val="-2"/>
            </w:rPr>
            <w:t> </w:t>
          </w:r>
          <w:r>
            <w:rPr/>
            <w:t>la</w:t>
          </w:r>
          <w:r>
            <w:rPr>
              <w:spacing w:val="1"/>
            </w:rPr>
            <w:t> </w:t>
          </w:r>
          <w:r>
            <w:rPr/>
            <w:t>muestra</w:t>
            <w:tab/>
            <w:t>226</w:t>
          </w:r>
        </w:p>
        <w:p>
          <w:pPr>
            <w:pStyle w:val="TOC2"/>
            <w:numPr>
              <w:ilvl w:val="1"/>
              <w:numId w:val="3"/>
            </w:numPr>
            <w:tabs>
              <w:tab w:pos="437" w:val="left" w:leader="none"/>
              <w:tab w:pos="8933" w:val="right" w:leader="dot"/>
            </w:tabs>
            <w:spacing w:line="240" w:lineRule="auto" w:before="101" w:after="0"/>
            <w:ind w:left="102" w:right="124" w:firstLine="0"/>
            <w:jc w:val="left"/>
          </w:pPr>
          <w:r>
            <w:rPr/>
            <w:t>COLABORACIÓN INTERNACIONAL DE AMÉRICA LATINA EN REVISTAS IBEROAMERICANAS DE</w:t>
          </w:r>
          <w:r>
            <w:rPr>
              <w:spacing w:val="-1"/>
            </w:rPr>
            <w:t> </w:t>
          </w:r>
          <w:r>
            <w:rPr/>
            <w:t>CORRIENTE</w:t>
          </w:r>
          <w:r>
            <w:rPr>
              <w:spacing w:val="-1"/>
            </w:rPr>
            <w:t> </w:t>
          </w:r>
          <w:r>
            <w:rPr/>
            <w:t>PRINCIPAL</w:t>
            <w:tab/>
            <w:t>228</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Introducción</w:t>
            <w:tab/>
            <w:t>229</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Metodología</w:t>
            <w:tab/>
            <w:t>231</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Resultados</w:t>
            <w:tab/>
            <w:t>232</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Discusión y</w:t>
          </w:r>
          <w:r>
            <w:rPr>
              <w:spacing w:val="-2"/>
            </w:rPr>
            <w:t> </w:t>
          </w:r>
          <w:r>
            <w:rPr/>
            <w:t>conclusiones</w:t>
            <w:tab/>
            <w:t>243</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Referencias</w:t>
            <w:tab/>
            <w:t>245</w:t>
          </w:r>
        </w:p>
        <w:p>
          <w:pPr>
            <w:pStyle w:val="TOC2"/>
            <w:numPr>
              <w:ilvl w:val="1"/>
              <w:numId w:val="3"/>
            </w:numPr>
            <w:tabs>
              <w:tab w:pos="438" w:val="left" w:leader="none"/>
              <w:tab w:pos="8933" w:val="right" w:leader="dot"/>
            </w:tabs>
            <w:spacing w:line="240" w:lineRule="auto" w:before="101" w:after="0"/>
            <w:ind w:left="102" w:right="124" w:firstLine="0"/>
            <w:jc w:val="left"/>
          </w:pPr>
          <w:r>
            <w:rPr/>
            <w:t>REVISTA BIOCELL: PRESENCIA Y VISIBILIDAD EN EL MARCO DE LAS PUBLICACIONES LATINOAMERICANAS</w:t>
            <w:tab/>
            <w:t>247</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Introducción</w:t>
            <w:tab/>
            <w:t>248</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Contexto histórico</w:t>
            <w:tab/>
            <w:t>249</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Nuestra</w:t>
          </w:r>
          <w:r>
            <w:rPr>
              <w:spacing w:val="-1"/>
            </w:rPr>
            <w:t> </w:t>
          </w:r>
          <w:r>
            <w:rPr/>
            <w:t>realidad latinoamericana</w:t>
            <w:tab/>
            <w:t>252</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Breve historia</w:t>
          </w:r>
          <w:r>
            <w:rPr>
              <w:spacing w:val="-1"/>
            </w:rPr>
            <w:t> </w:t>
          </w:r>
          <w:r>
            <w:rPr/>
            <w:t>de</w:t>
          </w:r>
          <w:r>
            <w:rPr>
              <w:spacing w:val="-1"/>
            </w:rPr>
            <w:t> </w:t>
          </w:r>
          <w:r>
            <w:rPr/>
            <w:t>BIOCELL</w:t>
            <w:tab/>
            <w:t>254</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Luces y sombras en el procesamiento editorial de</w:t>
          </w:r>
          <w:r>
            <w:rPr>
              <w:spacing w:val="-2"/>
            </w:rPr>
            <w:t> </w:t>
          </w:r>
          <w:r>
            <w:rPr/>
            <w:t>los</w:t>
          </w:r>
          <w:r>
            <w:rPr>
              <w:spacing w:val="-2"/>
            </w:rPr>
            <w:t> </w:t>
          </w:r>
          <w:r>
            <w:rPr/>
            <w:t>artículos</w:t>
            <w:tab/>
            <w:t>260</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Conferencia</w:t>
          </w:r>
          <w:r>
            <w:rPr>
              <w:spacing w:val="-1"/>
            </w:rPr>
            <w:t> </w:t>
          </w:r>
          <w:r>
            <w:rPr/>
            <w:t>anual</w:t>
          </w:r>
          <w:r>
            <w:rPr>
              <w:spacing w:val="-2"/>
            </w:rPr>
            <w:t> </w:t>
          </w:r>
          <w:r>
            <w:rPr/>
            <w:t>BIOCELL</w:t>
            <w:tab/>
            <w:t>261</w:t>
          </w:r>
        </w:p>
        <w:p>
          <w:pPr>
            <w:pStyle w:val="TOC3"/>
            <w:numPr>
              <w:ilvl w:val="2"/>
              <w:numId w:val="3"/>
            </w:numPr>
            <w:tabs>
              <w:tab w:pos="761" w:val="left" w:leader="none"/>
              <w:tab w:pos="762" w:val="left" w:leader="none"/>
              <w:tab w:pos="8933" w:val="right" w:leader="dot"/>
            </w:tabs>
            <w:spacing w:line="240" w:lineRule="auto" w:before="290" w:after="0"/>
            <w:ind w:left="762" w:right="0" w:hanging="461"/>
            <w:jc w:val="left"/>
          </w:pPr>
          <w:r>
            <w:rPr/>
            <w:t>Conclusiones</w:t>
            <w:tab/>
            <w:t>262</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Referencias</w:t>
            <w:tab/>
            <w:t>262</w:t>
          </w:r>
        </w:p>
        <w:p>
          <w:pPr>
            <w:pStyle w:val="TOC2"/>
            <w:numPr>
              <w:ilvl w:val="1"/>
              <w:numId w:val="3"/>
            </w:numPr>
            <w:tabs>
              <w:tab w:pos="437" w:val="left" w:leader="none"/>
              <w:tab w:pos="8831" w:val="right" w:leader="dot"/>
            </w:tabs>
            <w:spacing w:line="240" w:lineRule="auto" w:before="101" w:after="0"/>
            <w:ind w:left="436" w:right="22" w:hanging="334"/>
            <w:jc w:val="center"/>
          </w:pPr>
          <w:r>
            <w:rPr/>
            <w:t>LA REVISTA CEIBA</w:t>
          </w:r>
          <w:r>
            <w:rPr>
              <w:spacing w:val="-7"/>
            </w:rPr>
            <w:t> </w:t>
          </w:r>
          <w:r>
            <w:rPr/>
            <w:t>MEJORA</w:t>
          </w:r>
          <w:r>
            <w:rPr>
              <w:spacing w:val="-1"/>
            </w:rPr>
            <w:t> </w:t>
          </w:r>
          <w:r>
            <w:rPr/>
            <w:t>CONSTANTEMENTE</w:t>
            <w:tab/>
            <w:t>264</w:t>
          </w:r>
        </w:p>
        <w:p>
          <w:pPr>
            <w:pStyle w:val="TOC3"/>
            <w:numPr>
              <w:ilvl w:val="2"/>
              <w:numId w:val="3"/>
            </w:numPr>
            <w:tabs>
              <w:tab w:pos="761" w:val="left" w:leader="none"/>
              <w:tab w:pos="762" w:val="left" w:leader="none"/>
              <w:tab w:pos="8933" w:val="right" w:leader="dot"/>
            </w:tabs>
            <w:spacing w:line="240" w:lineRule="auto" w:before="99" w:after="0"/>
            <w:ind w:left="301" w:right="0" w:firstLine="0"/>
            <w:jc w:val="left"/>
          </w:pPr>
          <w:r>
            <w:rPr/>
            <w:t>La Creación</w:t>
          </w:r>
          <w:r>
            <w:rPr>
              <w:spacing w:val="-2"/>
            </w:rPr>
            <w:t> </w:t>
          </w:r>
          <w:r>
            <w:rPr/>
            <w:t>de</w:t>
          </w:r>
          <w:r>
            <w:rPr>
              <w:spacing w:val="-1"/>
            </w:rPr>
            <w:t> </w:t>
          </w:r>
          <w:r>
            <w:rPr/>
            <w:t>Ceiba</w:t>
            <w:tab/>
            <w:t>265</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Portada</w:t>
          </w:r>
          <w:r>
            <w:rPr>
              <w:spacing w:val="-2"/>
            </w:rPr>
            <w:t> </w:t>
          </w:r>
          <w:r>
            <w:rPr/>
            <w:t>y</w:t>
          </w:r>
          <w:r>
            <w:rPr>
              <w:spacing w:val="-4"/>
            </w:rPr>
            <w:t> </w:t>
          </w:r>
          <w:r>
            <w:rPr/>
            <w:t>Tamaño</w:t>
            <w:tab/>
            <w:t>266</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Consejo Editorial y distribución</w:t>
          </w:r>
          <w:r>
            <w:rPr>
              <w:spacing w:val="-5"/>
            </w:rPr>
            <w:t> </w:t>
          </w:r>
          <w:r>
            <w:rPr/>
            <w:t>por</w:t>
          </w:r>
          <w:r>
            <w:rPr>
              <w:spacing w:val="-1"/>
            </w:rPr>
            <w:t> </w:t>
          </w:r>
          <w:r>
            <w:rPr/>
            <w:t>Internet</w:t>
            <w:tab/>
            <w:t>272</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Historia de la investigación en la Escuela Agrícola</w:t>
          </w:r>
          <w:r>
            <w:rPr>
              <w:spacing w:val="-1"/>
            </w:rPr>
            <w:t> </w:t>
          </w:r>
          <w:r>
            <w:rPr/>
            <w:t>Panamericana</w:t>
            <w:tab/>
            <w:t>273</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Los años dorados de la</w:t>
          </w:r>
          <w:r>
            <w:rPr>
              <w:spacing w:val="-6"/>
            </w:rPr>
            <w:t> </w:t>
          </w:r>
          <w:r>
            <w:rPr/>
            <w:t>botánica</w:t>
          </w:r>
          <w:r>
            <w:rPr>
              <w:spacing w:val="-1"/>
            </w:rPr>
            <w:t> </w:t>
          </w:r>
          <w:r>
            <w:rPr/>
            <w:t>sistemática</w:t>
            <w:tab/>
            <w:t>273</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Los años dorados de</w:t>
          </w:r>
          <w:r>
            <w:rPr>
              <w:spacing w:val="-4"/>
            </w:rPr>
            <w:t> </w:t>
          </w:r>
          <w:r>
            <w:rPr/>
            <w:t>la</w:t>
          </w:r>
          <w:r>
            <w:rPr>
              <w:spacing w:val="-1"/>
            </w:rPr>
            <w:t> </w:t>
          </w:r>
          <w:r>
            <w:rPr/>
            <w:t>fitoprotección</w:t>
            <w:tab/>
            <w:t>276</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Identificaciones</w:t>
          </w:r>
          <w:r>
            <w:rPr>
              <w:spacing w:val="-2"/>
            </w:rPr>
            <w:t> </w:t>
          </w:r>
          <w:r>
            <w:rPr/>
            <w:t>de</w:t>
          </w:r>
          <w:r>
            <w:rPr>
              <w:spacing w:val="-1"/>
            </w:rPr>
            <w:t> </w:t>
          </w:r>
          <w:r>
            <w:rPr/>
            <w:t>Ceiba</w:t>
            <w:tab/>
            <w:t>278</w:t>
          </w:r>
        </w:p>
        <w:p>
          <w:pPr>
            <w:pStyle w:val="TOC3"/>
            <w:numPr>
              <w:ilvl w:val="2"/>
              <w:numId w:val="3"/>
            </w:numPr>
            <w:tabs>
              <w:tab w:pos="761" w:val="left" w:leader="none"/>
              <w:tab w:pos="762" w:val="left" w:leader="none"/>
              <w:tab w:pos="8933" w:val="right" w:leader="dot"/>
            </w:tabs>
            <w:spacing w:line="343" w:lineRule="auto" w:before="101" w:after="0"/>
            <w:ind w:left="301" w:right="124" w:firstLine="0"/>
            <w:jc w:val="left"/>
          </w:pPr>
          <w:r>
            <w:rPr/>
            <w:t>Trabajando con los Estudiantes y Profesores para Mejorar la Preparación de Artículos Científicos 279 9.</w:t>
            <w:tab/>
            <w:t>Referencias</w:t>
            <w:tab/>
            <w:t>280</w:t>
          </w:r>
        </w:p>
        <w:p>
          <w:pPr>
            <w:pStyle w:val="TOC2"/>
            <w:numPr>
              <w:ilvl w:val="1"/>
              <w:numId w:val="3"/>
            </w:numPr>
            <w:tabs>
              <w:tab w:pos="438" w:val="left" w:leader="none"/>
              <w:tab w:pos="8933" w:val="right" w:leader="dot"/>
            </w:tabs>
            <w:spacing w:line="240" w:lineRule="auto" w:before="6" w:after="0"/>
            <w:ind w:left="102" w:right="124" w:firstLine="0"/>
            <w:jc w:val="left"/>
          </w:pPr>
          <w:r>
            <w:rPr/>
            <w:t>LAS REVISTAS CIENTÍFICAS CHILENAS: EVOLUCIÓN, MECANISMOS PARA SU INTERNACIONALIZACIÓN, VISIBILIDAD</w:t>
          </w:r>
          <w:r>
            <w:rPr>
              <w:spacing w:val="-1"/>
            </w:rPr>
            <w:t> </w:t>
          </w:r>
          <w:r>
            <w:rPr/>
            <w:t>E</w:t>
          </w:r>
          <w:r>
            <w:rPr>
              <w:spacing w:val="-1"/>
            </w:rPr>
            <w:t> </w:t>
          </w:r>
          <w:r>
            <w:rPr/>
            <w:t>IMPACTO</w:t>
            <w:tab/>
            <w:t>282</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Introducción</w:t>
            <w:tab/>
            <w:t>283</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Metodología</w:t>
            <w:tab/>
            <w:t>285</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Evolución, calidad e</w:t>
          </w:r>
          <w:r>
            <w:rPr>
              <w:spacing w:val="-1"/>
            </w:rPr>
            <w:t> </w:t>
          </w:r>
          <w:r>
            <w:rPr/>
            <w:t>impacto</w:t>
            <w:tab/>
            <w:t>286</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Conclusiones</w:t>
            <w:tab/>
            <w:t>294</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Referencias</w:t>
            <w:tab/>
            <w:t>298</w:t>
          </w:r>
        </w:p>
        <w:p>
          <w:pPr>
            <w:pStyle w:val="TOC2"/>
            <w:numPr>
              <w:ilvl w:val="1"/>
              <w:numId w:val="3"/>
            </w:numPr>
            <w:tabs>
              <w:tab w:pos="437" w:val="left" w:leader="none"/>
              <w:tab w:pos="8933" w:val="right" w:leader="dot"/>
            </w:tabs>
            <w:spacing w:line="240" w:lineRule="auto" w:before="101" w:after="0"/>
            <w:ind w:left="436" w:right="0" w:hanging="334"/>
            <w:jc w:val="left"/>
          </w:pPr>
          <w:r>
            <w:rPr/>
            <w:t>CIENCIAS, LA EXPERIENCIA DE </w:t>
          </w:r>
          <w:r>
            <w:rPr>
              <w:spacing w:val="2"/>
            </w:rPr>
            <w:t>UNA </w:t>
          </w:r>
          <w:r>
            <w:rPr/>
            <w:t>REVISTA MEXICANA DE</w:t>
          </w:r>
          <w:r>
            <w:rPr>
              <w:spacing w:val="-21"/>
            </w:rPr>
            <w:t> </w:t>
          </w:r>
          <w:r>
            <w:rPr/>
            <w:t>CULTURA</w:t>
          </w:r>
          <w:r>
            <w:rPr>
              <w:spacing w:val="-2"/>
            </w:rPr>
            <w:t> </w:t>
          </w:r>
          <w:r>
            <w:rPr/>
            <w:t>CIENTÍFICA</w:t>
            <w:tab/>
            <w:t>300</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Introducción</w:t>
            <w:tab/>
            <w:t>301</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El</w:t>
          </w:r>
          <w:r>
            <w:rPr>
              <w:spacing w:val="-2"/>
            </w:rPr>
            <w:t> </w:t>
          </w:r>
          <w:r>
            <w:rPr/>
            <w:t>analfabetismo científico</w:t>
            <w:tab/>
            <w:t>302</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La</w:t>
          </w:r>
          <w:r>
            <w:rPr>
              <w:spacing w:val="-1"/>
            </w:rPr>
            <w:t> </w:t>
          </w:r>
          <w:r>
            <w:rPr/>
            <w:t>cultura</w:t>
          </w:r>
          <w:r>
            <w:rPr>
              <w:spacing w:val="-1"/>
            </w:rPr>
            <w:t> </w:t>
          </w:r>
          <w:r>
            <w:rPr/>
            <w:t>científica</w:t>
            <w:tab/>
            <w:t>303</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Las revistas de divulgación científica</w:t>
          </w:r>
          <w:r>
            <w:rPr>
              <w:spacing w:val="-4"/>
            </w:rPr>
            <w:t> </w:t>
          </w:r>
          <w:r>
            <w:rPr/>
            <w:t>en</w:t>
          </w:r>
          <w:r>
            <w:rPr>
              <w:spacing w:val="-2"/>
            </w:rPr>
            <w:t> </w:t>
          </w:r>
          <w:r>
            <w:rPr/>
            <w:t>México</w:t>
            <w:tab/>
            <w:t>304</w:t>
          </w:r>
        </w:p>
        <w:p>
          <w:pPr>
            <w:pStyle w:val="TOC4"/>
            <w:numPr>
              <w:ilvl w:val="2"/>
              <w:numId w:val="3"/>
            </w:numPr>
            <w:tabs>
              <w:tab w:pos="761" w:val="left" w:leader="none"/>
              <w:tab w:pos="762" w:val="left" w:leader="none"/>
              <w:tab w:pos="8933" w:val="right" w:leader="dot"/>
            </w:tabs>
            <w:spacing w:line="240" w:lineRule="auto" w:before="101" w:after="0"/>
            <w:ind w:left="762" w:right="0" w:hanging="461"/>
            <w:jc w:val="left"/>
            <w:rPr>
              <w:b w:val="0"/>
              <w:i w:val="0"/>
              <w:sz w:val="20"/>
            </w:rPr>
          </w:pPr>
          <w:r>
            <w:rPr>
              <w:b w:val="0"/>
              <w:i w:val="0"/>
              <w:sz w:val="20"/>
            </w:rPr>
            <w:t>La</w:t>
          </w:r>
          <w:r>
            <w:rPr>
              <w:b w:val="0"/>
              <w:i w:val="0"/>
              <w:spacing w:val="-1"/>
              <w:sz w:val="20"/>
            </w:rPr>
            <w:t> </w:t>
          </w:r>
          <w:r>
            <w:rPr>
              <w:b w:val="0"/>
              <w:i w:val="0"/>
              <w:sz w:val="20"/>
            </w:rPr>
            <w:t>revista </w:t>
          </w:r>
          <w:r>
            <w:rPr>
              <w:b w:val="0"/>
              <w:i/>
              <w:sz w:val="20"/>
            </w:rPr>
            <w:t>Ciencias</w:t>
          </w:r>
          <w:r>
            <w:rPr>
              <w:b w:val="0"/>
              <w:i w:val="0"/>
              <w:sz w:val="20"/>
            </w:rPr>
            <w:tab/>
            <w:t>305</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El perfil de</w:t>
          </w:r>
          <w:r>
            <w:rPr>
              <w:spacing w:val="-3"/>
            </w:rPr>
            <w:t> </w:t>
          </w:r>
          <w:r>
            <w:rPr/>
            <w:t>la</w:t>
          </w:r>
          <w:r>
            <w:rPr>
              <w:spacing w:val="-1"/>
            </w:rPr>
            <w:t> </w:t>
          </w:r>
          <w:r>
            <w:rPr/>
            <w:t>revista</w:t>
            <w:tab/>
            <w:t>306</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Estructura</w:t>
            <w:tab/>
            <w:t>311</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Experiencias</w:t>
            <w:tab/>
            <w:t>311</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Evaluación</w:t>
            <w:tab/>
            <w:t>314</w:t>
          </w:r>
        </w:p>
        <w:p>
          <w:pPr>
            <w:pStyle w:val="TOC3"/>
            <w:numPr>
              <w:ilvl w:val="2"/>
              <w:numId w:val="3"/>
            </w:numPr>
            <w:tabs>
              <w:tab w:pos="982" w:val="left" w:leader="none"/>
              <w:tab w:pos="983" w:val="left" w:leader="none"/>
              <w:tab w:pos="8933" w:val="right" w:leader="dot"/>
            </w:tabs>
            <w:spacing w:line="240" w:lineRule="auto" w:before="99" w:after="0"/>
            <w:ind w:left="982" w:right="0" w:hanging="681"/>
            <w:jc w:val="left"/>
          </w:pPr>
          <w:r>
            <w:rPr/>
            <w:t>Otros</w:t>
          </w:r>
          <w:r>
            <w:rPr>
              <w:spacing w:val="-2"/>
            </w:rPr>
            <w:t> </w:t>
          </w:r>
          <w:r>
            <w:rPr/>
            <w:t>proyectos</w:t>
            <w:tab/>
            <w:t>315</w:t>
          </w:r>
        </w:p>
        <w:p>
          <w:pPr>
            <w:pStyle w:val="TOC3"/>
            <w:numPr>
              <w:ilvl w:val="2"/>
              <w:numId w:val="3"/>
            </w:numPr>
            <w:tabs>
              <w:tab w:pos="982" w:val="left" w:leader="none"/>
              <w:tab w:pos="983" w:val="left" w:leader="none"/>
              <w:tab w:pos="8933" w:val="right" w:leader="dot"/>
            </w:tabs>
            <w:spacing w:line="240" w:lineRule="auto" w:before="101" w:after="0"/>
            <w:ind w:left="982" w:right="0" w:hanging="681"/>
            <w:jc w:val="left"/>
          </w:pPr>
          <w:r>
            <w:rPr/>
            <w:t>Los medios electrónicos y</w:t>
          </w:r>
          <w:r>
            <w:rPr>
              <w:spacing w:val="1"/>
            </w:rPr>
            <w:t> </w:t>
          </w:r>
          <w:r>
            <w:rPr/>
            <w:t>los</w:t>
          </w:r>
          <w:r>
            <w:rPr>
              <w:spacing w:val="-2"/>
            </w:rPr>
            <w:t> </w:t>
          </w:r>
          <w:r>
            <w:rPr/>
            <w:t>índices</w:t>
            <w:tab/>
            <w:t>315</w:t>
          </w:r>
        </w:p>
        <w:p>
          <w:pPr>
            <w:pStyle w:val="TOC3"/>
            <w:numPr>
              <w:ilvl w:val="2"/>
              <w:numId w:val="3"/>
            </w:numPr>
            <w:tabs>
              <w:tab w:pos="982" w:val="left" w:leader="none"/>
              <w:tab w:pos="983" w:val="left" w:leader="none"/>
              <w:tab w:pos="8933" w:val="right" w:leader="dot"/>
            </w:tabs>
            <w:spacing w:line="240" w:lineRule="auto" w:before="99" w:after="0"/>
            <w:ind w:left="982" w:right="0" w:hanging="681"/>
            <w:jc w:val="left"/>
          </w:pPr>
          <w:r>
            <w:rPr/>
            <w:t>Conclusiones o, ¿hacia</w:t>
          </w:r>
          <w:r>
            <w:rPr>
              <w:spacing w:val="-2"/>
            </w:rPr>
            <w:t> </w:t>
          </w:r>
          <w:r>
            <w:rPr/>
            <w:t>dónde</w:t>
          </w:r>
          <w:r>
            <w:rPr>
              <w:spacing w:val="-1"/>
            </w:rPr>
            <w:t> </w:t>
          </w:r>
          <w:r>
            <w:rPr/>
            <w:t>vamos?</w:t>
            <w:tab/>
            <w:t>316</w:t>
          </w:r>
        </w:p>
        <w:p>
          <w:pPr>
            <w:pStyle w:val="TOC3"/>
            <w:numPr>
              <w:ilvl w:val="2"/>
              <w:numId w:val="3"/>
            </w:numPr>
            <w:tabs>
              <w:tab w:pos="982" w:val="left" w:leader="none"/>
              <w:tab w:pos="983" w:val="left" w:leader="none"/>
              <w:tab w:pos="8933" w:val="right" w:leader="dot"/>
            </w:tabs>
            <w:spacing w:line="240" w:lineRule="auto" w:before="101" w:after="0"/>
            <w:ind w:left="982" w:right="0" w:hanging="681"/>
            <w:jc w:val="left"/>
          </w:pPr>
          <w:r>
            <w:rPr/>
            <w:t>Referencias</w:t>
            <w:tab/>
            <w:t>316</w:t>
          </w:r>
        </w:p>
        <w:p>
          <w:pPr>
            <w:pStyle w:val="TOC3"/>
            <w:numPr>
              <w:ilvl w:val="2"/>
              <w:numId w:val="3"/>
            </w:numPr>
            <w:tabs>
              <w:tab w:pos="982" w:val="left" w:leader="none"/>
              <w:tab w:pos="983" w:val="left" w:leader="none"/>
              <w:tab w:pos="8933" w:val="right" w:leader="dot"/>
            </w:tabs>
            <w:spacing w:line="240" w:lineRule="auto" w:before="99" w:after="0"/>
            <w:ind w:left="982" w:right="0" w:hanging="681"/>
            <w:jc w:val="left"/>
          </w:pPr>
          <w:r>
            <w:rPr/>
            <w:t>Índice de los 10 números más recientes de la revista</w:t>
          </w:r>
          <w:r>
            <w:rPr>
              <w:spacing w:val="-1"/>
            </w:rPr>
            <w:t> </w:t>
          </w:r>
          <w:r>
            <w:rPr/>
            <w:t>Ciencias</w:t>
            <w:tab/>
            <w:t>317</w:t>
          </w:r>
        </w:p>
        <w:p>
          <w:pPr>
            <w:pStyle w:val="TOC2"/>
            <w:numPr>
              <w:ilvl w:val="1"/>
              <w:numId w:val="3"/>
            </w:numPr>
            <w:tabs>
              <w:tab w:pos="437" w:val="left" w:leader="none"/>
              <w:tab w:pos="8933" w:val="right" w:leader="dot"/>
            </w:tabs>
            <w:spacing w:line="240" w:lineRule="auto" w:before="101" w:after="0"/>
            <w:ind w:left="102" w:right="124" w:firstLine="0"/>
            <w:jc w:val="left"/>
          </w:pPr>
          <w:r>
            <w:rPr/>
            <w:t>DEVELOPING THE CARIBBEAN SCHOLARLY TEXT: JOURNAL PUBLISHING AT THE UNIVERSITY OF THE WEST</w:t>
          </w:r>
          <w:r>
            <w:rPr>
              <w:spacing w:val="-1"/>
            </w:rPr>
            <w:t> </w:t>
          </w:r>
          <w:r>
            <w:rPr/>
            <w:t>INDIES</w:t>
          </w:r>
          <w:r>
            <w:rPr>
              <w:spacing w:val="-2"/>
            </w:rPr>
            <w:t> </w:t>
          </w:r>
          <w:r>
            <w:rPr/>
            <w:t>(UWI)</w:t>
            <w:tab/>
            <w:t>328</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Introduction</w:t>
            <w:tab/>
            <w:t>328</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Journal publishing</w:t>
          </w:r>
          <w:r>
            <w:rPr>
              <w:spacing w:val="-2"/>
            </w:rPr>
            <w:t> </w:t>
          </w:r>
          <w:r>
            <w:rPr/>
            <w:t>at</w:t>
          </w:r>
          <w:r>
            <w:rPr>
              <w:spacing w:val="-1"/>
            </w:rPr>
            <w:t> </w:t>
          </w:r>
          <w:r>
            <w:rPr/>
            <w:t>UWI</w:t>
            <w:tab/>
            <w:t>329</w:t>
          </w:r>
        </w:p>
        <w:p>
          <w:pPr>
            <w:pStyle w:val="TOC3"/>
            <w:numPr>
              <w:ilvl w:val="2"/>
              <w:numId w:val="3"/>
            </w:numPr>
            <w:tabs>
              <w:tab w:pos="761" w:val="left" w:leader="none"/>
              <w:tab w:pos="762" w:val="left" w:leader="none"/>
              <w:tab w:pos="8933" w:val="right" w:leader="dot"/>
            </w:tabs>
            <w:spacing w:line="240" w:lineRule="auto" w:before="98" w:after="0"/>
            <w:ind w:left="762" w:right="0" w:hanging="461"/>
            <w:jc w:val="left"/>
          </w:pPr>
          <w:r>
            <w:rPr/>
            <w:t>Problems</w:t>
            <w:tab/>
            <w:t>332</w:t>
          </w:r>
        </w:p>
        <w:p>
          <w:pPr>
            <w:pStyle w:val="TOC3"/>
            <w:numPr>
              <w:ilvl w:val="2"/>
              <w:numId w:val="3"/>
            </w:numPr>
            <w:tabs>
              <w:tab w:pos="761" w:val="left" w:leader="none"/>
              <w:tab w:pos="762" w:val="left" w:leader="none"/>
              <w:tab w:pos="8933" w:val="right" w:leader="dot"/>
            </w:tabs>
            <w:spacing w:line="240" w:lineRule="auto" w:before="290" w:after="0"/>
            <w:ind w:left="762" w:right="0" w:hanging="461"/>
            <w:jc w:val="left"/>
          </w:pPr>
          <w:r>
            <w:rPr/>
            <w:t>Advantages</w:t>
            <w:tab/>
            <w:t>333</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Social and Economic Studies (SES): its trajectory and</w:t>
          </w:r>
          <w:r>
            <w:rPr>
              <w:spacing w:val="-8"/>
            </w:rPr>
            <w:t> </w:t>
          </w:r>
          <w:r>
            <w:rPr/>
            <w:t>its future</w:t>
            <w:tab/>
            <w:t>334</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Production</w:t>
          </w:r>
          <w:r>
            <w:rPr>
              <w:spacing w:val="-2"/>
            </w:rPr>
            <w:t> </w:t>
          </w:r>
          <w:r>
            <w:rPr/>
            <w:t>Issues</w:t>
            <w:tab/>
            <w:t>335</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Intellectual</w:t>
          </w:r>
          <w:r>
            <w:rPr>
              <w:spacing w:val="-1"/>
            </w:rPr>
            <w:t> </w:t>
          </w:r>
          <w:r>
            <w:rPr/>
            <w:t>Issues</w:t>
            <w:tab/>
            <w:t>336</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Conclusions</w:t>
            <w:tab/>
            <w:t>342</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References</w:t>
            <w:tab/>
            <w:t>342</w:t>
          </w:r>
        </w:p>
        <w:p>
          <w:pPr>
            <w:pStyle w:val="TOC2"/>
            <w:numPr>
              <w:ilvl w:val="1"/>
              <w:numId w:val="3"/>
            </w:numPr>
            <w:tabs>
              <w:tab w:pos="437" w:val="left" w:leader="none"/>
              <w:tab w:pos="8933" w:val="right" w:leader="dot"/>
            </w:tabs>
            <w:spacing w:line="240" w:lineRule="auto" w:before="101" w:after="0"/>
            <w:ind w:left="102" w:right="124" w:firstLine="0"/>
            <w:jc w:val="left"/>
          </w:pPr>
          <w:r>
            <w:rPr/>
            <w:t>CONTRIBUCIÓN DE LAS UNIVERSIDADES PÚBLICAS A LA PRODUCCIÓN CIENTÍFICA EN NICARAGUA</w:t>
            <w:tab/>
            <w:t>344</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Introducción</w:t>
            <w:tab/>
            <w:t>345</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Principales limitantes para el fomento de la</w:t>
          </w:r>
          <w:r>
            <w:rPr>
              <w:spacing w:val="-3"/>
            </w:rPr>
            <w:t> </w:t>
          </w:r>
          <w:r>
            <w:rPr/>
            <w:t>publicación</w:t>
          </w:r>
          <w:r>
            <w:rPr>
              <w:spacing w:val="-2"/>
            </w:rPr>
            <w:t> </w:t>
          </w:r>
          <w:r>
            <w:rPr/>
            <w:t>científica</w:t>
            <w:tab/>
            <w:t>347</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Producción científica</w:t>
          </w:r>
          <w:r>
            <w:rPr>
              <w:spacing w:val="-2"/>
            </w:rPr>
            <w:t> </w:t>
          </w:r>
          <w:r>
            <w:rPr/>
            <w:t>en</w:t>
          </w:r>
          <w:r>
            <w:rPr>
              <w:spacing w:val="-2"/>
            </w:rPr>
            <w:t> </w:t>
          </w:r>
          <w:r>
            <w:rPr/>
            <w:t>Nicaragua</w:t>
            <w:tab/>
            <w:t>349</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Revistas de corte científico establecidas</w:t>
          </w:r>
          <w:r>
            <w:rPr>
              <w:spacing w:val="-2"/>
            </w:rPr>
            <w:t> </w:t>
          </w:r>
          <w:r>
            <w:rPr/>
            <w:t>en</w:t>
          </w:r>
          <w:r>
            <w:rPr>
              <w:spacing w:val="-2"/>
            </w:rPr>
            <w:t> </w:t>
          </w:r>
          <w:r>
            <w:rPr/>
            <w:t>Nicaragua</w:t>
            <w:tab/>
            <w:t>351</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Algunas acciones esperanzadoras para el fomento de la</w:t>
          </w:r>
          <w:r>
            <w:rPr>
              <w:spacing w:val="-7"/>
            </w:rPr>
            <w:t> </w:t>
          </w:r>
          <w:r>
            <w:rPr/>
            <w:t>publicación</w:t>
          </w:r>
          <w:r>
            <w:rPr>
              <w:spacing w:val="-2"/>
            </w:rPr>
            <w:t> </w:t>
          </w:r>
          <w:r>
            <w:rPr/>
            <w:t>científica</w:t>
            <w:tab/>
            <w:t>355</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Conclusiones</w:t>
            <w:tab/>
            <w:t>358</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Referencias</w:t>
            <w:tab/>
            <w:t>359</w:t>
          </w:r>
        </w:p>
        <w:p>
          <w:pPr>
            <w:pStyle w:val="TOC2"/>
            <w:numPr>
              <w:ilvl w:val="1"/>
              <w:numId w:val="3"/>
            </w:numPr>
            <w:tabs>
              <w:tab w:pos="538" w:val="left" w:leader="none"/>
              <w:tab w:pos="8933" w:val="right" w:leader="dot"/>
            </w:tabs>
            <w:spacing w:line="240" w:lineRule="auto" w:before="101" w:after="0"/>
            <w:ind w:left="102" w:right="124" w:firstLine="0"/>
            <w:jc w:val="left"/>
          </w:pPr>
          <w:r>
            <w:rPr/>
            <w:t>LAS PUBLICACIONES GASTROENTEROLÓGICAS LATINOAMERICANAS, SU NIVEL DE REFERENCIA Y CÓMO MEJORAR</w:t>
          </w:r>
          <w:r>
            <w:rPr>
              <w:spacing w:val="-4"/>
            </w:rPr>
            <w:t> </w:t>
          </w:r>
          <w:r>
            <w:rPr/>
            <w:t>SU</w:t>
          </w:r>
          <w:r>
            <w:rPr>
              <w:spacing w:val="-2"/>
            </w:rPr>
            <w:t> </w:t>
          </w:r>
          <w:r>
            <w:rPr/>
            <w:t>DIFUSIÓN</w:t>
            <w:tab/>
            <w:t>361</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Introducción</w:t>
            <w:tab/>
            <w:t>362</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Material</w:t>
          </w:r>
          <w:r>
            <w:rPr>
              <w:spacing w:val="1"/>
            </w:rPr>
            <w:t> </w:t>
          </w:r>
          <w:r>
            <w:rPr/>
            <w:t>y</w:t>
          </w:r>
          <w:r>
            <w:rPr>
              <w:spacing w:val="-2"/>
            </w:rPr>
            <w:t> </w:t>
          </w:r>
          <w:r>
            <w:rPr/>
            <w:t>métodos</w:t>
            <w:tab/>
            <w:t>365</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Resultados</w:t>
            <w:tab/>
            <w:t>365</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Revistas de gastroenterología con más</w:t>
          </w:r>
          <w:r>
            <w:rPr>
              <w:spacing w:val="-1"/>
            </w:rPr>
            <w:t> </w:t>
          </w:r>
          <w:r>
            <w:rPr/>
            <w:t>artículos</w:t>
          </w:r>
          <w:r>
            <w:rPr>
              <w:spacing w:val="-2"/>
            </w:rPr>
            <w:t> </w:t>
          </w:r>
          <w:r>
            <w:rPr/>
            <w:t>(LILACS)</w:t>
            <w:tab/>
            <w:t>365</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Discusión</w:t>
            <w:tab/>
            <w:t>381</w:t>
          </w:r>
        </w:p>
        <w:p>
          <w:pPr>
            <w:pStyle w:val="TOC3"/>
            <w:numPr>
              <w:ilvl w:val="2"/>
              <w:numId w:val="3"/>
            </w:numPr>
            <w:tabs>
              <w:tab w:pos="761" w:val="left" w:leader="none"/>
              <w:tab w:pos="762" w:val="left" w:leader="none"/>
              <w:tab w:pos="8933" w:val="right" w:leader="dot"/>
            </w:tabs>
            <w:spacing w:line="240" w:lineRule="auto" w:before="99" w:after="0"/>
            <w:ind w:left="762" w:right="0" w:hanging="461"/>
            <w:jc w:val="left"/>
          </w:pPr>
          <w:r>
            <w:rPr/>
            <w:t>Conclusiones</w:t>
            <w:tab/>
            <w:t>383</w:t>
          </w:r>
        </w:p>
        <w:p>
          <w:pPr>
            <w:pStyle w:val="TOC3"/>
            <w:numPr>
              <w:ilvl w:val="2"/>
              <w:numId w:val="3"/>
            </w:numPr>
            <w:tabs>
              <w:tab w:pos="761" w:val="left" w:leader="none"/>
              <w:tab w:pos="762" w:val="left" w:leader="none"/>
              <w:tab w:pos="8933" w:val="right" w:leader="dot"/>
            </w:tabs>
            <w:spacing w:line="240" w:lineRule="auto" w:before="101" w:after="0"/>
            <w:ind w:left="762" w:right="0" w:hanging="461"/>
            <w:jc w:val="left"/>
          </w:pPr>
          <w:r>
            <w:rPr/>
            <w:t>Referencias</w:t>
            <w:tab/>
            <w:t>384</w:t>
          </w:r>
        </w:p>
        <w:p>
          <w:pPr>
            <w:pStyle w:val="TOC2"/>
            <w:numPr>
              <w:ilvl w:val="0"/>
              <w:numId w:val="1"/>
            </w:numPr>
            <w:tabs>
              <w:tab w:pos="404" w:val="left" w:leader="none"/>
              <w:tab w:pos="8933" w:val="right" w:leader="dot"/>
            </w:tabs>
            <w:spacing w:line="240" w:lineRule="auto" w:before="99" w:after="0"/>
            <w:ind w:left="102" w:right="124" w:firstLine="0"/>
            <w:jc w:val="left"/>
          </w:pPr>
          <w:r>
            <w:rPr/>
            <w:t>VISIBILIDAD, REGISTRO Y ACCESO EN LA ERA DIGITAL; EXPERIENCIAS EN IBEROAMÉRICA Y</w:t>
          </w:r>
          <w:r>
            <w:rPr>
              <w:spacing w:val="-3"/>
            </w:rPr>
            <w:t> </w:t>
          </w:r>
          <w:r>
            <w:rPr/>
            <w:t>EL</w:t>
          </w:r>
          <w:r>
            <w:rPr>
              <w:spacing w:val="-2"/>
            </w:rPr>
            <w:t> </w:t>
          </w:r>
          <w:r>
            <w:rPr/>
            <w:t>MUNDO</w:t>
            <w:tab/>
            <w:t>391</w:t>
          </w:r>
        </w:p>
        <w:p>
          <w:pPr>
            <w:pStyle w:val="TOC2"/>
            <w:numPr>
              <w:ilvl w:val="1"/>
              <w:numId w:val="4"/>
            </w:numPr>
            <w:tabs>
              <w:tab w:pos="504" w:val="left" w:leader="none"/>
              <w:tab w:pos="761" w:val="left" w:leader="none"/>
              <w:tab w:pos="8933" w:val="right" w:leader="dot"/>
            </w:tabs>
            <w:spacing w:line="343" w:lineRule="auto" w:before="101" w:after="0"/>
            <w:ind w:left="301" w:right="124" w:hanging="199"/>
            <w:jc w:val="left"/>
          </w:pPr>
          <w:r>
            <w:rPr/>
            <w:t>O CRESCIMENTO DA PRODUÇÃO CIENTÍFICA E SUA VISIBILIDADE INTERNACIONAL ..</w:t>
          </w:r>
          <w:r>
            <w:rPr>
              <w:spacing w:val="-34"/>
            </w:rPr>
            <w:t> </w:t>
          </w:r>
          <w:r>
            <w:rPr/>
            <w:t>392 1.</w:t>
            <w:tab/>
            <w:t>Por que investir em ciência</w:t>
          </w:r>
          <w:r>
            <w:rPr>
              <w:spacing w:val="-5"/>
            </w:rPr>
            <w:t> </w:t>
          </w:r>
          <w:r>
            <w:rPr/>
            <w:t>e</w:t>
          </w:r>
          <w:r>
            <w:rPr>
              <w:spacing w:val="-1"/>
            </w:rPr>
            <w:t> </w:t>
          </w:r>
          <w:r>
            <w:rPr/>
            <w:t>tecnologia?</w:t>
            <w:tab/>
            <w:t>392</w:t>
          </w:r>
        </w:p>
        <w:p>
          <w:pPr>
            <w:pStyle w:val="TOC3"/>
            <w:numPr>
              <w:ilvl w:val="0"/>
              <w:numId w:val="5"/>
            </w:numPr>
            <w:tabs>
              <w:tab w:pos="761" w:val="left" w:leader="none"/>
              <w:tab w:pos="762" w:val="left" w:leader="none"/>
              <w:tab w:pos="8933" w:val="right" w:leader="dot"/>
            </w:tabs>
            <w:spacing w:line="240" w:lineRule="auto" w:before="6" w:after="0"/>
            <w:ind w:left="762" w:right="0" w:hanging="461"/>
            <w:jc w:val="left"/>
          </w:pPr>
          <w:r>
            <w:rPr/>
            <w:t>Quais são os melhores indicadores da</w:t>
          </w:r>
          <w:r>
            <w:rPr>
              <w:spacing w:val="1"/>
            </w:rPr>
            <w:t> </w:t>
          </w:r>
          <w:r>
            <w:rPr/>
            <w:t>produção cientifica?</w:t>
            <w:tab/>
            <w:t>394</w:t>
          </w:r>
        </w:p>
        <w:p>
          <w:pPr>
            <w:pStyle w:val="TOC3"/>
            <w:numPr>
              <w:ilvl w:val="0"/>
              <w:numId w:val="5"/>
            </w:numPr>
            <w:tabs>
              <w:tab w:pos="761" w:val="left" w:leader="none"/>
              <w:tab w:pos="762" w:val="left" w:leader="none"/>
              <w:tab w:pos="8933" w:val="right" w:leader="dot"/>
            </w:tabs>
            <w:spacing w:line="240" w:lineRule="auto" w:before="99" w:after="0"/>
            <w:ind w:left="762" w:right="0" w:hanging="461"/>
            <w:jc w:val="left"/>
          </w:pPr>
          <w:r>
            <w:rPr/>
            <w:t>Coerência</w:t>
            <w:tab/>
            <w:t>394</w:t>
          </w:r>
        </w:p>
        <w:p>
          <w:pPr>
            <w:pStyle w:val="TOC3"/>
            <w:numPr>
              <w:ilvl w:val="0"/>
              <w:numId w:val="5"/>
            </w:numPr>
            <w:tabs>
              <w:tab w:pos="761" w:val="left" w:leader="none"/>
              <w:tab w:pos="762" w:val="left" w:leader="none"/>
              <w:tab w:pos="8933" w:val="right" w:leader="dot"/>
            </w:tabs>
            <w:spacing w:line="240" w:lineRule="auto" w:before="101" w:after="0"/>
            <w:ind w:left="762" w:right="0" w:hanging="461"/>
            <w:jc w:val="left"/>
          </w:pPr>
          <w:r>
            <w:rPr/>
            <w:t>A questão da memória do</w:t>
          </w:r>
          <w:r>
            <w:rPr>
              <w:spacing w:val="1"/>
            </w:rPr>
            <w:t> </w:t>
          </w:r>
          <w:r>
            <w:rPr/>
            <w:t>patrimônio científico</w:t>
            <w:tab/>
            <w:t>394</w:t>
          </w:r>
        </w:p>
        <w:p>
          <w:pPr>
            <w:pStyle w:val="TOC3"/>
            <w:numPr>
              <w:ilvl w:val="0"/>
              <w:numId w:val="5"/>
            </w:numPr>
            <w:tabs>
              <w:tab w:pos="761" w:val="left" w:leader="none"/>
              <w:tab w:pos="762" w:val="left" w:leader="none"/>
              <w:tab w:pos="8933" w:val="right" w:leader="dot"/>
            </w:tabs>
            <w:spacing w:line="240" w:lineRule="auto" w:before="99" w:after="0"/>
            <w:ind w:left="762" w:right="0" w:hanging="461"/>
            <w:jc w:val="left"/>
          </w:pPr>
          <w:r>
            <w:rPr/>
            <w:t>O movimento de</w:t>
          </w:r>
          <w:r>
            <w:rPr>
              <w:spacing w:val="2"/>
            </w:rPr>
            <w:t> </w:t>
          </w:r>
          <w:r>
            <w:rPr/>
            <w:t>acesso livre</w:t>
            <w:tab/>
            <w:t>395</w:t>
          </w:r>
        </w:p>
        <w:p>
          <w:pPr>
            <w:pStyle w:val="TOC3"/>
            <w:numPr>
              <w:ilvl w:val="0"/>
              <w:numId w:val="5"/>
            </w:numPr>
            <w:tabs>
              <w:tab w:pos="761" w:val="left" w:leader="none"/>
              <w:tab w:pos="762" w:val="left" w:leader="none"/>
              <w:tab w:pos="8933" w:val="right" w:leader="dot"/>
            </w:tabs>
            <w:spacing w:line="240" w:lineRule="auto" w:before="101" w:after="0"/>
            <w:ind w:left="762" w:right="0" w:hanging="461"/>
            <w:jc w:val="left"/>
          </w:pPr>
          <w:r>
            <w:rPr/>
            <w:t>Repositórios</w:t>
          </w:r>
          <w:r>
            <w:rPr>
              <w:spacing w:val="-2"/>
            </w:rPr>
            <w:t> </w:t>
          </w:r>
          <w:r>
            <w:rPr/>
            <w:t>institucionais</w:t>
          </w:r>
          <w:r>
            <w:rPr>
              <w:spacing w:val="-2"/>
            </w:rPr>
            <w:t> </w:t>
          </w:r>
          <w:r>
            <w:rPr/>
            <w:t>(RIS)</w:t>
            <w:tab/>
            <w:t>397</w:t>
          </w:r>
        </w:p>
        <w:p>
          <w:pPr>
            <w:pStyle w:val="TOC3"/>
            <w:numPr>
              <w:ilvl w:val="0"/>
              <w:numId w:val="5"/>
            </w:numPr>
            <w:tabs>
              <w:tab w:pos="761" w:val="left" w:leader="none"/>
              <w:tab w:pos="762" w:val="left" w:leader="none"/>
              <w:tab w:pos="8933" w:val="right" w:leader="dot"/>
            </w:tabs>
            <w:spacing w:line="240" w:lineRule="auto" w:before="99" w:after="0"/>
            <w:ind w:left="762" w:right="0" w:hanging="461"/>
            <w:jc w:val="left"/>
          </w:pPr>
          <w:r>
            <w:rPr/>
            <w:t>A produção científica e sua</w:t>
          </w:r>
          <w:r>
            <w:rPr>
              <w:spacing w:val="-3"/>
            </w:rPr>
            <w:t> </w:t>
          </w:r>
          <w:r>
            <w:rPr/>
            <w:t>visibilidade</w:t>
          </w:r>
          <w:r>
            <w:rPr>
              <w:spacing w:val="-1"/>
            </w:rPr>
            <w:t> </w:t>
          </w:r>
          <w:r>
            <w:rPr/>
            <w:t>internacional</w:t>
            <w:tab/>
            <w:t>398</w:t>
          </w:r>
        </w:p>
        <w:p>
          <w:pPr>
            <w:pStyle w:val="TOC3"/>
            <w:numPr>
              <w:ilvl w:val="0"/>
              <w:numId w:val="5"/>
            </w:numPr>
            <w:tabs>
              <w:tab w:pos="761" w:val="left" w:leader="none"/>
              <w:tab w:pos="762" w:val="left" w:leader="none"/>
              <w:tab w:pos="8933" w:val="right" w:leader="dot"/>
            </w:tabs>
            <w:spacing w:line="240" w:lineRule="auto" w:before="101" w:after="0"/>
            <w:ind w:left="762" w:right="0" w:hanging="461"/>
            <w:jc w:val="left"/>
          </w:pPr>
          <w:r>
            <w:rPr/>
            <w:t>Padrões</w:t>
          </w:r>
          <w:r>
            <w:rPr>
              <w:spacing w:val="-1"/>
            </w:rPr>
            <w:t> </w:t>
          </w:r>
          <w:r>
            <w:rPr/>
            <w:t>de qualidade</w:t>
            <w:tab/>
            <w:t>400</w:t>
          </w:r>
        </w:p>
        <w:p>
          <w:pPr>
            <w:pStyle w:val="TOC3"/>
            <w:numPr>
              <w:ilvl w:val="0"/>
              <w:numId w:val="5"/>
            </w:numPr>
            <w:tabs>
              <w:tab w:pos="761" w:val="left" w:leader="none"/>
              <w:tab w:pos="762" w:val="left" w:leader="none"/>
              <w:tab w:pos="8933" w:val="right" w:leader="dot"/>
            </w:tabs>
            <w:spacing w:line="240" w:lineRule="auto" w:before="99" w:after="0"/>
            <w:ind w:left="762" w:right="0" w:hanging="461"/>
            <w:jc w:val="left"/>
          </w:pPr>
          <w:r>
            <w:rPr/>
            <w:t>Conclusões</w:t>
            <w:tab/>
            <w:t>400</w:t>
          </w:r>
        </w:p>
        <w:p>
          <w:pPr>
            <w:pStyle w:val="TOC3"/>
            <w:numPr>
              <w:ilvl w:val="0"/>
              <w:numId w:val="5"/>
            </w:numPr>
            <w:tabs>
              <w:tab w:pos="982" w:val="left" w:leader="none"/>
              <w:tab w:pos="983" w:val="left" w:leader="none"/>
              <w:tab w:pos="8933" w:val="right" w:leader="dot"/>
            </w:tabs>
            <w:spacing w:line="240" w:lineRule="auto" w:before="101" w:after="0"/>
            <w:ind w:left="982" w:right="0" w:hanging="681"/>
            <w:jc w:val="left"/>
          </w:pPr>
          <w:r>
            <w:rPr/>
            <w:t>Referencias</w:t>
            <w:tab/>
            <w:t>401</w:t>
          </w:r>
        </w:p>
        <w:p>
          <w:pPr>
            <w:pStyle w:val="TOC2"/>
            <w:numPr>
              <w:ilvl w:val="1"/>
              <w:numId w:val="4"/>
            </w:numPr>
            <w:tabs>
              <w:tab w:pos="504" w:val="left" w:leader="none"/>
              <w:tab w:pos="8933" w:val="right" w:leader="dot"/>
            </w:tabs>
            <w:spacing w:line="240" w:lineRule="auto" w:before="99" w:after="0"/>
            <w:ind w:left="503" w:right="0" w:hanging="401"/>
            <w:jc w:val="left"/>
          </w:pPr>
          <w:r>
            <w:rPr/>
            <w:t>EDITORIAL CHALLENGES AND RESPONSES IN ASIA</w:t>
          </w:r>
          <w:r>
            <w:rPr>
              <w:spacing w:val="-7"/>
            </w:rPr>
            <w:t> </w:t>
          </w:r>
          <w:r>
            <w:rPr/>
            <w:t>AND</w:t>
          </w:r>
          <w:r>
            <w:rPr>
              <w:spacing w:val="2"/>
            </w:rPr>
            <w:t> </w:t>
          </w:r>
          <w:r>
            <w:rPr/>
            <w:t>AFRICA</w:t>
            <w:tab/>
            <w:t>402</w:t>
          </w:r>
        </w:p>
        <w:p>
          <w:pPr>
            <w:pStyle w:val="TOC1"/>
            <w:spacing w:before="101"/>
          </w:pPr>
          <w:r>
            <w:rPr/>
            <w:t>DESAFIOS Y OPORTUNIDADES DE LAS PUBLICACIONES CIENTÍFICAS EN ASIA Y ÁFRICA .. 402</w:t>
          </w:r>
        </w:p>
        <w:p>
          <w:pPr>
            <w:pStyle w:val="TOC3"/>
            <w:numPr>
              <w:ilvl w:val="2"/>
              <w:numId w:val="4"/>
            </w:numPr>
            <w:tabs>
              <w:tab w:pos="761" w:val="left" w:leader="none"/>
              <w:tab w:pos="762" w:val="left" w:leader="none"/>
              <w:tab w:pos="8933" w:val="right" w:leader="dot"/>
            </w:tabs>
            <w:spacing w:line="240" w:lineRule="auto" w:before="290" w:after="0"/>
            <w:ind w:left="762" w:right="0" w:hanging="461"/>
            <w:jc w:val="left"/>
          </w:pPr>
          <w:r>
            <w:rPr/>
            <w:t>Background</w:t>
            <w:tab/>
            <w:t>403</w:t>
          </w:r>
        </w:p>
        <w:p>
          <w:pPr>
            <w:pStyle w:val="TOC3"/>
            <w:numPr>
              <w:ilvl w:val="2"/>
              <w:numId w:val="4"/>
            </w:numPr>
            <w:tabs>
              <w:tab w:pos="761" w:val="left" w:leader="none"/>
              <w:tab w:pos="762" w:val="left" w:leader="none"/>
              <w:tab w:pos="8933" w:val="right" w:leader="dot"/>
            </w:tabs>
            <w:spacing w:line="240" w:lineRule="auto" w:before="99" w:after="0"/>
            <w:ind w:left="762" w:right="0" w:hanging="461"/>
            <w:jc w:val="left"/>
          </w:pPr>
          <w:r>
            <w:rPr/>
            <w:t>Journals</w:t>
          </w:r>
          <w:r>
            <w:rPr>
              <w:spacing w:val="-2"/>
            </w:rPr>
            <w:t> </w:t>
          </w:r>
          <w:r>
            <w:rPr/>
            <w:t>Online</w:t>
          </w:r>
          <w:r>
            <w:rPr>
              <w:spacing w:val="-1"/>
            </w:rPr>
            <w:t> </w:t>
          </w:r>
          <w:r>
            <w:rPr/>
            <w:t>Projects</w:t>
            <w:tab/>
            <w:t>404</w:t>
          </w:r>
        </w:p>
        <w:p>
          <w:pPr>
            <w:pStyle w:val="TOC3"/>
            <w:numPr>
              <w:ilvl w:val="2"/>
              <w:numId w:val="4"/>
            </w:numPr>
            <w:tabs>
              <w:tab w:pos="761" w:val="left" w:leader="none"/>
              <w:tab w:pos="762" w:val="left" w:leader="none"/>
              <w:tab w:pos="8933" w:val="right" w:leader="dot"/>
            </w:tabs>
            <w:spacing w:line="240" w:lineRule="auto" w:before="101" w:after="0"/>
            <w:ind w:left="762" w:right="0" w:hanging="461"/>
            <w:jc w:val="left"/>
          </w:pPr>
          <w:r>
            <w:rPr/>
            <w:t>The</w:t>
          </w:r>
          <w:r>
            <w:rPr>
              <w:spacing w:val="-1"/>
            </w:rPr>
            <w:t> </w:t>
          </w:r>
          <w:r>
            <w:rPr/>
            <w:t>AuthorAID</w:t>
          </w:r>
          <w:r>
            <w:rPr>
              <w:spacing w:val="-1"/>
            </w:rPr>
            <w:t> </w:t>
          </w:r>
          <w:r>
            <w:rPr/>
            <w:t>project</w:t>
            <w:tab/>
            <w:t>412</w:t>
          </w:r>
        </w:p>
        <w:p>
          <w:pPr>
            <w:pStyle w:val="TOC3"/>
            <w:numPr>
              <w:ilvl w:val="2"/>
              <w:numId w:val="4"/>
            </w:numPr>
            <w:tabs>
              <w:tab w:pos="761" w:val="left" w:leader="none"/>
              <w:tab w:pos="762" w:val="left" w:leader="none"/>
              <w:tab w:pos="8933" w:val="right" w:leader="dot"/>
            </w:tabs>
            <w:spacing w:line="240" w:lineRule="auto" w:before="99" w:after="0"/>
            <w:ind w:left="762" w:right="0" w:hanging="461"/>
            <w:jc w:val="left"/>
          </w:pPr>
          <w:r>
            <w:rPr/>
            <w:t>Conclusion</w:t>
            <w:tab/>
            <w:t>416</w:t>
          </w:r>
        </w:p>
        <w:p>
          <w:pPr>
            <w:pStyle w:val="TOC3"/>
            <w:numPr>
              <w:ilvl w:val="2"/>
              <w:numId w:val="4"/>
            </w:numPr>
            <w:tabs>
              <w:tab w:pos="761" w:val="left" w:leader="none"/>
              <w:tab w:pos="762" w:val="left" w:leader="none"/>
              <w:tab w:pos="8933" w:val="right" w:leader="dot"/>
            </w:tabs>
            <w:spacing w:line="240" w:lineRule="auto" w:before="101" w:after="0"/>
            <w:ind w:left="762" w:right="0" w:hanging="461"/>
            <w:jc w:val="left"/>
          </w:pPr>
          <w:r>
            <w:rPr/>
            <w:t>References</w:t>
            <w:tab/>
            <w:t>417</w:t>
          </w:r>
        </w:p>
        <w:p>
          <w:pPr>
            <w:pStyle w:val="TOC2"/>
            <w:numPr>
              <w:ilvl w:val="1"/>
              <w:numId w:val="4"/>
            </w:numPr>
            <w:tabs>
              <w:tab w:pos="504" w:val="left" w:leader="none"/>
              <w:tab w:pos="8933" w:val="right" w:leader="dot"/>
            </w:tabs>
            <w:spacing w:line="240" w:lineRule="auto" w:before="99" w:after="0"/>
            <w:ind w:left="102" w:right="124" w:firstLine="0"/>
            <w:jc w:val="left"/>
          </w:pPr>
          <w:r>
            <w:rPr/>
            <w:t>LA PRESERVACIÓN DE LAS REVISTAS CIENTÍFICAS ELECTRÓNICAS: UN FACTOR DE CALIDAD</w:t>
          </w:r>
          <w:r>
            <w:rPr>
              <w:spacing w:val="-1"/>
            </w:rPr>
            <w:t> </w:t>
          </w:r>
          <w:r>
            <w:rPr/>
            <w:t>EDITORIAL</w:t>
          </w:r>
          <w:r>
            <w:rPr>
              <w:spacing w:val="-3"/>
            </w:rPr>
            <w:t> </w:t>
          </w:r>
          <w:r>
            <w:rPr/>
            <w:t>DIGITAL</w:t>
            <w:tab/>
            <w:t>418</w:t>
          </w:r>
        </w:p>
        <w:p>
          <w:pPr>
            <w:pStyle w:val="TOC3"/>
            <w:numPr>
              <w:ilvl w:val="2"/>
              <w:numId w:val="4"/>
            </w:numPr>
            <w:tabs>
              <w:tab w:pos="761" w:val="left" w:leader="none"/>
              <w:tab w:pos="762" w:val="left" w:leader="none"/>
              <w:tab w:pos="8933" w:val="right" w:leader="dot"/>
            </w:tabs>
            <w:spacing w:line="240" w:lineRule="auto" w:before="101" w:after="0"/>
            <w:ind w:left="301" w:right="0" w:firstLine="0"/>
            <w:jc w:val="left"/>
          </w:pPr>
          <w:r>
            <w:rPr/>
            <w:t>Introducción</w:t>
            <w:tab/>
            <w:t>419</w:t>
          </w:r>
        </w:p>
        <w:p>
          <w:pPr>
            <w:pStyle w:val="TOC3"/>
            <w:numPr>
              <w:ilvl w:val="2"/>
              <w:numId w:val="4"/>
            </w:numPr>
            <w:tabs>
              <w:tab w:pos="761" w:val="left" w:leader="none"/>
              <w:tab w:pos="762" w:val="left" w:leader="none"/>
              <w:tab w:pos="8933" w:val="right" w:leader="dot"/>
            </w:tabs>
            <w:spacing w:line="240" w:lineRule="auto" w:before="99" w:after="0"/>
            <w:ind w:left="762" w:right="0" w:hanging="461"/>
            <w:jc w:val="left"/>
          </w:pPr>
          <w:r>
            <w:rPr/>
            <w:t>Hacia una definición de publicación</w:t>
          </w:r>
          <w:r>
            <w:rPr>
              <w:spacing w:val="-3"/>
            </w:rPr>
            <w:t> </w:t>
          </w:r>
          <w:r>
            <w:rPr/>
            <w:t>periódica</w:t>
          </w:r>
          <w:r>
            <w:rPr>
              <w:spacing w:val="-1"/>
            </w:rPr>
            <w:t> </w:t>
          </w:r>
          <w:r>
            <w:rPr/>
            <w:t>electrónica</w:t>
            <w:tab/>
            <w:t>420</w:t>
          </w:r>
        </w:p>
        <w:p>
          <w:pPr>
            <w:pStyle w:val="TOC3"/>
            <w:numPr>
              <w:ilvl w:val="2"/>
              <w:numId w:val="4"/>
            </w:numPr>
            <w:tabs>
              <w:tab w:pos="761" w:val="left" w:leader="none"/>
              <w:tab w:pos="762" w:val="left" w:leader="none"/>
              <w:tab w:pos="8933" w:val="right" w:leader="dot"/>
            </w:tabs>
            <w:spacing w:line="240" w:lineRule="auto" w:before="101" w:after="0"/>
            <w:ind w:left="762" w:right="0" w:hanging="461"/>
            <w:jc w:val="left"/>
          </w:pPr>
          <w:r>
            <w:rPr/>
            <w:t>Atributos significativos de las</w:t>
          </w:r>
          <w:r>
            <w:rPr>
              <w:spacing w:val="-4"/>
            </w:rPr>
            <w:t> </w:t>
          </w:r>
          <w:r>
            <w:rPr/>
            <w:t>revistas</w:t>
          </w:r>
          <w:r>
            <w:rPr>
              <w:spacing w:val="-2"/>
            </w:rPr>
            <w:t> </w:t>
          </w:r>
          <w:r>
            <w:rPr/>
            <w:t>científicas</w:t>
            <w:tab/>
            <w:t>422</w:t>
          </w:r>
        </w:p>
        <w:p>
          <w:pPr>
            <w:pStyle w:val="TOC3"/>
            <w:numPr>
              <w:ilvl w:val="2"/>
              <w:numId w:val="4"/>
            </w:numPr>
            <w:tabs>
              <w:tab w:pos="761" w:val="left" w:leader="none"/>
              <w:tab w:pos="762" w:val="left" w:leader="none"/>
              <w:tab w:pos="8933" w:val="right" w:leader="dot"/>
            </w:tabs>
            <w:spacing w:line="240" w:lineRule="auto" w:before="99" w:after="0"/>
            <w:ind w:left="301" w:right="124" w:firstLine="0"/>
            <w:jc w:val="left"/>
          </w:pPr>
          <w:r>
            <w:rPr/>
            <w:t>El modelo de referencia OAIS: la base fundacional de un repositorio de preservación de revistas científicas</w:t>
            <w:tab/>
            <w:t>426</w:t>
          </w:r>
        </w:p>
        <w:p>
          <w:pPr>
            <w:pStyle w:val="TOC3"/>
            <w:numPr>
              <w:ilvl w:val="2"/>
              <w:numId w:val="4"/>
            </w:numPr>
            <w:tabs>
              <w:tab w:pos="761" w:val="left" w:leader="none"/>
              <w:tab w:pos="762" w:val="left" w:leader="none"/>
              <w:tab w:pos="8933" w:val="right" w:leader="dot"/>
            </w:tabs>
            <w:spacing w:line="240" w:lineRule="auto" w:before="99" w:after="0"/>
            <w:ind w:left="762" w:right="0" w:hanging="461"/>
            <w:jc w:val="left"/>
          </w:pPr>
          <w:r>
            <w:rPr/>
            <w:t>Recepción de los</w:t>
          </w:r>
          <w:r>
            <w:rPr>
              <w:spacing w:val="-3"/>
            </w:rPr>
            <w:t> </w:t>
          </w:r>
          <w:r>
            <w:rPr/>
            <w:t>objetos</w:t>
          </w:r>
          <w:r>
            <w:rPr>
              <w:spacing w:val="-1"/>
            </w:rPr>
            <w:t> </w:t>
          </w:r>
          <w:r>
            <w:rPr/>
            <w:t>(</w:t>
          </w:r>
          <w:r>
            <w:rPr>
              <w:i/>
            </w:rPr>
            <w:t>Ingest</w:t>
          </w:r>
          <w:r>
            <w:rPr/>
            <w:t>)</w:t>
            <w:tab/>
            <w:t>426</w:t>
          </w:r>
        </w:p>
        <w:p>
          <w:pPr>
            <w:pStyle w:val="TOC4"/>
            <w:numPr>
              <w:ilvl w:val="2"/>
              <w:numId w:val="4"/>
            </w:numPr>
            <w:tabs>
              <w:tab w:pos="761" w:val="left" w:leader="none"/>
              <w:tab w:pos="762" w:val="left" w:leader="none"/>
              <w:tab w:pos="8933" w:val="right" w:leader="dot"/>
            </w:tabs>
            <w:spacing w:line="240" w:lineRule="auto" w:before="101" w:after="0"/>
            <w:ind w:left="762" w:right="0" w:hanging="461"/>
            <w:jc w:val="left"/>
            <w:rPr>
              <w:b w:val="0"/>
              <w:i w:val="0"/>
              <w:sz w:val="20"/>
            </w:rPr>
          </w:pPr>
          <w:r>
            <w:rPr>
              <w:b w:val="0"/>
              <w:i w:val="0"/>
              <w:sz w:val="20"/>
            </w:rPr>
            <w:t>Almacenamiento (</w:t>
          </w:r>
          <w:r>
            <w:rPr>
              <w:b w:val="0"/>
              <w:i/>
              <w:sz w:val="20"/>
            </w:rPr>
            <w:t>Archival storage</w:t>
          </w:r>
          <w:r>
            <w:rPr>
              <w:b w:val="0"/>
              <w:i w:val="0"/>
              <w:sz w:val="20"/>
            </w:rPr>
            <w:t>)</w:t>
            <w:tab/>
            <w:t>430</w:t>
          </w:r>
        </w:p>
        <w:p>
          <w:pPr>
            <w:pStyle w:val="TOC4"/>
            <w:numPr>
              <w:ilvl w:val="2"/>
              <w:numId w:val="4"/>
            </w:numPr>
            <w:tabs>
              <w:tab w:pos="761" w:val="left" w:leader="none"/>
              <w:tab w:pos="762" w:val="left" w:leader="none"/>
              <w:tab w:pos="8933" w:val="right" w:leader="dot"/>
            </w:tabs>
            <w:spacing w:line="240" w:lineRule="auto" w:before="99" w:after="0"/>
            <w:ind w:left="762" w:right="0" w:hanging="461"/>
            <w:jc w:val="left"/>
            <w:rPr>
              <w:b w:val="0"/>
              <w:i w:val="0"/>
              <w:sz w:val="20"/>
            </w:rPr>
          </w:pPr>
          <w:r>
            <w:rPr>
              <w:b w:val="0"/>
              <w:i w:val="0"/>
              <w:sz w:val="20"/>
            </w:rPr>
            <w:t>Gestión de datos</w:t>
          </w:r>
          <w:r>
            <w:rPr>
              <w:b w:val="0"/>
              <w:i w:val="0"/>
              <w:spacing w:val="-3"/>
              <w:sz w:val="20"/>
            </w:rPr>
            <w:t> </w:t>
          </w:r>
          <w:r>
            <w:rPr>
              <w:b w:val="0"/>
              <w:i w:val="0"/>
              <w:sz w:val="20"/>
            </w:rPr>
            <w:t>(</w:t>
          </w:r>
          <w:r>
            <w:rPr>
              <w:b w:val="0"/>
              <w:i/>
              <w:sz w:val="20"/>
            </w:rPr>
            <w:t>Data management</w:t>
          </w:r>
          <w:r>
            <w:rPr>
              <w:b w:val="0"/>
              <w:i w:val="0"/>
              <w:sz w:val="20"/>
            </w:rPr>
            <w:t>)</w:t>
            <w:tab/>
            <w:t>430</w:t>
          </w:r>
        </w:p>
        <w:p>
          <w:pPr>
            <w:pStyle w:val="TOC4"/>
            <w:numPr>
              <w:ilvl w:val="2"/>
              <w:numId w:val="4"/>
            </w:numPr>
            <w:tabs>
              <w:tab w:pos="761" w:val="left" w:leader="none"/>
              <w:tab w:pos="762" w:val="left" w:leader="none"/>
              <w:tab w:pos="8933" w:val="right" w:leader="dot"/>
            </w:tabs>
            <w:spacing w:line="240" w:lineRule="auto" w:before="101" w:after="0"/>
            <w:ind w:left="762" w:right="0" w:hanging="461"/>
            <w:jc w:val="left"/>
            <w:rPr>
              <w:b w:val="0"/>
              <w:i w:val="0"/>
              <w:sz w:val="20"/>
            </w:rPr>
          </w:pPr>
          <w:r>
            <w:rPr>
              <w:b w:val="0"/>
              <w:i w:val="0"/>
              <w:sz w:val="20"/>
            </w:rPr>
            <w:t>Planificación de la preservación</w:t>
          </w:r>
          <w:r>
            <w:rPr>
              <w:b w:val="0"/>
              <w:i w:val="0"/>
              <w:spacing w:val="-3"/>
              <w:sz w:val="20"/>
            </w:rPr>
            <w:t> </w:t>
          </w:r>
          <w:r>
            <w:rPr>
              <w:b w:val="0"/>
              <w:i w:val="0"/>
              <w:sz w:val="20"/>
            </w:rPr>
            <w:t>(</w:t>
          </w:r>
          <w:r>
            <w:rPr>
              <w:b w:val="0"/>
              <w:i/>
              <w:sz w:val="20"/>
            </w:rPr>
            <w:t>Preservation planning</w:t>
          </w:r>
          <w:r>
            <w:rPr>
              <w:b w:val="0"/>
              <w:i w:val="0"/>
              <w:sz w:val="20"/>
            </w:rPr>
            <w:t>)</w:t>
            <w:tab/>
            <w:t>431</w:t>
          </w:r>
        </w:p>
        <w:p>
          <w:pPr>
            <w:pStyle w:val="TOC4"/>
            <w:numPr>
              <w:ilvl w:val="2"/>
              <w:numId w:val="4"/>
            </w:numPr>
            <w:tabs>
              <w:tab w:pos="761" w:val="left" w:leader="none"/>
              <w:tab w:pos="762" w:val="left" w:leader="none"/>
              <w:tab w:pos="8933" w:val="right" w:leader="dot"/>
            </w:tabs>
            <w:spacing w:line="240" w:lineRule="auto" w:before="99" w:after="0"/>
            <w:ind w:left="762" w:right="0" w:hanging="461"/>
            <w:jc w:val="left"/>
            <w:rPr>
              <w:b w:val="0"/>
              <w:i w:val="0"/>
              <w:sz w:val="20"/>
            </w:rPr>
          </w:pPr>
          <w:r>
            <w:rPr>
              <w:b w:val="0"/>
              <w:i w:val="0"/>
              <w:sz w:val="20"/>
            </w:rPr>
            <w:t>Acceso (</w:t>
          </w:r>
          <w:r>
            <w:rPr>
              <w:b w:val="0"/>
              <w:i/>
              <w:sz w:val="20"/>
            </w:rPr>
            <w:t>Access</w:t>
          </w:r>
          <w:r>
            <w:rPr>
              <w:b w:val="0"/>
              <w:i w:val="0"/>
              <w:sz w:val="20"/>
            </w:rPr>
            <w:t>)</w:t>
            <w:tab/>
            <w:t>433</w:t>
          </w:r>
        </w:p>
        <w:p>
          <w:pPr>
            <w:pStyle w:val="TOC3"/>
            <w:numPr>
              <w:ilvl w:val="2"/>
              <w:numId w:val="4"/>
            </w:numPr>
            <w:tabs>
              <w:tab w:pos="982" w:val="left" w:leader="none"/>
              <w:tab w:pos="983" w:val="left" w:leader="none"/>
              <w:tab w:pos="8933" w:val="right" w:leader="dot"/>
            </w:tabs>
            <w:spacing w:line="240" w:lineRule="auto" w:before="101" w:after="0"/>
            <w:ind w:left="982" w:right="0" w:hanging="681"/>
            <w:jc w:val="left"/>
          </w:pPr>
          <w:r>
            <w:rPr/>
            <w:t>Implicaciones para las</w:t>
          </w:r>
          <w:r>
            <w:rPr>
              <w:spacing w:val="-3"/>
            </w:rPr>
            <w:t> </w:t>
          </w:r>
          <w:r>
            <w:rPr/>
            <w:t>revistas iberoamericanas</w:t>
            <w:tab/>
            <w:t>434</w:t>
          </w:r>
        </w:p>
        <w:p>
          <w:pPr>
            <w:pStyle w:val="TOC3"/>
            <w:numPr>
              <w:ilvl w:val="2"/>
              <w:numId w:val="4"/>
            </w:numPr>
            <w:tabs>
              <w:tab w:pos="982" w:val="left" w:leader="none"/>
              <w:tab w:pos="983" w:val="left" w:leader="none"/>
              <w:tab w:pos="8933" w:val="right" w:leader="dot"/>
            </w:tabs>
            <w:spacing w:line="240" w:lineRule="auto" w:before="99" w:after="0"/>
            <w:ind w:left="982" w:right="0" w:hanging="681"/>
            <w:jc w:val="left"/>
          </w:pPr>
          <w:r>
            <w:rPr/>
            <w:t>Conclusiones</w:t>
            <w:tab/>
            <w:t>435</w:t>
          </w:r>
        </w:p>
        <w:p>
          <w:pPr>
            <w:pStyle w:val="TOC3"/>
            <w:numPr>
              <w:ilvl w:val="2"/>
              <w:numId w:val="4"/>
            </w:numPr>
            <w:tabs>
              <w:tab w:pos="982" w:val="left" w:leader="none"/>
              <w:tab w:pos="983" w:val="left" w:leader="none"/>
              <w:tab w:pos="8933" w:val="right" w:leader="dot"/>
            </w:tabs>
            <w:spacing w:line="240" w:lineRule="auto" w:before="101" w:after="0"/>
            <w:ind w:left="982" w:right="0" w:hanging="681"/>
            <w:jc w:val="left"/>
          </w:pPr>
          <w:r>
            <w:rPr/>
            <w:t>Referencias</w:t>
            <w:tab/>
            <w:t>436</w:t>
          </w:r>
        </w:p>
        <w:p>
          <w:pPr>
            <w:pStyle w:val="TOC2"/>
            <w:numPr>
              <w:ilvl w:val="1"/>
              <w:numId w:val="4"/>
            </w:numPr>
            <w:tabs>
              <w:tab w:pos="506" w:val="left" w:leader="none"/>
              <w:tab w:pos="8933" w:val="right" w:leader="dot"/>
            </w:tabs>
            <w:spacing w:line="240" w:lineRule="auto" w:before="99" w:after="0"/>
            <w:ind w:left="102" w:right="124" w:firstLine="0"/>
            <w:jc w:val="left"/>
          </w:pPr>
          <w:r>
            <w:rPr/>
            <w:t>LA REVISTA DIGITAL VISTA DESDE UN ENTORNO DE ACCESO ABIERTO: MODELOS Y ESTRATEGIAS PARA FAVORECER</w:t>
          </w:r>
          <w:r>
            <w:rPr>
              <w:spacing w:val="-3"/>
            </w:rPr>
            <w:t> </w:t>
          </w:r>
          <w:r>
            <w:rPr/>
            <w:t>SU</w:t>
          </w:r>
          <w:r>
            <w:rPr>
              <w:spacing w:val="-2"/>
            </w:rPr>
            <w:t> </w:t>
          </w:r>
          <w:r>
            <w:rPr/>
            <w:t>VISIBILIDAD</w:t>
            <w:tab/>
            <w:t>439</w:t>
          </w:r>
        </w:p>
        <w:p>
          <w:pPr>
            <w:pStyle w:val="TOC3"/>
            <w:numPr>
              <w:ilvl w:val="2"/>
              <w:numId w:val="4"/>
            </w:numPr>
            <w:tabs>
              <w:tab w:pos="761" w:val="left" w:leader="none"/>
              <w:tab w:pos="762" w:val="left" w:leader="none"/>
              <w:tab w:pos="8933" w:val="right" w:leader="dot"/>
            </w:tabs>
            <w:spacing w:line="240" w:lineRule="auto" w:before="101" w:after="0"/>
            <w:ind w:left="301" w:right="0" w:firstLine="0"/>
            <w:jc w:val="left"/>
          </w:pPr>
          <w:r>
            <w:rPr/>
            <w:t>Introducción</w:t>
            <w:tab/>
            <w:t>440</w:t>
          </w:r>
        </w:p>
        <w:p>
          <w:pPr>
            <w:pStyle w:val="TOC3"/>
            <w:numPr>
              <w:ilvl w:val="2"/>
              <w:numId w:val="4"/>
            </w:numPr>
            <w:tabs>
              <w:tab w:pos="761" w:val="left" w:leader="none"/>
              <w:tab w:pos="762" w:val="left" w:leader="none"/>
              <w:tab w:pos="8933" w:val="right" w:leader="dot"/>
            </w:tabs>
            <w:spacing w:line="240" w:lineRule="auto" w:before="99" w:after="0"/>
            <w:ind w:left="762" w:right="0" w:hanging="461"/>
            <w:jc w:val="left"/>
          </w:pPr>
          <w:r>
            <w:rPr/>
            <w:t>Acceso abierto, derechos de explotación (</w:t>
          </w:r>
          <w:r>
            <w:rPr>
              <w:i/>
            </w:rPr>
            <w:t>copyright</w:t>
          </w:r>
          <w:r>
            <w:rPr/>
            <w:t>) y</w:t>
          </w:r>
          <w:r>
            <w:rPr>
              <w:spacing w:val="-7"/>
            </w:rPr>
            <w:t> </w:t>
          </w:r>
          <w:r>
            <w:rPr/>
            <w:t>revistas</w:t>
          </w:r>
          <w:r>
            <w:rPr>
              <w:spacing w:val="-2"/>
            </w:rPr>
            <w:t> </w:t>
          </w:r>
          <w:r>
            <w:rPr/>
            <w:t>electrónicas</w:t>
            <w:tab/>
            <w:t>441</w:t>
          </w:r>
        </w:p>
        <w:p>
          <w:pPr>
            <w:pStyle w:val="TOC4"/>
            <w:numPr>
              <w:ilvl w:val="2"/>
              <w:numId w:val="4"/>
            </w:numPr>
            <w:tabs>
              <w:tab w:pos="761" w:val="left" w:leader="none"/>
              <w:tab w:pos="762" w:val="left" w:leader="none"/>
              <w:tab w:pos="8933" w:val="right" w:leader="dot"/>
            </w:tabs>
            <w:spacing w:line="240" w:lineRule="auto" w:before="101" w:after="0"/>
            <w:ind w:left="762" w:right="0" w:hanging="461"/>
            <w:jc w:val="left"/>
            <w:rPr>
              <w:b w:val="0"/>
              <w:i w:val="0"/>
              <w:sz w:val="20"/>
            </w:rPr>
          </w:pPr>
          <w:r>
            <w:rPr>
              <w:b w:val="0"/>
              <w:i w:val="0"/>
              <w:sz w:val="20"/>
            </w:rPr>
            <w:t>Revistas de acceso abierto (</w:t>
          </w:r>
          <w:r>
            <w:rPr>
              <w:b w:val="0"/>
              <w:i/>
              <w:sz w:val="20"/>
            </w:rPr>
            <w:t>open access</w:t>
          </w:r>
          <w:r>
            <w:rPr>
              <w:b w:val="0"/>
              <w:i w:val="0"/>
              <w:sz w:val="20"/>
            </w:rPr>
            <w:t>)</w:t>
            <w:tab/>
            <w:t>445</w:t>
          </w:r>
        </w:p>
        <w:p>
          <w:pPr>
            <w:pStyle w:val="TOC3"/>
            <w:numPr>
              <w:ilvl w:val="2"/>
              <w:numId w:val="4"/>
            </w:numPr>
            <w:tabs>
              <w:tab w:pos="761" w:val="left" w:leader="none"/>
              <w:tab w:pos="762" w:val="left" w:leader="none"/>
              <w:tab w:pos="8933" w:val="right" w:leader="dot"/>
            </w:tabs>
            <w:spacing w:line="240" w:lineRule="auto" w:before="99" w:after="0"/>
            <w:ind w:left="301" w:right="124" w:firstLine="0"/>
            <w:jc w:val="left"/>
          </w:pPr>
          <w:r>
            <w:rPr/>
            <w:t>Tendencias en el uso de recursos digitales, acceso abierto y factores de innovación en las revistas electrónicas</w:t>
            <w:tab/>
            <w:t>448</w:t>
          </w:r>
        </w:p>
        <w:p>
          <w:pPr>
            <w:pStyle w:val="TOC3"/>
            <w:numPr>
              <w:ilvl w:val="2"/>
              <w:numId w:val="4"/>
            </w:numPr>
            <w:tabs>
              <w:tab w:pos="761" w:val="left" w:leader="none"/>
              <w:tab w:pos="762" w:val="left" w:leader="none"/>
              <w:tab w:pos="8933" w:val="right" w:leader="dot"/>
            </w:tabs>
            <w:spacing w:line="240" w:lineRule="auto" w:before="99" w:after="0"/>
            <w:ind w:left="762" w:right="0" w:hanging="461"/>
            <w:jc w:val="left"/>
          </w:pPr>
          <w:r>
            <w:rPr/>
            <w:t>Comentarios</w:t>
          </w:r>
          <w:r>
            <w:rPr>
              <w:spacing w:val="-2"/>
            </w:rPr>
            <w:t> </w:t>
          </w:r>
          <w:r>
            <w:rPr/>
            <w:t>finales</w:t>
            <w:tab/>
            <w:t>451</w:t>
          </w:r>
        </w:p>
        <w:p>
          <w:pPr>
            <w:pStyle w:val="TOC3"/>
            <w:numPr>
              <w:ilvl w:val="2"/>
              <w:numId w:val="4"/>
            </w:numPr>
            <w:tabs>
              <w:tab w:pos="761" w:val="left" w:leader="none"/>
              <w:tab w:pos="762" w:val="left" w:leader="none"/>
              <w:tab w:pos="8933" w:val="right" w:leader="dot"/>
            </w:tabs>
            <w:spacing w:line="240" w:lineRule="auto" w:before="101" w:after="0"/>
            <w:ind w:left="762" w:right="0" w:hanging="461"/>
            <w:jc w:val="left"/>
          </w:pPr>
          <w:r>
            <w:rPr/>
            <w:t>Referencias</w:t>
            <w:tab/>
            <w:t>452</w:t>
          </w:r>
        </w:p>
        <w:p>
          <w:pPr>
            <w:pStyle w:val="TOC2"/>
            <w:numPr>
              <w:ilvl w:val="1"/>
              <w:numId w:val="4"/>
            </w:numPr>
            <w:tabs>
              <w:tab w:pos="504" w:val="left" w:leader="none"/>
              <w:tab w:pos="8933" w:val="right" w:leader="dot"/>
            </w:tabs>
            <w:spacing w:line="240" w:lineRule="auto" w:before="99" w:after="0"/>
            <w:ind w:left="503" w:right="0" w:hanging="401"/>
            <w:jc w:val="left"/>
          </w:pPr>
          <w:r>
            <w:rPr/>
            <w:t>LATINDEX: HACIA UN PORTAL PARA LAS REVISTAS</w:t>
          </w:r>
          <w:r>
            <w:rPr>
              <w:spacing w:val="-10"/>
            </w:rPr>
            <w:t> </w:t>
          </w:r>
          <w:r>
            <w:rPr/>
            <w:t>DE IBEROAMÉRICA</w:t>
            <w:tab/>
            <w:t>454</w:t>
          </w:r>
        </w:p>
        <w:p>
          <w:pPr>
            <w:pStyle w:val="TOC3"/>
            <w:numPr>
              <w:ilvl w:val="2"/>
              <w:numId w:val="4"/>
            </w:numPr>
            <w:tabs>
              <w:tab w:pos="761" w:val="left" w:leader="none"/>
              <w:tab w:pos="762" w:val="left" w:leader="none"/>
              <w:tab w:pos="8933" w:val="right" w:leader="dot"/>
            </w:tabs>
            <w:spacing w:line="240" w:lineRule="auto" w:before="101" w:after="0"/>
            <w:ind w:left="762" w:right="0" w:hanging="461"/>
            <w:jc w:val="left"/>
          </w:pPr>
          <w:r>
            <w:rPr/>
            <w:t>Introducción</w:t>
            <w:tab/>
            <w:t>455</w:t>
          </w:r>
        </w:p>
        <w:p>
          <w:pPr>
            <w:pStyle w:val="TOC3"/>
            <w:numPr>
              <w:ilvl w:val="2"/>
              <w:numId w:val="4"/>
            </w:numPr>
            <w:tabs>
              <w:tab w:pos="761" w:val="left" w:leader="none"/>
              <w:tab w:pos="762" w:val="left" w:leader="none"/>
              <w:tab w:pos="8933" w:val="right" w:leader="dot"/>
            </w:tabs>
            <w:spacing w:line="240" w:lineRule="auto" w:before="99" w:after="0"/>
            <w:ind w:left="762" w:right="0" w:hanging="461"/>
            <w:jc w:val="left"/>
          </w:pPr>
          <w:r>
            <w:rPr/>
            <w:t>Impactos de Latindex en el ámbito de la</w:t>
          </w:r>
          <w:r>
            <w:rPr>
              <w:spacing w:val="-5"/>
            </w:rPr>
            <w:t> </w:t>
          </w:r>
          <w:r>
            <w:rPr/>
            <w:t>revista</w:t>
          </w:r>
          <w:r>
            <w:rPr>
              <w:spacing w:val="-1"/>
            </w:rPr>
            <w:t> </w:t>
          </w:r>
          <w:r>
            <w:rPr/>
            <w:t>iberoamericana</w:t>
            <w:tab/>
            <w:t>456</w:t>
          </w:r>
        </w:p>
        <w:p>
          <w:pPr>
            <w:pStyle w:val="TOC4"/>
            <w:numPr>
              <w:ilvl w:val="0"/>
              <w:numId w:val="6"/>
            </w:numPr>
            <w:tabs>
              <w:tab w:pos="761" w:val="left" w:leader="none"/>
              <w:tab w:pos="762" w:val="left" w:leader="none"/>
              <w:tab w:pos="8933" w:val="right" w:leader="dot"/>
            </w:tabs>
            <w:spacing w:line="240" w:lineRule="auto" w:before="101" w:after="0"/>
            <w:ind w:left="762" w:right="0" w:hanging="461"/>
            <w:jc w:val="left"/>
            <w:rPr>
              <w:b w:val="0"/>
              <w:i w:val="0"/>
              <w:sz w:val="20"/>
            </w:rPr>
          </w:pPr>
          <w:r>
            <w:rPr>
              <w:b w:val="0"/>
              <w:i w:val="0"/>
              <w:sz w:val="20"/>
            </w:rPr>
            <w:t>Hacia el </w:t>
          </w:r>
          <w:r>
            <w:rPr>
              <w:b w:val="0"/>
              <w:i/>
              <w:sz w:val="20"/>
            </w:rPr>
            <w:t>portal de</w:t>
          </w:r>
          <w:r>
            <w:rPr>
              <w:b w:val="0"/>
              <w:i w:val="0"/>
              <w:spacing w:val="-1"/>
              <w:sz w:val="20"/>
            </w:rPr>
            <w:t> </w:t>
          </w:r>
          <w:r>
            <w:rPr>
              <w:b w:val="0"/>
              <w:i/>
              <w:sz w:val="20"/>
            </w:rPr>
            <w:t>portales</w:t>
          </w:r>
          <w:r>
            <w:rPr>
              <w:b w:val="0"/>
              <w:i w:val="0"/>
              <w:spacing w:val="1"/>
              <w:sz w:val="20"/>
            </w:rPr>
            <w:t> </w:t>
          </w:r>
          <w:r>
            <w:rPr>
              <w:b w:val="0"/>
              <w:i w:val="0"/>
              <w:sz w:val="20"/>
            </w:rPr>
            <w:t>Latindex</w:t>
            <w:tab/>
            <w:t>471</w:t>
          </w:r>
        </w:p>
        <w:p>
          <w:pPr>
            <w:pStyle w:val="TOC3"/>
            <w:numPr>
              <w:ilvl w:val="0"/>
              <w:numId w:val="6"/>
            </w:numPr>
            <w:tabs>
              <w:tab w:pos="761" w:val="left" w:leader="none"/>
              <w:tab w:pos="762" w:val="left" w:leader="none"/>
              <w:tab w:pos="8933" w:val="right" w:leader="dot"/>
            </w:tabs>
            <w:spacing w:line="240" w:lineRule="auto" w:before="99" w:after="0"/>
            <w:ind w:left="762" w:right="0" w:hanging="461"/>
            <w:jc w:val="left"/>
          </w:pPr>
          <w:r>
            <w:rPr/>
            <w:t>Conclusiones</w:t>
            <w:tab/>
            <w:t>474</w:t>
          </w:r>
        </w:p>
        <w:p>
          <w:pPr>
            <w:pStyle w:val="TOC3"/>
            <w:numPr>
              <w:ilvl w:val="0"/>
              <w:numId w:val="6"/>
            </w:numPr>
            <w:tabs>
              <w:tab w:pos="761" w:val="left" w:leader="none"/>
              <w:tab w:pos="762" w:val="left" w:leader="none"/>
              <w:tab w:pos="8933" w:val="right" w:leader="dot"/>
            </w:tabs>
            <w:spacing w:line="240" w:lineRule="auto" w:before="102" w:after="0"/>
            <w:ind w:left="762" w:right="0" w:hanging="461"/>
            <w:jc w:val="left"/>
          </w:pPr>
          <w:r>
            <w:rPr/>
            <w:t>Referencias</w:t>
            <w:tab/>
            <w:t>475</w:t>
          </w:r>
        </w:p>
        <w:p>
          <w:pPr>
            <w:pStyle w:val="TOC2"/>
            <w:numPr>
              <w:ilvl w:val="1"/>
              <w:numId w:val="4"/>
            </w:numPr>
            <w:tabs>
              <w:tab w:pos="504" w:val="left" w:leader="none"/>
              <w:tab w:pos="8933" w:val="right" w:leader="dot"/>
            </w:tabs>
            <w:spacing w:line="240" w:lineRule="auto" w:before="99" w:after="0"/>
            <w:ind w:left="503" w:right="0" w:hanging="401"/>
            <w:jc w:val="left"/>
          </w:pPr>
          <w:hyperlink w:history="true" w:anchor="_bookmark1">
            <w:r>
              <w:rPr/>
              <w:t>REDALYC.ORG: NUEVE AÑOS HACIENDO VISIBLE LA</w:t>
            </w:r>
            <w:r>
              <w:rPr>
                <w:spacing w:val="-12"/>
              </w:rPr>
              <w:t> </w:t>
            </w:r>
            <w:r>
              <w:rPr/>
              <w:t>CIENCIA</w:t>
            </w:r>
            <w:r>
              <w:rPr>
                <w:spacing w:val="-4"/>
              </w:rPr>
              <w:t> </w:t>
            </w:r>
            <w:r>
              <w:rPr/>
              <w:t>IBEROAMERICANA</w:t>
              <w:tab/>
              <w:t>477</w:t>
            </w:r>
          </w:hyperlink>
        </w:p>
        <w:p>
          <w:pPr>
            <w:pStyle w:val="TOC3"/>
            <w:numPr>
              <w:ilvl w:val="2"/>
              <w:numId w:val="4"/>
            </w:numPr>
            <w:tabs>
              <w:tab w:pos="761" w:val="left" w:leader="none"/>
              <w:tab w:pos="762" w:val="left" w:leader="none"/>
              <w:tab w:pos="8933" w:val="right" w:leader="dot"/>
            </w:tabs>
            <w:spacing w:line="240" w:lineRule="auto" w:before="101" w:after="0"/>
            <w:ind w:left="301" w:right="0" w:firstLine="0"/>
            <w:jc w:val="left"/>
          </w:pPr>
          <w:hyperlink w:history="true" w:anchor="_bookmark2">
            <w:r>
              <w:rPr/>
              <w:t>Introducción</w:t>
              <w:tab/>
              <w:t>478</w:t>
            </w:r>
          </w:hyperlink>
        </w:p>
        <w:p>
          <w:pPr>
            <w:pStyle w:val="TOC3"/>
            <w:numPr>
              <w:ilvl w:val="2"/>
              <w:numId w:val="4"/>
            </w:numPr>
            <w:tabs>
              <w:tab w:pos="761" w:val="left" w:leader="none"/>
              <w:tab w:pos="762" w:val="left" w:leader="none"/>
              <w:tab w:pos="8933" w:val="right" w:leader="dot"/>
            </w:tabs>
            <w:spacing w:line="240" w:lineRule="auto" w:before="99" w:after="0"/>
            <w:ind w:left="301" w:right="124" w:firstLine="0"/>
            <w:jc w:val="left"/>
          </w:pPr>
          <w:hyperlink w:history="true" w:anchor="_bookmark3">
            <w:r>
              <w:rPr/>
              <w:t>La ausencia de visibilidad de la ciencia iberoamericana y  sus orígenes en los procesos de</w:t>
            </w:r>
          </w:hyperlink>
          <w:r>
            <w:rPr/>
            <w:t> </w:t>
          </w:r>
          <w:hyperlink w:history="true" w:anchor="_bookmark3">
            <w:r>
              <w:rPr/>
              <w:t>legitimación</w:t>
            </w:r>
            <w:r>
              <w:rPr>
                <w:spacing w:val="-2"/>
              </w:rPr>
              <w:t> </w:t>
            </w:r>
            <w:r>
              <w:rPr/>
              <w:t>del</w:t>
            </w:r>
            <w:r>
              <w:rPr>
                <w:spacing w:val="-1"/>
              </w:rPr>
              <w:t> </w:t>
            </w:r>
            <w:r>
              <w:rPr/>
              <w:t>conocimiento</w:t>
              <w:tab/>
              <w:t>479</w:t>
            </w:r>
          </w:hyperlink>
        </w:p>
        <w:p>
          <w:pPr>
            <w:pStyle w:val="TOC3"/>
            <w:numPr>
              <w:ilvl w:val="2"/>
              <w:numId w:val="4"/>
            </w:numPr>
            <w:tabs>
              <w:tab w:pos="761" w:val="left" w:leader="none"/>
              <w:tab w:pos="762" w:val="left" w:leader="none"/>
              <w:tab w:pos="8933" w:val="right" w:leader="dot"/>
            </w:tabs>
            <w:spacing w:line="240" w:lineRule="auto" w:before="101" w:after="0"/>
            <w:ind w:left="762" w:right="0" w:hanging="461"/>
            <w:jc w:val="left"/>
          </w:pPr>
          <w:hyperlink w:history="true" w:anchor="_bookmark4">
            <w:r>
              <w:rPr/>
              <w:t>El Sistema de Información Científica Redalyc (SICR) como alternativa</w:t>
            </w:r>
            <w:r>
              <w:rPr>
                <w:spacing w:val="-10"/>
              </w:rPr>
              <w:t> </w:t>
            </w:r>
            <w:r>
              <w:rPr/>
              <w:t>de</w:t>
            </w:r>
            <w:r>
              <w:rPr>
                <w:spacing w:val="-1"/>
              </w:rPr>
              <w:t> </w:t>
            </w:r>
            <w:r>
              <w:rPr/>
              <w:t>visibilidad</w:t>
              <w:tab/>
              <w:t>485</w:t>
            </w:r>
          </w:hyperlink>
        </w:p>
      </w:sdtContent>
    </w:sdt>
    <w:p>
      <w:pPr>
        <w:spacing w:after="0" w:line="240" w:lineRule="auto"/>
        <w:jc w:val="left"/>
        <w:sectPr>
          <w:type w:val="continuous"/>
          <w:pgSz w:w="12240" w:h="15840"/>
          <w:pgMar w:top="1121" w:bottom="1708" w:left="1600" w:right="1580"/>
        </w:sectPr>
      </w:pPr>
    </w:p>
    <w:p>
      <w:pPr>
        <w:pStyle w:val="ListParagraph"/>
        <w:numPr>
          <w:ilvl w:val="2"/>
          <w:numId w:val="4"/>
        </w:numPr>
        <w:tabs>
          <w:tab w:pos="761" w:val="left" w:leader="none"/>
          <w:tab w:pos="762" w:val="left" w:leader="none"/>
          <w:tab w:pos="8933" w:val="right" w:leader="dot"/>
        </w:tabs>
        <w:spacing w:line="240" w:lineRule="auto" w:before="290" w:after="0"/>
        <w:ind w:left="762" w:right="0" w:hanging="461"/>
        <w:jc w:val="left"/>
        <w:rPr>
          <w:sz w:val="20"/>
        </w:rPr>
      </w:pPr>
      <w:hyperlink w:history="true" w:anchor="_bookmark5">
        <w:r>
          <w:rPr>
            <w:sz w:val="20"/>
          </w:rPr>
          <w:t>Retos técnicos y desarrollo</w:t>
        </w:r>
        <w:r>
          <w:rPr>
            <w:spacing w:val="-4"/>
            <w:sz w:val="20"/>
          </w:rPr>
          <w:t> </w:t>
        </w:r>
        <w:r>
          <w:rPr>
            <w:sz w:val="20"/>
          </w:rPr>
          <w:t>de</w:t>
        </w:r>
        <w:r>
          <w:rPr>
            <w:spacing w:val="-1"/>
            <w:sz w:val="20"/>
          </w:rPr>
          <w:t> </w:t>
        </w:r>
        <w:r>
          <w:rPr>
            <w:sz w:val="20"/>
          </w:rPr>
          <w:t>tecnología</w:t>
          <w:tab/>
          <w:t>488</w:t>
        </w:r>
      </w:hyperlink>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hyperlink w:history="true" w:anchor="_bookmark6">
        <w:r>
          <w:rPr>
            <w:sz w:val="20"/>
          </w:rPr>
          <w:t>Incremento de la</w:t>
        </w:r>
        <w:r>
          <w:rPr>
            <w:spacing w:val="-1"/>
            <w:sz w:val="20"/>
          </w:rPr>
          <w:t> </w:t>
        </w:r>
        <w:r>
          <w:rPr>
            <w:sz w:val="20"/>
          </w:rPr>
          <w:t>visibilidad</w:t>
          <w:tab/>
          <w:t>488</w:t>
        </w:r>
      </w:hyperlink>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hyperlink w:history="true" w:anchor="_bookmark7">
        <w:r>
          <w:rPr>
            <w:sz w:val="20"/>
          </w:rPr>
          <w:t>Colaboración interinstitucional y</w:t>
        </w:r>
        <w:r>
          <w:rPr>
            <w:spacing w:val="-5"/>
            <w:sz w:val="20"/>
          </w:rPr>
          <w:t> </w:t>
        </w:r>
        <w:r>
          <w:rPr>
            <w:sz w:val="20"/>
          </w:rPr>
          <w:t>docencia</w:t>
          <w:tab/>
          <w:t>490</w:t>
        </w:r>
      </w:hyperlink>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hyperlink w:history="true" w:anchor="_bookmark8">
        <w:r>
          <w:rPr>
            <w:sz w:val="20"/>
          </w:rPr>
          <w:t>Valoración</w:t>
        </w:r>
        <w:r>
          <w:rPr>
            <w:spacing w:val="-2"/>
            <w:sz w:val="20"/>
          </w:rPr>
          <w:t> </w:t>
        </w:r>
        <w:r>
          <w:rPr>
            <w:sz w:val="20"/>
          </w:rPr>
          <w:t>de</w:t>
        </w:r>
        <w:r>
          <w:rPr>
            <w:spacing w:val="-1"/>
            <w:sz w:val="20"/>
          </w:rPr>
          <w:t> </w:t>
        </w:r>
        <w:r>
          <w:rPr>
            <w:sz w:val="20"/>
          </w:rPr>
          <w:t>revistas</w:t>
          <w:tab/>
          <w:t>491</w:t>
        </w:r>
      </w:hyperlink>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hyperlink w:history="true" w:anchor="_bookmark9">
        <w:r>
          <w:rPr>
            <w:sz w:val="20"/>
          </w:rPr>
          <w:t>Metodología</w:t>
        </w:r>
        <w:r>
          <w:rPr>
            <w:spacing w:val="-1"/>
            <w:sz w:val="20"/>
          </w:rPr>
          <w:t> </w:t>
        </w:r>
        <w:r>
          <w:rPr>
            <w:sz w:val="20"/>
          </w:rPr>
          <w:t>de</w:t>
        </w:r>
        <w:r>
          <w:rPr>
            <w:spacing w:val="-1"/>
            <w:sz w:val="20"/>
          </w:rPr>
          <w:t> </w:t>
        </w:r>
        <w:r>
          <w:rPr>
            <w:sz w:val="20"/>
          </w:rPr>
          <w:t>agrupación</w:t>
          <w:tab/>
          <w:t>494</w:t>
        </w:r>
      </w:hyperlink>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hyperlink w:history="true" w:anchor="_bookmark10">
        <w:r>
          <w:rPr>
            <w:sz w:val="20"/>
          </w:rPr>
          <w:t>Estadísticas</w:t>
        </w:r>
        <w:r>
          <w:rPr>
            <w:spacing w:val="-2"/>
            <w:sz w:val="20"/>
          </w:rPr>
          <w:t> </w:t>
        </w:r>
        <w:r>
          <w:rPr>
            <w:sz w:val="20"/>
          </w:rPr>
          <w:t>de</w:t>
        </w:r>
        <w:r>
          <w:rPr>
            <w:spacing w:val="-1"/>
            <w:sz w:val="20"/>
          </w:rPr>
          <w:t> </w:t>
        </w:r>
        <w:r>
          <w:rPr>
            <w:sz w:val="20"/>
          </w:rPr>
          <w:t>uso</w:t>
          <w:tab/>
          <w:t>494</w:t>
        </w:r>
      </w:hyperlink>
    </w:p>
    <w:p>
      <w:pPr>
        <w:pStyle w:val="ListParagraph"/>
        <w:numPr>
          <w:ilvl w:val="2"/>
          <w:numId w:val="4"/>
        </w:numPr>
        <w:tabs>
          <w:tab w:pos="982" w:val="left" w:leader="none"/>
          <w:tab w:pos="983" w:val="left" w:leader="none"/>
          <w:tab w:pos="8933" w:val="right" w:leader="dot"/>
        </w:tabs>
        <w:spacing w:line="240" w:lineRule="auto" w:before="101" w:after="0"/>
        <w:ind w:left="982" w:right="0" w:hanging="681"/>
        <w:jc w:val="left"/>
        <w:rPr>
          <w:sz w:val="20"/>
        </w:rPr>
      </w:pPr>
      <w:hyperlink w:history="true" w:anchor="_bookmark11">
        <w:r>
          <w:rPr>
            <w:sz w:val="20"/>
          </w:rPr>
          <w:t>Construcción</w:t>
        </w:r>
        <w:r>
          <w:rPr>
            <w:spacing w:val="-2"/>
            <w:sz w:val="20"/>
          </w:rPr>
          <w:t> </w:t>
        </w:r>
        <w:r>
          <w:rPr>
            <w:sz w:val="20"/>
          </w:rPr>
          <w:t>de</w:t>
        </w:r>
        <w:r>
          <w:rPr>
            <w:spacing w:val="-1"/>
            <w:sz w:val="20"/>
          </w:rPr>
          <w:t> </w:t>
        </w:r>
        <w:r>
          <w:rPr>
            <w:sz w:val="20"/>
          </w:rPr>
          <w:t>indicadores</w:t>
          <w:tab/>
          <w:t>495</w:t>
        </w:r>
      </w:hyperlink>
    </w:p>
    <w:p>
      <w:pPr>
        <w:pStyle w:val="ListParagraph"/>
        <w:numPr>
          <w:ilvl w:val="2"/>
          <w:numId w:val="4"/>
        </w:numPr>
        <w:tabs>
          <w:tab w:pos="982" w:val="left" w:leader="none"/>
          <w:tab w:pos="983" w:val="left" w:leader="none"/>
          <w:tab w:pos="8933" w:val="right" w:leader="dot"/>
        </w:tabs>
        <w:spacing w:line="240" w:lineRule="auto" w:before="99" w:after="0"/>
        <w:ind w:left="982" w:right="0" w:hanging="681"/>
        <w:jc w:val="left"/>
        <w:rPr>
          <w:sz w:val="20"/>
        </w:rPr>
      </w:pPr>
      <w:hyperlink w:history="true" w:anchor="_bookmark12">
        <w:r>
          <w:rPr>
            <w:sz w:val="20"/>
          </w:rPr>
          <w:t>Conclusiones</w:t>
          <w:tab/>
          <w:t>497</w:t>
        </w:r>
      </w:hyperlink>
    </w:p>
    <w:p>
      <w:pPr>
        <w:pStyle w:val="ListParagraph"/>
        <w:numPr>
          <w:ilvl w:val="2"/>
          <w:numId w:val="4"/>
        </w:numPr>
        <w:tabs>
          <w:tab w:pos="982" w:val="left" w:leader="none"/>
          <w:tab w:pos="983" w:val="left" w:leader="none"/>
          <w:tab w:pos="8933" w:val="right" w:leader="dot"/>
        </w:tabs>
        <w:spacing w:line="240" w:lineRule="auto" w:before="101" w:after="0"/>
        <w:ind w:left="982" w:right="0" w:hanging="681"/>
        <w:jc w:val="left"/>
        <w:rPr>
          <w:sz w:val="20"/>
        </w:rPr>
      </w:pPr>
      <w:hyperlink w:history="true" w:anchor="_bookmark13">
        <w:r>
          <w:rPr>
            <w:sz w:val="20"/>
          </w:rPr>
          <w:t>Referencias</w:t>
          <w:tab/>
          <w:t>498</w:t>
        </w:r>
      </w:hyperlink>
    </w:p>
    <w:p>
      <w:pPr>
        <w:pStyle w:val="ListParagraph"/>
        <w:numPr>
          <w:ilvl w:val="1"/>
          <w:numId w:val="4"/>
        </w:numPr>
        <w:tabs>
          <w:tab w:pos="504" w:val="left" w:leader="none"/>
          <w:tab w:pos="8933" w:val="right" w:leader="dot"/>
        </w:tabs>
        <w:spacing w:line="240" w:lineRule="auto" w:before="99" w:after="0"/>
        <w:ind w:left="102" w:right="104" w:firstLine="0"/>
        <w:jc w:val="left"/>
        <w:rPr>
          <w:sz w:val="20"/>
        </w:rPr>
      </w:pPr>
      <w:r>
        <w:rPr>
          <w:sz w:val="20"/>
        </w:rPr>
        <w:t>DIRECTORY OF OPEN ACCESS JOURNALS AND ITS IMPACT ON THE OPEN ACCESS MOVEMENT WITH A SPECIAL PERSPECTIVE ON</w:t>
      </w:r>
      <w:r>
        <w:rPr>
          <w:spacing w:val="-3"/>
          <w:sz w:val="20"/>
        </w:rPr>
        <w:t> </w:t>
      </w:r>
      <w:r>
        <w:rPr>
          <w:sz w:val="20"/>
        </w:rPr>
        <w:t>LATIN</w:t>
      </w:r>
      <w:r>
        <w:rPr>
          <w:spacing w:val="-1"/>
          <w:sz w:val="20"/>
        </w:rPr>
        <w:t> </w:t>
      </w:r>
      <w:r>
        <w:rPr>
          <w:sz w:val="20"/>
        </w:rPr>
        <w:t>AMERICA</w:t>
        <w:tab/>
        <w:t>501</w:t>
      </w:r>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r>
        <w:rPr>
          <w:sz w:val="20"/>
        </w:rPr>
        <w:t>Introduction</w:t>
        <w:tab/>
        <w:t>502</w:t>
      </w:r>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r>
        <w:rPr>
          <w:sz w:val="20"/>
        </w:rPr>
        <w:t>Why establish a directory of open</w:t>
      </w:r>
      <w:r>
        <w:rPr>
          <w:spacing w:val="-13"/>
          <w:sz w:val="20"/>
        </w:rPr>
        <w:t> </w:t>
      </w:r>
      <w:r>
        <w:rPr>
          <w:sz w:val="20"/>
        </w:rPr>
        <w:t>access</w:t>
      </w:r>
      <w:r>
        <w:rPr>
          <w:spacing w:val="-2"/>
          <w:sz w:val="20"/>
        </w:rPr>
        <w:t> </w:t>
      </w:r>
      <w:r>
        <w:rPr>
          <w:sz w:val="20"/>
        </w:rPr>
        <w:t>journals?</w:t>
        <w:tab/>
        <w:t>502</w:t>
      </w:r>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r>
        <w:rPr>
          <w:sz w:val="20"/>
        </w:rPr>
        <w:t>Criteria for inclusion in</w:t>
      </w:r>
      <w:r>
        <w:rPr>
          <w:spacing w:val="-3"/>
          <w:sz w:val="20"/>
        </w:rPr>
        <w:t> </w:t>
      </w:r>
      <w:r>
        <w:rPr>
          <w:sz w:val="20"/>
        </w:rPr>
        <w:t>the</w:t>
      </w:r>
      <w:r>
        <w:rPr>
          <w:spacing w:val="-1"/>
          <w:sz w:val="20"/>
        </w:rPr>
        <w:t> </w:t>
      </w:r>
      <w:r>
        <w:rPr>
          <w:sz w:val="20"/>
        </w:rPr>
        <w:t>DOAJ</w:t>
        <w:tab/>
        <w:t>503</w:t>
      </w:r>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r>
        <w:rPr>
          <w:sz w:val="20"/>
        </w:rPr>
        <w:t>Comments to</w:t>
      </w:r>
      <w:r>
        <w:rPr>
          <w:spacing w:val="-1"/>
          <w:sz w:val="20"/>
        </w:rPr>
        <w:t> </w:t>
      </w:r>
      <w:r>
        <w:rPr>
          <w:sz w:val="20"/>
        </w:rPr>
        <w:t>the</w:t>
      </w:r>
      <w:r>
        <w:rPr>
          <w:spacing w:val="-1"/>
          <w:sz w:val="20"/>
        </w:rPr>
        <w:t> </w:t>
      </w:r>
      <w:r>
        <w:rPr>
          <w:sz w:val="20"/>
        </w:rPr>
        <w:t>criteria</w:t>
        <w:tab/>
        <w:t>503</w:t>
      </w:r>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r>
        <w:rPr>
          <w:sz w:val="20"/>
        </w:rPr>
        <w:t>Finding open</w:t>
      </w:r>
      <w:r>
        <w:rPr>
          <w:spacing w:val="-3"/>
          <w:sz w:val="20"/>
        </w:rPr>
        <w:t> </w:t>
      </w:r>
      <w:r>
        <w:rPr>
          <w:sz w:val="20"/>
        </w:rPr>
        <w:t>access</w:t>
      </w:r>
      <w:r>
        <w:rPr>
          <w:spacing w:val="-2"/>
          <w:sz w:val="20"/>
        </w:rPr>
        <w:t> </w:t>
      </w:r>
      <w:r>
        <w:rPr>
          <w:sz w:val="20"/>
        </w:rPr>
        <w:t>journals</w:t>
        <w:tab/>
        <w:t>504</w:t>
      </w:r>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r>
        <w:rPr>
          <w:sz w:val="20"/>
        </w:rPr>
        <w:t>Searching</w:t>
      </w:r>
      <w:r>
        <w:rPr>
          <w:spacing w:val="-2"/>
          <w:sz w:val="20"/>
        </w:rPr>
        <w:t> </w:t>
      </w:r>
      <w:r>
        <w:rPr>
          <w:sz w:val="20"/>
        </w:rPr>
        <w:t>in</w:t>
      </w:r>
      <w:r>
        <w:rPr>
          <w:spacing w:val="-2"/>
          <w:sz w:val="20"/>
        </w:rPr>
        <w:t> </w:t>
      </w:r>
      <w:r>
        <w:rPr>
          <w:sz w:val="20"/>
        </w:rPr>
        <w:t>DOAJ</w:t>
        <w:tab/>
        <w:t>505</w:t>
      </w:r>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r>
        <w:rPr>
          <w:sz w:val="20"/>
        </w:rPr>
        <w:t>Journals</w:t>
      </w:r>
      <w:r>
        <w:rPr>
          <w:spacing w:val="-1"/>
          <w:sz w:val="20"/>
        </w:rPr>
        <w:t> </w:t>
      </w:r>
      <w:r>
        <w:rPr>
          <w:sz w:val="20"/>
        </w:rPr>
        <w:t>by</w:t>
      </w:r>
      <w:r>
        <w:rPr>
          <w:spacing w:val="-4"/>
          <w:sz w:val="20"/>
        </w:rPr>
        <w:t> </w:t>
      </w:r>
      <w:r>
        <w:rPr>
          <w:sz w:val="20"/>
        </w:rPr>
        <w:t>country</w:t>
        <w:tab/>
        <w:t>505</w:t>
      </w:r>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r>
        <w:rPr>
          <w:sz w:val="20"/>
        </w:rPr>
        <w:t>Languages</w:t>
      </w:r>
      <w:r>
        <w:rPr>
          <w:spacing w:val="-2"/>
          <w:sz w:val="20"/>
        </w:rPr>
        <w:t> </w:t>
      </w:r>
      <w:r>
        <w:rPr>
          <w:sz w:val="20"/>
        </w:rPr>
        <w:t>in</w:t>
      </w:r>
      <w:r>
        <w:rPr>
          <w:spacing w:val="-2"/>
          <w:sz w:val="20"/>
        </w:rPr>
        <w:t> </w:t>
      </w:r>
      <w:r>
        <w:rPr>
          <w:sz w:val="20"/>
        </w:rPr>
        <w:t>DOAJ</w:t>
        <w:tab/>
        <w:t>506</w:t>
      </w:r>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r>
        <w:rPr>
          <w:sz w:val="20"/>
        </w:rPr>
        <w:t>Publishers</w:t>
      </w:r>
      <w:r>
        <w:rPr>
          <w:spacing w:val="-2"/>
          <w:sz w:val="20"/>
        </w:rPr>
        <w:t> </w:t>
      </w:r>
      <w:r>
        <w:rPr>
          <w:sz w:val="20"/>
        </w:rPr>
        <w:t>in</w:t>
      </w:r>
      <w:r>
        <w:rPr>
          <w:spacing w:val="-2"/>
          <w:sz w:val="20"/>
        </w:rPr>
        <w:t> </w:t>
      </w:r>
      <w:r>
        <w:rPr>
          <w:sz w:val="20"/>
        </w:rPr>
        <w:t>DOAJ</w:t>
        <w:tab/>
        <w:t>506</w:t>
      </w:r>
    </w:p>
    <w:p>
      <w:pPr>
        <w:pStyle w:val="ListParagraph"/>
        <w:numPr>
          <w:ilvl w:val="2"/>
          <w:numId w:val="4"/>
        </w:numPr>
        <w:tabs>
          <w:tab w:pos="982" w:val="left" w:leader="none"/>
          <w:tab w:pos="983" w:val="left" w:leader="none"/>
          <w:tab w:pos="8933" w:val="right" w:leader="dot"/>
        </w:tabs>
        <w:spacing w:line="240" w:lineRule="auto" w:before="99" w:after="0"/>
        <w:ind w:left="982" w:right="0" w:hanging="681"/>
        <w:jc w:val="left"/>
        <w:rPr>
          <w:sz w:val="20"/>
        </w:rPr>
      </w:pPr>
      <w:r>
        <w:rPr>
          <w:sz w:val="20"/>
        </w:rPr>
        <w:t>Functionalities</w:t>
      </w:r>
      <w:r>
        <w:rPr>
          <w:spacing w:val="-2"/>
          <w:sz w:val="20"/>
        </w:rPr>
        <w:t> </w:t>
      </w:r>
      <w:r>
        <w:rPr>
          <w:sz w:val="20"/>
        </w:rPr>
        <w:t>in</w:t>
      </w:r>
      <w:r>
        <w:rPr>
          <w:spacing w:val="-2"/>
          <w:sz w:val="20"/>
        </w:rPr>
        <w:t> </w:t>
      </w:r>
      <w:r>
        <w:rPr>
          <w:sz w:val="20"/>
        </w:rPr>
        <w:t>DOAJ</w:t>
        <w:tab/>
        <w:t>506</w:t>
      </w:r>
    </w:p>
    <w:p>
      <w:pPr>
        <w:pStyle w:val="ListParagraph"/>
        <w:numPr>
          <w:ilvl w:val="2"/>
          <w:numId w:val="4"/>
        </w:numPr>
        <w:tabs>
          <w:tab w:pos="982" w:val="left" w:leader="none"/>
          <w:tab w:pos="983" w:val="left" w:leader="none"/>
          <w:tab w:pos="8933" w:val="right" w:leader="dot"/>
        </w:tabs>
        <w:spacing w:line="240" w:lineRule="auto" w:before="99" w:after="0"/>
        <w:ind w:left="982" w:right="0" w:hanging="681"/>
        <w:jc w:val="left"/>
        <w:rPr>
          <w:sz w:val="20"/>
        </w:rPr>
      </w:pPr>
      <w:r>
        <w:rPr>
          <w:sz w:val="20"/>
        </w:rPr>
        <w:t>Funding</w:t>
      </w:r>
      <w:r>
        <w:rPr>
          <w:spacing w:val="-2"/>
          <w:sz w:val="20"/>
        </w:rPr>
        <w:t> </w:t>
      </w:r>
      <w:r>
        <w:rPr>
          <w:sz w:val="20"/>
        </w:rPr>
        <w:t>of</w:t>
      </w:r>
      <w:r>
        <w:rPr>
          <w:spacing w:val="-3"/>
          <w:sz w:val="20"/>
        </w:rPr>
        <w:t> </w:t>
      </w:r>
      <w:r>
        <w:rPr>
          <w:sz w:val="20"/>
        </w:rPr>
        <w:t>DOAJ</w:t>
        <w:tab/>
        <w:t>507</w:t>
      </w:r>
    </w:p>
    <w:p>
      <w:pPr>
        <w:pStyle w:val="ListParagraph"/>
        <w:numPr>
          <w:ilvl w:val="2"/>
          <w:numId w:val="4"/>
        </w:numPr>
        <w:tabs>
          <w:tab w:pos="982" w:val="left" w:leader="none"/>
          <w:tab w:pos="983" w:val="left" w:leader="none"/>
          <w:tab w:pos="8933" w:val="right" w:leader="dot"/>
        </w:tabs>
        <w:spacing w:line="240" w:lineRule="auto" w:before="101" w:after="0"/>
        <w:ind w:left="982" w:right="0" w:hanging="681"/>
        <w:jc w:val="left"/>
        <w:rPr>
          <w:sz w:val="20"/>
        </w:rPr>
      </w:pPr>
      <w:r>
        <w:rPr>
          <w:sz w:val="20"/>
        </w:rPr>
        <w:t>Journal</w:t>
      </w:r>
      <w:r>
        <w:rPr>
          <w:spacing w:val="-1"/>
          <w:sz w:val="20"/>
        </w:rPr>
        <w:t> </w:t>
      </w:r>
      <w:r>
        <w:rPr>
          <w:sz w:val="20"/>
        </w:rPr>
        <w:t>Citation</w:t>
      </w:r>
      <w:r>
        <w:rPr>
          <w:spacing w:val="-2"/>
          <w:sz w:val="20"/>
        </w:rPr>
        <w:t> </w:t>
      </w:r>
      <w:r>
        <w:rPr>
          <w:sz w:val="20"/>
        </w:rPr>
        <w:t>Report</w:t>
        <w:tab/>
        <w:t>508</w:t>
      </w:r>
    </w:p>
    <w:p>
      <w:pPr>
        <w:pStyle w:val="ListParagraph"/>
        <w:numPr>
          <w:ilvl w:val="2"/>
          <w:numId w:val="4"/>
        </w:numPr>
        <w:tabs>
          <w:tab w:pos="982" w:val="left" w:leader="none"/>
          <w:tab w:pos="983" w:val="left" w:leader="none"/>
          <w:tab w:pos="8933" w:val="right" w:leader="dot"/>
        </w:tabs>
        <w:spacing w:line="240" w:lineRule="auto" w:before="99" w:after="0"/>
        <w:ind w:left="982" w:right="0" w:hanging="681"/>
        <w:jc w:val="left"/>
        <w:rPr>
          <w:sz w:val="20"/>
        </w:rPr>
      </w:pPr>
      <w:r>
        <w:rPr>
          <w:sz w:val="20"/>
        </w:rPr>
        <w:t>Long term</w:t>
      </w:r>
      <w:r>
        <w:rPr>
          <w:spacing w:val="-5"/>
          <w:sz w:val="20"/>
        </w:rPr>
        <w:t> </w:t>
      </w:r>
      <w:r>
        <w:rPr>
          <w:sz w:val="20"/>
        </w:rPr>
        <w:t>preservation</w:t>
      </w:r>
      <w:r>
        <w:rPr>
          <w:spacing w:val="-1"/>
          <w:sz w:val="20"/>
        </w:rPr>
        <w:t> </w:t>
      </w:r>
      <w:r>
        <w:rPr>
          <w:sz w:val="20"/>
        </w:rPr>
        <w:t>project</w:t>
        <w:tab/>
        <w:t>508</w:t>
      </w:r>
    </w:p>
    <w:p>
      <w:pPr>
        <w:pStyle w:val="ListParagraph"/>
        <w:numPr>
          <w:ilvl w:val="2"/>
          <w:numId w:val="4"/>
        </w:numPr>
        <w:tabs>
          <w:tab w:pos="982" w:val="left" w:leader="none"/>
          <w:tab w:pos="983" w:val="left" w:leader="none"/>
          <w:tab w:pos="8933" w:val="right" w:leader="dot"/>
        </w:tabs>
        <w:spacing w:line="240" w:lineRule="auto" w:before="101" w:after="0"/>
        <w:ind w:left="982" w:right="0" w:hanging="681"/>
        <w:jc w:val="left"/>
        <w:rPr>
          <w:sz w:val="20"/>
        </w:rPr>
      </w:pPr>
      <w:r>
        <w:rPr>
          <w:sz w:val="20"/>
        </w:rPr>
        <w:t>Future development</w:t>
      </w:r>
      <w:r>
        <w:rPr>
          <w:spacing w:val="-2"/>
          <w:sz w:val="20"/>
        </w:rPr>
        <w:t> </w:t>
      </w:r>
      <w:r>
        <w:rPr>
          <w:sz w:val="20"/>
        </w:rPr>
        <w:t>in</w:t>
      </w:r>
      <w:r>
        <w:rPr>
          <w:spacing w:val="-2"/>
          <w:sz w:val="20"/>
        </w:rPr>
        <w:t> </w:t>
      </w:r>
      <w:r>
        <w:rPr>
          <w:sz w:val="20"/>
        </w:rPr>
        <w:t>DOAJ</w:t>
        <w:tab/>
        <w:t>509</w:t>
      </w:r>
    </w:p>
    <w:p>
      <w:pPr>
        <w:pStyle w:val="ListParagraph"/>
        <w:numPr>
          <w:ilvl w:val="2"/>
          <w:numId w:val="4"/>
        </w:numPr>
        <w:tabs>
          <w:tab w:pos="982" w:val="left" w:leader="none"/>
          <w:tab w:pos="983" w:val="left" w:leader="none"/>
          <w:tab w:pos="8933" w:val="right" w:leader="dot"/>
        </w:tabs>
        <w:spacing w:line="240" w:lineRule="auto" w:before="99" w:after="0"/>
        <w:ind w:left="982" w:right="0" w:hanging="681"/>
        <w:jc w:val="left"/>
        <w:rPr>
          <w:sz w:val="20"/>
        </w:rPr>
      </w:pPr>
      <w:r>
        <w:rPr>
          <w:sz w:val="20"/>
        </w:rPr>
        <w:t>Cooperation with</w:t>
      </w:r>
      <w:r>
        <w:rPr>
          <w:spacing w:val="-1"/>
          <w:sz w:val="20"/>
        </w:rPr>
        <w:t> </w:t>
      </w:r>
      <w:r>
        <w:rPr>
          <w:sz w:val="20"/>
        </w:rPr>
        <w:t>China</w:t>
        <w:tab/>
        <w:t>509</w:t>
      </w:r>
    </w:p>
    <w:p>
      <w:pPr>
        <w:pStyle w:val="ListParagraph"/>
        <w:numPr>
          <w:ilvl w:val="2"/>
          <w:numId w:val="4"/>
        </w:numPr>
        <w:tabs>
          <w:tab w:pos="982" w:val="left" w:leader="none"/>
          <w:tab w:pos="983" w:val="left" w:leader="none"/>
          <w:tab w:pos="8933" w:val="right" w:leader="dot"/>
        </w:tabs>
        <w:spacing w:line="240" w:lineRule="auto" w:before="101" w:after="0"/>
        <w:ind w:left="982" w:right="0" w:hanging="681"/>
        <w:jc w:val="left"/>
        <w:rPr>
          <w:sz w:val="20"/>
        </w:rPr>
      </w:pPr>
      <w:r>
        <w:rPr>
          <w:sz w:val="20"/>
        </w:rPr>
        <w:t>Cooperation with</w:t>
      </w:r>
      <w:r>
        <w:rPr>
          <w:spacing w:val="-2"/>
          <w:sz w:val="20"/>
        </w:rPr>
        <w:t> </w:t>
      </w:r>
      <w:r>
        <w:rPr>
          <w:sz w:val="20"/>
        </w:rPr>
        <w:t>eIFL</w:t>
        <w:tab/>
        <w:t>509</w:t>
      </w:r>
    </w:p>
    <w:p>
      <w:pPr>
        <w:pStyle w:val="ListParagraph"/>
        <w:numPr>
          <w:ilvl w:val="2"/>
          <w:numId w:val="4"/>
        </w:numPr>
        <w:tabs>
          <w:tab w:pos="982" w:val="left" w:leader="none"/>
          <w:tab w:pos="983" w:val="left" w:leader="none"/>
          <w:tab w:pos="8933" w:val="right" w:leader="dot"/>
        </w:tabs>
        <w:spacing w:line="240" w:lineRule="auto" w:before="99" w:after="0"/>
        <w:ind w:left="982" w:right="0" w:hanging="681"/>
        <w:jc w:val="left"/>
        <w:rPr>
          <w:sz w:val="20"/>
        </w:rPr>
      </w:pPr>
      <w:r>
        <w:rPr>
          <w:sz w:val="20"/>
        </w:rPr>
        <w:t>Conclusions</w:t>
        <w:tab/>
        <w:t>509</w:t>
      </w:r>
    </w:p>
    <w:p>
      <w:pPr>
        <w:pStyle w:val="ListParagraph"/>
        <w:numPr>
          <w:ilvl w:val="2"/>
          <w:numId w:val="4"/>
        </w:numPr>
        <w:tabs>
          <w:tab w:pos="982" w:val="left" w:leader="none"/>
          <w:tab w:pos="983" w:val="left" w:leader="none"/>
          <w:tab w:pos="8933" w:val="right" w:leader="dot"/>
        </w:tabs>
        <w:spacing w:line="240" w:lineRule="auto" w:before="101" w:after="0"/>
        <w:ind w:left="982" w:right="0" w:hanging="681"/>
        <w:jc w:val="left"/>
        <w:rPr>
          <w:sz w:val="20"/>
        </w:rPr>
      </w:pPr>
      <w:r>
        <w:rPr>
          <w:sz w:val="20"/>
        </w:rPr>
        <w:t>References</w:t>
        <w:tab/>
        <w:t>510</w:t>
      </w:r>
    </w:p>
    <w:p>
      <w:pPr>
        <w:pStyle w:val="ListParagraph"/>
        <w:numPr>
          <w:ilvl w:val="1"/>
          <w:numId w:val="4"/>
        </w:numPr>
        <w:tabs>
          <w:tab w:pos="504" w:val="left" w:leader="none"/>
          <w:tab w:pos="8933" w:val="right" w:leader="dot"/>
        </w:tabs>
        <w:spacing w:line="240" w:lineRule="auto" w:before="99" w:after="0"/>
        <w:ind w:left="102" w:right="104" w:firstLine="0"/>
        <w:jc w:val="left"/>
        <w:rPr>
          <w:sz w:val="20"/>
        </w:rPr>
      </w:pPr>
      <w:r>
        <w:rPr>
          <w:sz w:val="20"/>
        </w:rPr>
        <w:t>LAS REVISTAS CIENTÍFICAS LATINOAMERICANAS EN INTERNET: OPORTUNIDADES Y RETOS EN EL PRÓXIMO DECENIO, SEGÚN LA EXPERIENCIA DE</w:t>
      </w:r>
      <w:r>
        <w:rPr>
          <w:spacing w:val="-5"/>
          <w:sz w:val="20"/>
        </w:rPr>
        <w:t> </w:t>
      </w:r>
      <w:r>
        <w:rPr>
          <w:i/>
          <w:sz w:val="20"/>
        </w:rPr>
        <w:t>BIOLOGÍA</w:t>
      </w:r>
      <w:r>
        <w:rPr>
          <w:i/>
          <w:spacing w:val="-1"/>
          <w:sz w:val="20"/>
        </w:rPr>
        <w:t> </w:t>
      </w:r>
      <w:r>
        <w:rPr>
          <w:i/>
          <w:sz w:val="20"/>
        </w:rPr>
        <w:t>TROPICAL</w:t>
      </w:r>
      <w:r>
        <w:rPr>
          <w:sz w:val="20"/>
        </w:rPr>
        <w:tab/>
        <w:t>511</w:t>
      </w:r>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r>
        <w:rPr>
          <w:sz w:val="20"/>
        </w:rPr>
        <w:t>Introducción</w:t>
        <w:tab/>
        <w:t>512</w:t>
      </w:r>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r>
        <w:rPr>
          <w:sz w:val="20"/>
        </w:rPr>
        <w:t>Ventajas y desventajas de las</w:t>
      </w:r>
      <w:r>
        <w:rPr>
          <w:spacing w:val="-5"/>
          <w:sz w:val="20"/>
        </w:rPr>
        <w:t> </w:t>
      </w:r>
      <w:r>
        <w:rPr>
          <w:sz w:val="20"/>
        </w:rPr>
        <w:t>revistas</w:t>
      </w:r>
      <w:r>
        <w:rPr>
          <w:spacing w:val="-2"/>
          <w:sz w:val="20"/>
        </w:rPr>
        <w:t> </w:t>
      </w:r>
      <w:r>
        <w:rPr>
          <w:sz w:val="20"/>
        </w:rPr>
        <w:t>digitales</w:t>
        <w:tab/>
        <w:t>512</w:t>
      </w:r>
    </w:p>
    <w:p>
      <w:pPr>
        <w:pStyle w:val="ListParagraph"/>
        <w:numPr>
          <w:ilvl w:val="2"/>
          <w:numId w:val="4"/>
        </w:numPr>
        <w:tabs>
          <w:tab w:pos="761" w:val="left" w:leader="none"/>
          <w:tab w:pos="762" w:val="left" w:leader="none"/>
          <w:tab w:pos="8933" w:val="right" w:leader="dot"/>
        </w:tabs>
        <w:spacing w:line="240" w:lineRule="auto" w:before="102" w:after="0"/>
        <w:ind w:left="762" w:right="0" w:hanging="461"/>
        <w:jc w:val="left"/>
        <w:rPr>
          <w:sz w:val="20"/>
        </w:rPr>
      </w:pPr>
      <w:r>
        <w:rPr>
          <w:sz w:val="20"/>
        </w:rPr>
        <w:t>Efectos de internet sobre el financiamiento y</w:t>
      </w:r>
      <w:r>
        <w:rPr>
          <w:spacing w:val="-4"/>
          <w:sz w:val="20"/>
        </w:rPr>
        <w:t> </w:t>
      </w:r>
      <w:r>
        <w:rPr>
          <w:sz w:val="20"/>
        </w:rPr>
        <w:t>la</w:t>
      </w:r>
      <w:r>
        <w:rPr>
          <w:spacing w:val="-1"/>
          <w:sz w:val="20"/>
        </w:rPr>
        <w:t> </w:t>
      </w:r>
      <w:r>
        <w:rPr>
          <w:sz w:val="20"/>
        </w:rPr>
        <w:t>difusión</w:t>
        <w:tab/>
        <w:t>513</w:t>
      </w:r>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r>
        <w:rPr>
          <w:sz w:val="20"/>
        </w:rPr>
        <w:t>América Latina: efecto de internet sobre sus revistas</w:t>
      </w:r>
      <w:r>
        <w:rPr>
          <w:spacing w:val="-2"/>
          <w:sz w:val="20"/>
        </w:rPr>
        <w:t> </w:t>
      </w:r>
      <w:r>
        <w:rPr>
          <w:sz w:val="20"/>
        </w:rPr>
        <w:t>científicas</w:t>
        <w:tab/>
        <w:t>515</w:t>
      </w:r>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r>
        <w:rPr>
          <w:sz w:val="20"/>
        </w:rPr>
        <w:t>Conclusión</w:t>
        <w:tab/>
        <w:t>519</w:t>
      </w:r>
    </w:p>
    <w:p>
      <w:pPr>
        <w:pStyle w:val="ListParagraph"/>
        <w:numPr>
          <w:ilvl w:val="2"/>
          <w:numId w:val="4"/>
        </w:numPr>
        <w:tabs>
          <w:tab w:pos="761" w:val="left" w:leader="none"/>
          <w:tab w:pos="762" w:val="left" w:leader="none"/>
          <w:tab w:pos="8933" w:val="right" w:leader="dot"/>
        </w:tabs>
        <w:spacing w:line="240" w:lineRule="auto" w:before="99" w:after="0"/>
        <w:ind w:left="762" w:right="0" w:hanging="461"/>
        <w:jc w:val="left"/>
        <w:rPr>
          <w:sz w:val="20"/>
        </w:rPr>
      </w:pPr>
      <w:r>
        <w:rPr>
          <w:sz w:val="20"/>
        </w:rPr>
        <w:t>Agradecimientos</w:t>
        <w:tab/>
        <w:t>520</w:t>
      </w:r>
    </w:p>
    <w:p>
      <w:pPr>
        <w:pStyle w:val="ListParagraph"/>
        <w:numPr>
          <w:ilvl w:val="2"/>
          <w:numId w:val="4"/>
        </w:numPr>
        <w:tabs>
          <w:tab w:pos="761" w:val="left" w:leader="none"/>
          <w:tab w:pos="762" w:val="left" w:leader="none"/>
          <w:tab w:pos="8933" w:val="right" w:leader="dot"/>
        </w:tabs>
        <w:spacing w:line="240" w:lineRule="auto" w:before="101" w:after="0"/>
        <w:ind w:left="762" w:right="0" w:hanging="461"/>
        <w:jc w:val="left"/>
        <w:rPr>
          <w:sz w:val="20"/>
        </w:rPr>
      </w:pPr>
      <w:r>
        <w:rPr>
          <w:sz w:val="20"/>
        </w:rPr>
        <w:t>Referencias</w:t>
        <w:tab/>
        <w:t>520</w:t>
      </w:r>
    </w:p>
    <w:p>
      <w:pPr>
        <w:spacing w:after="0" w:line="240" w:lineRule="auto"/>
        <w:jc w:val="left"/>
        <w:rPr>
          <w:sz w:val="20"/>
        </w:rPr>
        <w:sectPr>
          <w:pgSz w:w="12240" w:h="15840"/>
          <w:pgMar w:header="733" w:footer="1460" w:top="1120" w:bottom="1660" w:left="1600" w:right="1600"/>
        </w:sectPr>
      </w:pPr>
    </w:p>
    <w:p>
      <w:pPr>
        <w:pStyle w:val="ListParagraph"/>
        <w:numPr>
          <w:ilvl w:val="1"/>
          <w:numId w:val="4"/>
        </w:numPr>
        <w:tabs>
          <w:tab w:pos="502" w:val="left" w:leader="none"/>
        </w:tabs>
        <w:spacing w:line="240" w:lineRule="auto" w:before="290" w:after="0"/>
        <w:ind w:left="102" w:right="124" w:firstLine="0"/>
        <w:jc w:val="left"/>
        <w:rPr>
          <w:sz w:val="20"/>
        </w:rPr>
      </w:pPr>
      <w:r>
        <w:rPr>
          <w:sz w:val="20"/>
        </w:rPr>
        <w:t>PRESERVAÇÃO DIGITAL: COMO A GESTÃO DOS DOCUMENTOS DIGITAIS E OS PRINCÍPIOS DA PRESERVAÇÃO DIGITAL INFLUENCIAM NA PRESERVAÇÃO DA CULTURA .</w:t>
      </w:r>
      <w:r>
        <w:rPr>
          <w:spacing w:val="-21"/>
          <w:sz w:val="20"/>
        </w:rPr>
        <w:t> </w:t>
      </w:r>
      <w:r>
        <w:rPr>
          <w:sz w:val="20"/>
        </w:rPr>
        <w:t>522</w:t>
      </w:r>
    </w:p>
    <w:p>
      <w:pPr>
        <w:pStyle w:val="ListParagraph"/>
        <w:numPr>
          <w:ilvl w:val="2"/>
          <w:numId w:val="4"/>
        </w:numPr>
        <w:tabs>
          <w:tab w:pos="761" w:val="left" w:leader="none"/>
          <w:tab w:pos="762" w:val="left" w:leader="none"/>
          <w:tab w:pos="8630" w:val="left" w:leader="dot"/>
        </w:tabs>
        <w:spacing w:line="240" w:lineRule="auto" w:before="99" w:after="0"/>
        <w:ind w:left="762" w:right="0" w:hanging="461"/>
        <w:jc w:val="left"/>
        <w:rPr>
          <w:sz w:val="20"/>
        </w:rPr>
      </w:pPr>
      <w:r>
        <w:rPr>
          <w:sz w:val="20"/>
        </w:rPr>
        <w:t>Introdução</w:t>
        <w:tab/>
        <w:t>523</w:t>
      </w:r>
    </w:p>
    <w:p>
      <w:pPr>
        <w:pStyle w:val="ListParagraph"/>
        <w:numPr>
          <w:ilvl w:val="2"/>
          <w:numId w:val="4"/>
        </w:numPr>
        <w:tabs>
          <w:tab w:pos="761" w:val="left" w:leader="none"/>
          <w:tab w:pos="762" w:val="left" w:leader="none"/>
          <w:tab w:pos="8630" w:val="left" w:leader="dot"/>
        </w:tabs>
        <w:spacing w:line="240" w:lineRule="auto" w:before="101" w:after="0"/>
        <w:ind w:left="762" w:right="0" w:hanging="461"/>
        <w:jc w:val="left"/>
        <w:rPr>
          <w:sz w:val="20"/>
        </w:rPr>
      </w:pPr>
      <w:r>
        <w:rPr>
          <w:sz w:val="20"/>
        </w:rPr>
        <w:t>Pano de fundo da</w:t>
      </w:r>
      <w:r>
        <w:rPr>
          <w:spacing w:val="-7"/>
          <w:sz w:val="20"/>
        </w:rPr>
        <w:t> </w:t>
      </w:r>
      <w:r>
        <w:rPr>
          <w:sz w:val="20"/>
        </w:rPr>
        <w:t>preservação</w:t>
      </w:r>
      <w:r>
        <w:rPr>
          <w:spacing w:val="-2"/>
          <w:sz w:val="20"/>
        </w:rPr>
        <w:t> </w:t>
      </w:r>
      <w:r>
        <w:rPr>
          <w:sz w:val="20"/>
        </w:rPr>
        <w:t>digital</w:t>
        <w:tab/>
        <w:t>525</w:t>
      </w:r>
    </w:p>
    <w:p>
      <w:pPr>
        <w:pStyle w:val="ListParagraph"/>
        <w:numPr>
          <w:ilvl w:val="2"/>
          <w:numId w:val="4"/>
        </w:numPr>
        <w:tabs>
          <w:tab w:pos="761" w:val="left" w:leader="none"/>
          <w:tab w:pos="762" w:val="left" w:leader="none"/>
          <w:tab w:pos="8630" w:val="left" w:leader="dot"/>
        </w:tabs>
        <w:spacing w:line="240" w:lineRule="auto" w:before="99" w:after="0"/>
        <w:ind w:left="762" w:right="0" w:hanging="461"/>
        <w:jc w:val="left"/>
        <w:rPr>
          <w:sz w:val="20"/>
        </w:rPr>
      </w:pPr>
      <w:r>
        <w:rPr>
          <w:sz w:val="20"/>
        </w:rPr>
        <w:t>Preservação de documentos digitais e</w:t>
      </w:r>
      <w:r>
        <w:rPr>
          <w:spacing w:val="-12"/>
          <w:sz w:val="20"/>
        </w:rPr>
        <w:t> </w:t>
      </w:r>
      <w:r>
        <w:rPr>
          <w:sz w:val="20"/>
        </w:rPr>
        <w:t>a</w:t>
      </w:r>
      <w:r>
        <w:rPr>
          <w:spacing w:val="-3"/>
          <w:sz w:val="20"/>
        </w:rPr>
        <w:t> </w:t>
      </w:r>
      <w:r>
        <w:rPr>
          <w:sz w:val="20"/>
        </w:rPr>
        <w:t>cultura</w:t>
        <w:tab/>
        <w:t>527</w:t>
      </w:r>
    </w:p>
    <w:p>
      <w:pPr>
        <w:pStyle w:val="ListParagraph"/>
        <w:numPr>
          <w:ilvl w:val="2"/>
          <w:numId w:val="4"/>
        </w:numPr>
        <w:tabs>
          <w:tab w:pos="761" w:val="left" w:leader="none"/>
          <w:tab w:pos="762" w:val="left" w:leader="none"/>
          <w:tab w:pos="8630" w:val="left" w:leader="dot"/>
        </w:tabs>
        <w:spacing w:line="240" w:lineRule="auto" w:before="101" w:after="0"/>
        <w:ind w:left="762" w:right="0" w:hanging="461"/>
        <w:jc w:val="left"/>
        <w:rPr>
          <w:sz w:val="20"/>
        </w:rPr>
      </w:pPr>
      <w:r>
        <w:rPr>
          <w:sz w:val="20"/>
        </w:rPr>
        <w:t>Os dez mandamentos da</w:t>
      </w:r>
      <w:r>
        <w:rPr>
          <w:spacing w:val="-9"/>
          <w:sz w:val="20"/>
        </w:rPr>
        <w:t> </w:t>
      </w:r>
      <w:r>
        <w:rPr>
          <w:sz w:val="20"/>
        </w:rPr>
        <w:t>preservação</w:t>
      </w:r>
      <w:r>
        <w:rPr>
          <w:spacing w:val="-2"/>
          <w:sz w:val="20"/>
        </w:rPr>
        <w:t> </w:t>
      </w:r>
      <w:r>
        <w:rPr>
          <w:sz w:val="20"/>
        </w:rPr>
        <w:t>digital</w:t>
        <w:tab/>
        <w:t>533</w:t>
      </w:r>
    </w:p>
    <w:p>
      <w:pPr>
        <w:pStyle w:val="ListParagraph"/>
        <w:numPr>
          <w:ilvl w:val="2"/>
          <w:numId w:val="4"/>
        </w:numPr>
        <w:tabs>
          <w:tab w:pos="761" w:val="left" w:leader="none"/>
          <w:tab w:pos="762" w:val="left" w:leader="none"/>
          <w:tab w:pos="8630" w:val="left" w:leader="dot"/>
        </w:tabs>
        <w:spacing w:line="240" w:lineRule="auto" w:before="99" w:after="0"/>
        <w:ind w:left="762" w:right="0" w:hanging="461"/>
        <w:jc w:val="left"/>
        <w:rPr>
          <w:sz w:val="20"/>
        </w:rPr>
      </w:pPr>
      <w:r>
        <w:rPr>
          <w:sz w:val="20"/>
        </w:rPr>
        <w:t>Agenda sobre preservação digital para</w:t>
      </w:r>
      <w:r>
        <w:rPr>
          <w:spacing w:val="-12"/>
          <w:sz w:val="20"/>
        </w:rPr>
        <w:t> </w:t>
      </w:r>
      <w:r>
        <w:rPr>
          <w:sz w:val="20"/>
        </w:rPr>
        <w:t>revistas</w:t>
      </w:r>
      <w:r>
        <w:rPr>
          <w:spacing w:val="-4"/>
          <w:sz w:val="20"/>
        </w:rPr>
        <w:t> </w:t>
      </w:r>
      <w:r>
        <w:rPr>
          <w:sz w:val="20"/>
        </w:rPr>
        <w:t>iberoamericanas</w:t>
        <w:tab/>
        <w:t>535</w:t>
      </w:r>
    </w:p>
    <w:p>
      <w:pPr>
        <w:pStyle w:val="ListParagraph"/>
        <w:numPr>
          <w:ilvl w:val="2"/>
          <w:numId w:val="4"/>
        </w:numPr>
        <w:tabs>
          <w:tab w:pos="761" w:val="left" w:leader="none"/>
          <w:tab w:pos="762" w:val="left" w:leader="none"/>
          <w:tab w:pos="8630" w:val="left" w:leader="dot"/>
        </w:tabs>
        <w:spacing w:line="240" w:lineRule="auto" w:before="101" w:after="0"/>
        <w:ind w:left="762" w:right="0" w:hanging="461"/>
        <w:jc w:val="left"/>
        <w:rPr>
          <w:sz w:val="20"/>
        </w:rPr>
      </w:pPr>
      <w:r>
        <w:rPr>
          <w:sz w:val="20"/>
        </w:rPr>
        <w:t>Considerações</w:t>
      </w:r>
      <w:r>
        <w:rPr>
          <w:spacing w:val="-3"/>
          <w:sz w:val="20"/>
        </w:rPr>
        <w:t> </w:t>
      </w:r>
      <w:r>
        <w:rPr>
          <w:sz w:val="20"/>
        </w:rPr>
        <w:t>Finais</w:t>
        <w:tab/>
        <w:t>536</w:t>
      </w:r>
    </w:p>
    <w:p>
      <w:pPr>
        <w:pStyle w:val="ListParagraph"/>
        <w:numPr>
          <w:ilvl w:val="2"/>
          <w:numId w:val="4"/>
        </w:numPr>
        <w:tabs>
          <w:tab w:pos="761" w:val="left" w:leader="none"/>
          <w:tab w:pos="762" w:val="left" w:leader="none"/>
          <w:tab w:pos="8630" w:val="left" w:leader="dot"/>
        </w:tabs>
        <w:spacing w:line="240" w:lineRule="auto" w:before="99" w:after="0"/>
        <w:ind w:left="762" w:right="0" w:hanging="461"/>
        <w:jc w:val="left"/>
        <w:rPr>
          <w:sz w:val="20"/>
        </w:rPr>
      </w:pPr>
      <w:r>
        <w:rPr>
          <w:sz w:val="20"/>
        </w:rPr>
        <w:t>Referências</w:t>
        <w:tab/>
        <w:t>536</w:t>
      </w:r>
    </w:p>
    <w:p>
      <w:pPr>
        <w:pStyle w:val="ListParagraph"/>
        <w:numPr>
          <w:ilvl w:val="1"/>
          <w:numId w:val="4"/>
        </w:numPr>
        <w:tabs>
          <w:tab w:pos="603" w:val="left" w:leader="none"/>
          <w:tab w:pos="8528" w:val="left" w:leader="dot"/>
        </w:tabs>
        <w:spacing w:line="240" w:lineRule="auto" w:before="101" w:after="0"/>
        <w:ind w:left="602" w:right="22" w:hanging="500"/>
        <w:jc w:val="center"/>
        <w:rPr>
          <w:sz w:val="20"/>
        </w:rPr>
      </w:pPr>
      <w:r>
        <w:rPr>
          <w:sz w:val="20"/>
        </w:rPr>
        <w:t>CUBA, ABOGANDO POR EL</w:t>
      </w:r>
      <w:r>
        <w:rPr>
          <w:spacing w:val="-9"/>
          <w:sz w:val="20"/>
        </w:rPr>
        <w:t> </w:t>
      </w:r>
      <w:r>
        <w:rPr>
          <w:sz w:val="20"/>
        </w:rPr>
        <w:t>ACCESO</w:t>
      </w:r>
      <w:r>
        <w:rPr>
          <w:spacing w:val="-2"/>
          <w:sz w:val="20"/>
        </w:rPr>
        <w:t> </w:t>
      </w:r>
      <w:r>
        <w:rPr>
          <w:sz w:val="20"/>
        </w:rPr>
        <w:t>ABIERTO</w:t>
        <w:tab/>
        <w:t>540</w:t>
      </w:r>
    </w:p>
    <w:p>
      <w:pPr>
        <w:pStyle w:val="ListParagraph"/>
        <w:numPr>
          <w:ilvl w:val="2"/>
          <w:numId w:val="4"/>
        </w:numPr>
        <w:tabs>
          <w:tab w:pos="761" w:val="left" w:leader="none"/>
          <w:tab w:pos="762" w:val="left" w:leader="none"/>
          <w:tab w:pos="8630" w:val="left" w:leader="dot"/>
        </w:tabs>
        <w:spacing w:line="240" w:lineRule="auto" w:before="99" w:after="0"/>
        <w:ind w:left="762" w:right="0" w:hanging="461"/>
        <w:jc w:val="left"/>
        <w:rPr>
          <w:sz w:val="20"/>
        </w:rPr>
      </w:pPr>
      <w:r>
        <w:rPr>
          <w:sz w:val="20"/>
        </w:rPr>
        <w:t>Introducción</w:t>
        <w:tab/>
        <w:t>541</w:t>
      </w:r>
    </w:p>
    <w:p>
      <w:pPr>
        <w:pStyle w:val="ListParagraph"/>
        <w:numPr>
          <w:ilvl w:val="2"/>
          <w:numId w:val="4"/>
        </w:numPr>
        <w:tabs>
          <w:tab w:pos="761" w:val="left" w:leader="none"/>
          <w:tab w:pos="762" w:val="left" w:leader="none"/>
          <w:tab w:pos="8630" w:val="left" w:leader="dot"/>
        </w:tabs>
        <w:spacing w:line="240" w:lineRule="auto" w:before="101" w:after="0"/>
        <w:ind w:left="762" w:right="0" w:hanging="461"/>
        <w:jc w:val="left"/>
        <w:rPr>
          <w:sz w:val="20"/>
        </w:rPr>
      </w:pPr>
      <w:r>
        <w:rPr>
          <w:sz w:val="20"/>
        </w:rPr>
        <w:t>Del IDICT y</w:t>
      </w:r>
      <w:r>
        <w:rPr>
          <w:spacing w:val="-7"/>
          <w:sz w:val="20"/>
        </w:rPr>
        <w:t> </w:t>
      </w:r>
      <w:r>
        <w:rPr>
          <w:sz w:val="20"/>
        </w:rPr>
        <w:t>sus funciones</w:t>
        <w:tab/>
        <w:t>544</w:t>
      </w:r>
    </w:p>
    <w:p>
      <w:pPr>
        <w:pStyle w:val="ListParagraph"/>
        <w:numPr>
          <w:ilvl w:val="2"/>
          <w:numId w:val="4"/>
        </w:numPr>
        <w:tabs>
          <w:tab w:pos="761" w:val="left" w:leader="none"/>
          <w:tab w:pos="762" w:val="left" w:leader="none"/>
          <w:tab w:pos="8630" w:val="left" w:leader="dot"/>
        </w:tabs>
        <w:spacing w:line="240" w:lineRule="auto" w:before="99" w:after="0"/>
        <w:ind w:left="762" w:right="0" w:hanging="461"/>
        <w:jc w:val="left"/>
        <w:rPr>
          <w:sz w:val="20"/>
        </w:rPr>
      </w:pPr>
      <w:r>
        <w:rPr>
          <w:sz w:val="20"/>
        </w:rPr>
        <w:t>Red de la Ciencia Cubana, acercándonos al</w:t>
      </w:r>
      <w:r>
        <w:rPr>
          <w:spacing w:val="-11"/>
          <w:sz w:val="20"/>
        </w:rPr>
        <w:t> </w:t>
      </w:r>
      <w:r>
        <w:rPr>
          <w:sz w:val="20"/>
        </w:rPr>
        <w:t>acceso</w:t>
      </w:r>
      <w:r>
        <w:rPr>
          <w:spacing w:val="-2"/>
          <w:sz w:val="20"/>
        </w:rPr>
        <w:t> </w:t>
      </w:r>
      <w:r>
        <w:rPr>
          <w:sz w:val="20"/>
        </w:rPr>
        <w:t>abierto</w:t>
        <w:tab/>
        <w:t>545</w:t>
      </w:r>
    </w:p>
    <w:p>
      <w:pPr>
        <w:pStyle w:val="ListParagraph"/>
        <w:numPr>
          <w:ilvl w:val="2"/>
          <w:numId w:val="4"/>
        </w:numPr>
        <w:tabs>
          <w:tab w:pos="761" w:val="left" w:leader="none"/>
          <w:tab w:pos="762" w:val="left" w:leader="none"/>
          <w:tab w:pos="8630" w:val="left" w:leader="dot"/>
        </w:tabs>
        <w:spacing w:line="240" w:lineRule="auto" w:before="101" w:after="0"/>
        <w:ind w:left="762" w:right="0" w:hanging="461"/>
        <w:jc w:val="left"/>
        <w:rPr>
          <w:sz w:val="20"/>
        </w:rPr>
      </w:pPr>
      <w:r>
        <w:rPr>
          <w:sz w:val="20"/>
        </w:rPr>
        <w:t>Conclusiones</w:t>
        <w:tab/>
        <w:t>549</w:t>
      </w:r>
    </w:p>
    <w:p>
      <w:pPr>
        <w:pStyle w:val="ListParagraph"/>
        <w:numPr>
          <w:ilvl w:val="2"/>
          <w:numId w:val="4"/>
        </w:numPr>
        <w:tabs>
          <w:tab w:pos="761" w:val="left" w:leader="none"/>
          <w:tab w:pos="762" w:val="left" w:leader="none"/>
          <w:tab w:pos="8630" w:val="left" w:leader="dot"/>
        </w:tabs>
        <w:spacing w:line="240" w:lineRule="auto" w:before="99" w:after="0"/>
        <w:ind w:left="762" w:right="0" w:hanging="461"/>
        <w:jc w:val="left"/>
        <w:rPr>
          <w:sz w:val="20"/>
        </w:rPr>
      </w:pPr>
      <w:r>
        <w:rPr>
          <w:sz w:val="20"/>
        </w:rPr>
        <w:t>Referencias</w:t>
        <w:tab/>
        <w:t>550</w:t>
      </w:r>
    </w:p>
    <w:p>
      <w:pPr>
        <w:tabs>
          <w:tab w:pos="8528" w:val="left" w:leader="dot"/>
        </w:tabs>
        <w:spacing w:before="101"/>
        <w:ind w:left="0" w:right="22" w:firstLine="0"/>
        <w:jc w:val="center"/>
        <w:rPr>
          <w:sz w:val="20"/>
        </w:rPr>
      </w:pPr>
      <w:r>
        <w:rPr>
          <w:sz w:val="20"/>
        </w:rPr>
        <w:t>AUTORES</w:t>
        <w:tab/>
        <w:t>552</w:t>
      </w:r>
    </w:p>
    <w:p>
      <w:pPr>
        <w:spacing w:after="0"/>
        <w:jc w:val="center"/>
        <w:rPr>
          <w:sz w:val="20"/>
        </w:rPr>
        <w:sectPr>
          <w:pgSz w:w="12240" w:h="15840"/>
          <w:pgMar w:header="733" w:footer="1460" w:top="1120" w:bottom="1660" w:left="1600" w:right="1580"/>
        </w:sectPr>
      </w:pPr>
    </w:p>
    <w:p>
      <w:pPr>
        <w:pStyle w:val="Heading1"/>
        <w:spacing w:line="360" w:lineRule="exact" w:before="284"/>
        <w:ind w:left="2051" w:right="232" w:hanging="1803"/>
      </w:pPr>
      <w:bookmarkStart w:name="_bookmark1" w:id="2"/>
      <w:bookmarkEnd w:id="2"/>
      <w:r>
        <w:rPr>
          <w:b w:val="0"/>
        </w:rPr>
      </w:r>
      <w:r>
        <w:rPr/>
        <w:t>III.6 REDALYC.ORG: NUEVE AÑOS HACIENDO VISIBLE LA CIENCIA IBEROAMERICANA</w:t>
      </w:r>
    </w:p>
    <w:p>
      <w:pPr>
        <w:spacing w:line="360" w:lineRule="exact" w:before="240"/>
        <w:ind w:left="3295" w:right="174" w:hanging="3123"/>
        <w:jc w:val="left"/>
        <w:rPr>
          <w:sz w:val="32"/>
        </w:rPr>
      </w:pPr>
      <w:r>
        <w:rPr>
          <w:spacing w:val="-5"/>
          <w:sz w:val="32"/>
        </w:rPr>
        <w:t>REDALYC: </w:t>
      </w:r>
      <w:r>
        <w:rPr>
          <w:sz w:val="32"/>
        </w:rPr>
        <w:t>NINE YEARS MAKING VISIBLE THE SCIENCE</w:t>
      </w:r>
      <w:r>
        <w:rPr>
          <w:spacing w:val="-50"/>
          <w:sz w:val="32"/>
        </w:rPr>
        <w:t> </w:t>
      </w:r>
      <w:r>
        <w:rPr>
          <w:sz w:val="32"/>
        </w:rPr>
        <w:t>IN IBERO-AMERICA</w:t>
      </w:r>
    </w:p>
    <w:p>
      <w:pPr>
        <w:spacing w:before="105"/>
        <w:ind w:left="122" w:right="0" w:firstLine="6442"/>
        <w:jc w:val="left"/>
        <w:rPr>
          <w:b/>
          <w:sz w:val="14"/>
        </w:rPr>
      </w:pPr>
      <w:r>
        <w:rPr>
          <w:b/>
          <w:sz w:val="22"/>
        </w:rPr>
        <w:t>Eduardo Aguado-López</w:t>
      </w:r>
      <w:r>
        <w:rPr>
          <w:b/>
          <w:position w:val="10"/>
          <w:sz w:val="14"/>
        </w:rPr>
        <w:t>88</w:t>
      </w:r>
    </w:p>
    <w:p>
      <w:pPr>
        <w:pStyle w:val="BodyText"/>
        <w:rPr>
          <w:b/>
          <w:sz w:val="26"/>
        </w:rPr>
      </w:pPr>
    </w:p>
    <w:p>
      <w:pPr>
        <w:pStyle w:val="BodyText"/>
        <w:rPr>
          <w:b/>
          <w:sz w:val="26"/>
        </w:rPr>
      </w:pPr>
    </w:p>
    <w:p>
      <w:pPr>
        <w:pStyle w:val="BodyText"/>
        <w:spacing w:before="4"/>
        <w:rPr>
          <w:b/>
          <w:sz w:val="25"/>
        </w:rPr>
      </w:pPr>
    </w:p>
    <w:p>
      <w:pPr>
        <w:spacing w:line="360" w:lineRule="auto" w:before="0"/>
        <w:ind w:left="122" w:right="118" w:firstLine="0"/>
        <w:jc w:val="both"/>
        <w:rPr>
          <w:sz w:val="22"/>
        </w:rPr>
      </w:pPr>
      <w:r>
        <w:rPr>
          <w:b/>
          <w:sz w:val="22"/>
        </w:rPr>
        <w:t>Resumen: </w:t>
      </w:r>
      <w:r>
        <w:rPr>
          <w:sz w:val="22"/>
        </w:rPr>
        <w:t>En el presente documento se analiza la distribución asimétrica del conocimiento científico, enfatizando la experiencia iberoamericana en el contexto internacional. Se destaca el papel de las revistas especializadas como parte central de la comunicación científica y su centralidad en la legitimación del conocimiento. En este contexto se plantea la experiencia del Sistema de Información Científica Redalyc, que a siete años de su creación se caracteriza por su adscripción a los postulados del acceso abierto a fin de coadyuvar a incentivar la visibilidad de las publicaciones editadas en y sobre</w:t>
      </w:r>
      <w:r>
        <w:rPr>
          <w:spacing w:val="-10"/>
          <w:sz w:val="22"/>
        </w:rPr>
        <w:t> </w:t>
      </w:r>
      <w:r>
        <w:rPr>
          <w:sz w:val="22"/>
        </w:rPr>
        <w:t>Iberoamérica.</w:t>
      </w:r>
    </w:p>
    <w:p>
      <w:pPr>
        <w:spacing w:line="360" w:lineRule="auto" w:before="127"/>
        <w:ind w:left="122" w:right="119" w:firstLine="0"/>
        <w:jc w:val="both"/>
        <w:rPr>
          <w:sz w:val="22"/>
        </w:rPr>
      </w:pPr>
      <w:r>
        <w:rPr>
          <w:sz w:val="22"/>
        </w:rPr>
        <w:t>Se enfatiza la necesidad de consolidar un sistema de información regional que promueva el acceso sin restricciones a las publicaciones como un mecanismo para consolidar los canales de comunicación científica, porque de ello depende la posibilidad de posicionar las investigación iberoamericana en el contexto internacional, por lo que Redalyc se posiciona como promotor de los postulados de la democratización del conocimiento en su distribución, consumo y consulta.</w:t>
      </w:r>
    </w:p>
    <w:p>
      <w:pPr>
        <w:spacing w:line="360" w:lineRule="auto" w:before="124"/>
        <w:ind w:left="122" w:right="120" w:firstLine="0"/>
        <w:jc w:val="both"/>
        <w:rPr>
          <w:i/>
          <w:sz w:val="22"/>
        </w:rPr>
      </w:pPr>
      <w:r>
        <w:rPr>
          <w:b/>
          <w:i/>
          <w:sz w:val="22"/>
        </w:rPr>
        <w:t>Palabras clave: </w:t>
      </w:r>
      <w:r>
        <w:rPr>
          <w:i/>
          <w:sz w:val="22"/>
        </w:rPr>
        <w:t>comunicación científica, revistas especializadas, acceso abierto, visibilidad, </w:t>
      </w:r>
      <w:r>
        <w:rPr>
          <w:i/>
          <w:sz w:val="22"/>
        </w:rPr>
        <w:t>sistemas de información.</w:t>
      </w:r>
    </w:p>
    <w:p>
      <w:pPr>
        <w:spacing w:line="360" w:lineRule="auto" w:before="124"/>
        <w:ind w:left="122" w:right="116" w:firstLine="0"/>
        <w:jc w:val="both"/>
        <w:rPr>
          <w:sz w:val="22"/>
        </w:rPr>
      </w:pPr>
      <w:r>
        <w:rPr>
          <w:b/>
          <w:sz w:val="22"/>
        </w:rPr>
        <w:t>Abstract: </w:t>
      </w:r>
      <w:r>
        <w:rPr>
          <w:sz w:val="22"/>
        </w:rPr>
        <w:t>In the present document the skew distribution of scientific knowledge is analyzed, emphasizing the Latin American experience in the international context. The paper of specialized journals as central part of the scientific communication and its importance in legitimating  knowledge stands out. Against this background, the experience of the “Scientific Information System: Redalyc” considers that to seven years of its creation is characterized by its allegiance to the “open access” postulates in order to help stimulating visibility of scientific production published in and about</w:t>
      </w:r>
      <w:r>
        <w:rPr>
          <w:spacing w:val="-4"/>
          <w:sz w:val="22"/>
        </w:rPr>
        <w:t> </w:t>
      </w:r>
      <w:r>
        <w:rPr>
          <w:sz w:val="22"/>
        </w:rPr>
        <w:t>Ibero-America.</w:t>
      </w:r>
    </w:p>
    <w:p>
      <w:pPr>
        <w:pStyle w:val="BodyText"/>
        <w:spacing w:before="9"/>
        <w:rPr>
          <w:sz w:val="23"/>
        </w:rPr>
      </w:pPr>
      <w:r>
        <w:rPr/>
        <w:pict>
          <v:line style="position:absolute;mso-position-horizontal-relative:page;mso-position-vertical-relative:paragraph;z-index:1168;mso-wrap-distance-left:0;mso-wrap-distance-right:0" from="85.103996pt,15.949766pt" to="229.123996pt,15.949766pt" stroked="true" strokeweight=".60004pt" strokecolor="#000000">
            <w10:wrap type="topAndBottom"/>
          </v:line>
        </w:pict>
      </w:r>
    </w:p>
    <w:p>
      <w:pPr>
        <w:spacing w:before="52"/>
        <w:ind w:left="405" w:right="130" w:hanging="284"/>
        <w:jc w:val="left"/>
        <w:rPr>
          <w:sz w:val="18"/>
        </w:rPr>
      </w:pPr>
      <w:r>
        <w:rPr>
          <w:position w:val="8"/>
          <w:sz w:val="12"/>
        </w:rPr>
        <w:t>88 </w:t>
      </w:r>
      <w:r>
        <w:rPr>
          <w:spacing w:val="-4"/>
          <w:sz w:val="18"/>
        </w:rPr>
        <w:t>Dr. </w:t>
      </w:r>
      <w:r>
        <w:rPr>
          <w:sz w:val="18"/>
        </w:rPr>
        <w:t>en Enseñanza Superior por el Centro de Investigación y Docencia en Humanidades del Estado de Morelos (CIDHEM). Profesor/investigador de la Facultad de Ciencias Políticas y Sociales de la UAEM. Fundador y director general de Sistema de Información Científica Redalyc. Sus principales líneas de investigación son los estudios sociales de la ciencia, nuevas tecnologías y acceso abierto, y epistemología. Ha publicad ocho libros, 14 capítulos para libros, 35 artículos, 52 conferencias internacionales y 125 conferencias</w:t>
      </w:r>
      <w:r>
        <w:rPr>
          <w:spacing w:val="-22"/>
          <w:sz w:val="18"/>
        </w:rPr>
        <w:t> </w:t>
      </w:r>
      <w:r>
        <w:rPr>
          <w:sz w:val="18"/>
        </w:rPr>
        <w:t>nacionales.</w:t>
      </w:r>
    </w:p>
    <w:p>
      <w:pPr>
        <w:spacing w:after="0"/>
        <w:jc w:val="left"/>
        <w:rPr>
          <w:sz w:val="18"/>
        </w:rPr>
        <w:sectPr>
          <w:footerReference w:type="default" r:id="rId13"/>
          <w:pgSz w:w="12240" w:h="15840"/>
          <w:pgMar w:footer="1433" w:header="733" w:top="1120" w:bottom="1620" w:left="1580" w:right="1580"/>
        </w:sectPr>
      </w:pPr>
    </w:p>
    <w:p>
      <w:pPr>
        <w:pStyle w:val="BodyText"/>
        <w:spacing w:before="11"/>
        <w:rPr>
          <w:sz w:val="18"/>
        </w:rPr>
      </w:pPr>
    </w:p>
    <w:p>
      <w:pPr>
        <w:spacing w:line="360" w:lineRule="auto" w:before="72"/>
        <w:ind w:left="102" w:right="119" w:firstLine="0"/>
        <w:jc w:val="both"/>
        <w:rPr>
          <w:sz w:val="22"/>
        </w:rPr>
      </w:pPr>
      <w:r>
        <w:rPr>
          <w:sz w:val="22"/>
        </w:rPr>
        <w:t>It is emphasized the necessity of consolidate a regional information system that promotes access without restrictions to publications as a mechanism to consolidate scientific communication channels, since on it depends the possibility of positioning Latin American investigation in the international context, reason why Redalyc is considered as a promoter of the democratization postulates of knowledge and its distribution, consumption and consults.</w:t>
      </w:r>
    </w:p>
    <w:p>
      <w:pPr>
        <w:spacing w:line="362" w:lineRule="auto" w:before="124"/>
        <w:ind w:left="102" w:right="121" w:firstLine="0"/>
        <w:jc w:val="both"/>
        <w:rPr>
          <w:i/>
          <w:sz w:val="22"/>
        </w:rPr>
      </w:pPr>
      <w:r>
        <w:rPr>
          <w:b/>
          <w:i/>
          <w:sz w:val="22"/>
        </w:rPr>
        <w:t>Key words: </w:t>
      </w:r>
      <w:r>
        <w:rPr>
          <w:i/>
          <w:sz w:val="22"/>
        </w:rPr>
        <w:t>Scientific communication, specialized journals, opens access, visibility, information </w:t>
      </w:r>
      <w:r>
        <w:rPr>
          <w:i/>
          <w:sz w:val="22"/>
        </w:rPr>
        <w:t>systems.</w:t>
      </w:r>
    </w:p>
    <w:p>
      <w:pPr>
        <w:pStyle w:val="BodyText"/>
        <w:spacing w:before="8"/>
        <w:rPr>
          <w:i/>
          <w:sz w:val="19"/>
        </w:rPr>
      </w:pPr>
    </w:p>
    <w:p>
      <w:pPr>
        <w:pStyle w:val="Heading2"/>
        <w:numPr>
          <w:ilvl w:val="0"/>
          <w:numId w:val="7"/>
        </w:numPr>
        <w:tabs>
          <w:tab w:pos="678" w:val="left" w:leader="none"/>
        </w:tabs>
        <w:spacing w:line="240" w:lineRule="auto" w:before="0" w:after="0"/>
        <w:ind w:left="678" w:right="0" w:hanging="576"/>
        <w:jc w:val="both"/>
      </w:pPr>
      <w:bookmarkStart w:name="_TOC_250002" w:id="3"/>
      <w:bookmarkStart w:name="_bookmark2" w:id="4"/>
      <w:r>
        <w:rPr>
          <w:b w:val="0"/>
        </w:rPr>
      </w:r>
      <w:bookmarkEnd w:id="4"/>
      <w:bookmarkStart w:name="_bookmark2" w:id="5"/>
      <w:r>
        <w:rPr/>
        <w:t>Int</w:t>
      </w:r>
      <w:bookmarkEnd w:id="3"/>
      <w:r>
        <w:rPr/>
        <w:t>roducción</w:t>
      </w:r>
    </w:p>
    <w:p>
      <w:pPr>
        <w:pStyle w:val="BodyText"/>
        <w:spacing w:line="360" w:lineRule="auto" w:before="248"/>
        <w:ind w:left="102" w:right="116"/>
        <w:jc w:val="both"/>
      </w:pPr>
      <w:r>
        <w:rPr/>
        <w:t>Se parte de la reflexión de que la actividad científica es medular en el análisis del fenómeno de la difusión de los resultados y avances de investigación. Si los hallazgos o conclusiones no son difundidos, no es posible la retroalimentación que permita la generación de conocimientos nuevos. Es imprescindible el análisis del papel de las tecnologías de la información y la comunicación (TIC) en este fenómeno, y sobre el impacto en los mecanismos tradicionales de difusión.</w:t>
      </w:r>
    </w:p>
    <w:p>
      <w:pPr>
        <w:pStyle w:val="BodyText"/>
        <w:spacing w:before="4"/>
        <w:rPr>
          <w:sz w:val="21"/>
        </w:rPr>
      </w:pPr>
    </w:p>
    <w:p>
      <w:pPr>
        <w:pStyle w:val="BodyText"/>
        <w:spacing w:line="360" w:lineRule="auto" w:before="1"/>
        <w:ind w:left="102" w:right="120"/>
        <w:jc w:val="both"/>
      </w:pPr>
      <w:r>
        <w:rPr/>
        <w:t>Una tendencia en la década de los noventa, cuando se generalizó su uso, fue pensar que las TIC conllevarían </w:t>
      </w:r>
      <w:r>
        <w:rPr>
          <w:i/>
        </w:rPr>
        <w:t>per se </w:t>
      </w:r>
      <w:r>
        <w:rPr/>
        <w:t>una mayor y mejor difusión de la información, incluido el conocimiento científico. Proliferó el empleo de términos como sociedad “de la información”, “digital”, “postindustrial” o “del conocimiento”. No obstante esa efervescencia, pronto apareció también el desencanto de muchos que esperaban fuera la vía para mejorar las condiciones de vida y una herramienta de ecualización económica, política y social. Se advirtió que este desarrollo tecnológico no era suficiente para aminorar las diferencias. Se escribió mucho respecto de la llamada “brecha digital” y se advirtió también que “la información cobra mayor relevancia y se convierte en factor clave en los procesos de cohesión, globalización, interconexión organizativa, informatización y producción del conocimiento” (Felicié, 2003:2).</w:t>
      </w:r>
    </w:p>
    <w:p>
      <w:pPr>
        <w:pStyle w:val="BodyText"/>
        <w:spacing w:before="3"/>
        <w:rPr>
          <w:sz w:val="21"/>
        </w:rPr>
      </w:pPr>
    </w:p>
    <w:p>
      <w:pPr>
        <w:pStyle w:val="BodyText"/>
        <w:spacing w:line="360" w:lineRule="auto"/>
        <w:ind w:left="102" w:right="120"/>
        <w:jc w:val="both"/>
      </w:pPr>
      <w:r>
        <w:rPr/>
        <w:t>La comunidad científica ha adoptado (desde sus orígenes y hasta la actualidad) el uso de las TIC como instrumento de difusión del conocimiento. En los años recientes, el desarrollo de las TIC ha propulsado importantes cambios y posibilidades tecnológicas para este proceso, al ofrecer plataformas  más robustas  y veloces  a la  comunicación científica,  en tanto   los</w:t>
      </w:r>
    </w:p>
    <w:p>
      <w:pPr>
        <w:spacing w:after="0" w:line="360" w:lineRule="auto"/>
        <w:jc w:val="both"/>
        <w:sectPr>
          <w:footerReference w:type="default" r:id="rId14"/>
          <w:pgSz w:w="12240" w:h="15840"/>
          <w:pgMar w:footer="1460" w:header="733" w:top="1120" w:bottom="1660" w:left="1600" w:right="1580"/>
        </w:sectPr>
      </w:pPr>
    </w:p>
    <w:p>
      <w:pPr>
        <w:pStyle w:val="BodyText"/>
        <w:spacing w:before="3"/>
        <w:rPr>
          <w:sz w:val="19"/>
        </w:rPr>
      </w:pPr>
    </w:p>
    <w:p>
      <w:pPr>
        <w:pStyle w:val="BodyText"/>
        <w:spacing w:line="360" w:lineRule="auto" w:before="69"/>
        <w:ind w:left="102" w:right="121"/>
        <w:jc w:val="both"/>
      </w:pPr>
      <w:r>
        <w:rPr/>
        <w:t>canales a los que se recurre son cada vez más dinámicos y especializados. No obstante, persisten asimetrías (sobre todo regionales) en la distribución y consumo de literatura científica, por lo que es necesaria la consolidación de espacios de investigación donde se realice el análisis y seguimiento de las tendencias de los procesos de difusión en Iberoamérica.</w:t>
      </w:r>
    </w:p>
    <w:p>
      <w:pPr>
        <w:pStyle w:val="BodyText"/>
        <w:spacing w:before="2"/>
        <w:rPr>
          <w:sz w:val="21"/>
        </w:rPr>
      </w:pPr>
    </w:p>
    <w:p>
      <w:pPr>
        <w:pStyle w:val="BodyText"/>
        <w:spacing w:line="360" w:lineRule="auto"/>
        <w:ind w:left="102" w:right="122"/>
        <w:jc w:val="both"/>
      </w:pPr>
      <w:r>
        <w:rPr/>
        <w:t>Ante este escenario, el reto de las comunidades científicas es obtener provecho de dicha tecnología; ello abre nuevos interrogantes y líneas de investigación encaminadas al análisis de las implicaciones del desarrollo de las TIC aplicadas a la actividad científica y la  difusión de sus hallazgos. Es en esta línea de análisis en la que se inscribe el trabajo realizado desde hace siete años por</w:t>
      </w:r>
      <w:r>
        <w:rPr>
          <w:spacing w:val="-9"/>
        </w:rPr>
        <w:t> </w:t>
      </w:r>
      <w:r>
        <w:rPr/>
        <w:t>Redalyc.</w:t>
      </w:r>
    </w:p>
    <w:p>
      <w:pPr>
        <w:pStyle w:val="BodyText"/>
        <w:spacing w:before="4"/>
        <w:rPr>
          <w:sz w:val="21"/>
        </w:rPr>
      </w:pPr>
    </w:p>
    <w:p>
      <w:pPr>
        <w:pStyle w:val="BodyText"/>
        <w:spacing w:line="360" w:lineRule="auto" w:before="1"/>
        <w:ind w:left="102" w:right="118"/>
        <w:jc w:val="both"/>
      </w:pPr>
      <w:r>
        <w:rPr/>
        <w:t>En este ensayo se problematiza sobre la distribución asimétrica del conocimiento científico y del acceso a la información en países iberoamericanos con la finalidad de contextualizar  la participación de las publicaciones regionales en el contexto internacional. Asimismo, se expone la función del Sistema de Información Científica Redalyc (SICR), como uno de los proyectos abocados a incrementar la visibilidad de la producción científica editorial iberoamericana; también se advierte sobre sus alcances y aportaciones para el  mejoramiento de la ciencia y la</w:t>
      </w:r>
      <w:r>
        <w:rPr>
          <w:spacing w:val="-8"/>
        </w:rPr>
        <w:t> </w:t>
      </w:r>
      <w:r>
        <w:rPr/>
        <w:t>tecnología.</w:t>
      </w:r>
    </w:p>
    <w:p>
      <w:pPr>
        <w:pStyle w:val="BodyText"/>
        <w:spacing w:before="8"/>
        <w:rPr>
          <w:sz w:val="20"/>
        </w:rPr>
      </w:pPr>
    </w:p>
    <w:p>
      <w:pPr>
        <w:pStyle w:val="Heading2"/>
        <w:numPr>
          <w:ilvl w:val="0"/>
          <w:numId w:val="7"/>
        </w:numPr>
        <w:tabs>
          <w:tab w:pos="677" w:val="left" w:leader="none"/>
          <w:tab w:pos="678" w:val="left" w:leader="none"/>
          <w:tab w:pos="8546" w:val="left" w:leader="none"/>
        </w:tabs>
        <w:spacing w:line="314" w:lineRule="exact" w:before="0" w:after="0"/>
        <w:ind w:left="678" w:right="122" w:hanging="576"/>
        <w:jc w:val="left"/>
      </w:pPr>
      <w:bookmarkStart w:name="_bookmark3" w:id="6"/>
      <w:bookmarkEnd w:id="6"/>
      <w:r>
        <w:rPr>
          <w:b w:val="0"/>
        </w:rPr>
      </w:r>
      <w:bookmarkStart w:name="_bookmark3" w:id="7"/>
      <w:bookmarkEnd w:id="7"/>
      <w:r>
        <w:rPr/>
        <w:t>L</w:t>
      </w:r>
      <w:r>
        <w:rPr/>
        <w:t>a  ausencia  de  visibilidad  de  la  ciencia   </w:t>
      </w:r>
      <w:r>
        <w:rPr>
          <w:spacing w:val="11"/>
        </w:rPr>
        <w:t> </w:t>
      </w:r>
      <w:r>
        <w:rPr/>
        <w:t>iberoamericana </w:t>
      </w:r>
      <w:r>
        <w:rPr>
          <w:spacing w:val="21"/>
        </w:rPr>
        <w:t> </w:t>
      </w:r>
      <w:r>
        <w:rPr/>
        <w:t>y</w:t>
        <w:tab/>
        <w:t>sus orígenes en los procesos de legitimación del </w:t>
      </w:r>
      <w:r>
        <w:rPr>
          <w:spacing w:val="17"/>
        </w:rPr>
        <w:t> </w:t>
      </w:r>
      <w:r>
        <w:rPr/>
        <w:t>conocimiento</w:t>
      </w:r>
    </w:p>
    <w:p>
      <w:pPr>
        <w:pStyle w:val="BodyText"/>
        <w:spacing w:line="360" w:lineRule="auto" w:before="248"/>
        <w:ind w:left="102" w:right="120"/>
        <w:jc w:val="both"/>
      </w:pPr>
      <w:r>
        <w:rPr/>
        <w:t>El artículo científico tiene la finalidad de ser el vínculo de comunicación entre especialistas, pues parte del trabajo de investigación necesita de la revisión permanente de literatura científica. Es fundamental que la información sea consultada por el mayor número de usuarios, porque se amplía la visibilidad y reconocimiento del trabajo académico, en tanto los investigadores que desarrollan proyectos o temáticas afines tienen la posibilidad de compartir experiencias, intercambiar técnicas y metodologías, promover intercambios de información, convenios de trabajo, publicaciones en colaboración aunque estén adscritos a diferentes instituciones.</w:t>
      </w:r>
    </w:p>
    <w:p>
      <w:pPr>
        <w:pStyle w:val="BodyText"/>
        <w:spacing w:before="2"/>
        <w:rPr>
          <w:sz w:val="21"/>
        </w:rPr>
      </w:pPr>
    </w:p>
    <w:p>
      <w:pPr>
        <w:pStyle w:val="BodyText"/>
        <w:ind w:left="102"/>
        <w:jc w:val="both"/>
      </w:pPr>
      <w:r>
        <w:rPr/>
        <w:t>Una característica ineludible de la comunicación científica es que requiere transitar por</w:t>
      </w:r>
    </w:p>
    <w:p>
      <w:pPr>
        <w:pStyle w:val="BodyText"/>
        <w:spacing w:before="4"/>
        <w:rPr>
          <w:sz w:val="18"/>
        </w:rPr>
      </w:pPr>
    </w:p>
    <w:p>
      <w:pPr>
        <w:pStyle w:val="BodyText"/>
        <w:spacing w:before="69"/>
        <w:ind w:right="117"/>
        <w:jc w:val="right"/>
      </w:pPr>
      <w:r>
        <w:rPr/>
        <w:t>479</w:t>
      </w:r>
    </w:p>
    <w:p>
      <w:pPr>
        <w:spacing w:after="0"/>
        <w:jc w:val="right"/>
        <w:sectPr>
          <w:footerReference w:type="default" r:id="rId15"/>
          <w:pgSz w:w="12240" w:h="15840"/>
          <w:pgMar w:footer="0" w:header="733" w:top="1120" w:bottom="280" w:left="1600" w:right="1580"/>
        </w:sectPr>
      </w:pPr>
    </w:p>
    <w:p>
      <w:pPr>
        <w:pStyle w:val="BodyText"/>
        <w:spacing w:before="3"/>
        <w:rPr>
          <w:sz w:val="19"/>
        </w:rPr>
      </w:pPr>
    </w:p>
    <w:p>
      <w:pPr>
        <w:pStyle w:val="BodyText"/>
        <w:spacing w:line="360" w:lineRule="auto" w:before="69"/>
        <w:ind w:left="102" w:right="117"/>
        <w:jc w:val="both"/>
      </w:pPr>
      <w:r>
        <w:rPr/>
        <w:t>diversos circuitos de comunicación para cumplir su cometido de eficacia, veracidad, firmeza, coherencia, innovación, aporte y retroalimentación, y el principal medio para este proceso son las revistas especializadas; son estas publicaciones, por tanto, también el principal medio de posicionamiento del conocimiento generado: las publicaciones que tienen mayor presencia legitiman y proyectan con mayor eficacia en el ámbito internacional las aportaciones científicas que publican.</w:t>
      </w:r>
    </w:p>
    <w:p>
      <w:pPr>
        <w:pStyle w:val="BodyText"/>
        <w:spacing w:before="4"/>
        <w:rPr>
          <w:sz w:val="21"/>
        </w:rPr>
      </w:pPr>
    </w:p>
    <w:p>
      <w:pPr>
        <w:pStyle w:val="BodyText"/>
        <w:spacing w:line="360" w:lineRule="auto" w:before="1"/>
        <w:ind w:left="102" w:right="121"/>
        <w:jc w:val="both"/>
      </w:pPr>
      <w:r>
        <w:rPr/>
        <w:t>Las revistas mejor posicionadas son aquellas evaluadas y que forman parte de los principales índices mundiales, mayoritariamente en idioma inglés. Son las que encabezan la denominada “corriente principal de la ciencia”.</w:t>
      </w:r>
    </w:p>
    <w:p>
      <w:pPr>
        <w:pStyle w:val="BodyText"/>
        <w:spacing w:before="3"/>
        <w:rPr>
          <w:sz w:val="21"/>
        </w:rPr>
      </w:pPr>
    </w:p>
    <w:p>
      <w:pPr>
        <w:pStyle w:val="BodyText"/>
        <w:spacing w:line="360" w:lineRule="auto"/>
        <w:ind w:left="102" w:right="121"/>
        <w:jc w:val="both"/>
      </w:pPr>
      <w:r>
        <w:rPr/>
        <w:t>El inicio de este fenómeno lo encontramos en la época posterior a la Segunda Guerra Mundial, cuando las inversiones en ciencia se incrementaron de manera notable. “El dinero produjo ciencia. Y la ciencia produjo artículos. Montañas de ellos. El resultado fue una enorme presión sobre las revistas existentes (y sobre muchas nuevas)” (Day, 2005). A partir de los cincuenta, el incremento en los subsidios a la ciencia repercutió directamente en el aumento de las vías de comunicación formal de los científicos, principalmente de las ciencias duras.</w:t>
      </w:r>
    </w:p>
    <w:p>
      <w:pPr>
        <w:pStyle w:val="BodyText"/>
        <w:spacing w:before="5"/>
        <w:rPr>
          <w:sz w:val="21"/>
        </w:rPr>
      </w:pPr>
    </w:p>
    <w:p>
      <w:pPr>
        <w:pStyle w:val="BodyText"/>
        <w:spacing w:line="357" w:lineRule="auto"/>
        <w:ind w:left="102" w:right="117"/>
        <w:jc w:val="both"/>
      </w:pPr>
      <w:r>
        <w:rPr/>
        <w:t>Así las cosas, se puede entender por qué el inglés se perfiló como el idioma dominante en los sistemas académicos; por qué las universidades de habla inglesa se encuentran ubicadas entre las mejores del mundo; por qué el sistema académico anglosajón recibe a casi la  mitad de estudiantes internacionales, y por qué las principales revistas académicas </w:t>
      </w:r>
      <w:r>
        <w:rPr>
          <w:rFonts w:ascii="Tahoma" w:hAnsi="Tahoma"/>
        </w:rPr>
        <w:t>—</w:t>
      </w:r>
      <w:r>
        <w:rPr/>
        <w:t>y los sistemas</w:t>
      </w:r>
      <w:r>
        <w:rPr>
          <w:spacing w:val="-5"/>
        </w:rPr>
        <w:t> </w:t>
      </w:r>
      <w:r>
        <w:rPr/>
        <w:t>de</w:t>
      </w:r>
      <w:r>
        <w:rPr>
          <w:spacing w:val="-5"/>
        </w:rPr>
        <w:t> </w:t>
      </w:r>
      <w:r>
        <w:rPr/>
        <w:t>indización</w:t>
      </w:r>
      <w:r>
        <w:rPr>
          <w:spacing w:val="-5"/>
        </w:rPr>
        <w:t> </w:t>
      </w:r>
      <w:r>
        <w:rPr/>
        <w:t>que</w:t>
      </w:r>
      <w:r>
        <w:rPr>
          <w:spacing w:val="-5"/>
        </w:rPr>
        <w:t> </w:t>
      </w:r>
      <w:r>
        <w:rPr/>
        <w:t>las</w:t>
      </w:r>
      <w:r>
        <w:rPr>
          <w:spacing w:val="-4"/>
        </w:rPr>
        <w:t> </w:t>
      </w:r>
      <w:r>
        <w:rPr/>
        <w:t>evalúan</w:t>
      </w:r>
      <w:r>
        <w:rPr>
          <w:spacing w:val="1"/>
        </w:rPr>
        <w:t> </w:t>
      </w:r>
      <w:r>
        <w:rPr/>
        <w:t>y</w:t>
      </w:r>
      <w:r>
        <w:rPr>
          <w:spacing w:val="-9"/>
        </w:rPr>
        <w:t> </w:t>
      </w:r>
      <w:r>
        <w:rPr/>
        <w:t>difunden</w:t>
      </w:r>
      <w:r>
        <w:rPr>
          <w:rFonts w:ascii="Tahoma" w:hAnsi="Tahoma"/>
        </w:rPr>
        <w:t>—</w:t>
      </w:r>
      <w:r>
        <w:rPr>
          <w:rFonts w:ascii="Tahoma" w:hAnsi="Tahoma"/>
          <w:spacing w:val="-20"/>
        </w:rPr>
        <w:t> </w:t>
      </w:r>
      <w:r>
        <w:rPr/>
        <w:t>son</w:t>
      </w:r>
      <w:r>
        <w:rPr>
          <w:spacing w:val="-5"/>
        </w:rPr>
        <w:t> </w:t>
      </w:r>
      <w:r>
        <w:rPr/>
        <w:t>en</w:t>
      </w:r>
      <w:r>
        <w:rPr>
          <w:spacing w:val="-3"/>
        </w:rPr>
        <w:t> </w:t>
      </w:r>
      <w:r>
        <w:rPr/>
        <w:t>inglés.</w:t>
      </w:r>
      <w:r>
        <w:rPr>
          <w:spacing w:val="-5"/>
        </w:rPr>
        <w:t> </w:t>
      </w:r>
      <w:r>
        <w:rPr/>
        <w:t>El</w:t>
      </w:r>
      <w:r>
        <w:rPr>
          <w:spacing w:val="-5"/>
        </w:rPr>
        <w:t> </w:t>
      </w:r>
      <w:r>
        <w:rPr/>
        <w:t>tamaño</w:t>
      </w:r>
      <w:r>
        <w:rPr>
          <w:spacing w:val="-3"/>
        </w:rPr>
        <w:t> </w:t>
      </w:r>
      <w:r>
        <w:rPr/>
        <w:t>y</w:t>
      </w:r>
      <w:r>
        <w:rPr>
          <w:spacing w:val="-7"/>
        </w:rPr>
        <w:t> </w:t>
      </w:r>
      <w:r>
        <w:rPr/>
        <w:t>la</w:t>
      </w:r>
      <w:r>
        <w:rPr>
          <w:spacing w:val="-4"/>
        </w:rPr>
        <w:t> </w:t>
      </w:r>
      <w:r>
        <w:rPr/>
        <w:t>riqueza</w:t>
      </w:r>
      <w:r>
        <w:rPr>
          <w:spacing w:val="-5"/>
        </w:rPr>
        <w:t> </w:t>
      </w:r>
      <w:r>
        <w:rPr/>
        <w:t>de los países, así como los agentes políticos, son factores determinantes en el orden jerárquico académico y científico (Altbach,</w:t>
      </w:r>
      <w:r>
        <w:rPr>
          <w:spacing w:val="-8"/>
        </w:rPr>
        <w:t> </w:t>
      </w:r>
      <w:r>
        <w:rPr/>
        <w:t>2007).</w:t>
      </w:r>
    </w:p>
    <w:p>
      <w:pPr>
        <w:pStyle w:val="BodyText"/>
        <w:spacing w:before="5"/>
        <w:rPr>
          <w:sz w:val="21"/>
        </w:rPr>
      </w:pPr>
    </w:p>
    <w:p>
      <w:pPr>
        <w:pStyle w:val="BodyText"/>
        <w:spacing w:line="360" w:lineRule="auto"/>
        <w:ind w:left="102" w:right="123"/>
        <w:jc w:val="both"/>
      </w:pPr>
      <w:r>
        <w:rPr/>
        <w:t>Desde la perspectiva de Bourdieu (2003), el grupo que mantiene el control en la generación del conocimiento cuenta con ventajas decisivas, porque es un punto de referencia obligado  y genera las normas aceptadas en su práctica. Así, las principales bases de datos se convierten en el referente en los procesos de selección y admisión de las publicaciones, es decir, señalan los criterios que definen su aceptación en el contexto</w:t>
      </w:r>
      <w:r>
        <w:rPr>
          <w:spacing w:val="-19"/>
        </w:rPr>
        <w:t> </w:t>
      </w:r>
      <w:r>
        <w:rPr/>
        <w:t>internacional.</w:t>
      </w:r>
    </w:p>
    <w:p>
      <w:pPr>
        <w:spacing w:after="0" w:line="360" w:lineRule="auto"/>
        <w:jc w:val="both"/>
        <w:sectPr>
          <w:footerReference w:type="default" r:id="rId16"/>
          <w:pgSz w:w="12240" w:h="15840"/>
          <w:pgMar w:footer="1433" w:header="733" w:top="1120" w:bottom="1620" w:left="1600" w:right="1580"/>
          <w:pgNumType w:start="480"/>
        </w:sectPr>
      </w:pPr>
    </w:p>
    <w:p>
      <w:pPr>
        <w:pStyle w:val="BodyText"/>
        <w:spacing w:before="2"/>
        <w:rPr>
          <w:sz w:val="15"/>
        </w:rPr>
      </w:pPr>
    </w:p>
    <w:p>
      <w:pPr>
        <w:pStyle w:val="BodyText"/>
        <w:spacing w:line="360" w:lineRule="auto" w:before="81"/>
        <w:ind w:left="122" w:right="111"/>
        <w:jc w:val="both"/>
      </w:pPr>
      <w:r>
        <w:rPr/>
        <w:t>Los sistemas de indexación</w:t>
      </w:r>
      <w:r>
        <w:rPr>
          <w:position w:val="11"/>
          <w:sz w:val="16"/>
        </w:rPr>
        <w:t>1 </w:t>
      </w:r>
      <w:r>
        <w:rPr/>
        <w:t>concentran la producción científica editorial. Las principales bases de datos cuentan con criterios de selección específicos que determinan la inclusión de ciertas revistas que, en su mayoría, se editan en Europa –destaca Inglaterra</w:t>
      </w:r>
      <w:r>
        <w:rPr>
          <w:rFonts w:ascii="Tahoma" w:hAnsi="Tahoma"/>
        </w:rPr>
        <w:t>— </w:t>
      </w:r>
      <w:r>
        <w:rPr/>
        <w:t>y Norteamérica (Estados Unidos y Canadá), y se publican preferentemente en inglés y pertenecen a las ciencias naturales y exactas. Esta situación pone en desventaja a  las revistas de otras regiones que publican en idiomas diferentes y son de ciencias sociales y humanidades, porque esas bases de datos se han constituido como el referente obligado  para consultar la producción científica más reciente </w:t>
      </w:r>
      <w:r>
        <w:rPr>
          <w:spacing w:val="-10"/>
        </w:rPr>
        <w:t>y, </w:t>
      </w:r>
      <w:r>
        <w:rPr/>
        <w:t>por lo tanto, la que más se</w:t>
      </w:r>
      <w:r>
        <w:rPr>
          <w:spacing w:val="-2"/>
        </w:rPr>
        <w:t> </w:t>
      </w:r>
      <w:r>
        <w:rPr/>
        <w:t>cita.</w:t>
      </w:r>
    </w:p>
    <w:p>
      <w:pPr>
        <w:pStyle w:val="BodyText"/>
        <w:spacing w:before="3"/>
        <w:rPr>
          <w:sz w:val="21"/>
        </w:rPr>
      </w:pPr>
    </w:p>
    <w:p>
      <w:pPr>
        <w:pStyle w:val="BodyText"/>
        <w:spacing w:line="360" w:lineRule="auto"/>
        <w:ind w:left="122" w:right="117"/>
        <w:jc w:val="both"/>
      </w:pPr>
      <w:r>
        <w:rPr/>
        <w:t>Esta condición de desventaja en la representación y presencia de la producción científica iberoamericana puede ilustrarse: basta con ingresar a las principales bases de datos especializadas en asuntos científicos en el mundo. Por ejemplo, según datos de la Red Iberoamericana de Indicadores de Ciencia y Tecnología (RICyT) (2002) la participación de los científicos latinoamericanos en la “corriente principal de la ciencia” –medida según el porcentaje de artículos firmados por autores de la región en las principales bases de datos que registran publicaciones científicas– era prácticamente nula: menos de 3%. Esto se debe a distintos factores: la baja inversión en ciencia y tecnología, la escasa participación de los científicos de la región en la “corriente principal de la ciencia” y el bajo impacto de su producción científica. Años después, “la presencia latinoamericana en las principales bases de datos internacionales mantuvo, en términos generales, el mismo perfil de años anteriores (RICyT, 2009).</w:t>
      </w:r>
    </w:p>
    <w:p>
      <w:pPr>
        <w:pStyle w:val="BodyText"/>
        <w:spacing w:before="2"/>
        <w:rPr>
          <w:sz w:val="21"/>
        </w:rPr>
      </w:pPr>
    </w:p>
    <w:p>
      <w:pPr>
        <w:pStyle w:val="BodyText"/>
        <w:spacing w:line="360" w:lineRule="auto"/>
        <w:ind w:left="122" w:right="116"/>
        <w:jc w:val="both"/>
      </w:pPr>
      <w:r>
        <w:rPr/>
        <w:pict>
          <v:line style="position:absolute;mso-position-horizontal-relative:page;mso-position-vertical-relative:paragraph;z-index:1192;mso-wrap-distance-left:0;mso-wrap-distance-right:0" from="85.103996pt,130.453094pt" to="229.123996pt,130.453094pt" stroked="true" strokeweight=".60004pt" strokecolor="#000000">
            <w10:wrap type="topAndBottom"/>
          </v:line>
        </w:pict>
      </w:r>
      <w:r>
        <w:rPr/>
        <w:t>La subrepresentación de la producción iberoamericana también puede mostrarse en la composición del Journal Citation Reports (JCR) de Thomson Reuters, que cubre más de 8 mil revistas de más de 200 disciplinas científicas, a partir de cuatro parámetros: mayor impacto, mayor frecuencia de uso, mayor demanda y revistas más grandes, donde en 2008 las ciencias sociales sólo cuentan con mil 985 revistas y sólo 32 son iberoamericanas, mientras de ciencias exactas</w:t>
      </w:r>
      <w:r>
        <w:rPr>
          <w:spacing w:val="51"/>
        </w:rPr>
        <w:t> </w:t>
      </w:r>
      <w:r>
        <w:rPr/>
        <w:t>y naturales son 6 mil 620 revistas, de las cuales 102 son</w:t>
      </w:r>
    </w:p>
    <w:p>
      <w:pPr>
        <w:tabs>
          <w:tab w:pos="405" w:val="left" w:leader="none"/>
        </w:tabs>
        <w:spacing w:before="52"/>
        <w:ind w:left="405" w:right="172" w:hanging="284"/>
        <w:jc w:val="left"/>
        <w:rPr>
          <w:sz w:val="18"/>
        </w:rPr>
      </w:pPr>
      <w:r>
        <w:rPr>
          <w:position w:val="8"/>
          <w:sz w:val="12"/>
        </w:rPr>
        <w:t>1</w:t>
        <w:tab/>
      </w:r>
      <w:r>
        <w:rPr>
          <w:sz w:val="18"/>
        </w:rPr>
        <w:t>El más influyente desde su fundación es el Institute for Scientific Information (ISI), creado en 1958</w:t>
      </w:r>
      <w:r>
        <w:rPr>
          <w:spacing w:val="-27"/>
          <w:sz w:val="18"/>
        </w:rPr>
        <w:t> </w:t>
      </w:r>
      <w:r>
        <w:rPr>
          <w:sz w:val="18"/>
        </w:rPr>
        <w:t>por</w:t>
      </w:r>
      <w:r>
        <w:rPr>
          <w:spacing w:val="-2"/>
          <w:sz w:val="18"/>
        </w:rPr>
        <w:t> </w:t>
      </w:r>
      <w:r>
        <w:rPr>
          <w:sz w:val="18"/>
        </w:rPr>
        <w:t>Eugene</w:t>
      </w:r>
      <w:r>
        <w:rPr>
          <w:w w:val="99"/>
          <w:sz w:val="18"/>
        </w:rPr>
        <w:t> </w:t>
      </w:r>
      <w:r>
        <w:rPr>
          <w:sz w:val="18"/>
        </w:rPr>
        <w:t>Garfield; actualmente se le conoce como Thomson Reuters, el cual surge de la unión de Thomson Corporation y Reuters Group PLC; el primero de ellos adquirió ISI y se le llamó Thomson Scientific (www.thomsonreuters.com). Por su parte, Elsevier apenas hace algunos años lanzó Scopus (www.scopus.com), opción que tiene en su acervo a las mismas revistas de Thomson Reuters y alrededor de ocho mil publicaciones más. Elsevier también mantiene un</w:t>
      </w:r>
      <w:r>
        <w:rPr>
          <w:spacing w:val="-28"/>
          <w:sz w:val="18"/>
        </w:rPr>
        <w:t> </w:t>
      </w:r>
      <w:r>
        <w:rPr>
          <w:sz w:val="18"/>
        </w:rPr>
        <w:t>portal con indicadores de acceso abierto: SCImago Journal y Country</w:t>
      </w:r>
      <w:r>
        <w:rPr>
          <w:spacing w:val="-22"/>
          <w:sz w:val="18"/>
        </w:rPr>
        <w:t> </w:t>
      </w:r>
      <w:r>
        <w:rPr>
          <w:sz w:val="18"/>
        </w:rPr>
        <w:t>Rank.</w:t>
      </w:r>
    </w:p>
    <w:p>
      <w:pPr>
        <w:spacing w:after="0"/>
        <w:jc w:val="left"/>
        <w:rPr>
          <w:sz w:val="18"/>
        </w:rPr>
        <w:sectPr>
          <w:pgSz w:w="12240" w:h="15840"/>
          <w:pgMar w:header="733" w:footer="1433" w:top="1120" w:bottom="1620" w:left="1580" w:right="1580"/>
        </w:sectPr>
      </w:pPr>
    </w:p>
    <w:p>
      <w:pPr>
        <w:pStyle w:val="BodyText"/>
        <w:spacing w:before="3"/>
        <w:rPr>
          <w:sz w:val="19"/>
        </w:rPr>
      </w:pPr>
    </w:p>
    <w:p>
      <w:pPr>
        <w:pStyle w:val="BodyText"/>
        <w:spacing w:line="360" w:lineRule="auto" w:before="69"/>
        <w:ind w:left="102" w:right="116"/>
        <w:jc w:val="both"/>
      </w:pPr>
      <w:r>
        <w:rPr/>
        <w:t>editadas en Iberoamérica. La conclusión es contundente: la producción científica iberoamericana no está presente en la principal base de datos especializada.</w:t>
      </w:r>
    </w:p>
    <w:p>
      <w:pPr>
        <w:pStyle w:val="BodyText"/>
        <w:spacing w:before="4"/>
        <w:rPr>
          <w:sz w:val="21"/>
        </w:rPr>
      </w:pPr>
    </w:p>
    <w:p>
      <w:pPr>
        <w:pStyle w:val="BodyText"/>
        <w:spacing w:line="360" w:lineRule="auto" w:before="1"/>
        <w:ind w:left="102" w:right="118"/>
        <w:jc w:val="both"/>
      </w:pPr>
      <w:r>
        <w:rPr/>
        <w:t>Investigaciones recientes muestran que la eficiencia del gasto en inversión y desarrollo depende, en gran medida, de la posibilidad de que sean transmitidos de forma eficiente los resultados y sean consumidos por los académicos a quienes van dirigidos. La brecha entre las “salidas” (artículos publicados y citados) es mayor que las “entradas” (gasto en inversión y</w:t>
      </w:r>
      <w:r>
        <w:rPr>
          <w:spacing w:val="-5"/>
        </w:rPr>
        <w:t> </w:t>
      </w:r>
      <w:r>
        <w:rPr/>
        <w:t>desarrollo).</w:t>
      </w:r>
    </w:p>
    <w:p>
      <w:pPr>
        <w:pStyle w:val="BodyText"/>
        <w:spacing w:before="2"/>
        <w:rPr>
          <w:sz w:val="21"/>
        </w:rPr>
      </w:pPr>
    </w:p>
    <w:p>
      <w:pPr>
        <w:pStyle w:val="BodyText"/>
        <w:spacing w:line="360" w:lineRule="auto"/>
        <w:ind w:left="102" w:right="118"/>
        <w:jc w:val="both"/>
      </w:pPr>
      <w:r>
        <w:rPr/>
        <w:t>Dicha polarización exige modificar los niveles de “salidas” (Dickson, 2004) y plantea la necesidad de participar activamente en la construcción-validación de la ciencia de los  países que no están incluidos en la “corriente principal de la ciencia”. La ampliación de la brecha muestra que no sólo basta con incrementar el peso relativo de la inversión en ciencia y desarrollo, sino que es igual de importante –o más– la eficacia alcanzada por la comunicación de la producción</w:t>
      </w:r>
      <w:r>
        <w:rPr>
          <w:spacing w:val="-7"/>
        </w:rPr>
        <w:t> </w:t>
      </w:r>
      <w:r>
        <w:rPr/>
        <w:t>científica.</w:t>
      </w:r>
    </w:p>
    <w:p>
      <w:pPr>
        <w:pStyle w:val="BodyText"/>
        <w:spacing w:before="2"/>
        <w:rPr>
          <w:sz w:val="21"/>
        </w:rPr>
      </w:pPr>
    </w:p>
    <w:p>
      <w:pPr>
        <w:pStyle w:val="BodyText"/>
        <w:spacing w:line="360" w:lineRule="auto"/>
        <w:ind w:left="102" w:right="118"/>
        <w:jc w:val="both"/>
      </w:pPr>
      <w:r>
        <w:rPr/>
        <w:t>La baja eficiencia en la comunicación de la producción científica ha llevado a que una considerable proporción de investigaciones realizadas en los países en desarrollo permanezca en la penumbra, situación que se torna más grave cuando se constata que si un investigador perteneciente a estos países publica en revistas de alto reconocimiento internacional, su factor de impacto es menor al de un investigador de los países que controlan la producción científica (Gibbs, 2001). De ahí que la debilidad, la falta de presencia y visibilidad internacional, el desconocimiento y la inadecuada valoración que experimentan las revistas producidas en la región latinoamericana se constituyan en una preocupación central de los actores de la producción científica (Cetto, 1998).</w:t>
      </w:r>
    </w:p>
    <w:p>
      <w:pPr>
        <w:pStyle w:val="BodyText"/>
        <w:spacing w:before="4"/>
        <w:rPr>
          <w:sz w:val="21"/>
        </w:rPr>
      </w:pPr>
    </w:p>
    <w:p>
      <w:pPr>
        <w:pStyle w:val="BodyText"/>
        <w:spacing w:line="360" w:lineRule="auto" w:before="1"/>
        <w:ind w:left="102" w:right="120"/>
        <w:jc w:val="both"/>
      </w:pPr>
      <w:r>
        <w:rPr/>
        <w:t>A grandes rasgos, el escenario de la producción científica latinoamericana a principios del siglo XXI es el siguiente:</w:t>
      </w:r>
    </w:p>
    <w:p>
      <w:pPr>
        <w:pStyle w:val="BodyText"/>
        <w:spacing w:before="2"/>
        <w:rPr>
          <w:sz w:val="21"/>
        </w:rPr>
      </w:pPr>
    </w:p>
    <w:p>
      <w:pPr>
        <w:pStyle w:val="ListParagraph"/>
        <w:numPr>
          <w:ilvl w:val="0"/>
          <w:numId w:val="8"/>
        </w:numPr>
        <w:tabs>
          <w:tab w:pos="821" w:val="left" w:leader="none"/>
          <w:tab w:pos="822" w:val="left" w:leader="none"/>
        </w:tabs>
        <w:spacing w:line="352" w:lineRule="auto" w:before="0" w:after="0"/>
        <w:ind w:left="822" w:right="127" w:hanging="360"/>
        <w:jc w:val="left"/>
        <w:rPr>
          <w:sz w:val="24"/>
        </w:rPr>
      </w:pPr>
      <w:r>
        <w:rPr>
          <w:sz w:val="24"/>
        </w:rPr>
        <w:t>Gran parte de la producción científica es desconocida, y su área de influencia es local o</w:t>
      </w:r>
      <w:r>
        <w:rPr>
          <w:spacing w:val="-4"/>
          <w:sz w:val="24"/>
        </w:rPr>
        <w:t> </w:t>
      </w:r>
      <w:r>
        <w:rPr>
          <w:sz w:val="24"/>
        </w:rPr>
        <w:t>limitada.</w:t>
      </w:r>
    </w:p>
    <w:p>
      <w:pPr>
        <w:pStyle w:val="ListParagraph"/>
        <w:numPr>
          <w:ilvl w:val="0"/>
          <w:numId w:val="8"/>
        </w:numPr>
        <w:tabs>
          <w:tab w:pos="821" w:val="left" w:leader="none"/>
          <w:tab w:pos="822" w:val="left" w:leader="none"/>
        </w:tabs>
        <w:spacing w:line="240" w:lineRule="auto" w:before="74" w:after="0"/>
        <w:ind w:left="822" w:right="0" w:hanging="360"/>
        <w:jc w:val="left"/>
        <w:rPr>
          <w:sz w:val="24"/>
        </w:rPr>
      </w:pPr>
      <w:r>
        <w:rPr>
          <w:sz w:val="24"/>
        </w:rPr>
        <w:t>Las  ciencias  sociales  permanecen  subrepresentadas  en  las  bases  de  datos  de</w:t>
      </w:r>
      <w:r>
        <w:rPr>
          <w:spacing w:val="15"/>
          <w:sz w:val="24"/>
        </w:rPr>
        <w:t> </w:t>
      </w:r>
      <w:r>
        <w:rPr>
          <w:sz w:val="24"/>
        </w:rPr>
        <w:t>la</w:t>
      </w:r>
    </w:p>
    <w:p>
      <w:pPr>
        <w:spacing w:after="0" w:line="240" w:lineRule="auto"/>
        <w:jc w:val="left"/>
        <w:rPr>
          <w:sz w:val="24"/>
        </w:rPr>
        <w:sectPr>
          <w:pgSz w:w="12240" w:h="15840"/>
          <w:pgMar w:header="733" w:footer="1433" w:top="1120" w:bottom="1660" w:left="1600" w:right="1580"/>
        </w:sectPr>
      </w:pPr>
    </w:p>
    <w:p>
      <w:pPr>
        <w:pStyle w:val="BodyText"/>
        <w:spacing w:before="3"/>
        <w:rPr>
          <w:sz w:val="19"/>
        </w:rPr>
      </w:pPr>
    </w:p>
    <w:p>
      <w:pPr>
        <w:pStyle w:val="BodyText"/>
        <w:spacing w:before="69"/>
        <w:ind w:left="821"/>
      </w:pPr>
      <w:r>
        <w:rPr/>
        <w:t>corriente “corriente principal de la ciencia”.</w:t>
      </w:r>
    </w:p>
    <w:p>
      <w:pPr>
        <w:pStyle w:val="ListParagraph"/>
        <w:numPr>
          <w:ilvl w:val="0"/>
          <w:numId w:val="8"/>
        </w:numPr>
        <w:tabs>
          <w:tab w:pos="821" w:val="left" w:leader="none"/>
          <w:tab w:pos="822" w:val="left" w:leader="none"/>
        </w:tabs>
        <w:spacing w:line="352" w:lineRule="auto" w:before="196" w:after="0"/>
        <w:ind w:left="822" w:right="121" w:hanging="360"/>
        <w:jc w:val="left"/>
        <w:rPr>
          <w:sz w:val="24"/>
        </w:rPr>
      </w:pPr>
      <w:r>
        <w:rPr>
          <w:sz w:val="24"/>
        </w:rPr>
        <w:t>Las revistas iberoamericanas difícilmente ingresan en las bases de datos prestigiadas.</w:t>
      </w:r>
    </w:p>
    <w:p>
      <w:pPr>
        <w:pStyle w:val="BodyText"/>
        <w:spacing w:before="10"/>
        <w:rPr>
          <w:sz w:val="21"/>
        </w:rPr>
      </w:pPr>
    </w:p>
    <w:p>
      <w:pPr>
        <w:pStyle w:val="BodyText"/>
        <w:spacing w:line="360" w:lineRule="auto"/>
        <w:ind w:left="102" w:right="117"/>
        <w:jc w:val="both"/>
      </w:pPr>
      <w:r>
        <w:rPr/>
        <w:t>Siguiendo el estudio de RICyT, en la arista económica del problema pueden verse algunos datos de manera resumida: en el año 2000 la inversión en investigación y desarrollo de Estados Unidos fue casi 30 veces más grande que la del conjunto de América Latina, la de la Unión Europea más de 15 veces mayor y la de Japón 10 veces. Canadá invirtió 50% más que la región en su conjunto. La brecha en la inversión –</w:t>
      </w:r>
      <w:r>
        <w:rPr>
          <w:i/>
        </w:rPr>
        <w:t>inputs</w:t>
      </w:r>
      <w:r>
        <w:rPr>
          <w:rFonts w:ascii="Tahoma" w:hAnsi="Tahoma"/>
        </w:rPr>
        <w:t>— </w:t>
      </w:r>
      <w:r>
        <w:rPr/>
        <w:t>crece cada día. Esto nos advierte sobre al menos dos situaciones que no se deberán perder de vista: el estancamiento de la inversión en la región, al tiempo que la Unión Europea, Japón y EU mantenían un ritmo ascendente, y la pérdida de participación de la región en la inversión mundial, debido a sus menores ritmos de crecimiento (RICyT, 2002).</w:t>
      </w:r>
    </w:p>
    <w:p>
      <w:pPr>
        <w:pStyle w:val="BodyText"/>
        <w:spacing w:before="4"/>
        <w:rPr>
          <w:sz w:val="21"/>
        </w:rPr>
      </w:pPr>
    </w:p>
    <w:p>
      <w:pPr>
        <w:pStyle w:val="BodyText"/>
        <w:spacing w:line="360" w:lineRule="auto" w:before="1"/>
        <w:ind w:left="102" w:right="119"/>
        <w:jc w:val="both"/>
      </w:pPr>
      <w:r>
        <w:rPr/>
        <w:t>Siguiendo los resultados del estado de la ciencia 2009 realizado la RICyT en el periodo 1998-2007 la inversión en investigación y desarrollo respecto al PIB de los países de América Latina y el Caribe (ALyC) aumentó en los últimos años a un ritmo algo mayor que el de los países industrializados, aunque no tanto como en otras regiones del mundo en desarrollo, pues en 2007 equivalía al 0.68% del PIB regional. La inversión de América del Norte (Estados Unidos, Canadá y México) es de 37.3%, más de 30 veces mayor a la de ALyC. Europa realiza una inversión de 31.9%, mientras Asia destina 26.5%. Las regiones con menor promedio son Oceanía, 1.9% y África, 0.3% (RICyT, 2009).</w:t>
      </w:r>
    </w:p>
    <w:p>
      <w:pPr>
        <w:pStyle w:val="BodyText"/>
        <w:spacing w:before="2"/>
        <w:rPr>
          <w:sz w:val="21"/>
        </w:rPr>
      </w:pPr>
    </w:p>
    <w:p>
      <w:pPr>
        <w:pStyle w:val="BodyText"/>
        <w:spacing w:line="360" w:lineRule="auto"/>
        <w:ind w:left="102" w:right="117"/>
        <w:jc w:val="both"/>
      </w:pPr>
      <w:r>
        <w:rPr/>
        <w:t>Más allá de la posibilidad o no de incrementar la inversión pública en materia de desarrollo científico y tecnológico en países con menores niveles de desarrollo relativo, cabe destacar que tanto la eficacia como la eficiencia de dicho gasto dependen de la posibilidad de que  los resultados sean transmitidos y consumidos por los integrantes de las comunidades científicas con las que se desea establecer diálogo. El que la comunicación científica en países con menor desarrollo sea poco eficaz orilla a que su propia producción científica – por más relevante que sea– permanezca en la penumbra, por lo que es necesario hacer eficientes los canales de comunicación utilizados por los investigadores</w:t>
      </w:r>
      <w:r>
        <w:rPr>
          <w:spacing w:val="-18"/>
        </w:rPr>
        <w:t> </w:t>
      </w:r>
      <w:r>
        <w:rPr/>
        <w:t>iberoamericanos.</w:t>
      </w:r>
    </w:p>
    <w:p>
      <w:pPr>
        <w:spacing w:after="0" w:line="360" w:lineRule="auto"/>
        <w:jc w:val="both"/>
        <w:sectPr>
          <w:pgSz w:w="12240" w:h="15840"/>
          <w:pgMar w:header="733" w:footer="1433" w:top="1120" w:bottom="1660" w:left="1600" w:right="1580"/>
        </w:sectPr>
      </w:pPr>
    </w:p>
    <w:p>
      <w:pPr>
        <w:pStyle w:val="BodyText"/>
        <w:spacing w:before="3"/>
        <w:rPr>
          <w:sz w:val="19"/>
        </w:rPr>
      </w:pPr>
    </w:p>
    <w:p>
      <w:pPr>
        <w:pStyle w:val="BodyText"/>
        <w:spacing w:line="345" w:lineRule="auto" w:before="69"/>
        <w:ind w:left="122" w:right="116"/>
        <w:jc w:val="both"/>
        <w:rPr>
          <w:sz w:val="16"/>
        </w:rPr>
      </w:pPr>
      <w:r>
        <w:rPr/>
        <w:t>Esta realidad de la producción científica iberoamericana desemboca en que no existen los elementos suficientes para estudiar su estructura y consumo, en consecuencia, medir también su impacto. De ahí deriva la importancia de desarrollar y apoyar los proyectos regionales encaminados a librar estos inconvenientes, como Dialnet,</w:t>
      </w:r>
      <w:r>
        <w:rPr>
          <w:position w:val="11"/>
          <w:sz w:val="16"/>
        </w:rPr>
        <w:t>2 </w:t>
      </w:r>
      <w:r>
        <w:rPr/>
        <w:t>e-journal,</w:t>
      </w:r>
      <w:r>
        <w:rPr>
          <w:position w:val="11"/>
          <w:sz w:val="16"/>
        </w:rPr>
        <w:t>3 </w:t>
      </w:r>
      <w:r>
        <w:rPr/>
        <w:t>e-revistas,</w:t>
      </w:r>
      <w:r>
        <w:rPr>
          <w:position w:val="11"/>
          <w:sz w:val="16"/>
        </w:rPr>
        <w:t>4 </w:t>
      </w:r>
      <w:r>
        <w:rPr/>
        <w:t>Redalyc y SciELO.</w:t>
      </w:r>
      <w:r>
        <w:rPr>
          <w:position w:val="11"/>
          <w:sz w:val="16"/>
        </w:rPr>
        <w:t>5</w:t>
      </w:r>
    </w:p>
    <w:p>
      <w:pPr>
        <w:pStyle w:val="BodyText"/>
        <w:spacing w:line="360" w:lineRule="auto" w:before="243"/>
        <w:ind w:left="122" w:right="116"/>
        <w:jc w:val="both"/>
      </w:pPr>
      <w:r>
        <w:rPr/>
        <w:t>Uno de los principales objetivos de estas iniciativas es aumentar la visibilidad e impacto de la producción científica editorial de la región, entendida como el incremento en su consulta y citación; esto es, que el conocimiento generado se posicione en el contexto internacional. Para lograrlo, el movimiento de acceso abierto brinda los elementos fundamentales.</w:t>
      </w:r>
    </w:p>
    <w:p>
      <w:pPr>
        <w:pStyle w:val="BodyText"/>
        <w:spacing w:line="352" w:lineRule="auto" w:before="209"/>
        <w:ind w:left="122" w:right="116"/>
        <w:jc w:val="both"/>
      </w:pPr>
      <w:r>
        <w:rPr/>
        <w:t>El acceso abierto se formalizó en los años 2002 y 2003 con las declaraciones de Budapest,</w:t>
      </w:r>
      <w:r>
        <w:rPr>
          <w:position w:val="11"/>
          <w:sz w:val="16"/>
        </w:rPr>
        <w:t>6 </w:t>
      </w:r>
      <w:r>
        <w:rPr/>
        <w:t>Bethesda</w:t>
      </w:r>
      <w:r>
        <w:rPr>
          <w:position w:val="11"/>
          <w:sz w:val="16"/>
        </w:rPr>
        <w:t>7 </w:t>
      </w:r>
      <w:r>
        <w:rPr/>
        <w:t>y Berlín,</w:t>
      </w:r>
      <w:r>
        <w:rPr>
          <w:position w:val="11"/>
          <w:sz w:val="16"/>
        </w:rPr>
        <w:t>8 </w:t>
      </w:r>
      <w:r>
        <w:rPr/>
        <w:t>tras las cuales se establecieron sus principales características: que los autores garanticen el libre acceso a los textos científicos a través de internet para su lectura, impresión, vaciado y distribución, sin impedimentos legales, técnicos o financieros, respetando las leyes de derecho de autor existentes.</w:t>
      </w:r>
    </w:p>
    <w:p>
      <w:pPr>
        <w:pStyle w:val="BodyText"/>
        <w:spacing w:before="1"/>
        <w:rPr>
          <w:sz w:val="22"/>
        </w:rPr>
      </w:pPr>
    </w:p>
    <w:p>
      <w:pPr>
        <w:pStyle w:val="BodyText"/>
        <w:spacing w:line="360" w:lineRule="auto"/>
        <w:ind w:left="122" w:right="118"/>
        <w:jc w:val="both"/>
      </w:pPr>
      <w:r>
        <w:rPr/>
        <w:t>Las revistas editadas en Estados Unidos y Europa tienen precios elevados por suscripción. A principios de siglo “se publicaban en el mundo unas 24 mil revistas que sacan a la luz unos 2 millones 500 mil artículos. No todas las revistas valen lo mismo, pero la suscripción de algunas, como </w:t>
      </w:r>
      <w:r>
        <w:rPr>
          <w:i/>
        </w:rPr>
        <w:t>Brain Research</w:t>
      </w:r>
      <w:r>
        <w:rPr/>
        <w:t>, alcanzan los 22 mil euros” (Lafuente, 2004). Esta situación representa un impedimento económico para que accedan la mayor parte de los países.</w:t>
      </w:r>
    </w:p>
    <w:p>
      <w:pPr>
        <w:pStyle w:val="BodyText"/>
        <w:spacing w:before="4"/>
        <w:rPr>
          <w:sz w:val="21"/>
        </w:rPr>
      </w:pPr>
    </w:p>
    <w:p>
      <w:pPr>
        <w:pStyle w:val="BodyText"/>
        <w:spacing w:before="1"/>
        <w:ind w:left="122"/>
        <w:jc w:val="both"/>
      </w:pPr>
      <w:r>
        <w:rPr/>
        <w:t>Desde  las  décadas  de  los  ochenta  y  noventa  se  postula  la  denominada  “crisis  de  las</w:t>
      </w:r>
    </w:p>
    <w:p>
      <w:pPr>
        <w:pStyle w:val="BodyText"/>
        <w:rPr>
          <w:sz w:val="20"/>
        </w:rPr>
      </w:pPr>
    </w:p>
    <w:p>
      <w:pPr>
        <w:pStyle w:val="BodyText"/>
        <w:spacing w:before="4"/>
        <w:rPr>
          <w:sz w:val="12"/>
        </w:rPr>
      </w:pPr>
      <w:r>
        <w:rPr/>
        <w:pict>
          <v:line style="position:absolute;mso-position-horizontal-relative:page;mso-position-vertical-relative:paragraph;z-index:1216;mso-wrap-distance-left:0;mso-wrap-distance-right:0" from="85.103996pt,9.36528pt" to="229.123996pt,9.36528pt" stroked="true" strokeweight=".599980pt" strokecolor="#000000">
            <w10:wrap type="topAndBottom"/>
          </v:line>
        </w:pict>
      </w:r>
    </w:p>
    <w:p>
      <w:pPr>
        <w:tabs>
          <w:tab w:pos="405" w:val="left" w:leader="none"/>
        </w:tabs>
        <w:spacing w:line="220" w:lineRule="exact" w:before="52"/>
        <w:ind w:left="122" w:right="232" w:firstLine="0"/>
        <w:jc w:val="left"/>
        <w:rPr>
          <w:sz w:val="18"/>
        </w:rPr>
      </w:pPr>
      <w:r>
        <w:rPr>
          <w:position w:val="8"/>
          <w:sz w:val="12"/>
        </w:rPr>
        <w:t>2</w:t>
        <w:tab/>
      </w:r>
      <w:r>
        <w:rPr>
          <w:sz w:val="18"/>
        </w:rPr>
        <w:t>Portal de difusión de la producción científica hispana:</w:t>
      </w:r>
      <w:r>
        <w:rPr>
          <w:spacing w:val="-18"/>
          <w:sz w:val="18"/>
        </w:rPr>
        <w:t> </w:t>
      </w:r>
      <w:hyperlink r:id="rId17">
        <w:r>
          <w:rPr>
            <w:sz w:val="18"/>
          </w:rPr>
          <w:t>http://dialnet.unirioja.es</w:t>
        </w:r>
      </w:hyperlink>
    </w:p>
    <w:p>
      <w:pPr>
        <w:tabs>
          <w:tab w:pos="405" w:val="left" w:leader="none"/>
        </w:tabs>
        <w:spacing w:line="208" w:lineRule="exact" w:before="0"/>
        <w:ind w:left="122" w:right="232" w:firstLine="0"/>
        <w:jc w:val="left"/>
        <w:rPr>
          <w:sz w:val="18"/>
        </w:rPr>
      </w:pPr>
      <w:r>
        <w:rPr>
          <w:position w:val="8"/>
          <w:sz w:val="12"/>
        </w:rPr>
        <w:t>3</w:t>
        <w:tab/>
      </w:r>
      <w:r>
        <w:rPr>
          <w:sz w:val="18"/>
        </w:rPr>
        <w:t>Revistas</w:t>
      </w:r>
      <w:r>
        <w:rPr>
          <w:spacing w:val="-7"/>
          <w:sz w:val="18"/>
        </w:rPr>
        <w:t> </w:t>
      </w:r>
      <w:r>
        <w:rPr>
          <w:sz w:val="18"/>
        </w:rPr>
        <w:t>especializadas</w:t>
      </w:r>
      <w:r>
        <w:rPr>
          <w:spacing w:val="-6"/>
          <w:sz w:val="18"/>
        </w:rPr>
        <w:t> </w:t>
      </w:r>
      <w:r>
        <w:rPr>
          <w:sz w:val="18"/>
        </w:rPr>
        <w:t>de</w:t>
      </w:r>
      <w:r>
        <w:rPr>
          <w:spacing w:val="-7"/>
          <w:sz w:val="18"/>
        </w:rPr>
        <w:t> </w:t>
      </w:r>
      <w:r>
        <w:rPr>
          <w:sz w:val="18"/>
        </w:rPr>
        <w:t>prestigio</w:t>
      </w:r>
      <w:r>
        <w:rPr>
          <w:spacing w:val="-5"/>
          <w:sz w:val="18"/>
        </w:rPr>
        <w:t> </w:t>
      </w:r>
      <w:r>
        <w:rPr>
          <w:sz w:val="18"/>
        </w:rPr>
        <w:t>en</w:t>
      </w:r>
      <w:r>
        <w:rPr>
          <w:spacing w:val="-5"/>
          <w:sz w:val="18"/>
        </w:rPr>
        <w:t> </w:t>
      </w:r>
      <w:r>
        <w:rPr>
          <w:sz w:val="18"/>
        </w:rPr>
        <w:t>formato</w:t>
      </w:r>
      <w:r>
        <w:rPr>
          <w:spacing w:val="-5"/>
          <w:sz w:val="18"/>
        </w:rPr>
        <w:t> </w:t>
      </w:r>
      <w:r>
        <w:rPr>
          <w:sz w:val="18"/>
        </w:rPr>
        <w:t>electrónico:</w:t>
      </w:r>
      <w:r>
        <w:rPr>
          <w:spacing w:val="-6"/>
          <w:sz w:val="18"/>
        </w:rPr>
        <w:t> </w:t>
      </w:r>
      <w:hyperlink r:id="rId18">
        <w:r>
          <w:rPr>
            <w:sz w:val="18"/>
          </w:rPr>
          <w:t>www.ejournal.unam.mx</w:t>
        </w:r>
      </w:hyperlink>
    </w:p>
    <w:p>
      <w:pPr>
        <w:tabs>
          <w:tab w:pos="405" w:val="left" w:leader="none"/>
        </w:tabs>
        <w:spacing w:line="207" w:lineRule="exact" w:before="0"/>
        <w:ind w:left="122" w:right="232" w:firstLine="0"/>
        <w:jc w:val="left"/>
        <w:rPr>
          <w:sz w:val="18"/>
        </w:rPr>
      </w:pPr>
      <w:r>
        <w:rPr>
          <w:position w:val="8"/>
          <w:sz w:val="12"/>
        </w:rPr>
        <w:t>4</w:t>
        <w:tab/>
      </w:r>
      <w:r>
        <w:rPr>
          <w:sz w:val="18"/>
        </w:rPr>
        <w:t>Plataforma</w:t>
      </w:r>
      <w:r>
        <w:rPr>
          <w:spacing w:val="-4"/>
          <w:sz w:val="18"/>
        </w:rPr>
        <w:t> </w:t>
      </w:r>
      <w:r>
        <w:rPr>
          <w:i/>
          <w:sz w:val="18"/>
        </w:rPr>
        <w:t>open</w:t>
      </w:r>
      <w:r>
        <w:rPr>
          <w:i/>
          <w:spacing w:val="-3"/>
          <w:sz w:val="18"/>
        </w:rPr>
        <w:t> </w:t>
      </w:r>
      <w:r>
        <w:rPr>
          <w:i/>
          <w:sz w:val="18"/>
        </w:rPr>
        <w:t>access</w:t>
      </w:r>
      <w:r>
        <w:rPr>
          <w:i/>
          <w:spacing w:val="-4"/>
          <w:sz w:val="18"/>
        </w:rPr>
        <w:t> </w:t>
      </w:r>
      <w:r>
        <w:rPr>
          <w:sz w:val="18"/>
        </w:rPr>
        <w:t>de</w:t>
      </w:r>
      <w:r>
        <w:rPr>
          <w:spacing w:val="-5"/>
          <w:sz w:val="18"/>
        </w:rPr>
        <w:t> </w:t>
      </w:r>
      <w:r>
        <w:rPr>
          <w:sz w:val="18"/>
        </w:rPr>
        <w:t>revistas</w:t>
      </w:r>
      <w:r>
        <w:rPr>
          <w:spacing w:val="-5"/>
          <w:sz w:val="18"/>
        </w:rPr>
        <w:t> </w:t>
      </w:r>
      <w:r>
        <w:rPr>
          <w:sz w:val="18"/>
        </w:rPr>
        <w:t>científicas</w:t>
      </w:r>
      <w:r>
        <w:rPr>
          <w:spacing w:val="-4"/>
          <w:sz w:val="18"/>
        </w:rPr>
        <w:t> </w:t>
      </w:r>
      <w:r>
        <w:rPr>
          <w:sz w:val="18"/>
        </w:rPr>
        <w:t>electrónicas</w:t>
      </w:r>
      <w:r>
        <w:rPr>
          <w:spacing w:val="-4"/>
          <w:sz w:val="18"/>
        </w:rPr>
        <w:t> </w:t>
      </w:r>
      <w:r>
        <w:rPr>
          <w:sz w:val="18"/>
        </w:rPr>
        <w:t>españolas</w:t>
      </w:r>
      <w:r>
        <w:rPr>
          <w:spacing w:val="-4"/>
          <w:sz w:val="18"/>
        </w:rPr>
        <w:t> </w:t>
      </w:r>
      <w:r>
        <w:rPr>
          <w:sz w:val="18"/>
        </w:rPr>
        <w:t>y</w:t>
      </w:r>
      <w:r>
        <w:rPr>
          <w:spacing w:val="-8"/>
          <w:sz w:val="18"/>
        </w:rPr>
        <w:t> </w:t>
      </w:r>
      <w:r>
        <w:rPr>
          <w:sz w:val="18"/>
        </w:rPr>
        <w:t>latinoamericana:</w:t>
      </w:r>
      <w:r>
        <w:rPr>
          <w:spacing w:val="-1"/>
          <w:sz w:val="18"/>
        </w:rPr>
        <w:t> </w:t>
      </w:r>
      <w:hyperlink r:id="rId19">
        <w:r>
          <w:rPr>
            <w:sz w:val="18"/>
          </w:rPr>
          <w:t>www.erevistas.csic.es</w:t>
        </w:r>
      </w:hyperlink>
    </w:p>
    <w:p>
      <w:pPr>
        <w:tabs>
          <w:tab w:pos="405" w:val="left" w:leader="none"/>
        </w:tabs>
        <w:spacing w:line="207" w:lineRule="exact" w:before="0"/>
        <w:ind w:left="122" w:right="232" w:firstLine="0"/>
        <w:jc w:val="left"/>
        <w:rPr>
          <w:sz w:val="18"/>
        </w:rPr>
      </w:pPr>
      <w:r>
        <w:rPr>
          <w:position w:val="8"/>
          <w:sz w:val="12"/>
        </w:rPr>
        <w:t>5</w:t>
        <w:tab/>
      </w:r>
      <w:r>
        <w:rPr>
          <w:sz w:val="18"/>
        </w:rPr>
        <w:t>Scientific Electronic Library Online:</w:t>
      </w:r>
      <w:r>
        <w:rPr>
          <w:spacing w:val="-27"/>
          <w:sz w:val="18"/>
        </w:rPr>
        <w:t> </w:t>
      </w:r>
      <w:hyperlink r:id="rId20">
        <w:r>
          <w:rPr>
            <w:sz w:val="18"/>
          </w:rPr>
          <w:t>www.scielo.org</w:t>
        </w:r>
      </w:hyperlink>
    </w:p>
    <w:p>
      <w:pPr>
        <w:tabs>
          <w:tab w:pos="405" w:val="left" w:leader="none"/>
        </w:tabs>
        <w:spacing w:line="219" w:lineRule="exact" w:before="0"/>
        <w:ind w:left="122" w:right="0" w:firstLine="0"/>
        <w:jc w:val="left"/>
        <w:rPr>
          <w:sz w:val="18"/>
        </w:rPr>
      </w:pPr>
      <w:r>
        <w:rPr>
          <w:position w:val="8"/>
          <w:sz w:val="12"/>
        </w:rPr>
        <w:t>6</w:t>
        <w:tab/>
      </w:r>
      <w:r>
        <w:rPr>
          <w:sz w:val="18"/>
        </w:rPr>
        <w:t>Reunión en Budapest, Hungría, en el marco de la Conferencia Mundial sobre la Ciencia para el siglo XXI,</w:t>
      </w:r>
      <w:r>
        <w:rPr>
          <w:spacing w:val="-31"/>
          <w:sz w:val="18"/>
        </w:rPr>
        <w:t> </w:t>
      </w:r>
      <w:r>
        <w:rPr>
          <w:sz w:val="18"/>
        </w:rPr>
        <w:t>organizada</w:t>
      </w:r>
    </w:p>
    <w:p>
      <w:pPr>
        <w:spacing w:before="2"/>
        <w:ind w:left="405" w:right="232" w:firstLine="0"/>
        <w:jc w:val="left"/>
        <w:rPr>
          <w:sz w:val="18"/>
        </w:rPr>
      </w:pPr>
      <w:r>
        <w:rPr>
          <w:sz w:val="18"/>
        </w:rPr>
        <w:t>por la Organización de las Naciones Unidas para la Educación, la Ciencia y la Cultura-International Council for Science </w:t>
      </w:r>
      <w:hyperlink r:id="rId21">
        <w:r>
          <w:rPr>
            <w:sz w:val="18"/>
          </w:rPr>
          <w:t>(htt</w:t>
        </w:r>
      </w:hyperlink>
      <w:r>
        <w:rPr>
          <w:sz w:val="18"/>
        </w:rPr>
        <w:t>p</w:t>
      </w:r>
      <w:hyperlink r:id="rId21">
        <w:r>
          <w:rPr>
            <w:sz w:val="18"/>
          </w:rPr>
          <w:t>://www.oei.es/</w:t>
        </w:r>
      </w:hyperlink>
      <w:r>
        <w:rPr>
          <w:sz w:val="18"/>
        </w:rPr>
        <w:t> salactsi/budapestdec.htm).</w:t>
      </w:r>
    </w:p>
    <w:p>
      <w:pPr>
        <w:tabs>
          <w:tab w:pos="405" w:val="left" w:leader="none"/>
        </w:tabs>
        <w:spacing w:line="206" w:lineRule="exact" w:before="2"/>
        <w:ind w:left="405" w:right="670" w:hanging="284"/>
        <w:jc w:val="left"/>
        <w:rPr>
          <w:sz w:val="18"/>
        </w:rPr>
      </w:pPr>
      <w:r>
        <w:rPr>
          <w:position w:val="8"/>
          <w:sz w:val="12"/>
        </w:rPr>
        <w:t>7</w:t>
        <w:tab/>
      </w:r>
      <w:r>
        <w:rPr>
          <w:sz w:val="18"/>
        </w:rPr>
        <w:t>Reunión en el Howard Hughes Medical Institute en Chevy Chase, Maryland, en abril de 2003, donde</w:t>
      </w:r>
      <w:r>
        <w:rPr>
          <w:spacing w:val="-30"/>
          <w:sz w:val="18"/>
        </w:rPr>
        <w:t> </w:t>
      </w:r>
      <w:r>
        <w:rPr>
          <w:sz w:val="18"/>
        </w:rPr>
        <w:t>se</w:t>
      </w:r>
      <w:r>
        <w:rPr>
          <w:spacing w:val="-3"/>
          <w:sz w:val="18"/>
        </w:rPr>
        <w:t> </w:t>
      </w:r>
      <w:r>
        <w:rPr>
          <w:sz w:val="18"/>
        </w:rPr>
        <w:t>acordó compartir</w:t>
      </w:r>
      <w:r>
        <w:rPr>
          <w:spacing w:val="-2"/>
          <w:sz w:val="18"/>
        </w:rPr>
        <w:t> </w:t>
      </w:r>
      <w:r>
        <w:rPr>
          <w:sz w:val="18"/>
        </w:rPr>
        <w:t>los</w:t>
      </w:r>
      <w:r>
        <w:rPr>
          <w:spacing w:val="-2"/>
          <w:sz w:val="18"/>
        </w:rPr>
        <w:t> </w:t>
      </w:r>
      <w:r>
        <w:rPr>
          <w:sz w:val="18"/>
        </w:rPr>
        <w:t>resultados</w:t>
      </w:r>
      <w:r>
        <w:rPr>
          <w:spacing w:val="-5"/>
          <w:sz w:val="18"/>
        </w:rPr>
        <w:t> </w:t>
      </w:r>
      <w:r>
        <w:rPr>
          <w:sz w:val="18"/>
        </w:rPr>
        <w:t>de</w:t>
      </w:r>
      <w:r>
        <w:rPr>
          <w:spacing w:val="-3"/>
          <w:sz w:val="18"/>
        </w:rPr>
        <w:t> </w:t>
      </w:r>
      <w:r>
        <w:rPr>
          <w:sz w:val="18"/>
        </w:rPr>
        <w:t>investigaciones</w:t>
      </w:r>
      <w:r>
        <w:rPr>
          <w:spacing w:val="-2"/>
          <w:sz w:val="18"/>
        </w:rPr>
        <w:t> </w:t>
      </w:r>
      <w:r>
        <w:rPr>
          <w:sz w:val="18"/>
        </w:rPr>
        <w:t>de</w:t>
      </w:r>
      <w:r>
        <w:rPr>
          <w:spacing w:val="-3"/>
          <w:sz w:val="18"/>
        </w:rPr>
        <w:t> </w:t>
      </w:r>
      <w:r>
        <w:rPr>
          <w:sz w:val="18"/>
        </w:rPr>
        <w:t>manera</w:t>
      </w:r>
      <w:r>
        <w:rPr>
          <w:spacing w:val="-3"/>
          <w:sz w:val="18"/>
        </w:rPr>
        <w:t> </w:t>
      </w:r>
      <w:r>
        <w:rPr>
          <w:sz w:val="18"/>
        </w:rPr>
        <w:t>amplia y</w:t>
      </w:r>
      <w:r>
        <w:rPr>
          <w:spacing w:val="-6"/>
          <w:sz w:val="18"/>
        </w:rPr>
        <w:t> </w:t>
      </w:r>
      <w:r>
        <w:rPr>
          <w:sz w:val="18"/>
        </w:rPr>
        <w:t>efectiva,</w:t>
      </w:r>
      <w:r>
        <w:rPr>
          <w:spacing w:val="-2"/>
          <w:sz w:val="18"/>
        </w:rPr>
        <w:t> </w:t>
      </w:r>
      <w:r>
        <w:rPr>
          <w:sz w:val="18"/>
        </w:rPr>
        <w:t>para</w:t>
      </w:r>
      <w:r>
        <w:rPr>
          <w:spacing w:val="-3"/>
          <w:sz w:val="18"/>
        </w:rPr>
        <w:t> </w:t>
      </w:r>
      <w:r>
        <w:rPr>
          <w:sz w:val="18"/>
        </w:rPr>
        <w:t>lo</w:t>
      </w:r>
      <w:r>
        <w:rPr>
          <w:spacing w:val="-1"/>
          <w:sz w:val="18"/>
        </w:rPr>
        <w:t> </w:t>
      </w:r>
      <w:r>
        <w:rPr>
          <w:sz w:val="18"/>
        </w:rPr>
        <w:t>cual</w:t>
      </w:r>
      <w:r>
        <w:rPr>
          <w:spacing w:val="-2"/>
          <w:sz w:val="18"/>
        </w:rPr>
        <w:t> </w:t>
      </w:r>
      <w:r>
        <w:rPr>
          <w:sz w:val="18"/>
        </w:rPr>
        <w:t>internet</w:t>
      </w:r>
      <w:r>
        <w:rPr>
          <w:spacing w:val="-4"/>
          <w:sz w:val="18"/>
        </w:rPr>
        <w:t> </w:t>
      </w:r>
      <w:r>
        <w:rPr>
          <w:sz w:val="18"/>
        </w:rPr>
        <w:t>brinda</w:t>
      </w:r>
      <w:r>
        <w:rPr>
          <w:spacing w:val="-5"/>
          <w:sz w:val="18"/>
        </w:rPr>
        <w:t> </w:t>
      </w:r>
      <w:r>
        <w:rPr>
          <w:sz w:val="18"/>
        </w:rPr>
        <w:t>grandes</w:t>
      </w:r>
    </w:p>
    <w:p>
      <w:pPr>
        <w:spacing w:line="206" w:lineRule="exact" w:before="0"/>
        <w:ind w:left="405" w:right="232" w:firstLine="0"/>
        <w:jc w:val="left"/>
        <w:rPr>
          <w:sz w:val="18"/>
        </w:rPr>
      </w:pPr>
      <w:r>
        <w:rPr>
          <w:sz w:val="18"/>
        </w:rPr>
        <w:t>posibilidades </w:t>
      </w:r>
      <w:hyperlink r:id="rId22">
        <w:r>
          <w:rPr>
            <w:sz w:val="18"/>
          </w:rPr>
          <w:t>(htt</w:t>
        </w:r>
      </w:hyperlink>
      <w:r>
        <w:rPr>
          <w:sz w:val="18"/>
        </w:rPr>
        <w:t>p</w:t>
      </w:r>
      <w:hyperlink r:id="rId22">
        <w:r>
          <w:rPr>
            <w:sz w:val="18"/>
          </w:rPr>
          <w:t>://ictlogy.net/articles/</w:t>
        </w:r>
      </w:hyperlink>
      <w:r>
        <w:rPr>
          <w:sz w:val="18"/>
        </w:rPr>
        <w:t> bethesda_es.html).</w:t>
      </w:r>
    </w:p>
    <w:p>
      <w:pPr>
        <w:spacing w:before="0"/>
        <w:ind w:left="405" w:right="494" w:hanging="284"/>
        <w:jc w:val="both"/>
        <w:rPr>
          <w:sz w:val="18"/>
        </w:rPr>
      </w:pPr>
      <w:r>
        <w:rPr>
          <w:sz w:val="18"/>
        </w:rPr>
        <w:t>8 Reunión en Berlín, Alemania, convocada por la Sociedad Max Planck en octubre del 2003, suscrita por diferentes representantes y científicos de países europeos, donde se pidió que los autores garanticen a todos los usuarios por igual el derecho de acceder a su trabajo </w:t>
      </w:r>
      <w:hyperlink r:id="rId23">
        <w:r>
          <w:rPr>
            <w:sz w:val="18"/>
          </w:rPr>
          <w:t>(www</w:t>
        </w:r>
      </w:hyperlink>
      <w:r>
        <w:rPr>
          <w:sz w:val="18"/>
        </w:rPr>
        <w:t>.</w:t>
      </w:r>
      <w:hyperlink r:id="rId23">
        <w:r>
          <w:rPr>
            <w:sz w:val="18"/>
          </w:rPr>
          <w:t>geotropico.org/1_2_Documentos_Berlin.html).</w:t>
        </w:r>
      </w:hyperlink>
    </w:p>
    <w:p>
      <w:pPr>
        <w:spacing w:after="0"/>
        <w:jc w:val="both"/>
        <w:rPr>
          <w:sz w:val="18"/>
        </w:rPr>
        <w:sectPr>
          <w:pgSz w:w="12240" w:h="15840"/>
          <w:pgMar w:header="733" w:footer="1433" w:top="1120" w:bottom="1620" w:left="1580" w:right="1580"/>
        </w:sectPr>
      </w:pPr>
    </w:p>
    <w:p>
      <w:pPr>
        <w:pStyle w:val="BodyText"/>
        <w:spacing w:before="3"/>
        <w:rPr>
          <w:sz w:val="19"/>
        </w:rPr>
      </w:pPr>
    </w:p>
    <w:p>
      <w:pPr>
        <w:pStyle w:val="BodyText"/>
        <w:spacing w:before="69"/>
        <w:ind w:left="102"/>
        <w:jc w:val="both"/>
        <w:rPr>
          <w:i/>
        </w:rPr>
      </w:pPr>
      <w:r>
        <w:rPr/>
        <w:t>revistas”, gestada por los siguientes problemas: </w:t>
      </w:r>
      <w:r>
        <w:rPr>
          <w:i/>
        </w:rPr>
        <w:t>a) </w:t>
      </w:r>
      <w:r>
        <w:rPr/>
        <w:t>elevados precios de las revistas y </w:t>
      </w:r>
      <w:r>
        <w:rPr>
          <w:i/>
        </w:rPr>
        <w:t>b)</w:t>
      </w:r>
    </w:p>
    <w:p>
      <w:pPr>
        <w:pStyle w:val="BodyText"/>
        <w:spacing w:before="137"/>
        <w:ind w:left="102"/>
        <w:jc w:val="both"/>
      </w:pPr>
      <w:r>
        <w:rPr/>
        <w:t>grandes demoras entre la fecha que se escribe un artículo y su publicación en la revista.</w:t>
      </w:r>
    </w:p>
    <w:p>
      <w:pPr>
        <w:pStyle w:val="BodyText"/>
        <w:spacing w:before="11"/>
        <w:rPr>
          <w:sz w:val="32"/>
        </w:rPr>
      </w:pPr>
    </w:p>
    <w:p>
      <w:pPr>
        <w:pStyle w:val="BodyText"/>
        <w:spacing w:line="360" w:lineRule="auto"/>
        <w:ind w:left="102" w:right="120"/>
        <w:jc w:val="both"/>
      </w:pPr>
      <w:r>
        <w:rPr/>
        <w:t>Según el Consejo Europeo de Investigación hay más de 24 mil publicaciones científicas en el “mercado”, lo que supone, según su informe </w:t>
      </w:r>
      <w:r>
        <w:rPr>
          <w:i/>
        </w:rPr>
        <w:t>Scientific Publication: Policy on Open </w:t>
      </w:r>
      <w:r>
        <w:rPr>
          <w:i/>
        </w:rPr>
        <w:t>Access, </w:t>
      </w:r>
      <w:r>
        <w:rPr/>
        <w:t>que las instituciones académicas apenas pueden acceder a una pequeña fracción de todo ese conocimiento. Dicha situación ha provocado que las iniciativas de AA se incluyan rápidamente entre la comunidad científica internacional, pues son un mecanismo idóneo para difundir informes, avances y resultados de investigación de forma dinámica y libre de restricciones comerciales; de esta manera se busca incrementar la visibilidad de los  artículos científicos (véase CINDOC/CSIC,</w:t>
      </w:r>
      <w:r>
        <w:rPr>
          <w:spacing w:val="-11"/>
        </w:rPr>
        <w:t> </w:t>
      </w:r>
      <w:r>
        <w:rPr/>
        <w:t>2009).</w:t>
      </w:r>
    </w:p>
    <w:p>
      <w:pPr>
        <w:pStyle w:val="BodyText"/>
        <w:spacing w:before="10"/>
        <w:rPr>
          <w:sz w:val="20"/>
        </w:rPr>
      </w:pPr>
    </w:p>
    <w:p>
      <w:pPr>
        <w:pStyle w:val="Heading2"/>
        <w:numPr>
          <w:ilvl w:val="0"/>
          <w:numId w:val="7"/>
        </w:numPr>
        <w:tabs>
          <w:tab w:pos="677" w:val="left" w:leader="none"/>
          <w:tab w:pos="678" w:val="left" w:leader="none"/>
          <w:tab w:pos="1191" w:val="left" w:leader="none"/>
          <w:tab w:pos="2361" w:val="left" w:leader="none"/>
          <w:tab w:pos="2891" w:val="left" w:leader="none"/>
          <w:tab w:pos="4620" w:val="left" w:leader="none"/>
          <w:tab w:pos="6009" w:val="left" w:leader="none"/>
          <w:tab w:pos="7199" w:val="left" w:leader="none"/>
          <w:tab w:pos="8276" w:val="left" w:leader="none"/>
        </w:tabs>
        <w:spacing w:line="314" w:lineRule="exact" w:before="1" w:after="0"/>
        <w:ind w:left="678" w:right="121" w:hanging="576"/>
        <w:jc w:val="left"/>
      </w:pPr>
      <w:bookmarkStart w:name="_bookmark4" w:id="8"/>
      <w:bookmarkEnd w:id="8"/>
      <w:r>
        <w:rPr>
          <w:b w:val="0"/>
        </w:rPr>
      </w:r>
      <w:bookmarkStart w:name="_bookmark4" w:id="9"/>
      <w:bookmarkEnd w:id="9"/>
      <w:r>
        <w:rPr/>
        <w:t>E</w:t>
      </w:r>
      <w:r>
        <w:rPr/>
        <w:t>l</w:t>
        <w:tab/>
        <w:t>Sistema</w:t>
        <w:tab/>
        <w:t>de</w:t>
        <w:tab/>
        <w:t>Información</w:t>
        <w:tab/>
        <w:t>Científica</w:t>
        <w:tab/>
        <w:t>Redalyc</w:t>
        <w:tab/>
        <w:t>(SICR)</w:t>
        <w:tab/>
        <w:t>como alternativa</w:t>
      </w:r>
      <w:r>
        <w:rPr>
          <w:spacing w:val="-45"/>
        </w:rPr>
        <w:t> </w:t>
      </w:r>
      <w:r>
        <w:rPr/>
        <w:t>de</w:t>
      </w:r>
      <w:r>
        <w:rPr>
          <w:spacing w:val="-46"/>
        </w:rPr>
        <w:t> </w:t>
      </w:r>
      <w:r>
        <w:rPr/>
        <w:t>visibilidad</w:t>
      </w:r>
    </w:p>
    <w:p>
      <w:pPr>
        <w:pStyle w:val="BodyText"/>
        <w:spacing w:line="360" w:lineRule="auto" w:before="246"/>
        <w:ind w:left="102" w:right="118"/>
        <w:jc w:val="both"/>
      </w:pPr>
      <w:r>
        <w:rPr/>
        <w:t>Ante este panorama, durante 2003 la Red de Revistas Científicas de América Latina, el Caribe, España y Portugal (Redalyc) inició operaciones impulsada por la Universidad Autónoma del Estado de México (UAEM) con el objetivo central de contribuir a romper con el círculo vicioso que genera la llamada “ciencia perdida”.</w:t>
      </w:r>
    </w:p>
    <w:p>
      <w:pPr>
        <w:pStyle w:val="BodyText"/>
        <w:spacing w:before="2"/>
        <w:rPr>
          <w:sz w:val="21"/>
        </w:rPr>
      </w:pPr>
    </w:p>
    <w:p>
      <w:pPr>
        <w:pStyle w:val="BodyText"/>
        <w:spacing w:line="360" w:lineRule="auto" w:before="1"/>
        <w:ind w:left="102" w:right="118"/>
        <w:jc w:val="both"/>
      </w:pPr>
      <w:r>
        <w:rPr/>
        <w:t>Redalyc (www.redalyc.org) apareció bajo el lema “La ciencia que no se ve no existe”. El objetivo principal fue contribuir a romper el círculo vicioso de las publicaciones que, por  no ser citadas, no aparecen en los sistemas de indexación y reportes de revistas con relevancia e impacto, y como no aparecen ahí, no son consultadas ni</w:t>
      </w:r>
      <w:r>
        <w:rPr>
          <w:spacing w:val="-13"/>
        </w:rPr>
        <w:t> </w:t>
      </w:r>
      <w:r>
        <w:rPr/>
        <w:t>citadas.</w:t>
      </w:r>
    </w:p>
    <w:p>
      <w:pPr>
        <w:pStyle w:val="BodyText"/>
        <w:spacing w:before="2"/>
        <w:rPr>
          <w:sz w:val="21"/>
        </w:rPr>
      </w:pPr>
    </w:p>
    <w:p>
      <w:pPr>
        <w:pStyle w:val="BodyText"/>
        <w:spacing w:line="360" w:lineRule="auto"/>
        <w:ind w:left="102" w:right="117"/>
        <w:jc w:val="both"/>
      </w:pPr>
      <w:r>
        <w:rPr/>
        <w:t>Redalyc ha retomado las potencialidades de las TIC y del acceso abierto para crear un espacio que permitiera ampliar el público lector de las publicaciones especializadas de ciencias sociales y humanidades; tres años después de su inicio incorporó revistas de ciencias naturales y exactas, atendiendo a la misma necesidad.</w:t>
      </w:r>
    </w:p>
    <w:p>
      <w:pPr>
        <w:pStyle w:val="BodyText"/>
        <w:spacing w:before="2"/>
        <w:rPr>
          <w:sz w:val="21"/>
        </w:rPr>
      </w:pPr>
    </w:p>
    <w:p>
      <w:pPr>
        <w:pStyle w:val="BodyText"/>
        <w:spacing w:line="360" w:lineRule="auto"/>
        <w:ind w:left="102" w:right="116"/>
        <w:jc w:val="both"/>
      </w:pPr>
      <w:r>
        <w:rPr/>
        <w:t>El proyecto tiene la finalidad de posicionar las revistas editadas en la región. A partir del reconocimiento de que gran parte de la producción académica es difundida localmente y su área de cobertura es limitada, pues se encuentra subrepresentada en las bases de datos de  la</w:t>
      </w:r>
    </w:p>
    <w:p>
      <w:pPr>
        <w:pStyle w:val="BodyText"/>
        <w:spacing w:before="4"/>
        <w:ind w:left="102"/>
        <w:jc w:val="both"/>
      </w:pPr>
      <w:r>
        <w:rPr/>
        <w:t>“corriente principal científica”. Se enfatiza en que la única alternativa para ampliar el  </w:t>
      </w:r>
      <w:r>
        <w:rPr>
          <w:spacing w:val="50"/>
        </w:rPr>
        <w:t> </w:t>
      </w:r>
      <w:r>
        <w:rPr/>
        <w:t>área</w:t>
      </w:r>
    </w:p>
    <w:p>
      <w:pPr>
        <w:spacing w:after="0"/>
        <w:jc w:val="both"/>
        <w:sectPr>
          <w:pgSz w:w="12240" w:h="15840"/>
          <w:pgMar w:header="733" w:footer="1433" w:top="1120" w:bottom="1660" w:left="1600" w:right="1580"/>
        </w:sectPr>
      </w:pPr>
    </w:p>
    <w:p>
      <w:pPr>
        <w:pStyle w:val="BodyText"/>
        <w:spacing w:before="3"/>
        <w:rPr>
          <w:sz w:val="19"/>
        </w:rPr>
      </w:pPr>
    </w:p>
    <w:p>
      <w:pPr>
        <w:pStyle w:val="BodyText"/>
        <w:spacing w:line="360" w:lineRule="auto" w:before="69"/>
        <w:ind w:left="102" w:right="127"/>
        <w:jc w:val="both"/>
      </w:pPr>
      <w:r>
        <w:rPr/>
        <w:t>de influencia de la ciencia generada en la región es democratizar su acceso, lo que representa la generación de formas alternas de comunicación científica.</w:t>
      </w:r>
    </w:p>
    <w:p>
      <w:pPr>
        <w:pStyle w:val="BodyText"/>
        <w:spacing w:before="4"/>
        <w:rPr>
          <w:sz w:val="21"/>
        </w:rPr>
      </w:pPr>
    </w:p>
    <w:p>
      <w:pPr>
        <w:pStyle w:val="BodyText"/>
        <w:spacing w:line="360" w:lineRule="auto" w:before="1"/>
        <w:ind w:left="102" w:right="120"/>
        <w:jc w:val="both"/>
      </w:pPr>
      <w:r>
        <w:rPr/>
        <w:t>A cinco años de su creación, Redalyc se transformó en un sistema de información  científica: el Sistema de Información Científica Redalyc, cambio que ha implicado la ampliación de alcances y de funciones. De este modo, ha pasado de ser una base de datos sobre producción científica iberoamericana, a desarrollar y ofrecer productos de difusión, comunicación, desarrollo y análisis de producción, agrupados en cinco módulos (véase gráfica</w:t>
      </w:r>
      <w:r>
        <w:rPr>
          <w:spacing w:val="-3"/>
        </w:rPr>
        <w:t> </w:t>
      </w:r>
      <w:r>
        <w:rPr/>
        <w:t>1).</w:t>
      </w:r>
    </w:p>
    <w:p>
      <w:pPr>
        <w:pStyle w:val="BodyText"/>
        <w:spacing w:before="5"/>
        <w:rPr>
          <w:sz w:val="21"/>
        </w:rPr>
      </w:pPr>
    </w:p>
    <w:p>
      <w:pPr>
        <w:pStyle w:val="BodyText"/>
        <w:spacing w:line="360" w:lineRule="auto"/>
        <w:ind w:left="102" w:right="116"/>
        <w:jc w:val="both"/>
      </w:pPr>
      <w:r>
        <w:rPr/>
        <w:t>En el proceso para lograr una plataforma que respondiera a las expectativas planteadas, se han identificado y afrontado retos de diversas naturalezas y envergaduras: desarrollar las soluciones técnicas que apoyaran la accesibilidad y la ágil difusión de los contenidos; aumentar la visibilidad e impacto de las revistas científicas regionales; brindar mayores elementos para la comunicación entre los integrantes de las áreas disciplinares (comunidades científicas); llevar a cabo actividades de docencia y colaboración interinstitucional; construir un sistema para valoración y agrupación de revistas; la generación de estadísticas de uso; apoyar la consolidación del proceso editorial; la construcción de indicadores bibliométricos que respondieran a una  propuesta epistemológica que establece que todo indicador es una construcción teórica con una expresión numérica, así como la conformación de redes sociocientíficas. Se describen a continuación los módulos que integran al SICR.</w:t>
      </w:r>
    </w:p>
    <w:p>
      <w:pPr>
        <w:pStyle w:val="BodyText"/>
        <w:spacing w:before="4"/>
        <w:rPr>
          <w:sz w:val="21"/>
        </w:rPr>
      </w:pPr>
    </w:p>
    <w:p>
      <w:pPr>
        <w:pStyle w:val="ListParagraph"/>
        <w:numPr>
          <w:ilvl w:val="0"/>
          <w:numId w:val="9"/>
        </w:numPr>
        <w:tabs>
          <w:tab w:pos="822" w:val="left" w:leader="none"/>
        </w:tabs>
        <w:spacing w:line="360" w:lineRule="auto" w:before="1" w:after="0"/>
        <w:ind w:left="822" w:right="122" w:hanging="360"/>
        <w:jc w:val="both"/>
        <w:rPr>
          <w:sz w:val="24"/>
        </w:rPr>
      </w:pPr>
      <w:r>
        <w:rPr>
          <w:sz w:val="24"/>
        </w:rPr>
        <w:t>Hemeroteca científica Redalyc. Ofrece acceso abierto a los artículos completos de las revistas incluidas en su acervo, avaladas por estrictos criterios de</w:t>
      </w:r>
      <w:r>
        <w:rPr>
          <w:spacing w:val="-11"/>
          <w:sz w:val="24"/>
        </w:rPr>
        <w:t> </w:t>
      </w:r>
      <w:r>
        <w:rPr>
          <w:sz w:val="24"/>
        </w:rPr>
        <w:t>selección.</w:t>
      </w:r>
    </w:p>
    <w:p>
      <w:pPr>
        <w:pStyle w:val="ListParagraph"/>
        <w:numPr>
          <w:ilvl w:val="0"/>
          <w:numId w:val="9"/>
        </w:numPr>
        <w:tabs>
          <w:tab w:pos="822" w:val="left" w:leader="none"/>
        </w:tabs>
        <w:spacing w:line="360" w:lineRule="auto" w:before="66" w:after="0"/>
        <w:ind w:left="822" w:right="123" w:hanging="360"/>
        <w:jc w:val="both"/>
        <w:rPr>
          <w:sz w:val="24"/>
        </w:rPr>
      </w:pPr>
      <w:r>
        <w:rPr>
          <w:sz w:val="24"/>
        </w:rPr>
        <w:t>Procesos editoriales científicos. Modelo propio de análisis de revistas, que además de garantizar el cumplimiento de los más altos estándares de calidad, permite agrupar el acervo en función de redes de colaboración</w:t>
      </w:r>
      <w:r>
        <w:rPr>
          <w:spacing w:val="-10"/>
          <w:sz w:val="24"/>
        </w:rPr>
        <w:t> </w:t>
      </w:r>
      <w:r>
        <w:rPr>
          <w:sz w:val="24"/>
        </w:rPr>
        <w:t>autoral.</w:t>
      </w:r>
    </w:p>
    <w:p>
      <w:pPr>
        <w:pStyle w:val="ListParagraph"/>
        <w:numPr>
          <w:ilvl w:val="0"/>
          <w:numId w:val="9"/>
        </w:numPr>
        <w:tabs>
          <w:tab w:pos="822" w:val="left" w:leader="none"/>
        </w:tabs>
        <w:spacing w:line="360" w:lineRule="auto" w:before="66" w:after="0"/>
        <w:ind w:left="822" w:right="124" w:hanging="360"/>
        <w:jc w:val="both"/>
        <w:rPr>
          <w:sz w:val="24"/>
        </w:rPr>
      </w:pPr>
      <w:r>
        <w:rPr>
          <w:sz w:val="24"/>
        </w:rPr>
        <w:t>Indicadores de uso. Ofrece diversos indicadores que permiten conocer las características de consulta del acervo Redalyc, como artículos más consultados por revista, disciplina y país. Los periodos pueden ser definidos por el</w:t>
      </w:r>
      <w:r>
        <w:rPr>
          <w:spacing w:val="-7"/>
          <w:sz w:val="24"/>
        </w:rPr>
        <w:t> </w:t>
      </w:r>
      <w:r>
        <w:rPr>
          <w:sz w:val="24"/>
        </w:rPr>
        <w:t>usuario.</w:t>
      </w:r>
    </w:p>
    <w:p>
      <w:pPr>
        <w:spacing w:after="0" w:line="360" w:lineRule="auto"/>
        <w:jc w:val="both"/>
        <w:rPr>
          <w:sz w:val="24"/>
        </w:rPr>
        <w:sectPr>
          <w:pgSz w:w="12240" w:h="15840"/>
          <w:pgMar w:header="733" w:footer="1433" w:top="1120" w:bottom="1660" w:left="1600" w:right="1580"/>
        </w:sectPr>
      </w:pPr>
    </w:p>
    <w:p>
      <w:pPr>
        <w:pStyle w:val="BodyText"/>
        <w:spacing w:before="3"/>
        <w:rPr>
          <w:sz w:val="19"/>
        </w:rPr>
      </w:pPr>
    </w:p>
    <w:p>
      <w:pPr>
        <w:pStyle w:val="ListParagraph"/>
        <w:numPr>
          <w:ilvl w:val="0"/>
          <w:numId w:val="9"/>
        </w:numPr>
        <w:tabs>
          <w:tab w:pos="802" w:val="left" w:leader="none"/>
        </w:tabs>
        <w:spacing w:line="360" w:lineRule="auto" w:before="69" w:after="0"/>
        <w:ind w:left="802" w:right="140" w:hanging="360"/>
        <w:jc w:val="both"/>
        <w:rPr>
          <w:sz w:val="24"/>
        </w:rPr>
      </w:pPr>
      <w:r>
        <w:rPr>
          <w:sz w:val="24"/>
        </w:rPr>
        <w:t>Indicadores bibliométricos. Elaboración de indicadores cuantitativos por impacto, citación y colaboración para realizar el seguimiento de las revistas incluidas en el acervo.</w:t>
      </w:r>
    </w:p>
    <w:p>
      <w:pPr>
        <w:pStyle w:val="ListParagraph"/>
        <w:numPr>
          <w:ilvl w:val="0"/>
          <w:numId w:val="9"/>
        </w:numPr>
        <w:tabs>
          <w:tab w:pos="802" w:val="left" w:leader="none"/>
        </w:tabs>
        <w:spacing w:line="360" w:lineRule="auto" w:before="64" w:after="0"/>
        <w:ind w:left="802" w:right="137" w:hanging="360"/>
        <w:jc w:val="both"/>
        <w:rPr>
          <w:sz w:val="24"/>
        </w:rPr>
      </w:pPr>
      <w:r>
        <w:rPr/>
        <w:drawing>
          <wp:anchor distT="0" distB="0" distL="0" distR="0" allowOverlap="1" layoutInCell="1" locked="0" behindDoc="0" simplePos="0" relativeHeight="1240">
            <wp:simplePos x="0" y="0"/>
            <wp:positionH relativeFrom="page">
              <wp:posOffset>1099185</wp:posOffset>
            </wp:positionH>
            <wp:positionV relativeFrom="paragraph">
              <wp:posOffset>871513</wp:posOffset>
            </wp:positionV>
            <wp:extent cx="5567435" cy="6059043"/>
            <wp:effectExtent l="0" t="0" r="0" b="0"/>
            <wp:wrapTopAndBottom/>
            <wp:docPr id="3" name="image5.jpeg" descr=""/>
            <wp:cNvGraphicFramePr>
              <a:graphicFrameLocks noChangeAspect="1"/>
            </wp:cNvGraphicFramePr>
            <a:graphic>
              <a:graphicData uri="http://schemas.openxmlformats.org/drawingml/2006/picture">
                <pic:pic>
                  <pic:nvPicPr>
                    <pic:cNvPr id="4" name="image5.jpeg"/>
                    <pic:cNvPicPr/>
                  </pic:nvPicPr>
                  <pic:blipFill>
                    <a:blip r:embed="rId24" cstate="print"/>
                    <a:stretch>
                      <a:fillRect/>
                    </a:stretch>
                  </pic:blipFill>
                  <pic:spPr>
                    <a:xfrm>
                      <a:off x="0" y="0"/>
                      <a:ext cx="5567435" cy="6059043"/>
                    </a:xfrm>
                    <a:prstGeom prst="rect">
                      <a:avLst/>
                    </a:prstGeom>
                  </pic:spPr>
                </pic:pic>
              </a:graphicData>
            </a:graphic>
          </wp:anchor>
        </w:drawing>
      </w:r>
      <w:r>
        <w:rPr>
          <w:sz w:val="24"/>
        </w:rPr>
        <w:t>Redes sociocientíficas. Brinda información que permite conocer las características de la conformación de redes sociales en torno a las actividades científicas, a partir de colaboraciones autorales e</w:t>
      </w:r>
      <w:r>
        <w:rPr>
          <w:spacing w:val="-6"/>
          <w:sz w:val="24"/>
        </w:rPr>
        <w:t> </w:t>
      </w:r>
      <w:r>
        <w:rPr>
          <w:sz w:val="24"/>
        </w:rPr>
        <w:t>institucionales.</w:t>
      </w:r>
    </w:p>
    <w:p>
      <w:pPr>
        <w:spacing w:after="0" w:line="360" w:lineRule="auto"/>
        <w:jc w:val="both"/>
        <w:rPr>
          <w:sz w:val="24"/>
        </w:rPr>
        <w:sectPr>
          <w:pgSz w:w="12240" w:h="15840"/>
          <w:pgMar w:header="733" w:footer="1433" w:top="1120" w:bottom="1660" w:left="1620" w:right="1560"/>
        </w:sectPr>
      </w:pPr>
    </w:p>
    <w:p>
      <w:pPr>
        <w:pStyle w:val="BodyText"/>
        <w:spacing w:before="8"/>
        <w:rPr>
          <w:sz w:val="18"/>
        </w:rPr>
      </w:pPr>
    </w:p>
    <w:p>
      <w:pPr>
        <w:spacing w:before="77"/>
        <w:ind w:left="119" w:right="119" w:firstLine="0"/>
        <w:jc w:val="center"/>
        <w:rPr>
          <w:sz w:val="18"/>
        </w:rPr>
      </w:pPr>
      <w:r>
        <w:rPr>
          <w:sz w:val="18"/>
        </w:rPr>
        <w:t>Gráfica 1. Estructura del SICR.</w:t>
      </w:r>
    </w:p>
    <w:p>
      <w:pPr>
        <w:pStyle w:val="BodyText"/>
        <w:spacing w:before="4"/>
        <w:rPr>
          <w:sz w:val="19"/>
        </w:rPr>
      </w:pPr>
    </w:p>
    <w:p>
      <w:pPr>
        <w:pStyle w:val="Heading2"/>
        <w:numPr>
          <w:ilvl w:val="0"/>
          <w:numId w:val="10"/>
        </w:numPr>
        <w:tabs>
          <w:tab w:pos="698" w:val="left" w:leader="none"/>
        </w:tabs>
        <w:spacing w:line="240" w:lineRule="auto" w:before="0" w:after="0"/>
        <w:ind w:left="698" w:right="0" w:hanging="576"/>
        <w:jc w:val="both"/>
      </w:pPr>
      <w:bookmarkStart w:name="_bookmark5" w:id="10"/>
      <w:bookmarkEnd w:id="10"/>
      <w:r>
        <w:rPr>
          <w:b w:val="0"/>
        </w:rPr>
      </w:r>
      <w:bookmarkStart w:name="_bookmark5" w:id="11"/>
      <w:bookmarkEnd w:id="11"/>
      <w:r>
        <w:rPr/>
        <w:t>R</w:t>
      </w:r>
      <w:r>
        <w:rPr/>
        <w:t>etos técnicos y desarrollo de</w:t>
      </w:r>
      <w:r>
        <w:rPr>
          <w:spacing w:val="-2"/>
        </w:rPr>
        <w:t> </w:t>
      </w:r>
      <w:r>
        <w:rPr/>
        <w:t>tecnología</w:t>
      </w:r>
    </w:p>
    <w:p>
      <w:pPr>
        <w:pStyle w:val="BodyText"/>
        <w:spacing w:line="357" w:lineRule="auto" w:before="248"/>
        <w:ind w:left="122" w:right="116"/>
        <w:jc w:val="both"/>
      </w:pPr>
      <w:r>
        <w:rPr/>
        <w:t>Con el propósito de responder a las necesidades de los usuarios y hacer visibles los contenidos del acervo se realizaron diversas acciones: los artículos están en formato </w:t>
      </w:r>
      <w:r>
        <w:rPr>
          <w:spacing w:val="-6"/>
        </w:rPr>
        <w:t>PDF,   </w:t>
      </w:r>
      <w:r>
        <w:rPr/>
        <w:t>lo que facilita su descarga, impresión, copia y consulta; instrumentación de motores de búsqueda específicos para una navegación más fácil; creación de una portadilla con todos los datos del artículo </w:t>
      </w:r>
      <w:r>
        <w:rPr>
          <w:rFonts w:ascii="Tahoma" w:hAnsi="Tahoma"/>
        </w:rPr>
        <w:t>—</w:t>
      </w:r>
      <w:r>
        <w:rPr/>
        <w:t>contribución de Redalyc que permite una mayor citación y reconocimiento</w:t>
      </w:r>
      <w:r>
        <w:rPr>
          <w:rFonts w:ascii="Tahoma" w:hAnsi="Tahoma"/>
        </w:rPr>
        <w:t>—</w:t>
      </w:r>
      <w:r>
        <w:rPr/>
        <w:t>; servicios adicionales, como  el  acceso a la  página oficial de la  </w:t>
      </w:r>
      <w:r>
        <w:rPr>
          <w:spacing w:val="52"/>
        </w:rPr>
        <w:t> </w:t>
      </w:r>
      <w:r>
        <w:rPr/>
        <w:t>revista,</w:t>
      </w:r>
    </w:p>
    <w:p>
      <w:pPr>
        <w:pStyle w:val="BodyText"/>
        <w:spacing w:line="348" w:lineRule="auto" w:before="1"/>
        <w:ind w:left="122" w:right="116"/>
        <w:jc w:val="both"/>
      </w:pPr>
      <w:r>
        <w:rPr/>
        <w:t>resúmenes y palabras clave, y formas de citar en diversos estilos; incorporación del protocolo Open Archives Initiative-Protocol for Metadata Harvesting (OAI-PMH),</w:t>
      </w:r>
      <w:r>
        <w:rPr>
          <w:position w:val="11"/>
          <w:sz w:val="16"/>
        </w:rPr>
        <w:t>9 </w:t>
      </w:r>
      <w:r>
        <w:rPr/>
        <w:t>que habilita el acceso internacional a los artículos; acuerdos con bases de datos, repositorios y buscadores específicos para que indexen o incluyan el contenido de la hemeroteca; adopción de licencias Creative Commons</w:t>
      </w:r>
      <w:r>
        <w:rPr>
          <w:position w:val="11"/>
          <w:sz w:val="16"/>
        </w:rPr>
        <w:t>10 </w:t>
      </w:r>
      <w:r>
        <w:rPr/>
        <w:t>que permiten el uso y distribución del material sin fines</w:t>
      </w:r>
      <w:r>
        <w:rPr>
          <w:spacing w:val="-5"/>
        </w:rPr>
        <w:t> </w:t>
      </w:r>
      <w:r>
        <w:rPr/>
        <w:t>comerciales.</w:t>
      </w:r>
    </w:p>
    <w:p>
      <w:pPr>
        <w:pStyle w:val="BodyText"/>
        <w:spacing w:before="2"/>
        <w:rPr>
          <w:sz w:val="21"/>
        </w:rPr>
      </w:pPr>
    </w:p>
    <w:p>
      <w:pPr>
        <w:pStyle w:val="Heading2"/>
        <w:numPr>
          <w:ilvl w:val="0"/>
          <w:numId w:val="10"/>
        </w:numPr>
        <w:tabs>
          <w:tab w:pos="698" w:val="left" w:leader="none"/>
        </w:tabs>
        <w:spacing w:line="240" w:lineRule="auto" w:before="0" w:after="0"/>
        <w:ind w:left="698" w:right="0" w:hanging="576"/>
        <w:jc w:val="both"/>
      </w:pPr>
      <w:bookmarkStart w:name="_bookmark6" w:id="12"/>
      <w:bookmarkEnd w:id="12"/>
      <w:r>
        <w:rPr>
          <w:b w:val="0"/>
        </w:rPr>
      </w:r>
      <w:bookmarkStart w:name="_bookmark6" w:id="13"/>
      <w:bookmarkEnd w:id="13"/>
      <w:r>
        <w:rPr/>
        <w:t>Inc</w:t>
      </w:r>
      <w:r>
        <w:rPr/>
        <w:t>remento de la</w:t>
      </w:r>
      <w:r>
        <w:rPr>
          <w:spacing w:val="-32"/>
        </w:rPr>
        <w:t> </w:t>
      </w:r>
      <w:r>
        <w:rPr/>
        <w:t>visibilidad</w:t>
      </w:r>
    </w:p>
    <w:p>
      <w:pPr>
        <w:pStyle w:val="BodyText"/>
        <w:spacing w:line="360" w:lineRule="auto" w:before="248"/>
        <w:ind w:left="122" w:right="117"/>
        <w:jc w:val="both"/>
      </w:pPr>
      <w:r>
        <w:rPr/>
        <w:t>Para el incremento de la visibilidad la hemeroteca digital ha sido fundamental.  Se inició con 28 revistas y mil 200 artículos, y cuenta a la fecha con 758 revistas en línea  procedentes de 15 países y más de 200 mil títulos a texto completo (véase gráfica</w:t>
      </w:r>
      <w:r>
        <w:rPr>
          <w:spacing w:val="-13"/>
        </w:rPr>
        <w:t> </w:t>
      </w:r>
      <w:r>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1264;mso-wrap-distance-left:0;mso-wrap-distance-right:0" from="85.103996pt,14.585406pt" to="229.123996pt,14.585406pt" stroked="true" strokeweight=".599980pt" strokecolor="#000000">
            <w10:wrap type="topAndBottom"/>
          </v:line>
        </w:pict>
      </w:r>
    </w:p>
    <w:p>
      <w:pPr>
        <w:tabs>
          <w:tab w:pos="405" w:val="left" w:leader="none"/>
        </w:tabs>
        <w:spacing w:line="219" w:lineRule="exact" w:before="52"/>
        <w:ind w:left="122" w:right="232" w:firstLine="0"/>
        <w:jc w:val="left"/>
        <w:rPr>
          <w:sz w:val="18"/>
        </w:rPr>
      </w:pPr>
      <w:r>
        <w:rPr>
          <w:position w:val="8"/>
          <w:sz w:val="12"/>
        </w:rPr>
        <w:t>9</w:t>
        <w:tab/>
      </w:r>
      <w:r>
        <w:rPr>
          <w:sz w:val="18"/>
        </w:rPr>
        <w:t>En Aguado y</w:t>
      </w:r>
      <w:r>
        <w:rPr>
          <w:spacing w:val="-32"/>
          <w:sz w:val="18"/>
        </w:rPr>
        <w:t> </w:t>
      </w:r>
      <w:r>
        <w:rPr>
          <w:sz w:val="18"/>
        </w:rPr>
        <w:t>cols. (2006) pueden verse más detalles sobre el trabajo realizado sobre el protocolo OAI-PMH.</w:t>
      </w:r>
    </w:p>
    <w:p>
      <w:pPr>
        <w:spacing w:line="206" w:lineRule="exact" w:before="15"/>
        <w:ind w:left="405" w:right="174" w:hanging="284"/>
        <w:jc w:val="left"/>
        <w:rPr>
          <w:sz w:val="18"/>
        </w:rPr>
      </w:pPr>
      <w:r>
        <w:rPr>
          <w:position w:val="8"/>
          <w:sz w:val="12"/>
        </w:rPr>
        <w:t>10 </w:t>
      </w:r>
      <w:r>
        <w:rPr>
          <w:sz w:val="18"/>
        </w:rPr>
        <w:t>Ofrece herramientas que permiten a los autores optar, de manera libre y segura, por un esquema de “Algunos derechos reservados” (http://creativecommons.org).</w:t>
      </w:r>
    </w:p>
    <w:p>
      <w:pPr>
        <w:spacing w:after="0" w:line="206" w:lineRule="exact"/>
        <w:jc w:val="left"/>
        <w:rPr>
          <w:sz w:val="18"/>
        </w:rPr>
        <w:sectPr>
          <w:pgSz w:w="12240" w:h="15840"/>
          <w:pgMar w:header="733" w:footer="1433" w:top="1120" w:bottom="1620" w:left="1580" w:right="1580"/>
        </w:sectPr>
      </w:pPr>
    </w:p>
    <w:p>
      <w:pPr>
        <w:pStyle w:val="BodyText"/>
        <w:spacing w:before="9"/>
        <w:rPr>
          <w:sz w:val="25"/>
        </w:rPr>
      </w:pPr>
    </w:p>
    <w:p>
      <w:pPr>
        <w:pStyle w:val="BodyText"/>
        <w:ind w:left="111"/>
        <w:rPr>
          <w:sz w:val="20"/>
        </w:rPr>
      </w:pPr>
      <w:r>
        <w:rPr>
          <w:sz w:val="20"/>
        </w:rPr>
        <w:drawing>
          <wp:inline distT="0" distB="0" distL="0" distR="0">
            <wp:extent cx="5628756" cy="3534441"/>
            <wp:effectExtent l="0" t="0" r="0" b="0"/>
            <wp:docPr id="5" name="image6.jpeg" descr=""/>
            <wp:cNvGraphicFramePr>
              <a:graphicFrameLocks noChangeAspect="1"/>
            </wp:cNvGraphicFramePr>
            <a:graphic>
              <a:graphicData uri="http://schemas.openxmlformats.org/drawingml/2006/picture">
                <pic:pic>
                  <pic:nvPicPr>
                    <pic:cNvPr id="6" name="image6.jpeg"/>
                    <pic:cNvPicPr/>
                  </pic:nvPicPr>
                  <pic:blipFill>
                    <a:blip r:embed="rId25" cstate="print"/>
                    <a:stretch>
                      <a:fillRect/>
                    </a:stretch>
                  </pic:blipFill>
                  <pic:spPr>
                    <a:xfrm>
                      <a:off x="0" y="0"/>
                      <a:ext cx="5628756" cy="3534441"/>
                    </a:xfrm>
                    <a:prstGeom prst="rect">
                      <a:avLst/>
                    </a:prstGeom>
                  </pic:spPr>
                </pic:pic>
              </a:graphicData>
            </a:graphic>
          </wp:inline>
        </w:drawing>
      </w:r>
      <w:r>
        <w:rPr>
          <w:sz w:val="20"/>
        </w:rPr>
      </w:r>
    </w:p>
    <w:p>
      <w:pPr>
        <w:pStyle w:val="BodyText"/>
        <w:spacing w:before="4"/>
        <w:rPr>
          <w:sz w:val="14"/>
        </w:rPr>
      </w:pPr>
    </w:p>
    <w:p>
      <w:pPr>
        <w:spacing w:before="77"/>
        <w:ind w:left="2931" w:right="0" w:firstLine="0"/>
        <w:jc w:val="left"/>
        <w:rPr>
          <w:sz w:val="18"/>
        </w:rPr>
      </w:pPr>
      <w:r>
        <w:rPr>
          <w:sz w:val="18"/>
        </w:rPr>
        <w:t>Gráfica 2. Distribución de revistas por país.</w:t>
      </w:r>
    </w:p>
    <w:p>
      <w:pPr>
        <w:pStyle w:val="BodyText"/>
        <w:rPr>
          <w:sz w:val="11"/>
        </w:rPr>
      </w:pPr>
    </w:p>
    <w:tbl>
      <w:tblPr>
        <w:tblW w:w="0" w:type="auto"/>
        <w:jc w:val="left"/>
        <w:tblInd w:w="7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49"/>
        <w:gridCol w:w="958"/>
        <w:gridCol w:w="2684"/>
        <w:gridCol w:w="1033"/>
      </w:tblGrid>
      <w:tr>
        <w:trPr>
          <w:trHeight w:val="389" w:hRule="exact"/>
        </w:trPr>
        <w:tc>
          <w:tcPr>
            <w:tcW w:w="2749" w:type="dxa"/>
            <w:shd w:val="clear" w:color="auto" w:fill="D9D9D9"/>
          </w:tcPr>
          <w:p>
            <w:pPr>
              <w:pStyle w:val="TableParagraph"/>
              <w:spacing w:line="252" w:lineRule="exact"/>
              <w:rPr>
                <w:b/>
                <w:sz w:val="22"/>
              </w:rPr>
            </w:pPr>
            <w:r>
              <w:rPr>
                <w:b/>
                <w:sz w:val="22"/>
              </w:rPr>
              <w:t>Sociales y humanidades</w:t>
            </w:r>
          </w:p>
        </w:tc>
        <w:tc>
          <w:tcPr>
            <w:tcW w:w="958" w:type="dxa"/>
            <w:shd w:val="clear" w:color="auto" w:fill="D9D9D9"/>
          </w:tcPr>
          <w:p>
            <w:pPr>
              <w:pStyle w:val="TableParagraph"/>
              <w:spacing w:line="252" w:lineRule="exact"/>
              <w:ind w:left="192" w:right="195"/>
              <w:jc w:val="center"/>
              <w:rPr>
                <w:b/>
                <w:sz w:val="22"/>
              </w:rPr>
            </w:pPr>
            <w:r>
              <w:rPr>
                <w:b/>
                <w:sz w:val="22"/>
              </w:rPr>
              <w:t>Núm.</w:t>
            </w:r>
          </w:p>
        </w:tc>
        <w:tc>
          <w:tcPr>
            <w:tcW w:w="2684" w:type="dxa"/>
            <w:shd w:val="clear" w:color="auto" w:fill="D9D9D9"/>
          </w:tcPr>
          <w:p>
            <w:pPr>
              <w:pStyle w:val="TableParagraph"/>
              <w:spacing w:line="252" w:lineRule="exact"/>
              <w:ind w:left="100"/>
              <w:rPr>
                <w:b/>
                <w:sz w:val="22"/>
              </w:rPr>
            </w:pPr>
            <w:r>
              <w:rPr>
                <w:b/>
                <w:sz w:val="22"/>
              </w:rPr>
              <w:t>Exactas y naturales</w:t>
            </w:r>
          </w:p>
        </w:tc>
        <w:tc>
          <w:tcPr>
            <w:tcW w:w="1033" w:type="dxa"/>
            <w:shd w:val="clear" w:color="auto" w:fill="D9D9D9"/>
          </w:tcPr>
          <w:p>
            <w:pPr>
              <w:pStyle w:val="TableParagraph"/>
              <w:spacing w:line="252" w:lineRule="exact"/>
              <w:ind w:left="232" w:right="231"/>
              <w:jc w:val="center"/>
              <w:rPr>
                <w:b/>
                <w:sz w:val="22"/>
              </w:rPr>
            </w:pPr>
            <w:r>
              <w:rPr>
                <w:b/>
                <w:sz w:val="22"/>
              </w:rPr>
              <w:t>Núm.</w:t>
            </w:r>
          </w:p>
        </w:tc>
      </w:tr>
      <w:tr>
        <w:trPr>
          <w:trHeight w:val="389" w:hRule="exact"/>
        </w:trPr>
        <w:tc>
          <w:tcPr>
            <w:tcW w:w="2749" w:type="dxa"/>
          </w:tcPr>
          <w:p>
            <w:pPr>
              <w:pStyle w:val="TableParagraph"/>
              <w:rPr>
                <w:sz w:val="22"/>
              </w:rPr>
            </w:pPr>
            <w:r>
              <w:rPr>
                <w:sz w:val="22"/>
              </w:rPr>
              <w:t>Administración Pública</w:t>
            </w:r>
          </w:p>
        </w:tc>
        <w:tc>
          <w:tcPr>
            <w:tcW w:w="958" w:type="dxa"/>
          </w:tcPr>
          <w:p>
            <w:pPr>
              <w:pStyle w:val="TableParagraph"/>
              <w:ind w:left="190" w:right="195"/>
              <w:jc w:val="center"/>
              <w:rPr>
                <w:sz w:val="22"/>
              </w:rPr>
            </w:pPr>
            <w:r>
              <w:rPr>
                <w:sz w:val="22"/>
              </w:rPr>
              <w:t>21</w:t>
            </w:r>
          </w:p>
        </w:tc>
        <w:tc>
          <w:tcPr>
            <w:tcW w:w="2684" w:type="dxa"/>
          </w:tcPr>
          <w:p>
            <w:pPr>
              <w:pStyle w:val="TableParagraph"/>
              <w:ind w:left="100"/>
              <w:rPr>
                <w:sz w:val="22"/>
              </w:rPr>
            </w:pPr>
            <w:r>
              <w:rPr>
                <w:sz w:val="22"/>
              </w:rPr>
              <w:t>Agrociencias</w:t>
            </w:r>
          </w:p>
        </w:tc>
        <w:tc>
          <w:tcPr>
            <w:tcW w:w="1033" w:type="dxa"/>
          </w:tcPr>
          <w:p>
            <w:pPr>
              <w:pStyle w:val="TableParagraph"/>
              <w:ind w:left="231" w:right="231"/>
              <w:jc w:val="center"/>
              <w:rPr>
                <w:sz w:val="22"/>
              </w:rPr>
            </w:pPr>
            <w:r>
              <w:rPr>
                <w:sz w:val="22"/>
              </w:rPr>
              <w:t>30</w:t>
            </w:r>
          </w:p>
        </w:tc>
      </w:tr>
      <w:tr>
        <w:trPr>
          <w:trHeight w:val="389" w:hRule="exact"/>
        </w:trPr>
        <w:tc>
          <w:tcPr>
            <w:tcW w:w="2749" w:type="dxa"/>
          </w:tcPr>
          <w:p>
            <w:pPr>
              <w:pStyle w:val="TableParagraph"/>
              <w:rPr>
                <w:sz w:val="22"/>
              </w:rPr>
            </w:pPr>
            <w:r>
              <w:rPr>
                <w:sz w:val="22"/>
              </w:rPr>
              <w:t>Antropología</w:t>
            </w:r>
          </w:p>
        </w:tc>
        <w:tc>
          <w:tcPr>
            <w:tcW w:w="958" w:type="dxa"/>
          </w:tcPr>
          <w:p>
            <w:pPr>
              <w:pStyle w:val="TableParagraph"/>
              <w:ind w:left="190" w:right="195"/>
              <w:jc w:val="center"/>
              <w:rPr>
                <w:sz w:val="22"/>
              </w:rPr>
            </w:pPr>
            <w:r>
              <w:rPr>
                <w:sz w:val="22"/>
              </w:rPr>
              <w:t>19</w:t>
            </w:r>
          </w:p>
        </w:tc>
        <w:tc>
          <w:tcPr>
            <w:tcW w:w="2684" w:type="dxa"/>
          </w:tcPr>
          <w:p>
            <w:pPr>
              <w:pStyle w:val="TableParagraph"/>
              <w:ind w:left="100"/>
              <w:rPr>
                <w:sz w:val="22"/>
              </w:rPr>
            </w:pPr>
            <w:r>
              <w:rPr>
                <w:sz w:val="22"/>
              </w:rPr>
              <w:t>Astronomía</w:t>
            </w:r>
          </w:p>
        </w:tc>
        <w:tc>
          <w:tcPr>
            <w:tcW w:w="1033" w:type="dxa"/>
          </w:tcPr>
          <w:p>
            <w:pPr>
              <w:pStyle w:val="TableParagraph"/>
              <w:ind w:left="0"/>
              <w:jc w:val="center"/>
              <w:rPr>
                <w:sz w:val="22"/>
              </w:rPr>
            </w:pPr>
            <w:r>
              <w:rPr>
                <w:w w:val="100"/>
                <w:sz w:val="22"/>
              </w:rPr>
              <w:t>1</w:t>
            </w:r>
          </w:p>
        </w:tc>
      </w:tr>
      <w:tr>
        <w:trPr>
          <w:trHeight w:val="391" w:hRule="exact"/>
        </w:trPr>
        <w:tc>
          <w:tcPr>
            <w:tcW w:w="2749" w:type="dxa"/>
          </w:tcPr>
          <w:p>
            <w:pPr>
              <w:pStyle w:val="TableParagraph"/>
              <w:spacing w:line="249" w:lineRule="exact"/>
              <w:rPr>
                <w:sz w:val="22"/>
              </w:rPr>
            </w:pPr>
            <w:r>
              <w:rPr>
                <w:sz w:val="22"/>
              </w:rPr>
              <w:t>Arquitectura</w:t>
            </w:r>
          </w:p>
        </w:tc>
        <w:tc>
          <w:tcPr>
            <w:tcW w:w="958" w:type="dxa"/>
          </w:tcPr>
          <w:p>
            <w:pPr>
              <w:pStyle w:val="TableParagraph"/>
              <w:spacing w:line="249" w:lineRule="exact"/>
              <w:ind w:left="0" w:right="5"/>
              <w:jc w:val="center"/>
              <w:rPr>
                <w:sz w:val="22"/>
              </w:rPr>
            </w:pPr>
            <w:r>
              <w:rPr>
                <w:w w:val="100"/>
                <w:sz w:val="22"/>
              </w:rPr>
              <w:t>4</w:t>
            </w:r>
          </w:p>
        </w:tc>
        <w:tc>
          <w:tcPr>
            <w:tcW w:w="2684" w:type="dxa"/>
          </w:tcPr>
          <w:p>
            <w:pPr>
              <w:pStyle w:val="TableParagraph"/>
              <w:spacing w:line="249" w:lineRule="exact"/>
              <w:ind w:left="100"/>
              <w:rPr>
                <w:sz w:val="22"/>
              </w:rPr>
            </w:pPr>
            <w:r>
              <w:rPr>
                <w:sz w:val="22"/>
              </w:rPr>
              <w:t>Biología</w:t>
            </w:r>
          </w:p>
        </w:tc>
        <w:tc>
          <w:tcPr>
            <w:tcW w:w="1033" w:type="dxa"/>
          </w:tcPr>
          <w:p>
            <w:pPr>
              <w:pStyle w:val="TableParagraph"/>
              <w:spacing w:line="249" w:lineRule="exact"/>
              <w:ind w:left="231" w:right="231"/>
              <w:jc w:val="center"/>
              <w:rPr>
                <w:sz w:val="22"/>
              </w:rPr>
            </w:pPr>
            <w:r>
              <w:rPr>
                <w:sz w:val="22"/>
              </w:rPr>
              <w:t>34</w:t>
            </w:r>
          </w:p>
        </w:tc>
      </w:tr>
      <w:tr>
        <w:trPr>
          <w:trHeight w:val="389" w:hRule="exact"/>
        </w:trPr>
        <w:tc>
          <w:tcPr>
            <w:tcW w:w="2749" w:type="dxa"/>
          </w:tcPr>
          <w:p>
            <w:pPr>
              <w:pStyle w:val="TableParagraph"/>
              <w:rPr>
                <w:sz w:val="22"/>
              </w:rPr>
            </w:pPr>
            <w:r>
              <w:rPr>
                <w:sz w:val="22"/>
              </w:rPr>
              <w:t>Arte</w:t>
            </w:r>
          </w:p>
        </w:tc>
        <w:tc>
          <w:tcPr>
            <w:tcW w:w="958" w:type="dxa"/>
          </w:tcPr>
          <w:p>
            <w:pPr>
              <w:pStyle w:val="TableParagraph"/>
              <w:ind w:left="0" w:right="5"/>
              <w:jc w:val="center"/>
              <w:rPr>
                <w:sz w:val="22"/>
              </w:rPr>
            </w:pPr>
            <w:r>
              <w:rPr>
                <w:w w:val="100"/>
                <w:sz w:val="22"/>
              </w:rPr>
              <w:t>4</w:t>
            </w:r>
          </w:p>
        </w:tc>
        <w:tc>
          <w:tcPr>
            <w:tcW w:w="2684" w:type="dxa"/>
          </w:tcPr>
          <w:p>
            <w:pPr>
              <w:pStyle w:val="TableParagraph"/>
              <w:ind w:left="100"/>
              <w:rPr>
                <w:sz w:val="22"/>
              </w:rPr>
            </w:pPr>
            <w:r>
              <w:rPr>
                <w:sz w:val="22"/>
              </w:rPr>
              <w:t>Ciencias de la atmósfera</w:t>
            </w:r>
          </w:p>
        </w:tc>
        <w:tc>
          <w:tcPr>
            <w:tcW w:w="1033" w:type="dxa"/>
          </w:tcPr>
          <w:p>
            <w:pPr>
              <w:pStyle w:val="TableParagraph"/>
              <w:ind w:left="0"/>
              <w:jc w:val="center"/>
              <w:rPr>
                <w:sz w:val="22"/>
              </w:rPr>
            </w:pPr>
            <w:r>
              <w:rPr>
                <w:w w:val="100"/>
                <w:sz w:val="22"/>
              </w:rPr>
              <w:t>1</w:t>
            </w:r>
          </w:p>
        </w:tc>
      </w:tr>
      <w:tr>
        <w:trPr>
          <w:trHeight w:val="389" w:hRule="exact"/>
        </w:trPr>
        <w:tc>
          <w:tcPr>
            <w:tcW w:w="2749" w:type="dxa"/>
          </w:tcPr>
          <w:p>
            <w:pPr>
              <w:pStyle w:val="TableParagraph"/>
              <w:rPr>
                <w:sz w:val="22"/>
              </w:rPr>
            </w:pPr>
            <w:r>
              <w:rPr>
                <w:sz w:val="22"/>
              </w:rPr>
              <w:t>Ciencias de la Información</w:t>
            </w:r>
          </w:p>
        </w:tc>
        <w:tc>
          <w:tcPr>
            <w:tcW w:w="958" w:type="dxa"/>
          </w:tcPr>
          <w:p>
            <w:pPr>
              <w:pStyle w:val="TableParagraph"/>
              <w:ind w:left="190" w:right="195"/>
              <w:jc w:val="center"/>
              <w:rPr>
                <w:sz w:val="22"/>
              </w:rPr>
            </w:pPr>
            <w:r>
              <w:rPr>
                <w:sz w:val="22"/>
              </w:rPr>
              <w:t>10</w:t>
            </w:r>
          </w:p>
        </w:tc>
        <w:tc>
          <w:tcPr>
            <w:tcW w:w="2684" w:type="dxa"/>
          </w:tcPr>
          <w:p>
            <w:pPr>
              <w:pStyle w:val="TableParagraph"/>
              <w:ind w:left="100"/>
              <w:rPr>
                <w:sz w:val="22"/>
              </w:rPr>
            </w:pPr>
            <w:r>
              <w:rPr>
                <w:sz w:val="22"/>
              </w:rPr>
              <w:t>Computación</w:t>
            </w:r>
          </w:p>
        </w:tc>
        <w:tc>
          <w:tcPr>
            <w:tcW w:w="1033" w:type="dxa"/>
          </w:tcPr>
          <w:p>
            <w:pPr>
              <w:pStyle w:val="TableParagraph"/>
              <w:ind w:left="0"/>
              <w:jc w:val="center"/>
              <w:rPr>
                <w:sz w:val="22"/>
              </w:rPr>
            </w:pPr>
            <w:r>
              <w:rPr>
                <w:w w:val="100"/>
                <w:sz w:val="22"/>
              </w:rPr>
              <w:t>2</w:t>
            </w:r>
          </w:p>
        </w:tc>
      </w:tr>
      <w:tr>
        <w:trPr>
          <w:trHeight w:val="391" w:hRule="exact"/>
        </w:trPr>
        <w:tc>
          <w:tcPr>
            <w:tcW w:w="2749" w:type="dxa"/>
          </w:tcPr>
          <w:p>
            <w:pPr>
              <w:pStyle w:val="TableParagraph"/>
              <w:spacing w:line="249" w:lineRule="exact"/>
              <w:rPr>
                <w:sz w:val="22"/>
              </w:rPr>
            </w:pPr>
            <w:r>
              <w:rPr>
                <w:sz w:val="22"/>
              </w:rPr>
              <w:t>Comunicación</w:t>
            </w:r>
          </w:p>
        </w:tc>
        <w:tc>
          <w:tcPr>
            <w:tcW w:w="958" w:type="dxa"/>
          </w:tcPr>
          <w:p>
            <w:pPr>
              <w:pStyle w:val="TableParagraph"/>
              <w:spacing w:line="249" w:lineRule="exact"/>
              <w:ind w:left="190" w:right="195"/>
              <w:jc w:val="center"/>
              <w:rPr>
                <w:sz w:val="22"/>
              </w:rPr>
            </w:pPr>
            <w:r>
              <w:rPr>
                <w:sz w:val="22"/>
              </w:rPr>
              <w:t>13</w:t>
            </w:r>
          </w:p>
        </w:tc>
        <w:tc>
          <w:tcPr>
            <w:tcW w:w="2684" w:type="dxa"/>
          </w:tcPr>
          <w:p>
            <w:pPr>
              <w:pStyle w:val="TableParagraph"/>
              <w:spacing w:line="249" w:lineRule="exact"/>
              <w:ind w:left="100"/>
              <w:rPr>
                <w:sz w:val="22"/>
              </w:rPr>
            </w:pPr>
            <w:r>
              <w:rPr>
                <w:sz w:val="22"/>
              </w:rPr>
              <w:t>Física</w:t>
            </w:r>
          </w:p>
        </w:tc>
        <w:tc>
          <w:tcPr>
            <w:tcW w:w="1033" w:type="dxa"/>
          </w:tcPr>
          <w:p>
            <w:pPr>
              <w:pStyle w:val="TableParagraph"/>
              <w:spacing w:line="249" w:lineRule="exact"/>
              <w:ind w:left="0"/>
              <w:jc w:val="center"/>
              <w:rPr>
                <w:sz w:val="22"/>
              </w:rPr>
            </w:pPr>
            <w:r>
              <w:rPr>
                <w:w w:val="100"/>
                <w:sz w:val="22"/>
              </w:rPr>
              <w:t>3</w:t>
            </w:r>
          </w:p>
        </w:tc>
      </w:tr>
      <w:tr>
        <w:trPr>
          <w:trHeight w:val="389" w:hRule="exact"/>
        </w:trPr>
        <w:tc>
          <w:tcPr>
            <w:tcW w:w="2749" w:type="dxa"/>
          </w:tcPr>
          <w:p>
            <w:pPr>
              <w:pStyle w:val="TableParagraph"/>
              <w:rPr>
                <w:sz w:val="22"/>
              </w:rPr>
            </w:pPr>
            <w:r>
              <w:rPr>
                <w:sz w:val="22"/>
              </w:rPr>
              <w:t>Cultura</w:t>
            </w:r>
          </w:p>
        </w:tc>
        <w:tc>
          <w:tcPr>
            <w:tcW w:w="958" w:type="dxa"/>
          </w:tcPr>
          <w:p>
            <w:pPr>
              <w:pStyle w:val="TableParagraph"/>
              <w:ind w:left="0" w:right="5"/>
              <w:jc w:val="center"/>
              <w:rPr>
                <w:sz w:val="22"/>
              </w:rPr>
            </w:pPr>
            <w:r>
              <w:rPr>
                <w:w w:val="100"/>
                <w:sz w:val="22"/>
              </w:rPr>
              <w:t>7</w:t>
            </w:r>
          </w:p>
        </w:tc>
        <w:tc>
          <w:tcPr>
            <w:tcW w:w="2684" w:type="dxa"/>
          </w:tcPr>
          <w:p>
            <w:pPr>
              <w:pStyle w:val="TableParagraph"/>
              <w:ind w:left="100"/>
              <w:rPr>
                <w:sz w:val="22"/>
              </w:rPr>
            </w:pPr>
            <w:r>
              <w:rPr>
                <w:sz w:val="22"/>
              </w:rPr>
              <w:t>Geofísica</w:t>
            </w:r>
          </w:p>
        </w:tc>
        <w:tc>
          <w:tcPr>
            <w:tcW w:w="1033" w:type="dxa"/>
          </w:tcPr>
          <w:p>
            <w:pPr>
              <w:pStyle w:val="TableParagraph"/>
              <w:ind w:left="0"/>
              <w:jc w:val="center"/>
              <w:rPr>
                <w:sz w:val="22"/>
              </w:rPr>
            </w:pPr>
            <w:r>
              <w:rPr>
                <w:w w:val="100"/>
                <w:sz w:val="22"/>
              </w:rPr>
              <w:t>1</w:t>
            </w:r>
          </w:p>
        </w:tc>
      </w:tr>
      <w:tr>
        <w:trPr>
          <w:trHeight w:val="389" w:hRule="exact"/>
        </w:trPr>
        <w:tc>
          <w:tcPr>
            <w:tcW w:w="2749" w:type="dxa"/>
          </w:tcPr>
          <w:p>
            <w:pPr>
              <w:pStyle w:val="TableParagraph"/>
              <w:rPr>
                <w:sz w:val="22"/>
              </w:rPr>
            </w:pPr>
            <w:r>
              <w:rPr>
                <w:sz w:val="22"/>
              </w:rPr>
              <w:t>Demografía</w:t>
            </w:r>
          </w:p>
        </w:tc>
        <w:tc>
          <w:tcPr>
            <w:tcW w:w="958" w:type="dxa"/>
          </w:tcPr>
          <w:p>
            <w:pPr>
              <w:pStyle w:val="TableParagraph"/>
              <w:ind w:left="0" w:right="5"/>
              <w:jc w:val="center"/>
              <w:rPr>
                <w:sz w:val="22"/>
              </w:rPr>
            </w:pPr>
            <w:r>
              <w:rPr>
                <w:w w:val="100"/>
                <w:sz w:val="22"/>
              </w:rPr>
              <w:t>4</w:t>
            </w:r>
          </w:p>
        </w:tc>
        <w:tc>
          <w:tcPr>
            <w:tcW w:w="2684" w:type="dxa"/>
          </w:tcPr>
          <w:p>
            <w:pPr>
              <w:pStyle w:val="TableParagraph"/>
              <w:ind w:left="100"/>
              <w:rPr>
                <w:sz w:val="22"/>
              </w:rPr>
            </w:pPr>
            <w:r>
              <w:rPr>
                <w:sz w:val="22"/>
              </w:rPr>
              <w:t>Geología</w:t>
            </w:r>
          </w:p>
        </w:tc>
        <w:tc>
          <w:tcPr>
            <w:tcW w:w="1033" w:type="dxa"/>
          </w:tcPr>
          <w:p>
            <w:pPr>
              <w:pStyle w:val="TableParagraph"/>
              <w:ind w:left="0"/>
              <w:jc w:val="center"/>
              <w:rPr>
                <w:sz w:val="22"/>
              </w:rPr>
            </w:pPr>
            <w:r>
              <w:rPr>
                <w:w w:val="100"/>
                <w:sz w:val="22"/>
              </w:rPr>
              <w:t>4</w:t>
            </w:r>
          </w:p>
        </w:tc>
      </w:tr>
      <w:tr>
        <w:trPr>
          <w:trHeight w:val="389" w:hRule="exact"/>
        </w:trPr>
        <w:tc>
          <w:tcPr>
            <w:tcW w:w="2749" w:type="dxa"/>
          </w:tcPr>
          <w:p>
            <w:pPr>
              <w:pStyle w:val="TableParagraph"/>
              <w:rPr>
                <w:sz w:val="22"/>
              </w:rPr>
            </w:pPr>
            <w:r>
              <w:rPr>
                <w:sz w:val="22"/>
              </w:rPr>
              <w:t>Derecho</w:t>
            </w:r>
          </w:p>
        </w:tc>
        <w:tc>
          <w:tcPr>
            <w:tcW w:w="958" w:type="dxa"/>
          </w:tcPr>
          <w:p>
            <w:pPr>
              <w:pStyle w:val="TableParagraph"/>
              <w:ind w:left="190" w:right="195"/>
              <w:jc w:val="center"/>
              <w:rPr>
                <w:sz w:val="22"/>
              </w:rPr>
            </w:pPr>
            <w:r>
              <w:rPr>
                <w:sz w:val="22"/>
              </w:rPr>
              <w:t>20</w:t>
            </w:r>
          </w:p>
        </w:tc>
        <w:tc>
          <w:tcPr>
            <w:tcW w:w="2684" w:type="dxa"/>
          </w:tcPr>
          <w:p>
            <w:pPr>
              <w:pStyle w:val="TableParagraph"/>
              <w:ind w:left="100"/>
              <w:rPr>
                <w:sz w:val="22"/>
              </w:rPr>
            </w:pPr>
            <w:r>
              <w:rPr>
                <w:sz w:val="22"/>
              </w:rPr>
              <w:t>Ingeniería</w:t>
            </w:r>
          </w:p>
        </w:tc>
        <w:tc>
          <w:tcPr>
            <w:tcW w:w="1033" w:type="dxa"/>
          </w:tcPr>
          <w:p>
            <w:pPr>
              <w:pStyle w:val="TableParagraph"/>
              <w:ind w:left="231" w:right="231"/>
              <w:jc w:val="center"/>
              <w:rPr>
                <w:sz w:val="22"/>
              </w:rPr>
            </w:pPr>
            <w:r>
              <w:rPr>
                <w:sz w:val="22"/>
              </w:rPr>
              <w:t>30</w:t>
            </w:r>
          </w:p>
        </w:tc>
      </w:tr>
      <w:tr>
        <w:trPr>
          <w:trHeight w:val="391" w:hRule="exact"/>
        </w:trPr>
        <w:tc>
          <w:tcPr>
            <w:tcW w:w="2749" w:type="dxa"/>
          </w:tcPr>
          <w:p>
            <w:pPr>
              <w:pStyle w:val="TableParagraph"/>
              <w:spacing w:line="249" w:lineRule="exact"/>
              <w:rPr>
                <w:sz w:val="22"/>
              </w:rPr>
            </w:pPr>
            <w:r>
              <w:rPr>
                <w:sz w:val="22"/>
              </w:rPr>
              <w:t>Economía</w:t>
            </w:r>
          </w:p>
        </w:tc>
        <w:tc>
          <w:tcPr>
            <w:tcW w:w="958" w:type="dxa"/>
          </w:tcPr>
          <w:p>
            <w:pPr>
              <w:pStyle w:val="TableParagraph"/>
              <w:spacing w:line="249" w:lineRule="exact"/>
              <w:ind w:left="190" w:right="195"/>
              <w:jc w:val="center"/>
              <w:rPr>
                <w:sz w:val="22"/>
              </w:rPr>
            </w:pPr>
            <w:r>
              <w:rPr>
                <w:sz w:val="22"/>
              </w:rPr>
              <w:t>40</w:t>
            </w:r>
          </w:p>
        </w:tc>
        <w:tc>
          <w:tcPr>
            <w:tcW w:w="2684" w:type="dxa"/>
          </w:tcPr>
          <w:p>
            <w:pPr>
              <w:pStyle w:val="TableParagraph"/>
              <w:spacing w:line="249" w:lineRule="exact"/>
              <w:ind w:left="100"/>
              <w:rPr>
                <w:sz w:val="22"/>
              </w:rPr>
            </w:pPr>
            <w:r>
              <w:rPr>
                <w:sz w:val="22"/>
              </w:rPr>
              <w:t>Matemáticas</w:t>
            </w:r>
          </w:p>
        </w:tc>
        <w:tc>
          <w:tcPr>
            <w:tcW w:w="1033" w:type="dxa"/>
          </w:tcPr>
          <w:p>
            <w:pPr>
              <w:pStyle w:val="TableParagraph"/>
              <w:spacing w:line="249" w:lineRule="exact"/>
              <w:ind w:left="0"/>
              <w:jc w:val="center"/>
              <w:rPr>
                <w:sz w:val="22"/>
              </w:rPr>
            </w:pPr>
            <w:r>
              <w:rPr>
                <w:w w:val="100"/>
                <w:sz w:val="22"/>
              </w:rPr>
              <w:t>2</w:t>
            </w:r>
          </w:p>
        </w:tc>
      </w:tr>
      <w:tr>
        <w:trPr>
          <w:trHeight w:val="389" w:hRule="exact"/>
        </w:trPr>
        <w:tc>
          <w:tcPr>
            <w:tcW w:w="2749" w:type="dxa"/>
          </w:tcPr>
          <w:p>
            <w:pPr>
              <w:pStyle w:val="TableParagraph"/>
              <w:rPr>
                <w:sz w:val="22"/>
              </w:rPr>
            </w:pPr>
            <w:r>
              <w:rPr>
                <w:sz w:val="22"/>
              </w:rPr>
              <w:t>Educación</w:t>
            </w:r>
          </w:p>
        </w:tc>
        <w:tc>
          <w:tcPr>
            <w:tcW w:w="958" w:type="dxa"/>
          </w:tcPr>
          <w:p>
            <w:pPr>
              <w:pStyle w:val="TableParagraph"/>
              <w:ind w:left="190" w:right="195"/>
              <w:jc w:val="center"/>
              <w:rPr>
                <w:sz w:val="22"/>
              </w:rPr>
            </w:pPr>
            <w:r>
              <w:rPr>
                <w:sz w:val="22"/>
              </w:rPr>
              <w:t>55</w:t>
            </w:r>
          </w:p>
        </w:tc>
        <w:tc>
          <w:tcPr>
            <w:tcW w:w="2684" w:type="dxa"/>
          </w:tcPr>
          <w:p>
            <w:pPr>
              <w:pStyle w:val="TableParagraph"/>
              <w:ind w:left="100"/>
              <w:rPr>
                <w:sz w:val="22"/>
              </w:rPr>
            </w:pPr>
            <w:r>
              <w:rPr>
                <w:sz w:val="22"/>
              </w:rPr>
              <w:t>Medicina</w:t>
            </w:r>
          </w:p>
        </w:tc>
        <w:tc>
          <w:tcPr>
            <w:tcW w:w="1033" w:type="dxa"/>
          </w:tcPr>
          <w:p>
            <w:pPr>
              <w:pStyle w:val="TableParagraph"/>
              <w:ind w:left="231" w:right="231"/>
              <w:jc w:val="center"/>
              <w:rPr>
                <w:sz w:val="22"/>
              </w:rPr>
            </w:pPr>
            <w:r>
              <w:rPr>
                <w:sz w:val="22"/>
              </w:rPr>
              <w:t>31</w:t>
            </w:r>
          </w:p>
        </w:tc>
      </w:tr>
      <w:tr>
        <w:trPr>
          <w:trHeight w:val="389" w:hRule="exact"/>
        </w:trPr>
        <w:tc>
          <w:tcPr>
            <w:tcW w:w="2749" w:type="dxa"/>
          </w:tcPr>
          <w:p>
            <w:pPr>
              <w:pStyle w:val="TableParagraph"/>
              <w:rPr>
                <w:sz w:val="22"/>
              </w:rPr>
            </w:pPr>
            <w:r>
              <w:rPr>
                <w:sz w:val="22"/>
              </w:rPr>
              <w:t>Estudios Agrarios</w:t>
            </w:r>
          </w:p>
        </w:tc>
        <w:tc>
          <w:tcPr>
            <w:tcW w:w="958" w:type="dxa"/>
          </w:tcPr>
          <w:p>
            <w:pPr>
              <w:pStyle w:val="TableParagraph"/>
              <w:ind w:left="0" w:right="5"/>
              <w:jc w:val="center"/>
              <w:rPr>
                <w:sz w:val="22"/>
              </w:rPr>
            </w:pPr>
            <w:r>
              <w:rPr>
                <w:w w:val="100"/>
                <w:sz w:val="22"/>
              </w:rPr>
              <w:t>3</w:t>
            </w:r>
          </w:p>
        </w:tc>
        <w:tc>
          <w:tcPr>
            <w:tcW w:w="2684" w:type="dxa"/>
          </w:tcPr>
          <w:p>
            <w:pPr>
              <w:pStyle w:val="TableParagraph"/>
              <w:ind w:left="100"/>
              <w:rPr>
                <w:sz w:val="22"/>
              </w:rPr>
            </w:pPr>
            <w:r>
              <w:rPr>
                <w:sz w:val="22"/>
              </w:rPr>
              <w:t>Multidisciplinaria (CNyE)</w:t>
            </w:r>
          </w:p>
        </w:tc>
        <w:tc>
          <w:tcPr>
            <w:tcW w:w="1033" w:type="dxa"/>
          </w:tcPr>
          <w:p>
            <w:pPr>
              <w:pStyle w:val="TableParagraph"/>
              <w:ind w:left="0"/>
              <w:jc w:val="center"/>
              <w:rPr>
                <w:sz w:val="22"/>
              </w:rPr>
            </w:pPr>
            <w:r>
              <w:rPr>
                <w:w w:val="100"/>
                <w:sz w:val="22"/>
              </w:rPr>
              <w:t>9</w:t>
            </w:r>
          </w:p>
        </w:tc>
      </w:tr>
      <w:tr>
        <w:trPr>
          <w:trHeight w:val="391" w:hRule="exact"/>
        </w:trPr>
        <w:tc>
          <w:tcPr>
            <w:tcW w:w="2749" w:type="dxa"/>
          </w:tcPr>
          <w:p>
            <w:pPr>
              <w:pStyle w:val="TableParagraph"/>
              <w:rPr>
                <w:sz w:val="22"/>
              </w:rPr>
            </w:pPr>
            <w:r>
              <w:rPr>
                <w:sz w:val="22"/>
              </w:rPr>
              <w:t>Estudios Ambientales</w:t>
            </w:r>
          </w:p>
        </w:tc>
        <w:tc>
          <w:tcPr>
            <w:tcW w:w="958" w:type="dxa"/>
          </w:tcPr>
          <w:p>
            <w:pPr>
              <w:pStyle w:val="TableParagraph"/>
              <w:ind w:left="0" w:right="5"/>
              <w:jc w:val="center"/>
              <w:rPr>
                <w:sz w:val="22"/>
              </w:rPr>
            </w:pPr>
            <w:r>
              <w:rPr>
                <w:w w:val="100"/>
                <w:sz w:val="22"/>
              </w:rPr>
              <w:t>6</w:t>
            </w:r>
          </w:p>
        </w:tc>
        <w:tc>
          <w:tcPr>
            <w:tcW w:w="2684" w:type="dxa"/>
          </w:tcPr>
          <w:p>
            <w:pPr>
              <w:pStyle w:val="TableParagraph"/>
              <w:ind w:left="100"/>
              <w:rPr>
                <w:sz w:val="22"/>
              </w:rPr>
            </w:pPr>
            <w:r>
              <w:rPr>
                <w:sz w:val="22"/>
              </w:rPr>
              <w:t>Multidisciplinarias</w:t>
            </w:r>
          </w:p>
        </w:tc>
        <w:tc>
          <w:tcPr>
            <w:tcW w:w="1033" w:type="dxa"/>
          </w:tcPr>
          <w:p>
            <w:pPr>
              <w:pStyle w:val="TableParagraph"/>
              <w:ind w:left="0"/>
              <w:jc w:val="center"/>
              <w:rPr>
                <w:sz w:val="22"/>
              </w:rPr>
            </w:pPr>
            <w:r>
              <w:rPr>
                <w:w w:val="100"/>
                <w:sz w:val="22"/>
              </w:rPr>
              <w:t>1</w:t>
            </w:r>
          </w:p>
        </w:tc>
      </w:tr>
      <w:tr>
        <w:trPr>
          <w:trHeight w:val="389" w:hRule="exact"/>
        </w:trPr>
        <w:tc>
          <w:tcPr>
            <w:tcW w:w="2749" w:type="dxa"/>
          </w:tcPr>
          <w:p>
            <w:pPr>
              <w:pStyle w:val="TableParagraph"/>
              <w:rPr>
                <w:sz w:val="22"/>
              </w:rPr>
            </w:pPr>
            <w:r>
              <w:rPr>
                <w:sz w:val="22"/>
              </w:rPr>
              <w:t>Estudios Territoriales</w:t>
            </w:r>
          </w:p>
        </w:tc>
        <w:tc>
          <w:tcPr>
            <w:tcW w:w="958" w:type="dxa"/>
          </w:tcPr>
          <w:p>
            <w:pPr>
              <w:pStyle w:val="TableParagraph"/>
              <w:ind w:left="190" w:right="195"/>
              <w:jc w:val="center"/>
              <w:rPr>
                <w:sz w:val="22"/>
              </w:rPr>
            </w:pPr>
            <w:r>
              <w:rPr>
                <w:sz w:val="22"/>
              </w:rPr>
              <w:t>17</w:t>
            </w:r>
          </w:p>
        </w:tc>
        <w:tc>
          <w:tcPr>
            <w:tcW w:w="2684" w:type="dxa"/>
          </w:tcPr>
          <w:p>
            <w:pPr>
              <w:pStyle w:val="TableParagraph"/>
              <w:ind w:left="100"/>
              <w:rPr>
                <w:sz w:val="22"/>
              </w:rPr>
            </w:pPr>
            <w:r>
              <w:rPr>
                <w:sz w:val="22"/>
              </w:rPr>
              <w:t>Química</w:t>
            </w:r>
          </w:p>
        </w:tc>
        <w:tc>
          <w:tcPr>
            <w:tcW w:w="1033" w:type="dxa"/>
          </w:tcPr>
          <w:p>
            <w:pPr>
              <w:pStyle w:val="TableParagraph"/>
              <w:ind w:left="231" w:right="231"/>
              <w:jc w:val="center"/>
              <w:rPr>
                <w:sz w:val="22"/>
              </w:rPr>
            </w:pPr>
            <w:r>
              <w:rPr>
                <w:sz w:val="22"/>
              </w:rPr>
              <w:t>11</w:t>
            </w:r>
          </w:p>
        </w:tc>
      </w:tr>
      <w:tr>
        <w:trPr>
          <w:trHeight w:val="389" w:hRule="exact"/>
        </w:trPr>
        <w:tc>
          <w:tcPr>
            <w:tcW w:w="2749" w:type="dxa"/>
          </w:tcPr>
          <w:p>
            <w:pPr>
              <w:pStyle w:val="TableParagraph"/>
              <w:rPr>
                <w:sz w:val="22"/>
              </w:rPr>
            </w:pPr>
            <w:r>
              <w:rPr>
                <w:sz w:val="22"/>
              </w:rPr>
              <w:t>Filosofía y ciencia</w:t>
            </w:r>
          </w:p>
        </w:tc>
        <w:tc>
          <w:tcPr>
            <w:tcW w:w="958" w:type="dxa"/>
          </w:tcPr>
          <w:p>
            <w:pPr>
              <w:pStyle w:val="TableParagraph"/>
              <w:ind w:left="190" w:right="195"/>
              <w:jc w:val="center"/>
              <w:rPr>
                <w:sz w:val="22"/>
              </w:rPr>
            </w:pPr>
            <w:r>
              <w:rPr>
                <w:sz w:val="22"/>
              </w:rPr>
              <w:t>12</w:t>
            </w:r>
          </w:p>
        </w:tc>
        <w:tc>
          <w:tcPr>
            <w:tcW w:w="2684" w:type="dxa"/>
          </w:tcPr>
          <w:p>
            <w:pPr>
              <w:pStyle w:val="TableParagraph"/>
              <w:ind w:left="100"/>
              <w:rPr>
                <w:sz w:val="22"/>
              </w:rPr>
            </w:pPr>
            <w:r>
              <w:rPr>
                <w:sz w:val="22"/>
              </w:rPr>
              <w:t>Oceanografía</w:t>
            </w:r>
          </w:p>
        </w:tc>
        <w:tc>
          <w:tcPr>
            <w:tcW w:w="1033" w:type="dxa"/>
          </w:tcPr>
          <w:p>
            <w:pPr>
              <w:pStyle w:val="TableParagraph"/>
              <w:ind w:left="0"/>
              <w:jc w:val="center"/>
              <w:rPr>
                <w:sz w:val="22"/>
              </w:rPr>
            </w:pPr>
            <w:r>
              <w:rPr>
                <w:w w:val="100"/>
                <w:sz w:val="22"/>
              </w:rPr>
              <w:t>5</w:t>
            </w:r>
          </w:p>
        </w:tc>
      </w:tr>
    </w:tbl>
    <w:p>
      <w:pPr>
        <w:spacing w:after="0"/>
        <w:jc w:val="center"/>
        <w:rPr>
          <w:sz w:val="22"/>
        </w:rPr>
        <w:sectPr>
          <w:pgSz w:w="12240" w:h="15840"/>
          <w:pgMar w:header="733" w:footer="1433" w:top="1120" w:bottom="1660" w:left="1620" w:right="1560"/>
        </w:sectPr>
      </w:pPr>
    </w:p>
    <w:p>
      <w:pPr>
        <w:pStyle w:val="BodyText"/>
        <w:spacing w:before="9"/>
        <w:rPr>
          <w:sz w:val="25"/>
        </w:rPr>
      </w:pPr>
    </w:p>
    <w:tbl>
      <w:tblPr>
        <w:tblW w:w="0" w:type="auto"/>
        <w:jc w:val="left"/>
        <w:tblInd w:w="8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49"/>
        <w:gridCol w:w="958"/>
        <w:gridCol w:w="2684"/>
        <w:gridCol w:w="1033"/>
      </w:tblGrid>
      <w:tr>
        <w:trPr>
          <w:trHeight w:val="389" w:hRule="exact"/>
        </w:trPr>
        <w:tc>
          <w:tcPr>
            <w:tcW w:w="2749" w:type="dxa"/>
          </w:tcPr>
          <w:p>
            <w:pPr>
              <w:pStyle w:val="TableParagraph"/>
              <w:rPr>
                <w:sz w:val="22"/>
              </w:rPr>
            </w:pPr>
            <w:r>
              <w:rPr>
                <w:sz w:val="22"/>
              </w:rPr>
              <w:t>Geografía</w:t>
            </w:r>
          </w:p>
        </w:tc>
        <w:tc>
          <w:tcPr>
            <w:tcW w:w="958" w:type="dxa"/>
          </w:tcPr>
          <w:p>
            <w:pPr>
              <w:pStyle w:val="TableParagraph"/>
              <w:ind w:left="0" w:right="5"/>
              <w:jc w:val="center"/>
              <w:rPr>
                <w:sz w:val="22"/>
              </w:rPr>
            </w:pPr>
            <w:r>
              <w:rPr>
                <w:w w:val="100"/>
                <w:sz w:val="22"/>
              </w:rPr>
              <w:t>7</w:t>
            </w:r>
          </w:p>
        </w:tc>
        <w:tc>
          <w:tcPr>
            <w:tcW w:w="2684" w:type="dxa"/>
          </w:tcPr>
          <w:p>
            <w:pPr>
              <w:pStyle w:val="TableParagraph"/>
              <w:ind w:left="100"/>
              <w:rPr>
                <w:sz w:val="22"/>
              </w:rPr>
            </w:pPr>
            <w:r>
              <w:rPr>
                <w:sz w:val="22"/>
              </w:rPr>
              <w:t>Veterinaria</w:t>
            </w:r>
          </w:p>
        </w:tc>
        <w:tc>
          <w:tcPr>
            <w:tcW w:w="1033" w:type="dxa"/>
          </w:tcPr>
          <w:p>
            <w:pPr>
              <w:pStyle w:val="TableParagraph"/>
              <w:ind w:left="0"/>
              <w:jc w:val="center"/>
              <w:rPr>
                <w:sz w:val="22"/>
              </w:rPr>
            </w:pPr>
            <w:r>
              <w:rPr>
                <w:w w:val="100"/>
                <w:sz w:val="22"/>
              </w:rPr>
              <w:t>7</w:t>
            </w:r>
          </w:p>
        </w:tc>
      </w:tr>
      <w:tr>
        <w:trPr>
          <w:trHeight w:val="389" w:hRule="exact"/>
        </w:trPr>
        <w:tc>
          <w:tcPr>
            <w:tcW w:w="2749" w:type="dxa"/>
          </w:tcPr>
          <w:p>
            <w:pPr>
              <w:pStyle w:val="TableParagraph"/>
              <w:rPr>
                <w:sz w:val="22"/>
              </w:rPr>
            </w:pPr>
            <w:r>
              <w:rPr>
                <w:sz w:val="22"/>
              </w:rPr>
              <w:t>Historia</w:t>
            </w:r>
          </w:p>
        </w:tc>
        <w:tc>
          <w:tcPr>
            <w:tcW w:w="958" w:type="dxa"/>
          </w:tcPr>
          <w:p>
            <w:pPr>
              <w:pStyle w:val="TableParagraph"/>
              <w:ind w:left="190" w:right="195"/>
              <w:jc w:val="center"/>
              <w:rPr>
                <w:sz w:val="22"/>
              </w:rPr>
            </w:pPr>
            <w:r>
              <w:rPr>
                <w:sz w:val="22"/>
              </w:rPr>
              <w:t>25</w:t>
            </w:r>
          </w:p>
        </w:tc>
        <w:tc>
          <w:tcPr>
            <w:tcW w:w="2684" w:type="dxa"/>
          </w:tcPr>
          <w:p>
            <w:pPr/>
          </w:p>
        </w:tc>
        <w:tc>
          <w:tcPr>
            <w:tcW w:w="1033" w:type="dxa"/>
          </w:tcPr>
          <w:p>
            <w:pPr/>
          </w:p>
        </w:tc>
      </w:tr>
      <w:tr>
        <w:trPr>
          <w:trHeight w:val="391" w:hRule="exact"/>
        </w:trPr>
        <w:tc>
          <w:tcPr>
            <w:tcW w:w="2749" w:type="dxa"/>
          </w:tcPr>
          <w:p>
            <w:pPr>
              <w:pStyle w:val="TableParagraph"/>
              <w:spacing w:line="249" w:lineRule="exact"/>
              <w:rPr>
                <w:sz w:val="22"/>
              </w:rPr>
            </w:pPr>
            <w:r>
              <w:rPr>
                <w:sz w:val="22"/>
              </w:rPr>
              <w:t>Lengua y literatura</w:t>
            </w:r>
          </w:p>
        </w:tc>
        <w:tc>
          <w:tcPr>
            <w:tcW w:w="958" w:type="dxa"/>
          </w:tcPr>
          <w:p>
            <w:pPr>
              <w:pStyle w:val="TableParagraph"/>
              <w:spacing w:line="249" w:lineRule="exact"/>
              <w:ind w:left="190" w:right="195"/>
              <w:jc w:val="center"/>
              <w:rPr>
                <w:sz w:val="22"/>
              </w:rPr>
            </w:pPr>
            <w:r>
              <w:rPr>
                <w:sz w:val="22"/>
              </w:rPr>
              <w:t>23</w:t>
            </w:r>
          </w:p>
        </w:tc>
        <w:tc>
          <w:tcPr>
            <w:tcW w:w="2684" w:type="dxa"/>
          </w:tcPr>
          <w:p>
            <w:pPr/>
          </w:p>
        </w:tc>
        <w:tc>
          <w:tcPr>
            <w:tcW w:w="1033" w:type="dxa"/>
          </w:tcPr>
          <w:p>
            <w:pPr/>
          </w:p>
        </w:tc>
      </w:tr>
      <w:tr>
        <w:trPr>
          <w:trHeight w:val="389" w:hRule="exact"/>
        </w:trPr>
        <w:tc>
          <w:tcPr>
            <w:tcW w:w="2749" w:type="dxa"/>
          </w:tcPr>
          <w:p>
            <w:pPr>
              <w:pStyle w:val="TableParagraph"/>
              <w:rPr>
                <w:sz w:val="22"/>
              </w:rPr>
            </w:pPr>
            <w:r>
              <w:rPr>
                <w:sz w:val="22"/>
              </w:rPr>
              <w:t>Multidisciplinarias (CSyH)</w:t>
            </w:r>
          </w:p>
        </w:tc>
        <w:tc>
          <w:tcPr>
            <w:tcW w:w="958" w:type="dxa"/>
          </w:tcPr>
          <w:p>
            <w:pPr>
              <w:pStyle w:val="TableParagraph"/>
              <w:ind w:left="190" w:right="195"/>
              <w:jc w:val="center"/>
              <w:rPr>
                <w:sz w:val="22"/>
              </w:rPr>
            </w:pPr>
            <w:r>
              <w:rPr>
                <w:sz w:val="22"/>
              </w:rPr>
              <w:t>53</w:t>
            </w:r>
          </w:p>
        </w:tc>
        <w:tc>
          <w:tcPr>
            <w:tcW w:w="2684" w:type="dxa"/>
          </w:tcPr>
          <w:p>
            <w:pPr/>
          </w:p>
        </w:tc>
        <w:tc>
          <w:tcPr>
            <w:tcW w:w="1033" w:type="dxa"/>
          </w:tcPr>
          <w:p>
            <w:pPr/>
          </w:p>
        </w:tc>
      </w:tr>
      <w:tr>
        <w:trPr>
          <w:trHeight w:val="389" w:hRule="exact"/>
        </w:trPr>
        <w:tc>
          <w:tcPr>
            <w:tcW w:w="2749" w:type="dxa"/>
          </w:tcPr>
          <w:p>
            <w:pPr>
              <w:pStyle w:val="TableParagraph"/>
              <w:rPr>
                <w:sz w:val="22"/>
              </w:rPr>
            </w:pPr>
            <w:r>
              <w:rPr>
                <w:sz w:val="22"/>
              </w:rPr>
              <w:t>Política</w:t>
            </w:r>
          </w:p>
        </w:tc>
        <w:tc>
          <w:tcPr>
            <w:tcW w:w="958" w:type="dxa"/>
          </w:tcPr>
          <w:p>
            <w:pPr>
              <w:pStyle w:val="TableParagraph"/>
              <w:ind w:left="190" w:right="195"/>
              <w:jc w:val="center"/>
              <w:rPr>
                <w:sz w:val="22"/>
              </w:rPr>
            </w:pPr>
            <w:r>
              <w:rPr>
                <w:sz w:val="22"/>
              </w:rPr>
              <w:t>21</w:t>
            </w:r>
          </w:p>
        </w:tc>
        <w:tc>
          <w:tcPr>
            <w:tcW w:w="2684" w:type="dxa"/>
          </w:tcPr>
          <w:p>
            <w:pPr/>
          </w:p>
        </w:tc>
        <w:tc>
          <w:tcPr>
            <w:tcW w:w="1033" w:type="dxa"/>
          </w:tcPr>
          <w:p>
            <w:pPr/>
          </w:p>
        </w:tc>
      </w:tr>
      <w:tr>
        <w:trPr>
          <w:trHeight w:val="391" w:hRule="exact"/>
        </w:trPr>
        <w:tc>
          <w:tcPr>
            <w:tcW w:w="2749" w:type="dxa"/>
          </w:tcPr>
          <w:p>
            <w:pPr>
              <w:pStyle w:val="TableParagraph"/>
              <w:rPr>
                <w:sz w:val="22"/>
              </w:rPr>
            </w:pPr>
            <w:r>
              <w:rPr>
                <w:sz w:val="22"/>
              </w:rPr>
              <w:t>Psicología</w:t>
            </w:r>
          </w:p>
        </w:tc>
        <w:tc>
          <w:tcPr>
            <w:tcW w:w="958" w:type="dxa"/>
          </w:tcPr>
          <w:p>
            <w:pPr>
              <w:pStyle w:val="TableParagraph"/>
              <w:ind w:left="190" w:right="195"/>
              <w:jc w:val="center"/>
              <w:rPr>
                <w:sz w:val="22"/>
              </w:rPr>
            </w:pPr>
            <w:r>
              <w:rPr>
                <w:sz w:val="22"/>
              </w:rPr>
              <w:t>48</w:t>
            </w:r>
          </w:p>
        </w:tc>
        <w:tc>
          <w:tcPr>
            <w:tcW w:w="2684" w:type="dxa"/>
          </w:tcPr>
          <w:p>
            <w:pPr/>
          </w:p>
        </w:tc>
        <w:tc>
          <w:tcPr>
            <w:tcW w:w="1033" w:type="dxa"/>
          </w:tcPr>
          <w:p>
            <w:pPr/>
          </w:p>
        </w:tc>
      </w:tr>
      <w:tr>
        <w:trPr>
          <w:trHeight w:val="389" w:hRule="exact"/>
        </w:trPr>
        <w:tc>
          <w:tcPr>
            <w:tcW w:w="2749" w:type="dxa"/>
          </w:tcPr>
          <w:p>
            <w:pPr>
              <w:pStyle w:val="TableParagraph"/>
              <w:rPr>
                <w:sz w:val="22"/>
              </w:rPr>
            </w:pPr>
            <w:r>
              <w:rPr>
                <w:sz w:val="22"/>
              </w:rPr>
              <w:t>Relaciones Internacionales</w:t>
            </w:r>
          </w:p>
        </w:tc>
        <w:tc>
          <w:tcPr>
            <w:tcW w:w="958" w:type="dxa"/>
          </w:tcPr>
          <w:p>
            <w:pPr>
              <w:pStyle w:val="TableParagraph"/>
              <w:ind w:left="0" w:right="5"/>
              <w:jc w:val="center"/>
              <w:rPr>
                <w:sz w:val="22"/>
              </w:rPr>
            </w:pPr>
            <w:r>
              <w:rPr>
                <w:w w:val="100"/>
                <w:sz w:val="22"/>
              </w:rPr>
              <w:t>7</w:t>
            </w:r>
          </w:p>
        </w:tc>
        <w:tc>
          <w:tcPr>
            <w:tcW w:w="2684" w:type="dxa"/>
          </w:tcPr>
          <w:p>
            <w:pPr/>
          </w:p>
        </w:tc>
        <w:tc>
          <w:tcPr>
            <w:tcW w:w="1033" w:type="dxa"/>
          </w:tcPr>
          <w:p>
            <w:pPr/>
          </w:p>
        </w:tc>
      </w:tr>
      <w:tr>
        <w:trPr>
          <w:trHeight w:val="389" w:hRule="exact"/>
        </w:trPr>
        <w:tc>
          <w:tcPr>
            <w:tcW w:w="2749" w:type="dxa"/>
          </w:tcPr>
          <w:p>
            <w:pPr>
              <w:pStyle w:val="TableParagraph"/>
              <w:rPr>
                <w:sz w:val="22"/>
              </w:rPr>
            </w:pPr>
            <w:r>
              <w:rPr>
                <w:sz w:val="22"/>
              </w:rPr>
              <w:t>Salud</w:t>
            </w:r>
          </w:p>
        </w:tc>
        <w:tc>
          <w:tcPr>
            <w:tcW w:w="958" w:type="dxa"/>
          </w:tcPr>
          <w:p>
            <w:pPr>
              <w:pStyle w:val="TableParagraph"/>
              <w:ind w:left="190" w:right="195"/>
              <w:jc w:val="center"/>
              <w:rPr>
                <w:sz w:val="22"/>
              </w:rPr>
            </w:pPr>
            <w:r>
              <w:rPr>
                <w:sz w:val="22"/>
              </w:rPr>
              <w:t>29</w:t>
            </w:r>
          </w:p>
        </w:tc>
        <w:tc>
          <w:tcPr>
            <w:tcW w:w="2684" w:type="dxa"/>
          </w:tcPr>
          <w:p>
            <w:pPr/>
          </w:p>
        </w:tc>
        <w:tc>
          <w:tcPr>
            <w:tcW w:w="1033" w:type="dxa"/>
          </w:tcPr>
          <w:p>
            <w:pPr/>
          </w:p>
        </w:tc>
      </w:tr>
      <w:tr>
        <w:trPr>
          <w:trHeight w:val="389" w:hRule="exact"/>
        </w:trPr>
        <w:tc>
          <w:tcPr>
            <w:tcW w:w="2749" w:type="dxa"/>
          </w:tcPr>
          <w:p>
            <w:pPr>
              <w:pStyle w:val="TableParagraph"/>
              <w:rPr>
                <w:sz w:val="22"/>
              </w:rPr>
            </w:pPr>
            <w:r>
              <w:rPr>
                <w:sz w:val="22"/>
              </w:rPr>
              <w:t>Sociología</w:t>
            </w:r>
          </w:p>
        </w:tc>
        <w:tc>
          <w:tcPr>
            <w:tcW w:w="958" w:type="dxa"/>
          </w:tcPr>
          <w:p>
            <w:pPr>
              <w:pStyle w:val="TableParagraph"/>
              <w:ind w:left="190" w:right="195"/>
              <w:jc w:val="center"/>
              <w:rPr>
                <w:sz w:val="22"/>
              </w:rPr>
            </w:pPr>
            <w:r>
              <w:rPr>
                <w:sz w:val="22"/>
              </w:rPr>
              <w:t>33</w:t>
            </w:r>
          </w:p>
        </w:tc>
        <w:tc>
          <w:tcPr>
            <w:tcW w:w="2684" w:type="dxa"/>
          </w:tcPr>
          <w:p>
            <w:pPr/>
          </w:p>
        </w:tc>
        <w:tc>
          <w:tcPr>
            <w:tcW w:w="1033" w:type="dxa"/>
          </w:tcPr>
          <w:p>
            <w:pPr/>
          </w:p>
        </w:tc>
      </w:tr>
      <w:tr>
        <w:trPr>
          <w:trHeight w:val="392" w:hRule="exact"/>
        </w:trPr>
        <w:tc>
          <w:tcPr>
            <w:tcW w:w="2749" w:type="dxa"/>
          </w:tcPr>
          <w:p>
            <w:pPr>
              <w:pStyle w:val="TableParagraph"/>
              <w:spacing w:line="240" w:lineRule="auto" w:before="1"/>
              <w:rPr>
                <w:b/>
                <w:sz w:val="22"/>
              </w:rPr>
            </w:pPr>
            <w:r>
              <w:rPr>
                <w:b/>
                <w:sz w:val="22"/>
              </w:rPr>
              <w:t>Total</w:t>
            </w:r>
          </w:p>
        </w:tc>
        <w:tc>
          <w:tcPr>
            <w:tcW w:w="958" w:type="dxa"/>
          </w:tcPr>
          <w:p>
            <w:pPr>
              <w:pStyle w:val="TableParagraph"/>
              <w:spacing w:line="240" w:lineRule="auto" w:before="1"/>
              <w:ind w:left="190" w:right="195"/>
              <w:jc w:val="center"/>
              <w:rPr>
                <w:b/>
                <w:sz w:val="22"/>
              </w:rPr>
            </w:pPr>
            <w:r>
              <w:rPr>
                <w:b/>
                <w:sz w:val="22"/>
              </w:rPr>
              <w:t>481</w:t>
            </w:r>
          </w:p>
        </w:tc>
        <w:tc>
          <w:tcPr>
            <w:tcW w:w="2684" w:type="dxa"/>
          </w:tcPr>
          <w:p>
            <w:pPr>
              <w:pStyle w:val="TableParagraph"/>
              <w:spacing w:line="240" w:lineRule="auto" w:before="1"/>
              <w:ind w:left="100"/>
              <w:rPr>
                <w:b/>
                <w:sz w:val="22"/>
              </w:rPr>
            </w:pPr>
            <w:r>
              <w:rPr>
                <w:b/>
                <w:sz w:val="22"/>
              </w:rPr>
              <w:t>Total</w:t>
            </w:r>
          </w:p>
        </w:tc>
        <w:tc>
          <w:tcPr>
            <w:tcW w:w="1033" w:type="dxa"/>
          </w:tcPr>
          <w:p>
            <w:pPr>
              <w:pStyle w:val="TableParagraph"/>
              <w:spacing w:line="240" w:lineRule="auto" w:before="1"/>
              <w:ind w:left="231" w:right="231"/>
              <w:jc w:val="center"/>
              <w:rPr>
                <w:b/>
                <w:sz w:val="22"/>
              </w:rPr>
            </w:pPr>
            <w:r>
              <w:rPr>
                <w:b/>
                <w:sz w:val="22"/>
              </w:rPr>
              <w:t>172</w:t>
            </w:r>
          </w:p>
        </w:tc>
      </w:tr>
    </w:tbl>
    <w:p>
      <w:pPr>
        <w:spacing w:before="115"/>
        <w:ind w:left="2951" w:right="0" w:firstLine="0"/>
        <w:jc w:val="left"/>
        <w:rPr>
          <w:sz w:val="18"/>
        </w:rPr>
      </w:pPr>
      <w:r>
        <w:rPr>
          <w:sz w:val="18"/>
        </w:rPr>
        <w:t>Cuadro 1. Distribución de revistas por área.</w:t>
      </w:r>
    </w:p>
    <w:p>
      <w:pPr>
        <w:pStyle w:val="BodyText"/>
        <w:spacing w:before="4"/>
        <w:rPr>
          <w:sz w:val="19"/>
        </w:rPr>
      </w:pPr>
    </w:p>
    <w:p>
      <w:pPr>
        <w:pStyle w:val="Heading2"/>
        <w:numPr>
          <w:ilvl w:val="0"/>
          <w:numId w:val="10"/>
        </w:numPr>
        <w:tabs>
          <w:tab w:pos="678" w:val="left" w:leader="none"/>
        </w:tabs>
        <w:spacing w:line="240" w:lineRule="auto" w:before="0" w:after="0"/>
        <w:ind w:left="678" w:right="0" w:hanging="576"/>
        <w:jc w:val="both"/>
      </w:pPr>
      <w:bookmarkStart w:name="_bookmark7" w:id="14"/>
      <w:bookmarkEnd w:id="14"/>
      <w:r>
        <w:rPr>
          <w:b w:val="0"/>
        </w:rPr>
      </w:r>
      <w:bookmarkStart w:name="_bookmark7" w:id="15"/>
      <w:bookmarkEnd w:id="15"/>
      <w:r>
        <w:rPr/>
        <w:t>Co</w:t>
      </w:r>
      <w:r>
        <w:rPr/>
        <w:t>laboración</w:t>
      </w:r>
      <w:r>
        <w:rPr>
          <w:spacing w:val="-24"/>
        </w:rPr>
        <w:t> </w:t>
      </w:r>
      <w:r>
        <w:rPr/>
        <w:t>interinstitucional</w:t>
      </w:r>
      <w:r>
        <w:rPr>
          <w:spacing w:val="-24"/>
        </w:rPr>
        <w:t> </w:t>
      </w:r>
      <w:r>
        <w:rPr/>
        <w:t>y</w:t>
      </w:r>
      <w:r>
        <w:rPr>
          <w:spacing w:val="-24"/>
        </w:rPr>
        <w:t> </w:t>
      </w:r>
      <w:r>
        <w:rPr/>
        <w:t>docencia</w:t>
      </w:r>
    </w:p>
    <w:p>
      <w:pPr>
        <w:pStyle w:val="BodyText"/>
        <w:spacing w:line="360" w:lineRule="auto" w:before="248"/>
        <w:ind w:left="102" w:right="116"/>
        <w:jc w:val="both"/>
      </w:pPr>
      <w:r>
        <w:rPr/>
        <w:t>Participar en el movimiento de acceso abierto ha permitido que Redalyc no sólo construya  y mantenga la hemeroteca digital, sino que busque por todas las vías a su alcance el incremento de la visibilidad científica regional, por lo cual ha procurado la vinculación con instituciones y organizaciones que trabajan con objetivos afines, y cuya colaboración enriquece el trabajo de todos los involucrados. Redalyc ha buscado estrechar lazos y desarrollar proyectos colaborativos, entre los cuales destacan los convenios establecidos con el Consejo Latinoamericano de Ciencias Sociales (www.clacso.org); Scimago (www.scimago.es); la Cátedra UNESCO de Nuevas Tecnologías (http://catedra.ucol.mx) y el Public Knowledge Project (www.pkp.sfu.ca). Ha establecido convenios con diversas plataformas, bases de datos y sistemas de indización de publicaciones periódicas seriadas: Plataforma e-revist@s (www.erevistas.scic.es); Hipanic American Periodical Index (HAPI) (http://hapi.ucla.edu.es); Directory of Open Access Journals (DOAJ) (www.doaj.org); Online Computer Library Center (OCLC) (www.oclc.org); Red de Información sobre América Latina (Redial)/Consejo Europeo de Investigaciones Sociales de América Latina (CEISAL) (</w:t>
      </w:r>
      <w:hyperlink r:id="rId26">
        <w:r>
          <w:rPr/>
          <w:t>www.red-redial.net</w:t>
        </w:r>
      </w:hyperlink>
      <w:r>
        <w:rPr/>
        <w:t> y</w:t>
      </w:r>
      <w:r>
        <w:rPr>
          <w:spacing w:val="-44"/>
        </w:rPr>
        <w:t> </w:t>
      </w:r>
      <w:hyperlink r:id="rId27">
        <w:r>
          <w:rPr/>
          <w:t>www.redredial.net/ceisal.php).</w:t>
        </w:r>
      </w:hyperlink>
    </w:p>
    <w:p>
      <w:pPr>
        <w:pStyle w:val="BodyText"/>
        <w:spacing w:before="4"/>
        <w:rPr>
          <w:sz w:val="21"/>
        </w:rPr>
      </w:pPr>
    </w:p>
    <w:p>
      <w:pPr>
        <w:pStyle w:val="BodyText"/>
        <w:spacing w:line="360" w:lineRule="auto" w:before="1"/>
        <w:ind w:left="102" w:right="120"/>
        <w:jc w:val="both"/>
      </w:pPr>
      <w:r>
        <w:rPr/>
        <w:t>De manera adicional, ha buscado estrechar lazos con los actores del proceso editorial de la región: Red de Revistas Mexicanas de Ciencias Sociales; Red de Editores Iberoamericanos de Ciencias Sociales; Red Iberoamericana de Editores de Revistas de Investigación sobre</w:t>
      </w:r>
    </w:p>
    <w:p>
      <w:pPr>
        <w:spacing w:after="0" w:line="360" w:lineRule="auto"/>
        <w:jc w:val="both"/>
        <w:sectPr>
          <w:pgSz w:w="12240" w:h="15840"/>
          <w:pgMar w:header="733" w:footer="1433" w:top="1120" w:bottom="1660" w:left="1600" w:right="1580"/>
        </w:sectPr>
      </w:pPr>
    </w:p>
    <w:p>
      <w:pPr>
        <w:pStyle w:val="BodyText"/>
        <w:spacing w:before="3"/>
        <w:rPr>
          <w:sz w:val="19"/>
        </w:rPr>
      </w:pPr>
    </w:p>
    <w:p>
      <w:pPr>
        <w:pStyle w:val="BodyText"/>
        <w:spacing w:line="360" w:lineRule="auto" w:before="69"/>
        <w:ind w:left="102" w:right="120"/>
        <w:jc w:val="both"/>
      </w:pPr>
      <w:r>
        <w:rPr/>
        <w:t>Globalización y Territorio. Aunado a ello, Redalyc también ha colaborado en el mejoramiento de los procesos editoriales científicos de la región al ofrecer cursos y talleres dirigidos a editores, especialistas interesados en el uso y manejo de sistemas de información, estudiantes y</w:t>
      </w:r>
      <w:r>
        <w:rPr>
          <w:spacing w:val="-7"/>
        </w:rPr>
        <w:t> </w:t>
      </w:r>
      <w:r>
        <w:rPr/>
        <w:t>académicos.</w:t>
      </w:r>
    </w:p>
    <w:p>
      <w:pPr>
        <w:pStyle w:val="BodyText"/>
        <w:rPr>
          <w:sz w:val="20"/>
        </w:rPr>
      </w:pPr>
    </w:p>
    <w:p>
      <w:pPr>
        <w:pStyle w:val="Heading2"/>
        <w:numPr>
          <w:ilvl w:val="0"/>
          <w:numId w:val="10"/>
        </w:numPr>
        <w:tabs>
          <w:tab w:pos="678" w:val="left" w:leader="none"/>
        </w:tabs>
        <w:spacing w:line="240" w:lineRule="auto" w:before="0" w:after="0"/>
        <w:ind w:left="678" w:right="0" w:hanging="576"/>
        <w:jc w:val="both"/>
      </w:pPr>
      <w:bookmarkStart w:name="_bookmark8" w:id="16"/>
      <w:bookmarkEnd w:id="16"/>
      <w:r>
        <w:rPr>
          <w:b w:val="0"/>
        </w:rPr>
      </w:r>
      <w:bookmarkStart w:name="_bookmark8" w:id="17"/>
      <w:bookmarkEnd w:id="17"/>
      <w:r>
        <w:rPr>
          <w:spacing w:val="-3"/>
        </w:rPr>
        <w:t>V</w:t>
      </w:r>
      <w:r>
        <w:rPr>
          <w:spacing w:val="-3"/>
        </w:rPr>
        <w:t>aloración</w:t>
      </w:r>
      <w:r>
        <w:rPr>
          <w:spacing w:val="-33"/>
        </w:rPr>
        <w:t> </w:t>
      </w:r>
      <w:r>
        <w:rPr/>
        <w:t>de</w:t>
      </w:r>
      <w:r>
        <w:rPr>
          <w:spacing w:val="-32"/>
        </w:rPr>
        <w:t> </w:t>
      </w:r>
      <w:r>
        <w:rPr/>
        <w:t>revistas</w:t>
      </w:r>
    </w:p>
    <w:p>
      <w:pPr>
        <w:pStyle w:val="BodyText"/>
        <w:spacing w:line="360" w:lineRule="auto" w:before="248"/>
        <w:ind w:left="102" w:right="117"/>
        <w:jc w:val="both"/>
      </w:pPr>
      <w:r>
        <w:rPr/>
        <w:t>El reto de cómo valorar las revistas científicas nos plantea de inicio el interrogante: ¿por qué crear un sistema de valoración en un proyecto que privilegia la inclusión? Si se acepta que las revistas especializadas, como principales medios de comunicación de la ciencia, no son propiedad de una persona o institución sino de una comunidad científica, entonces no debería existir obstáculo para solicitar que cubran los estándares definidos internacionalmente.</w:t>
      </w:r>
    </w:p>
    <w:p>
      <w:pPr>
        <w:pStyle w:val="BodyText"/>
        <w:spacing w:before="4"/>
        <w:rPr>
          <w:sz w:val="21"/>
        </w:rPr>
      </w:pPr>
    </w:p>
    <w:p>
      <w:pPr>
        <w:pStyle w:val="BodyText"/>
        <w:spacing w:line="360" w:lineRule="auto" w:before="1"/>
        <w:ind w:left="102" w:right="118"/>
        <w:jc w:val="both"/>
      </w:pPr>
      <w:r>
        <w:rPr/>
        <w:t>Después de todo, si el principal objetivo del SICR es incrementar el impacto y la visibilidad de las revistas científicas iberoamericanas, para lograrlo se requiere que cuenten con los elementos indispensables para su inserción en el contexto internacional, como que al menos 75% del contenido sea derivado de investigaciones científicas originales y practiquen la dictaminación por pares, tengan una antigüedad mínima y hayan sido editadas ininterrumpidamente y con puntualidad, cuenten con registro ISSN y otras características que les permitan ser identificables y diferenciables entre el conjunto global  de publicaciones (véase gráfica 3).</w:t>
      </w:r>
    </w:p>
    <w:p>
      <w:pPr>
        <w:pStyle w:val="BodyText"/>
        <w:spacing w:before="4"/>
        <w:rPr>
          <w:sz w:val="21"/>
        </w:rPr>
      </w:pPr>
    </w:p>
    <w:p>
      <w:pPr>
        <w:pStyle w:val="BodyText"/>
        <w:spacing w:line="360" w:lineRule="auto" w:before="1"/>
        <w:ind w:left="102" w:right="122"/>
        <w:jc w:val="both"/>
      </w:pPr>
      <w:r>
        <w:rPr/>
        <w:t>A lo largo de siete años se han evaluado múltiples revistas que postulan su ingreso, lo cual permite evidenciar el mejoramiento adquirido entre los editores de la región, pero también muestra la relevancia de un sistema de indexación que ha coadyuvado a una considerable estandarización de las estrategias de edición especializada.</w:t>
      </w:r>
    </w:p>
    <w:p>
      <w:pPr>
        <w:pStyle w:val="BodyText"/>
        <w:spacing w:before="5"/>
        <w:rPr>
          <w:sz w:val="21"/>
        </w:rPr>
      </w:pPr>
    </w:p>
    <w:p>
      <w:pPr>
        <w:pStyle w:val="BodyText"/>
        <w:spacing w:line="360" w:lineRule="auto"/>
        <w:ind w:left="102" w:right="116"/>
        <w:jc w:val="both"/>
      </w:pPr>
      <w:r>
        <w:rPr/>
        <w:t>Someter a una revista científica a un proceso de evaluación permite a los directores y editores advertir los parámetros mínimos que es preciso cubrir en términos de normalización y calidad editorial. </w:t>
      </w:r>
      <w:r>
        <w:rPr>
          <w:spacing w:val="-5"/>
        </w:rPr>
        <w:t>Todo </w:t>
      </w:r>
      <w:r>
        <w:rPr/>
        <w:t>proceso de evaluación de revistas científicas busca identificar los aspectos en los que tienen más fortalezas, así como en los que presentan debilidades.   Esto   necesariamente   requiere   de   establecer   parámetros,   cualidades   </w:t>
      </w:r>
      <w:r>
        <w:rPr>
          <w:spacing w:val="34"/>
        </w:rPr>
        <w:t> </w:t>
      </w:r>
      <w:r>
        <w:rPr/>
        <w:t>y</w:t>
      </w:r>
    </w:p>
    <w:p>
      <w:pPr>
        <w:spacing w:after="0" w:line="360" w:lineRule="auto"/>
        <w:jc w:val="both"/>
        <w:sectPr>
          <w:footerReference w:type="default" r:id="rId28"/>
          <w:pgSz w:w="12240" w:h="15840"/>
          <w:pgMar w:footer="1434" w:header="733" w:top="1120" w:bottom="1620" w:left="1600" w:right="1580"/>
          <w:pgNumType w:start="491"/>
        </w:sectPr>
      </w:pPr>
    </w:p>
    <w:p>
      <w:pPr>
        <w:pStyle w:val="BodyText"/>
        <w:spacing w:before="3"/>
        <w:rPr>
          <w:sz w:val="19"/>
        </w:rPr>
      </w:pPr>
    </w:p>
    <w:p>
      <w:pPr>
        <w:pStyle w:val="BodyText"/>
        <w:spacing w:before="69"/>
        <w:ind w:left="102"/>
      </w:pPr>
      <w:r>
        <w:rPr/>
        <w:t>características que son indispensables en una publicación especializada.</w:t>
      </w:r>
    </w:p>
    <w:p>
      <w:pPr>
        <w:pStyle w:val="BodyText"/>
        <w:spacing w:before="10"/>
        <w:rPr>
          <w:sz w:val="29"/>
        </w:rPr>
      </w:pPr>
      <w:r>
        <w:rPr/>
        <w:drawing>
          <wp:anchor distT="0" distB="0" distL="0" distR="0" allowOverlap="1" layoutInCell="1" locked="0" behindDoc="0" simplePos="0" relativeHeight="1288">
            <wp:simplePos x="0" y="0"/>
            <wp:positionH relativeFrom="page">
              <wp:posOffset>2189733</wp:posOffset>
            </wp:positionH>
            <wp:positionV relativeFrom="paragraph">
              <wp:posOffset>243386</wp:posOffset>
            </wp:positionV>
            <wp:extent cx="3411622" cy="7262812"/>
            <wp:effectExtent l="0" t="0" r="0" b="0"/>
            <wp:wrapTopAndBottom/>
            <wp:docPr id="7" name="image7.jpeg" descr=""/>
            <wp:cNvGraphicFramePr>
              <a:graphicFrameLocks noChangeAspect="1"/>
            </wp:cNvGraphicFramePr>
            <a:graphic>
              <a:graphicData uri="http://schemas.openxmlformats.org/drawingml/2006/picture">
                <pic:pic>
                  <pic:nvPicPr>
                    <pic:cNvPr id="8" name="image7.jpeg"/>
                    <pic:cNvPicPr/>
                  </pic:nvPicPr>
                  <pic:blipFill>
                    <a:blip r:embed="rId29" cstate="print"/>
                    <a:stretch>
                      <a:fillRect/>
                    </a:stretch>
                  </pic:blipFill>
                  <pic:spPr>
                    <a:xfrm>
                      <a:off x="0" y="0"/>
                      <a:ext cx="3411622" cy="7262812"/>
                    </a:xfrm>
                    <a:prstGeom prst="rect">
                      <a:avLst/>
                    </a:prstGeom>
                  </pic:spPr>
                </pic:pic>
              </a:graphicData>
            </a:graphic>
          </wp:anchor>
        </w:drawing>
      </w:r>
    </w:p>
    <w:p>
      <w:pPr>
        <w:pStyle w:val="BodyText"/>
        <w:spacing w:before="8"/>
        <w:rPr>
          <w:sz w:val="19"/>
        </w:rPr>
      </w:pPr>
    </w:p>
    <w:p>
      <w:pPr>
        <w:spacing w:before="1"/>
        <w:ind w:left="2673" w:right="0" w:firstLine="0"/>
        <w:jc w:val="left"/>
        <w:rPr>
          <w:sz w:val="18"/>
        </w:rPr>
      </w:pPr>
      <w:r>
        <w:rPr>
          <w:sz w:val="18"/>
        </w:rPr>
        <w:t>Gráfica 3. Criterios de admisión al acervo Redalyc.</w:t>
      </w:r>
    </w:p>
    <w:p>
      <w:pPr>
        <w:spacing w:after="0"/>
        <w:jc w:val="left"/>
        <w:rPr>
          <w:sz w:val="18"/>
        </w:rPr>
        <w:sectPr>
          <w:pgSz w:w="12240" w:h="15840"/>
          <w:pgMar w:header="733" w:footer="1434" w:top="1120" w:bottom="1660" w:left="1600" w:right="1580"/>
        </w:sectPr>
      </w:pPr>
    </w:p>
    <w:p>
      <w:pPr>
        <w:pStyle w:val="BodyText"/>
        <w:spacing w:before="3"/>
        <w:rPr>
          <w:sz w:val="19"/>
        </w:rPr>
      </w:pPr>
    </w:p>
    <w:p>
      <w:pPr>
        <w:pStyle w:val="BodyText"/>
        <w:spacing w:line="360" w:lineRule="auto" w:before="69"/>
        <w:ind w:left="102" w:right="120"/>
        <w:jc w:val="both"/>
      </w:pPr>
      <w:r>
        <w:rPr/>
        <w:t>Una de las principales innovaciones en la transición a sistema de información científica fue la conformación del Comité Científico Asesor Internacional, integrado por expertos en el uso y manejo de bases de datos, así como académicos de prestigio internacional con amplia experiencia en el ámbito editorial, cuya función en el comité es apoyar en la definición de políticas editoriales y respaldar las decisiones de inclusión de las revistas al acervo. Contar con revisores externos se legitima el proceso de evaluación y selección de revistas (véase gráfica 4). (Diseño: aplicar las correcciones en la gráfica señaladas al margen, por favor)</w:t>
      </w:r>
    </w:p>
    <w:p>
      <w:pPr>
        <w:pStyle w:val="BodyText"/>
        <w:spacing w:before="3"/>
        <w:rPr>
          <w:sz w:val="18"/>
        </w:rPr>
      </w:pPr>
      <w:r>
        <w:rPr/>
        <w:drawing>
          <wp:anchor distT="0" distB="0" distL="0" distR="0" allowOverlap="1" layoutInCell="1" locked="0" behindDoc="0" simplePos="0" relativeHeight="1312">
            <wp:simplePos x="0" y="0"/>
            <wp:positionH relativeFrom="page">
              <wp:posOffset>2170302</wp:posOffset>
            </wp:positionH>
            <wp:positionV relativeFrom="paragraph">
              <wp:posOffset>158543</wp:posOffset>
            </wp:positionV>
            <wp:extent cx="3446242" cy="6004750"/>
            <wp:effectExtent l="0" t="0" r="0" b="0"/>
            <wp:wrapTopAndBottom/>
            <wp:docPr id="9" name="image8.jpeg" descr=""/>
            <wp:cNvGraphicFramePr>
              <a:graphicFrameLocks noChangeAspect="1"/>
            </wp:cNvGraphicFramePr>
            <a:graphic>
              <a:graphicData uri="http://schemas.openxmlformats.org/drawingml/2006/picture">
                <pic:pic>
                  <pic:nvPicPr>
                    <pic:cNvPr id="10" name="image8.jpeg"/>
                    <pic:cNvPicPr/>
                  </pic:nvPicPr>
                  <pic:blipFill>
                    <a:blip r:embed="rId30" cstate="print"/>
                    <a:stretch>
                      <a:fillRect/>
                    </a:stretch>
                  </pic:blipFill>
                  <pic:spPr>
                    <a:xfrm>
                      <a:off x="0" y="0"/>
                      <a:ext cx="3446242" cy="6004750"/>
                    </a:xfrm>
                    <a:prstGeom prst="rect">
                      <a:avLst/>
                    </a:prstGeom>
                  </pic:spPr>
                </pic:pic>
              </a:graphicData>
            </a:graphic>
          </wp:anchor>
        </w:drawing>
      </w:r>
    </w:p>
    <w:p>
      <w:pPr>
        <w:spacing w:after="0"/>
        <w:rPr>
          <w:sz w:val="18"/>
        </w:rPr>
        <w:sectPr>
          <w:pgSz w:w="12240" w:h="15840"/>
          <w:pgMar w:header="733" w:footer="1434" w:top="1120" w:bottom="1660" w:left="1600" w:right="1580"/>
        </w:sectPr>
      </w:pPr>
    </w:p>
    <w:p>
      <w:pPr>
        <w:pStyle w:val="BodyText"/>
        <w:spacing w:before="8"/>
        <w:rPr>
          <w:sz w:val="18"/>
        </w:rPr>
      </w:pPr>
    </w:p>
    <w:p>
      <w:pPr>
        <w:spacing w:before="77"/>
        <w:ind w:left="0" w:right="19" w:firstLine="0"/>
        <w:jc w:val="center"/>
        <w:rPr>
          <w:sz w:val="18"/>
        </w:rPr>
      </w:pPr>
      <w:r>
        <w:rPr>
          <w:sz w:val="18"/>
        </w:rPr>
        <w:t>Gráfica 4. Proceso de valoración de revistas.</w:t>
      </w:r>
    </w:p>
    <w:p>
      <w:pPr>
        <w:pStyle w:val="BodyText"/>
        <w:spacing w:before="4"/>
        <w:rPr>
          <w:sz w:val="19"/>
        </w:rPr>
      </w:pPr>
    </w:p>
    <w:p>
      <w:pPr>
        <w:pStyle w:val="Heading2"/>
        <w:numPr>
          <w:ilvl w:val="0"/>
          <w:numId w:val="10"/>
        </w:numPr>
        <w:tabs>
          <w:tab w:pos="678" w:val="left" w:leader="none"/>
        </w:tabs>
        <w:spacing w:line="240" w:lineRule="auto" w:before="0" w:after="0"/>
        <w:ind w:left="678" w:right="0" w:hanging="576"/>
        <w:jc w:val="both"/>
      </w:pPr>
      <w:bookmarkStart w:name="_bookmark9" w:id="18"/>
      <w:bookmarkEnd w:id="18"/>
      <w:r>
        <w:rPr>
          <w:b w:val="0"/>
        </w:rPr>
      </w:r>
      <w:bookmarkStart w:name="_bookmark9" w:id="19"/>
      <w:bookmarkEnd w:id="19"/>
      <w:r>
        <w:rPr/>
        <w:t>Met</w:t>
      </w:r>
      <w:r>
        <w:rPr/>
        <w:t>odología de</w:t>
      </w:r>
      <w:r>
        <w:rPr>
          <w:spacing w:val="7"/>
        </w:rPr>
        <w:t> </w:t>
      </w:r>
      <w:r>
        <w:rPr/>
        <w:t>agrupación</w:t>
      </w:r>
    </w:p>
    <w:p>
      <w:pPr>
        <w:pStyle w:val="BodyText"/>
        <w:spacing w:line="360" w:lineRule="auto" w:before="248"/>
        <w:ind w:left="102" w:right="118"/>
        <w:jc w:val="both"/>
      </w:pPr>
      <w:r>
        <w:rPr/>
        <w:t>Se destaca la metodología de agrupación de las revistas admitidas basada en los niveles de diversidad y participación autoral. Se considera como un hecho la calidad de las revistas, pues todas las que son aceptadas en la colección cubren un estándar cualitativo de sus contenidos y eficiencia en la gestión editorial. La atención se centra en el análisis de la exogeneidad o endogeneidad institucional. Se parte del supuesto de que una alta exogeneidad y diversidad implican mayor consolidación de la publicación en su campo disciplinar. Así, los grupos propuestos son los siguientes: </w:t>
      </w:r>
      <w:r>
        <w:rPr>
          <w:i/>
        </w:rPr>
        <w:t>a) </w:t>
      </w:r>
      <w:r>
        <w:rPr/>
        <w:t>revistas de carácter institucional; </w:t>
      </w:r>
      <w:r>
        <w:rPr>
          <w:i/>
        </w:rPr>
        <w:t>b) </w:t>
      </w:r>
      <w:r>
        <w:rPr/>
        <w:t>revistas de carácter nacional; </w:t>
      </w:r>
      <w:r>
        <w:rPr>
          <w:i/>
        </w:rPr>
        <w:t>c) </w:t>
      </w:r>
      <w:r>
        <w:rPr/>
        <w:t>revistas de carácter nacional   consolidado;</w:t>
      </w:r>
    </w:p>
    <w:p>
      <w:pPr>
        <w:pStyle w:val="BodyText"/>
        <w:spacing w:before="4"/>
        <w:ind w:left="102"/>
        <w:jc w:val="both"/>
      </w:pPr>
      <w:r>
        <w:rPr>
          <w:i/>
        </w:rPr>
        <w:t>d) </w:t>
      </w:r>
      <w:r>
        <w:rPr/>
        <w:t>revistas de carácter internacional, y </w:t>
      </w:r>
      <w:r>
        <w:rPr>
          <w:i/>
        </w:rPr>
        <w:t>e) </w:t>
      </w:r>
      <w:r>
        <w:rPr/>
        <w:t>revistas de carácter internacional consolidado.</w:t>
      </w:r>
    </w:p>
    <w:p>
      <w:pPr>
        <w:pStyle w:val="BodyText"/>
        <w:spacing w:before="11"/>
        <w:rPr>
          <w:sz w:val="32"/>
        </w:rPr>
      </w:pPr>
    </w:p>
    <w:p>
      <w:pPr>
        <w:pStyle w:val="BodyText"/>
        <w:spacing w:line="360" w:lineRule="auto"/>
        <w:ind w:left="102" w:right="122"/>
        <w:jc w:val="both"/>
      </w:pPr>
      <w:r>
        <w:rPr/>
        <w:t>Esta metodología facilita equiparar las particularidades de las publicaciones y, al mismo tiempo, diferenciarlas en un universo específico.</w:t>
      </w:r>
    </w:p>
    <w:p>
      <w:pPr>
        <w:pStyle w:val="BodyText"/>
        <w:spacing w:before="4"/>
        <w:rPr>
          <w:sz w:val="21"/>
        </w:rPr>
      </w:pPr>
    </w:p>
    <w:p>
      <w:pPr>
        <w:pStyle w:val="BodyText"/>
        <w:spacing w:line="360" w:lineRule="auto" w:before="1"/>
        <w:ind w:left="102" w:right="122"/>
        <w:jc w:val="both"/>
      </w:pPr>
      <w:r>
        <w:rPr/>
        <w:t>Conocer la adscripción de los autores por institución y país permite pulsar la forma en la que cada proyecto editorial ha logrado posicionarse como un medio de comunicación en el interior de una comunidad académica. Con estos elementos se aspira no sólo a contribuir al aumento de visibilidad, sino a colaborar en el mejoramiento de la producción científica periódica que se produce en la región.</w:t>
      </w:r>
    </w:p>
    <w:p>
      <w:pPr>
        <w:pStyle w:val="BodyText"/>
        <w:spacing w:before="9"/>
        <w:rPr>
          <w:sz w:val="19"/>
        </w:rPr>
      </w:pPr>
    </w:p>
    <w:p>
      <w:pPr>
        <w:pStyle w:val="Heading2"/>
        <w:numPr>
          <w:ilvl w:val="0"/>
          <w:numId w:val="10"/>
        </w:numPr>
        <w:tabs>
          <w:tab w:pos="678" w:val="left" w:leader="none"/>
        </w:tabs>
        <w:spacing w:line="240" w:lineRule="auto" w:before="0" w:after="0"/>
        <w:ind w:left="678" w:right="0" w:hanging="576"/>
        <w:jc w:val="both"/>
      </w:pPr>
      <w:bookmarkStart w:name="_bookmark10" w:id="20"/>
      <w:bookmarkEnd w:id="20"/>
      <w:r>
        <w:rPr>
          <w:b w:val="0"/>
        </w:rPr>
      </w:r>
      <w:bookmarkStart w:name="_bookmark10" w:id="21"/>
      <w:bookmarkEnd w:id="21"/>
      <w:r>
        <w:rPr>
          <w:w w:val="105"/>
        </w:rPr>
        <w:t>E</w:t>
      </w:r>
      <w:r>
        <w:rPr>
          <w:w w:val="105"/>
        </w:rPr>
        <w:t>stadísticas</w:t>
      </w:r>
      <w:r>
        <w:rPr>
          <w:spacing w:val="-41"/>
          <w:w w:val="105"/>
        </w:rPr>
        <w:t> </w:t>
      </w:r>
      <w:r>
        <w:rPr>
          <w:w w:val="105"/>
        </w:rPr>
        <w:t>de</w:t>
      </w:r>
      <w:r>
        <w:rPr>
          <w:spacing w:val="-41"/>
          <w:w w:val="105"/>
        </w:rPr>
        <w:t> </w:t>
      </w:r>
      <w:r>
        <w:rPr>
          <w:w w:val="105"/>
        </w:rPr>
        <w:t>uso</w:t>
      </w:r>
    </w:p>
    <w:p>
      <w:pPr>
        <w:pStyle w:val="BodyText"/>
        <w:spacing w:line="360" w:lineRule="auto" w:before="248"/>
        <w:ind w:left="102" w:right="118"/>
        <w:jc w:val="both"/>
      </w:pPr>
      <w:r>
        <w:rPr/>
        <w:t>Se han creado indicadores que permiten valorar la consulta y, por tanto, la visibilidad de la producción contenida en la base de datos. Es importante conocer cuál es la aceptación y utilidad del sitio para la comunidad académica, qué artículos y publicaciones son los más consultados y de dónde provienen las consultas. Para ello, en 2004 se liberaron las estadísticas de uso, por medio de las cuales se ha identificado la penetración de la hemeroteca digital en la comunidad interesada.</w:t>
      </w:r>
    </w:p>
    <w:p>
      <w:pPr>
        <w:pStyle w:val="BodyText"/>
        <w:spacing w:before="2"/>
        <w:rPr>
          <w:sz w:val="21"/>
        </w:rPr>
      </w:pPr>
    </w:p>
    <w:p>
      <w:pPr>
        <w:pStyle w:val="BodyText"/>
        <w:ind w:left="102"/>
        <w:jc w:val="both"/>
      </w:pPr>
      <w:r>
        <w:rPr/>
        <w:t>Con base en dichos datos de consulta se conoció que en 2009 se descargaron alrededor de</w:t>
      </w:r>
    </w:p>
    <w:p>
      <w:pPr>
        <w:pStyle w:val="BodyText"/>
        <w:spacing w:line="410" w:lineRule="atLeast" w:before="5"/>
        <w:ind w:left="102" w:right="115"/>
        <w:jc w:val="both"/>
      </w:pPr>
      <w:r>
        <w:rPr/>
        <w:t>40 millones de artículos, por lo que el promedio mensual es cercano a cuatro millones de descargas y 15 millones de visitas. Se calcula que el SICR tiene entre un millón y millón   y</w:t>
      </w:r>
    </w:p>
    <w:p>
      <w:pPr>
        <w:spacing w:after="0" w:line="410" w:lineRule="atLeast"/>
        <w:jc w:val="both"/>
        <w:sectPr>
          <w:pgSz w:w="12240" w:h="15840"/>
          <w:pgMar w:header="733" w:footer="1434" w:top="1120" w:bottom="1640" w:left="1600" w:right="1580"/>
        </w:sectPr>
      </w:pPr>
    </w:p>
    <w:p>
      <w:pPr>
        <w:pStyle w:val="BodyText"/>
        <w:spacing w:before="3"/>
        <w:rPr>
          <w:sz w:val="19"/>
        </w:rPr>
      </w:pPr>
    </w:p>
    <w:p>
      <w:pPr>
        <w:pStyle w:val="BodyText"/>
        <w:spacing w:line="360" w:lineRule="auto" w:before="69"/>
        <w:ind w:left="102" w:right="125"/>
        <w:jc w:val="both"/>
      </w:pPr>
      <w:r>
        <w:rPr/>
        <w:t>medio de usuarios al mes. Estos reportes están disponibles para cualquier usuario en la página principal.</w:t>
      </w:r>
    </w:p>
    <w:p>
      <w:pPr>
        <w:pStyle w:val="BodyText"/>
        <w:rPr>
          <w:sz w:val="20"/>
        </w:rPr>
      </w:pPr>
    </w:p>
    <w:p>
      <w:pPr>
        <w:pStyle w:val="Heading2"/>
        <w:numPr>
          <w:ilvl w:val="0"/>
          <w:numId w:val="10"/>
        </w:numPr>
        <w:tabs>
          <w:tab w:pos="678" w:val="left" w:leader="none"/>
        </w:tabs>
        <w:spacing w:line="240" w:lineRule="auto" w:before="0" w:after="0"/>
        <w:ind w:left="678" w:right="0" w:hanging="576"/>
        <w:jc w:val="both"/>
      </w:pPr>
      <w:bookmarkStart w:name="_bookmark11" w:id="22"/>
      <w:bookmarkEnd w:id="22"/>
      <w:r>
        <w:rPr>
          <w:b w:val="0"/>
        </w:rPr>
      </w:r>
      <w:bookmarkStart w:name="_bookmark11" w:id="23"/>
      <w:bookmarkEnd w:id="23"/>
      <w:r>
        <w:rPr/>
        <w:t>Con</w:t>
      </w:r>
      <w:r>
        <w:rPr/>
        <w:t>strucción de</w:t>
      </w:r>
      <w:r>
        <w:rPr>
          <w:spacing w:val="-21"/>
        </w:rPr>
        <w:t> </w:t>
      </w:r>
      <w:r>
        <w:rPr/>
        <w:t>indicadores</w:t>
      </w:r>
    </w:p>
    <w:p>
      <w:pPr>
        <w:pStyle w:val="BodyText"/>
        <w:spacing w:line="360" w:lineRule="auto" w:before="248"/>
        <w:ind w:left="102" w:right="115"/>
        <w:jc w:val="both"/>
      </w:pPr>
      <w:r>
        <w:rPr/>
        <w:t>En la medida que anualmente se editan millones de revistas de divulgación y difusión en todo el mundo es necesario delimitar el análisis de los sistemas especializados en la sistematización y organización de la información, es decir, las bases de datos que realizan</w:t>
      </w:r>
      <w:r>
        <w:rPr>
          <w:spacing w:val="-24"/>
        </w:rPr>
        <w:t> </w:t>
      </w:r>
      <w:r>
        <w:rPr/>
        <w:t>el registro y seguimiento de los datos científicos contenidos en publicaciones  periódicas, como las revistas de difusión científica. Algunas de las ventajas de las bases son que engloban a todas las áreas científicas, contienen la producción científica mundial, sistematizan la información, generan indicadores bibliométricos y son reconocidas por la comunidad</w:t>
      </w:r>
      <w:r>
        <w:rPr>
          <w:spacing w:val="-5"/>
        </w:rPr>
        <w:t> </w:t>
      </w:r>
      <w:r>
        <w:rPr/>
        <w:t>científica.</w:t>
      </w:r>
    </w:p>
    <w:p>
      <w:pPr>
        <w:pStyle w:val="BodyText"/>
        <w:spacing w:before="4"/>
        <w:rPr>
          <w:sz w:val="21"/>
        </w:rPr>
      </w:pPr>
    </w:p>
    <w:p>
      <w:pPr>
        <w:pStyle w:val="BodyText"/>
        <w:spacing w:line="360" w:lineRule="auto" w:before="1"/>
        <w:ind w:left="102" w:right="115"/>
        <w:jc w:val="both"/>
      </w:pPr>
      <w:r>
        <w:rPr/>
        <w:t>Los indicadores bibliométricos se instrumentaron con el propósito de estudiar el consumo de la literatura especializada y tomar decisiones en materia de política científica y tecnológica. Así, “los indicadores bibliométricos aceptados </w:t>
      </w:r>
      <w:r>
        <w:rPr>
          <w:rFonts w:ascii="Tahoma" w:hAnsi="Tahoma"/>
        </w:rPr>
        <w:t>—</w:t>
      </w:r>
      <w:r>
        <w:rPr/>
        <w:t>sin sacralizaciones</w:t>
      </w:r>
      <w:r>
        <w:rPr>
          <w:rFonts w:ascii="Tahoma" w:hAnsi="Tahoma"/>
        </w:rPr>
        <w:t>— </w:t>
      </w:r>
      <w:r>
        <w:rPr/>
        <w:t>por la comunidad científica internacional, como elementos útiles para la observación de estado de la ciencia y de la tecnología a través de la literatura científica, constituyen un complemento informativo, cuantitativo y cualitativo del que es necesario disponer en un proceso de toma de decisiones, ágil y eficaz, en materia de política científica y tecnológica” (Moya-Anegón, 2004:5). Sin embargo, los indicadores existentes en Journal Citation Reports de Thomson Reuters y Scopus, y Scientific Journals Rankings producidos por Elsevier son generados con la base de datos de la llamada “corriente principal de la ciencia”; por lo tanto, los análisis derivados dejan fuera un gran número de publicaciones, pero principalmente a la producción científica de la</w:t>
      </w:r>
      <w:r>
        <w:rPr>
          <w:spacing w:val="-9"/>
        </w:rPr>
        <w:t> </w:t>
      </w:r>
      <w:r>
        <w:rPr/>
        <w:t>región.</w:t>
      </w:r>
    </w:p>
    <w:p>
      <w:pPr>
        <w:pStyle w:val="BodyText"/>
        <w:spacing w:before="2"/>
        <w:rPr>
          <w:sz w:val="21"/>
        </w:rPr>
      </w:pPr>
    </w:p>
    <w:p>
      <w:pPr>
        <w:pStyle w:val="BodyText"/>
        <w:spacing w:line="360" w:lineRule="auto"/>
        <w:ind w:left="102" w:right="121"/>
        <w:jc w:val="both"/>
      </w:pPr>
      <w:r>
        <w:rPr/>
        <w:t>El desarrollo de la actividad científica y tecnológica de casi todos los países del mundo suele ser analizado a partir de indicadores específicos en este sentido, ha sido de central importancia para Redalyc reflexionar acerca de la forma en que son construidos los indicadores que ponderan la mayor o menor valoración que otorgan a la publicación en revistas  especializadas.  No  debe  olvidarse  que  todo  indicador  que  busca  evaluar      la</w:t>
      </w:r>
    </w:p>
    <w:p>
      <w:pPr>
        <w:spacing w:after="0" w:line="360" w:lineRule="auto"/>
        <w:jc w:val="both"/>
        <w:sectPr>
          <w:pgSz w:w="12240" w:h="15840"/>
          <w:pgMar w:header="733" w:footer="1434" w:top="1120" w:bottom="1660" w:left="1600" w:right="1580"/>
        </w:sectPr>
      </w:pPr>
    </w:p>
    <w:p>
      <w:pPr>
        <w:pStyle w:val="BodyText"/>
        <w:spacing w:before="3"/>
        <w:rPr>
          <w:sz w:val="19"/>
        </w:rPr>
      </w:pPr>
    </w:p>
    <w:p>
      <w:pPr>
        <w:pStyle w:val="BodyText"/>
        <w:spacing w:line="360" w:lineRule="auto" w:before="69"/>
        <w:ind w:left="102" w:right="124"/>
        <w:jc w:val="both"/>
      </w:pPr>
      <w:r>
        <w:rPr/>
        <w:t>actividad científica es una abstracción conceptual que incluye ciertos elementos, al tiempo que excluye otros.</w:t>
      </w:r>
    </w:p>
    <w:p>
      <w:pPr>
        <w:pStyle w:val="BodyText"/>
        <w:spacing w:before="4"/>
        <w:rPr>
          <w:sz w:val="21"/>
        </w:rPr>
      </w:pPr>
    </w:p>
    <w:p>
      <w:pPr>
        <w:pStyle w:val="BodyText"/>
        <w:spacing w:line="357" w:lineRule="auto" w:before="1"/>
        <w:ind w:left="102" w:right="116"/>
        <w:jc w:val="both"/>
      </w:pPr>
      <w:r>
        <w:rPr/>
        <w:t>Ya hemos expuesto la asimetría en la valoración y visibilidad que caracteriza a las revistas iberoamericanas en los sistemas de validación de la llamada “corriente principal de la ciencia”. Cabe preguntarse cómo la ciencia y las visiones del mundo </w:t>
      </w:r>
      <w:r>
        <w:rPr>
          <w:rFonts w:ascii="Courier New" w:hAnsi="Courier New"/>
        </w:rPr>
        <w:t>-</w:t>
      </w:r>
      <w:r>
        <w:rPr/>
        <w:t>en tanto prácticas culturales y científicas</w:t>
      </w:r>
      <w:r>
        <w:rPr>
          <w:rFonts w:ascii="Courier New" w:hAnsi="Courier New"/>
        </w:rPr>
        <w:t>- </w:t>
      </w:r>
      <w:r>
        <w:rPr/>
        <w:t>han modelado las interpretaciones que hemos hecho de la propia actividad científica y han conformado causes y direccionalidades que han terminado por legitimar una particular forma de ver el mundo, por ejemplo, la propuesta de Thomson Reuters con el indicador de factor de impacto. No es que no sea legítimo que dicha empresa proponga sus propias formas y defina sus particulares mecanismos a partir de los cuales decide analizar las actividades científicas, lo que llama la atención es esos mecanismos terminen erigiéndose en los únicos de evaluación y, en el extremo, suplanten la realidad que supuestamente interesaba analizar. En este sentido, son diversas las críticas que se han emitido en torno a la construcción del factor de impacto (Moya-Anegón, 2006a y 2006b; Buela-Casal, 2003; Quispe, 2004, y Spinak, 1996, entre otros).</w:t>
      </w:r>
    </w:p>
    <w:p>
      <w:pPr>
        <w:pStyle w:val="BodyText"/>
        <w:spacing w:before="7"/>
        <w:rPr>
          <w:sz w:val="21"/>
        </w:rPr>
      </w:pPr>
    </w:p>
    <w:p>
      <w:pPr>
        <w:pStyle w:val="BodyText"/>
        <w:spacing w:line="360" w:lineRule="auto"/>
        <w:ind w:left="102" w:right="117"/>
        <w:jc w:val="both"/>
      </w:pPr>
      <w:r>
        <w:rPr/>
        <w:t>Desde nuestro punto de vista, indicadores como el factor de impacto o el análisis de  citación no necesariamente reflejan de forma fiel el desarrollo de las labores de investigación científica de un país, particularmente de los países del Cono </w:t>
      </w:r>
      <w:r>
        <w:rPr>
          <w:spacing w:val="-4"/>
        </w:rPr>
        <w:t>Sur. </w:t>
      </w:r>
      <w:r>
        <w:rPr/>
        <w:t>No obstante, a pesar de ello, es a partir del avance o retroceso en estos indicadores que se otorgan financiamientos, becas y premios que, a su vez, alientan o inhiben el desarrollo mismo de la labor</w:t>
      </w:r>
      <w:r>
        <w:rPr>
          <w:spacing w:val="-6"/>
        </w:rPr>
        <w:t> </w:t>
      </w:r>
      <w:r>
        <w:rPr/>
        <w:t>científica.</w:t>
      </w:r>
    </w:p>
    <w:p>
      <w:pPr>
        <w:pStyle w:val="BodyText"/>
        <w:spacing w:before="4"/>
        <w:rPr>
          <w:sz w:val="21"/>
        </w:rPr>
      </w:pPr>
    </w:p>
    <w:p>
      <w:pPr>
        <w:pStyle w:val="BodyText"/>
        <w:spacing w:line="360" w:lineRule="auto" w:before="1"/>
        <w:ind w:left="102" w:right="121"/>
        <w:jc w:val="both"/>
      </w:pPr>
      <w:r>
        <w:rPr/>
        <w:t>En este contexto, consideramos de particular importancia reforzar la construcción de indicadores regionales a fin de conocer el impacto regional y hacerle saber a los sistemas de evaluación nacionales e internacionales las referencias “perdidas” en las bases de la corriente principal científica.</w:t>
      </w:r>
    </w:p>
    <w:p>
      <w:pPr>
        <w:pStyle w:val="BodyText"/>
        <w:spacing w:before="4"/>
        <w:rPr>
          <w:sz w:val="21"/>
        </w:rPr>
      </w:pPr>
    </w:p>
    <w:p>
      <w:pPr>
        <w:pStyle w:val="BodyText"/>
        <w:spacing w:line="360" w:lineRule="auto" w:before="1"/>
        <w:ind w:left="102" w:right="122"/>
        <w:jc w:val="both"/>
      </w:pPr>
      <w:r>
        <w:rPr/>
        <w:t>En el SICR dos módulos (indicadores bibliométricos y redes sociocientíficas) se encuentran en la actualidad en vías de consolidación y próximamente se liberarán. Para   desarrollarlos,</w:t>
      </w:r>
    </w:p>
    <w:p>
      <w:pPr>
        <w:spacing w:after="0" w:line="360" w:lineRule="auto"/>
        <w:jc w:val="both"/>
        <w:sectPr>
          <w:pgSz w:w="12240" w:h="15840"/>
          <w:pgMar w:header="733" w:footer="1434" w:top="1120" w:bottom="1660" w:left="1600" w:right="1580"/>
        </w:sectPr>
      </w:pPr>
    </w:p>
    <w:p>
      <w:pPr>
        <w:pStyle w:val="BodyText"/>
        <w:spacing w:before="2"/>
        <w:rPr>
          <w:sz w:val="15"/>
        </w:rPr>
      </w:pPr>
    </w:p>
    <w:p>
      <w:pPr>
        <w:pStyle w:val="BodyText"/>
        <w:spacing w:line="360" w:lineRule="auto" w:before="81"/>
        <w:ind w:left="122" w:right="114"/>
        <w:jc w:val="both"/>
      </w:pPr>
      <w:r>
        <w:rPr/>
        <w:t>el trabajo más absorbente y que ha requerido mayor atención es la normalización</w:t>
      </w:r>
      <w:r>
        <w:rPr>
          <w:position w:val="11"/>
          <w:sz w:val="16"/>
        </w:rPr>
        <w:t>11 </w:t>
      </w:r>
      <w:r>
        <w:rPr/>
        <w:t>de la base de datos.</w:t>
      </w:r>
    </w:p>
    <w:p>
      <w:pPr>
        <w:pStyle w:val="BodyText"/>
        <w:spacing w:before="4"/>
        <w:rPr>
          <w:sz w:val="21"/>
        </w:rPr>
      </w:pPr>
    </w:p>
    <w:p>
      <w:pPr>
        <w:pStyle w:val="BodyText"/>
        <w:spacing w:line="360" w:lineRule="auto" w:before="1"/>
        <w:ind w:left="122" w:right="118"/>
        <w:jc w:val="both"/>
      </w:pPr>
      <w:r>
        <w:rPr/>
        <w:t>Estos módulos serán clave para entender aspectos como cuál es el impacto de las publicaciones del acervo, cómo trabajan y se vinculan los científicos de la región que ahí escriben, cuál es el nivel de participación entre países, instituciones, autores y disciplinas, cuáles son las redes de colaboración que se están gestando en la región, si existen grupos consolidados y cuál es su alcance. En suma, se trata de conocer la organización social de la actividad científica regional.</w:t>
      </w:r>
    </w:p>
    <w:p>
      <w:pPr>
        <w:pStyle w:val="BodyText"/>
        <w:spacing w:before="1"/>
        <w:rPr>
          <w:sz w:val="20"/>
        </w:rPr>
      </w:pPr>
    </w:p>
    <w:p>
      <w:pPr>
        <w:pStyle w:val="Heading2"/>
        <w:numPr>
          <w:ilvl w:val="0"/>
          <w:numId w:val="10"/>
        </w:numPr>
        <w:tabs>
          <w:tab w:pos="698" w:val="left" w:leader="none"/>
        </w:tabs>
        <w:spacing w:line="240" w:lineRule="auto" w:before="0" w:after="0"/>
        <w:ind w:left="698" w:right="0" w:hanging="576"/>
        <w:jc w:val="both"/>
      </w:pPr>
      <w:bookmarkStart w:name="_TOC_250001" w:id="24"/>
      <w:bookmarkStart w:name="_bookmark12" w:id="25"/>
      <w:r>
        <w:rPr>
          <w:b w:val="0"/>
        </w:rPr>
      </w:r>
      <w:bookmarkEnd w:id="25"/>
      <w:bookmarkStart w:name="_bookmark12" w:id="26"/>
      <w:r>
        <w:rPr/>
        <w:t>Con</w:t>
      </w:r>
      <w:bookmarkEnd w:id="24"/>
      <w:r>
        <w:rPr/>
        <w:t>clusiones</w:t>
      </w:r>
    </w:p>
    <w:p>
      <w:pPr>
        <w:pStyle w:val="BodyText"/>
        <w:spacing w:line="360" w:lineRule="auto" w:before="248"/>
        <w:ind w:left="122" w:right="116"/>
        <w:jc w:val="both"/>
      </w:pPr>
      <w:r>
        <w:rPr/>
        <w:t>Uno de los grandes retos de los investigadores es decidir dónde publicar los resultados de  su trabajo, pues de ello dependen oportunidades de ser consultados y citados por otros científicos en el mundo, </w:t>
      </w:r>
      <w:r>
        <w:rPr>
          <w:spacing w:val="-3"/>
        </w:rPr>
        <w:t>ya </w:t>
      </w:r>
      <w:r>
        <w:rPr/>
        <w:t>que los parámetros de evaluación de la productividad académica toman en cuenta la visibilidad e impacto internacional de las publicaciones, en particular de las indexadas en bases de datos de prestigio. Los investigadores tienen que seleccionar los medios de divulgación que poseen reconocimiento internacional y son editados por sociedades o asociaciones científicas que cuentan con el financiamiento para garantizar la edición y periodicidad de la</w:t>
      </w:r>
      <w:r>
        <w:rPr>
          <w:spacing w:val="-6"/>
        </w:rPr>
        <w:t> </w:t>
      </w:r>
      <w:r>
        <w:rPr/>
        <w:t>publicación.</w:t>
      </w:r>
    </w:p>
    <w:p>
      <w:pPr>
        <w:pStyle w:val="BodyText"/>
        <w:spacing w:before="4"/>
        <w:rPr>
          <w:sz w:val="21"/>
        </w:rPr>
      </w:pPr>
    </w:p>
    <w:p>
      <w:pPr>
        <w:pStyle w:val="BodyText"/>
        <w:spacing w:line="360" w:lineRule="auto" w:before="1"/>
        <w:ind w:left="122" w:right="111"/>
        <w:jc w:val="both"/>
      </w:pPr>
      <w:r>
        <w:rPr/>
        <w:t>La utilización de las TIC en la difusión y divulgación científica permite que la consulta y citación de los artículos académicos no se limite a un reducido sector, por el contrario, genera una ruptura a partir del momento en que los investigadores y usuarios tienen acceso a bases de datos especializadas que almacenan y organizan los artículos, así como el conocimiento de las revistas, autores y artículos de mayor impacto en diversos campos disciplinarios, lo cual permite la interacción y convergencia en la realización del trabajo académico. La sociedad del conocimiento requiere de herramientas especializadas y completas que brinden a los usuarios el acceso a los recursos y publicaciones más representativos en la ciencia y tecnología cuyo contenido sea de</w:t>
      </w:r>
      <w:r>
        <w:rPr>
          <w:spacing w:val="-14"/>
        </w:rPr>
        <w:t> </w:t>
      </w:r>
      <w:r>
        <w:rPr/>
        <w:t>calidad.</w:t>
      </w:r>
    </w:p>
    <w:p>
      <w:pPr>
        <w:pStyle w:val="BodyText"/>
        <w:spacing w:before="6"/>
        <w:rPr>
          <w:sz w:val="23"/>
        </w:rPr>
      </w:pPr>
      <w:r>
        <w:rPr/>
        <w:pict>
          <v:line style="position:absolute;mso-position-horizontal-relative:page;mso-position-vertical-relative:paragraph;z-index:1336;mso-wrap-distance-left:0;mso-wrap-distance-right:0" from="85.103996pt,15.779769pt" to="229.123996pt,15.779769pt" stroked="true" strokeweight=".599980pt" strokecolor="#000000">
            <w10:wrap type="topAndBottom"/>
          </v:line>
        </w:pict>
      </w:r>
    </w:p>
    <w:p>
      <w:pPr>
        <w:tabs>
          <w:tab w:pos="829" w:val="left" w:leader="none"/>
        </w:tabs>
        <w:spacing w:before="50"/>
        <w:ind w:left="122" w:right="617" w:firstLine="0"/>
        <w:jc w:val="left"/>
        <w:rPr>
          <w:sz w:val="20"/>
        </w:rPr>
      </w:pPr>
      <w:r>
        <w:rPr>
          <w:spacing w:val="-3"/>
          <w:position w:val="9"/>
          <w:sz w:val="13"/>
        </w:rPr>
        <w:t>11</w:t>
        <w:tab/>
      </w:r>
      <w:r>
        <w:rPr>
          <w:sz w:val="20"/>
        </w:rPr>
        <w:t>Se entiende por normalización la homologación de los datos; esto es, que todo esté escrito</w:t>
      </w:r>
      <w:r>
        <w:rPr>
          <w:spacing w:val="-27"/>
          <w:sz w:val="20"/>
        </w:rPr>
        <w:t> </w:t>
      </w:r>
      <w:r>
        <w:rPr>
          <w:sz w:val="20"/>
        </w:rPr>
        <w:t>de</w:t>
      </w:r>
      <w:r>
        <w:rPr>
          <w:spacing w:val="-2"/>
          <w:sz w:val="20"/>
        </w:rPr>
        <w:t> </w:t>
      </w:r>
      <w:r>
        <w:rPr>
          <w:sz w:val="20"/>
        </w:rPr>
        <w:t>la</w:t>
      </w:r>
      <w:r>
        <w:rPr>
          <w:w w:val="99"/>
          <w:sz w:val="20"/>
        </w:rPr>
        <w:t> </w:t>
      </w:r>
      <w:r>
        <w:rPr>
          <w:sz w:val="20"/>
        </w:rPr>
        <w:t>misma forma para que la información sea reconocida por los procesos automáticos de generación de indicadores.</w:t>
      </w:r>
    </w:p>
    <w:p>
      <w:pPr>
        <w:spacing w:after="0"/>
        <w:jc w:val="left"/>
        <w:rPr>
          <w:sz w:val="20"/>
        </w:rPr>
        <w:sectPr>
          <w:pgSz w:w="12240" w:h="15840"/>
          <w:pgMar w:header="733" w:footer="1434" w:top="1120" w:bottom="1620" w:left="1580" w:right="1580"/>
        </w:sectPr>
      </w:pPr>
    </w:p>
    <w:p>
      <w:pPr>
        <w:pStyle w:val="BodyText"/>
        <w:spacing w:before="3"/>
        <w:rPr>
          <w:sz w:val="19"/>
        </w:rPr>
      </w:pPr>
    </w:p>
    <w:p>
      <w:pPr>
        <w:pStyle w:val="BodyText"/>
        <w:spacing w:line="360" w:lineRule="auto" w:before="69"/>
        <w:ind w:left="102" w:right="116"/>
        <w:jc w:val="both"/>
      </w:pPr>
      <w:r>
        <w:rPr/>
        <w:t>En este contexto, el Sistema de Información Científica Redalyc ratifica su compromiso por lograr que la democratización en el acceso al conocimiento en la región latinoamericana sea una realidad; la responsabilidad de un sistema de este tipo es continuar desarrollando esfuerzos por lograr que cada día las principales revistas de calidad de la región sean visibles a través de internet y en acceso abierto.</w:t>
      </w:r>
    </w:p>
    <w:p>
      <w:pPr>
        <w:pStyle w:val="BodyText"/>
        <w:spacing w:before="2"/>
        <w:rPr>
          <w:sz w:val="21"/>
        </w:rPr>
      </w:pPr>
    </w:p>
    <w:p>
      <w:pPr>
        <w:pStyle w:val="BodyText"/>
        <w:spacing w:line="360" w:lineRule="auto"/>
        <w:ind w:left="102" w:right="122"/>
        <w:jc w:val="both"/>
      </w:pPr>
      <w:r>
        <w:rPr/>
        <w:t>Para Redalyc un reto importante será lograr que las cerca de 15 mil revistas especializadas vigentes que se producen en Iberoamérica (Alonso, 2010) puedan ser consultadas en acceso abierto. Esto es, que la totalidad de publicaciones tengan un escaparate que impulse su visibilidad, lo cual fortalecerá la investigación regional y las colocará en el mapa mundial del conocimiento científico.</w:t>
      </w:r>
    </w:p>
    <w:p>
      <w:pPr>
        <w:pStyle w:val="BodyText"/>
        <w:spacing w:before="4"/>
        <w:rPr>
          <w:sz w:val="21"/>
        </w:rPr>
      </w:pPr>
    </w:p>
    <w:p>
      <w:pPr>
        <w:pStyle w:val="BodyText"/>
        <w:spacing w:line="360" w:lineRule="auto" w:before="1"/>
        <w:ind w:left="102" w:right="118"/>
        <w:jc w:val="both"/>
      </w:pPr>
      <w:r>
        <w:rPr/>
        <w:t>Otro reto es consolidar herramientas para el trabajo colaborativo y sistemas de análisis, así como redes sociocientíficas útiles, acordes y consecuentes con la realidad de la producción científica regional. Para lograr todo esto es necesario insistir en aumentar la profesionalización del trabajo editorial, que se cumplan los parámetros internacionales de calidad, que se normalicen los criterios editoriales, lo que contribuirá a la consolidación y proyección de las revistas. Además, es fundamental que se generalice el uso de los sistemas electrónicos de gestión editorial y, sobre todo, se practique invariablemente el proceso de revisión por pares.</w:t>
      </w:r>
    </w:p>
    <w:p>
      <w:pPr>
        <w:pStyle w:val="BodyText"/>
        <w:spacing w:before="4"/>
        <w:rPr>
          <w:sz w:val="21"/>
        </w:rPr>
      </w:pPr>
    </w:p>
    <w:p>
      <w:pPr>
        <w:pStyle w:val="BodyText"/>
        <w:spacing w:line="360" w:lineRule="auto" w:before="1"/>
        <w:ind w:left="102" w:right="117"/>
        <w:jc w:val="both"/>
      </w:pPr>
      <w:r>
        <w:rPr/>
        <w:t>Sin duda, un trabajo de esta envergadura no puede recaer en unas cuantas personas o instituciones. </w:t>
      </w:r>
      <w:r>
        <w:rPr>
          <w:spacing w:val="-3"/>
        </w:rPr>
        <w:t>La </w:t>
      </w:r>
      <w:r>
        <w:rPr/>
        <w:t>ciencia debe ser parte nodal en las agendas de gobierno, </w:t>
      </w:r>
      <w:r>
        <w:rPr>
          <w:spacing w:val="-3"/>
        </w:rPr>
        <w:t>ya </w:t>
      </w:r>
      <w:r>
        <w:rPr/>
        <w:t>que tiene un papel central en el desarrollo social y económico de los países. De ahí deriva la importancia de los análisis en torno a la distribución del conocimiento, por lo que las naciones deberán enfocar sus esfuerzos para convertir la ciencia privada, característica que la ha distinguido desde mediados del siglo pasado, en ciencia pública. El conocimiento científico debe </w:t>
      </w:r>
      <w:r>
        <w:rPr>
          <w:spacing w:val="-3"/>
        </w:rPr>
        <w:t>ser,  </w:t>
      </w:r>
      <w:r>
        <w:rPr/>
        <w:t>en última instancia, un bien</w:t>
      </w:r>
      <w:r>
        <w:rPr>
          <w:spacing w:val="-6"/>
        </w:rPr>
        <w:t> </w:t>
      </w:r>
      <w:r>
        <w:rPr/>
        <w:t>común.</w:t>
      </w:r>
    </w:p>
    <w:p>
      <w:pPr>
        <w:pStyle w:val="BodyText"/>
        <w:rPr>
          <w:sz w:val="20"/>
        </w:rPr>
      </w:pPr>
    </w:p>
    <w:p>
      <w:pPr>
        <w:pStyle w:val="Heading2"/>
        <w:numPr>
          <w:ilvl w:val="0"/>
          <w:numId w:val="10"/>
        </w:numPr>
        <w:tabs>
          <w:tab w:pos="678" w:val="left" w:leader="none"/>
        </w:tabs>
        <w:spacing w:line="240" w:lineRule="auto" w:before="0" w:after="0"/>
        <w:ind w:left="678" w:right="0" w:hanging="576"/>
        <w:jc w:val="both"/>
      </w:pPr>
      <w:bookmarkStart w:name="_TOC_250000" w:id="27"/>
      <w:bookmarkStart w:name="_bookmark13" w:id="28"/>
      <w:r>
        <w:rPr>
          <w:b w:val="0"/>
        </w:rPr>
      </w:r>
      <w:bookmarkEnd w:id="28"/>
      <w:bookmarkStart w:name="_bookmark13" w:id="29"/>
      <w:r>
        <w:rPr/>
        <w:t>R</w:t>
      </w:r>
      <w:bookmarkEnd w:id="27"/>
      <w:r>
        <w:rPr/>
        <w:t>eferencias</w:t>
      </w:r>
    </w:p>
    <w:p>
      <w:pPr>
        <w:pStyle w:val="BodyText"/>
        <w:spacing w:line="360" w:lineRule="auto" w:before="128"/>
        <w:ind w:left="385" w:right="368" w:hanging="284"/>
      </w:pPr>
      <w:r>
        <w:rPr/>
        <w:t>Alonso Gamboa, José Octavio (2010), “Portal de portales Latindex: una mirada al acceso abierto en Iberoamérica” (ponencia), en Congreso Internacional de Información, La</w:t>
      </w:r>
    </w:p>
    <w:p>
      <w:pPr>
        <w:spacing w:after="0" w:line="360" w:lineRule="auto"/>
        <w:sectPr>
          <w:pgSz w:w="12240" w:h="15840"/>
          <w:pgMar w:header="733" w:footer="1434" w:top="1120" w:bottom="1660" w:left="1600" w:right="1580"/>
        </w:sectPr>
      </w:pPr>
    </w:p>
    <w:p>
      <w:pPr>
        <w:pStyle w:val="BodyText"/>
        <w:spacing w:before="3"/>
        <w:rPr>
          <w:sz w:val="19"/>
        </w:rPr>
      </w:pPr>
    </w:p>
    <w:p>
      <w:pPr>
        <w:pStyle w:val="BodyText"/>
        <w:spacing w:before="69"/>
        <w:ind w:left="385"/>
      </w:pPr>
      <w:r>
        <w:rPr/>
        <w:t>Habana, Cuba.</w:t>
      </w:r>
    </w:p>
    <w:p>
      <w:pPr>
        <w:pStyle w:val="BodyText"/>
        <w:spacing w:before="4"/>
        <w:rPr>
          <w:sz w:val="22"/>
        </w:rPr>
      </w:pPr>
    </w:p>
    <w:p>
      <w:pPr>
        <w:pStyle w:val="BodyText"/>
        <w:spacing w:line="360" w:lineRule="auto"/>
        <w:ind w:left="385" w:hanging="284"/>
      </w:pPr>
      <w:r>
        <w:rPr/>
        <w:t>Altbach, Philip G. (2007), “El inglés: idioma imperial de la ciencia”, </w:t>
      </w:r>
      <w:r>
        <w:rPr>
          <w:i/>
        </w:rPr>
        <w:t>Campus Milenio</w:t>
      </w:r>
      <w:r>
        <w:rPr/>
        <w:t>, Disponible en: </w:t>
      </w:r>
      <w:hyperlink r:id="rId31">
        <w:r>
          <w:rPr/>
          <w:t>www.campusmilenio.com.mx</w:t>
        </w:r>
      </w:hyperlink>
      <w:r>
        <w:rPr/>
        <w:t> [Consultado el 23 de agosto de 2007].</w:t>
      </w:r>
    </w:p>
    <w:p>
      <w:pPr>
        <w:spacing w:line="360" w:lineRule="auto" w:before="124"/>
        <w:ind w:left="385" w:right="0" w:hanging="284"/>
        <w:jc w:val="left"/>
        <w:rPr>
          <w:sz w:val="24"/>
        </w:rPr>
      </w:pPr>
      <w:r>
        <w:rPr>
          <w:sz w:val="24"/>
        </w:rPr>
        <w:t>Bordieu, P. (2003), </w:t>
      </w:r>
      <w:r>
        <w:rPr>
          <w:i/>
          <w:sz w:val="24"/>
        </w:rPr>
        <w:t>El oficio de científico. Ciencia de la ciencia y reflexividad, </w:t>
      </w:r>
      <w:r>
        <w:rPr>
          <w:sz w:val="24"/>
        </w:rPr>
        <w:t>Barcelona: Editorial Anagrama.</w:t>
      </w:r>
    </w:p>
    <w:p>
      <w:pPr>
        <w:pStyle w:val="BodyText"/>
        <w:spacing w:line="360" w:lineRule="auto" w:before="124"/>
        <w:ind w:left="385" w:right="124" w:hanging="284"/>
      </w:pPr>
      <w:r>
        <w:rPr/>
        <w:t>Buela-Casal, G. (2003), “Evaluación de la calidad de los artículos y de las revistas científicas: propuesta de factor de impacto ponderado y un índice de calidad”, </w:t>
      </w:r>
      <w:r>
        <w:rPr>
          <w:i/>
        </w:rPr>
        <w:t>Psicothema</w:t>
      </w:r>
      <w:r>
        <w:rPr/>
        <w:t>, 15(1):23-35.</w:t>
      </w:r>
    </w:p>
    <w:p>
      <w:pPr>
        <w:pStyle w:val="BodyText"/>
        <w:spacing w:line="360" w:lineRule="auto" w:before="127"/>
        <w:ind w:left="385" w:right="124" w:hanging="284"/>
      </w:pPr>
      <w:r>
        <w:rPr/>
        <w:t>CINDOC/CSIC (2009), “Revistas científicas electrónicas”, en </w:t>
      </w:r>
      <w:r>
        <w:rPr>
          <w:i/>
        </w:rPr>
        <w:t>e-revistas</w:t>
      </w:r>
      <w:r>
        <w:rPr/>
        <w:t>. Disponible en: </w:t>
      </w:r>
      <w:hyperlink r:id="rId32">
        <w:r>
          <w:rPr/>
          <w:t>http://www.erevistas.csic.es/especial_revistas/revistas11.htm</w:t>
        </w:r>
      </w:hyperlink>
      <w:r>
        <w:rPr/>
        <w:t> [Consultado el 11 septiembre de 2009].</w:t>
      </w:r>
    </w:p>
    <w:p>
      <w:pPr>
        <w:pStyle w:val="BodyText"/>
        <w:spacing w:line="360" w:lineRule="auto" w:before="124"/>
        <w:ind w:left="385" w:hanging="284"/>
      </w:pPr>
      <w:r>
        <w:rPr/>
        <w:t>Cetto, Ana María (1998), “Ciencia y producción científica en América Latina. El proyecto Latindex”, en </w:t>
      </w:r>
      <w:r>
        <w:rPr>
          <w:i/>
        </w:rPr>
        <w:t>Internatl. Microbiol. </w:t>
      </w:r>
      <w:r>
        <w:rPr/>
        <w:t>(Springer-Verlag, Ibérica), 1(181).</w:t>
      </w:r>
    </w:p>
    <w:p>
      <w:pPr>
        <w:spacing w:line="360" w:lineRule="auto" w:before="124"/>
        <w:ind w:left="385" w:right="0" w:hanging="284"/>
        <w:jc w:val="left"/>
        <w:rPr>
          <w:sz w:val="24"/>
        </w:rPr>
      </w:pPr>
      <w:r>
        <w:rPr>
          <w:sz w:val="24"/>
        </w:rPr>
        <w:t>Day, Robert A. (2005), </w:t>
      </w:r>
      <w:r>
        <w:rPr>
          <w:i/>
          <w:sz w:val="24"/>
        </w:rPr>
        <w:t>Cómo escribir y publicar trabajos científicos</w:t>
      </w:r>
      <w:r>
        <w:rPr>
          <w:sz w:val="24"/>
        </w:rPr>
        <w:t>, 3a edición en español, Organización Panamericana de la Salud.</w:t>
      </w:r>
    </w:p>
    <w:p>
      <w:pPr>
        <w:pStyle w:val="BodyText"/>
        <w:spacing w:line="360" w:lineRule="auto" w:before="124"/>
        <w:ind w:left="385" w:right="200" w:hanging="284"/>
        <w:jc w:val="both"/>
      </w:pPr>
      <w:r>
        <w:rPr/>
        <w:t>Dickson, David (2004), “Scientific Output: The Real ‘Knowledge Divide’”, en </w:t>
      </w:r>
      <w:r>
        <w:rPr>
          <w:i/>
        </w:rPr>
        <w:t>SciDevNet. </w:t>
      </w:r>
      <w:r>
        <w:rPr/>
        <w:t>Disponible e</w:t>
      </w:r>
      <w:hyperlink r:id="rId33">
        <w:r>
          <w:rPr/>
          <w:t>n:</w:t>
        </w:r>
        <w:r>
          <w:rPr>
            <w:spacing w:val="-41"/>
          </w:rPr>
          <w:t> </w:t>
        </w:r>
        <w:r>
          <w:rPr/>
          <w:t>http://www.scidev.net/en/editorials/scientific-output-the-real-knowledge-</w:t>
        </w:r>
      </w:hyperlink>
      <w:r>
        <w:rPr/>
        <w:t> divide.html [Consultada el 19 de julio de</w:t>
      </w:r>
      <w:r>
        <w:rPr>
          <w:spacing w:val="-5"/>
        </w:rPr>
        <w:t> </w:t>
      </w:r>
      <w:r>
        <w:rPr/>
        <w:t>2009].</w:t>
      </w:r>
    </w:p>
    <w:p>
      <w:pPr>
        <w:pStyle w:val="BodyText"/>
        <w:spacing w:before="126"/>
        <w:ind w:left="102"/>
      </w:pPr>
      <w:r>
        <w:rPr/>
        <w:t>Felicié, A.M. (2003), “La desigualdad y exclusión en la sociedad de la información”,</w:t>
      </w:r>
    </w:p>
    <w:p>
      <w:pPr>
        <w:spacing w:before="137"/>
        <w:ind w:left="385" w:right="0" w:firstLine="0"/>
        <w:jc w:val="left"/>
        <w:rPr>
          <w:sz w:val="24"/>
        </w:rPr>
      </w:pPr>
      <w:r>
        <w:rPr>
          <w:i/>
          <w:sz w:val="24"/>
        </w:rPr>
        <w:t>Acceso: Revista Puertorriqueña de Bibliotecología y Documentación, </w:t>
      </w:r>
      <w:r>
        <w:rPr>
          <w:sz w:val="24"/>
        </w:rPr>
        <w:t>5(1):1-20.</w:t>
      </w:r>
    </w:p>
    <w:p>
      <w:pPr>
        <w:pStyle w:val="BodyText"/>
        <w:spacing w:before="6"/>
        <w:rPr>
          <w:sz w:val="22"/>
        </w:rPr>
      </w:pPr>
    </w:p>
    <w:p>
      <w:pPr>
        <w:spacing w:line="360" w:lineRule="auto" w:before="0"/>
        <w:ind w:left="385" w:right="222" w:hanging="284"/>
        <w:jc w:val="left"/>
        <w:rPr>
          <w:sz w:val="24"/>
        </w:rPr>
      </w:pPr>
      <w:r>
        <w:rPr>
          <w:sz w:val="24"/>
        </w:rPr>
        <w:t>Gibbs, W. Wayt (2001), “Ciencia del tercer mundo”, en Eduardo Loría Díaz (ed.), </w:t>
      </w:r>
      <w:r>
        <w:rPr>
          <w:i/>
          <w:sz w:val="24"/>
        </w:rPr>
        <w:t>Viejos y </w:t>
      </w:r>
      <w:r>
        <w:rPr>
          <w:i/>
          <w:sz w:val="24"/>
        </w:rPr>
        <w:t>nuevos dilemas de las revistas académicas, </w:t>
      </w:r>
      <w:r>
        <w:rPr>
          <w:sz w:val="24"/>
        </w:rPr>
        <w:t>México, UAEM.</w:t>
      </w:r>
    </w:p>
    <w:p>
      <w:pPr>
        <w:pStyle w:val="BodyText"/>
        <w:spacing w:line="360" w:lineRule="auto" w:before="126"/>
        <w:ind w:left="385" w:hanging="284"/>
      </w:pPr>
      <w:r>
        <w:rPr/>
        <w:t>Moya-Anegón, F. (2006a), “Redes bibliotecarias, espacios de bienes comunes”, conferencia magistral presentada durante el XIII Coloquio Internacional de Bibliotecarios, Feria Internacional del Libro, Guadalajara, México.</w:t>
      </w:r>
    </w:p>
    <w:p>
      <w:pPr>
        <w:pStyle w:val="BodyText"/>
        <w:spacing w:before="126"/>
        <w:ind w:left="102"/>
      </w:pPr>
      <w:r>
        <w:rPr/>
        <w:t>------------ (2006b), “Usos y abusos del factor de impacto”, conferencia presentada en</w:t>
      </w:r>
    </w:p>
    <w:p>
      <w:pPr>
        <w:spacing w:before="137"/>
        <w:ind w:left="385" w:right="0" w:firstLine="0"/>
        <w:jc w:val="left"/>
        <w:rPr>
          <w:sz w:val="24"/>
        </w:rPr>
      </w:pPr>
      <w:r>
        <w:rPr>
          <w:i/>
          <w:sz w:val="24"/>
        </w:rPr>
        <w:t>Publindex </w:t>
      </w:r>
      <w:r>
        <w:rPr>
          <w:sz w:val="24"/>
        </w:rPr>
        <w:t>de Colciencias, Bogotá, 5 de diciembre.</w:t>
      </w:r>
    </w:p>
    <w:p>
      <w:pPr>
        <w:spacing w:after="0"/>
        <w:jc w:val="left"/>
        <w:rPr>
          <w:sz w:val="24"/>
        </w:rPr>
        <w:sectPr>
          <w:pgSz w:w="12240" w:h="15840"/>
          <w:pgMar w:header="733" w:footer="1434" w:top="1120" w:bottom="1660" w:left="1600" w:right="1580"/>
        </w:sectPr>
      </w:pPr>
    </w:p>
    <w:p>
      <w:pPr>
        <w:pStyle w:val="BodyText"/>
        <w:spacing w:before="3"/>
        <w:rPr>
          <w:sz w:val="19"/>
        </w:rPr>
      </w:pPr>
    </w:p>
    <w:p>
      <w:pPr>
        <w:spacing w:line="360" w:lineRule="auto" w:before="69"/>
        <w:ind w:left="385" w:right="124" w:hanging="284"/>
        <w:jc w:val="left"/>
        <w:rPr>
          <w:sz w:val="24"/>
        </w:rPr>
      </w:pPr>
      <w:r>
        <w:rPr>
          <w:sz w:val="24"/>
        </w:rPr>
        <w:t>------------ (2004), </w:t>
      </w:r>
      <w:r>
        <w:rPr>
          <w:i/>
          <w:sz w:val="24"/>
        </w:rPr>
        <w:t>Indicadores bibliométricos de la actividad científica española. ISI, Web </w:t>
      </w:r>
      <w:r>
        <w:rPr>
          <w:i/>
          <w:sz w:val="24"/>
        </w:rPr>
        <w:t>of Science, 1998-2000</w:t>
      </w:r>
      <w:r>
        <w:rPr>
          <w:sz w:val="24"/>
        </w:rPr>
        <w:t>. España, Fundación Española para la Ciencia y la Tecnología.</w:t>
      </w:r>
    </w:p>
    <w:p>
      <w:pPr>
        <w:pStyle w:val="BodyText"/>
        <w:spacing w:line="360" w:lineRule="auto" w:before="126"/>
        <w:ind w:left="385" w:right="300" w:hanging="284"/>
      </w:pPr>
      <w:r>
        <w:rPr/>
        <w:t>Quispe, G.C. (2004), “¿Es el factor de impacto un buen indicador para medir la calidad de las revistas científicas?, análisis de algunos problemas generados por su uso”, </w:t>
      </w:r>
      <w:r>
        <w:rPr>
          <w:i/>
        </w:rPr>
        <w:t>Infobi, </w:t>
      </w:r>
      <w:r>
        <w:rPr/>
        <w:t>3:1-19.</w:t>
      </w:r>
    </w:p>
    <w:p>
      <w:pPr>
        <w:spacing w:line="360" w:lineRule="auto" w:before="124"/>
        <w:ind w:left="385" w:right="124" w:hanging="284"/>
        <w:jc w:val="left"/>
        <w:rPr>
          <w:sz w:val="24"/>
        </w:rPr>
      </w:pPr>
      <w:r>
        <w:rPr>
          <w:sz w:val="24"/>
        </w:rPr>
        <w:t>Red Iberoamericana de Indicadores de Ciencia y Tecnología (RICyT) (2002), </w:t>
      </w:r>
      <w:r>
        <w:rPr>
          <w:i/>
          <w:sz w:val="24"/>
        </w:rPr>
        <w:t>El estado de </w:t>
      </w:r>
      <w:r>
        <w:rPr>
          <w:i/>
          <w:sz w:val="24"/>
        </w:rPr>
        <w:t>la ciencia. Principales indicadores de ciencia y tecnología iberoamericanos/interamericanos 2001, </w:t>
      </w:r>
      <w:r>
        <w:rPr>
          <w:sz w:val="24"/>
        </w:rPr>
        <w:t>Buenos Aires, RICyT.</w:t>
      </w:r>
    </w:p>
    <w:p>
      <w:pPr>
        <w:spacing w:before="127"/>
        <w:ind w:left="102" w:right="0" w:firstLine="0"/>
        <w:jc w:val="left"/>
        <w:rPr>
          <w:sz w:val="24"/>
        </w:rPr>
      </w:pPr>
      <w:r>
        <w:rPr>
          <w:sz w:val="24"/>
        </w:rPr>
        <w:t>------------- (2009), </w:t>
      </w:r>
      <w:r>
        <w:rPr>
          <w:i/>
          <w:sz w:val="24"/>
        </w:rPr>
        <w:t>El estado de la ciencia 2009</w:t>
      </w:r>
      <w:r>
        <w:rPr>
          <w:sz w:val="24"/>
        </w:rPr>
        <w:t>, Buenos Aires, RICyT.</w:t>
      </w:r>
    </w:p>
    <w:p>
      <w:pPr>
        <w:pStyle w:val="BodyText"/>
        <w:spacing w:before="3"/>
        <w:rPr>
          <w:sz w:val="22"/>
        </w:rPr>
      </w:pPr>
    </w:p>
    <w:p>
      <w:pPr>
        <w:spacing w:line="360" w:lineRule="auto" w:before="1"/>
        <w:ind w:left="385" w:right="201" w:hanging="284"/>
        <w:jc w:val="left"/>
        <w:rPr>
          <w:sz w:val="24"/>
        </w:rPr>
      </w:pPr>
      <w:r>
        <w:rPr>
          <w:sz w:val="24"/>
        </w:rPr>
        <w:t>Spinak, E. (1996), “Los análisis cuantitativos de la literatura científica y su validez para juzgar la producción latinoamericana”, </w:t>
      </w:r>
      <w:r>
        <w:rPr>
          <w:i/>
          <w:sz w:val="24"/>
        </w:rPr>
        <w:t>Boletín de la Oficina Panamericana de la Salud, </w:t>
      </w:r>
      <w:r>
        <w:rPr>
          <w:sz w:val="24"/>
        </w:rPr>
        <w:t>120:139-147.</w:t>
      </w:r>
    </w:p>
    <w:p>
      <w:pPr>
        <w:spacing w:after="0" w:line="360" w:lineRule="auto"/>
        <w:jc w:val="left"/>
        <w:rPr>
          <w:sz w:val="24"/>
        </w:rPr>
        <w:sectPr>
          <w:footerReference w:type="default" r:id="rId34"/>
          <w:pgSz w:w="12240" w:h="15840"/>
          <w:pgMar w:footer="1460" w:header="733" w:top="1120" w:bottom="16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1"/>
        </w:rPr>
      </w:pPr>
    </w:p>
    <w:p>
      <w:pPr>
        <w:spacing w:before="69"/>
        <w:ind w:left="1660" w:right="1661" w:hanging="1"/>
        <w:jc w:val="center"/>
        <w:rPr>
          <w:b/>
          <w:sz w:val="19"/>
        </w:rPr>
      </w:pPr>
      <w:r>
        <w:rPr>
          <w:b/>
          <w:sz w:val="24"/>
        </w:rPr>
        <w:t>C</w:t>
      </w:r>
      <w:r>
        <w:rPr>
          <w:b/>
          <w:sz w:val="19"/>
        </w:rPr>
        <w:t>ALIDAD E </w:t>
      </w:r>
      <w:r>
        <w:rPr>
          <w:b/>
          <w:spacing w:val="-3"/>
          <w:sz w:val="24"/>
        </w:rPr>
        <w:t>I</w:t>
      </w:r>
      <w:r>
        <w:rPr>
          <w:b/>
          <w:spacing w:val="-3"/>
          <w:sz w:val="19"/>
        </w:rPr>
        <w:t>MPACTO </w:t>
      </w:r>
      <w:r>
        <w:rPr>
          <w:b/>
          <w:sz w:val="19"/>
        </w:rPr>
        <w:t>DE LA </w:t>
      </w:r>
      <w:r>
        <w:rPr>
          <w:b/>
          <w:spacing w:val="-3"/>
          <w:sz w:val="24"/>
        </w:rPr>
        <w:t>R</w:t>
      </w:r>
      <w:r>
        <w:rPr>
          <w:b/>
          <w:spacing w:val="-3"/>
          <w:sz w:val="19"/>
        </w:rPr>
        <w:t>EVISTA </w:t>
      </w:r>
      <w:r>
        <w:rPr>
          <w:b/>
          <w:sz w:val="24"/>
        </w:rPr>
        <w:t>I</w:t>
      </w:r>
      <w:r>
        <w:rPr>
          <w:b/>
          <w:sz w:val="19"/>
        </w:rPr>
        <w:t>BEROAMERICANA </w:t>
      </w:r>
      <w:r>
        <w:rPr>
          <w:b/>
          <w:sz w:val="24"/>
        </w:rPr>
        <w:t>Q</w:t>
      </w:r>
      <w:r>
        <w:rPr>
          <w:b/>
          <w:sz w:val="19"/>
        </w:rPr>
        <w:t>UALITY</w:t>
      </w:r>
      <w:r>
        <w:rPr>
          <w:b/>
          <w:spacing w:val="-19"/>
          <w:sz w:val="19"/>
        </w:rPr>
        <w:t> </w:t>
      </w:r>
      <w:r>
        <w:rPr>
          <w:b/>
          <w:sz w:val="19"/>
        </w:rPr>
        <w:t>AN</w:t>
      </w:r>
      <w:r>
        <w:rPr>
          <w:b/>
          <w:spacing w:val="-2"/>
          <w:sz w:val="19"/>
        </w:rPr>
        <w:t> </w:t>
      </w:r>
      <w:r>
        <w:rPr>
          <w:b/>
          <w:spacing w:val="-3"/>
          <w:sz w:val="24"/>
        </w:rPr>
        <w:t>I</w:t>
      </w:r>
      <w:r>
        <w:rPr>
          <w:b/>
          <w:spacing w:val="-3"/>
          <w:sz w:val="19"/>
        </w:rPr>
        <w:t>MPACT</w:t>
      </w:r>
      <w:r>
        <w:rPr>
          <w:b/>
          <w:spacing w:val="-5"/>
          <w:sz w:val="19"/>
        </w:rPr>
        <w:t> </w:t>
      </w:r>
      <w:r>
        <w:rPr>
          <w:b/>
          <w:sz w:val="19"/>
        </w:rPr>
        <w:t>OF</w:t>
      </w:r>
      <w:r>
        <w:rPr>
          <w:b/>
          <w:spacing w:val="-15"/>
          <w:sz w:val="19"/>
        </w:rPr>
        <w:t> </w:t>
      </w:r>
      <w:r>
        <w:rPr>
          <w:b/>
          <w:sz w:val="19"/>
        </w:rPr>
        <w:t>THE</w:t>
      </w:r>
      <w:r>
        <w:rPr>
          <w:b/>
          <w:spacing w:val="-2"/>
          <w:sz w:val="19"/>
        </w:rPr>
        <w:t> </w:t>
      </w:r>
      <w:r>
        <w:rPr>
          <w:b/>
          <w:sz w:val="24"/>
        </w:rPr>
        <w:t>I</w:t>
      </w:r>
      <w:r>
        <w:rPr>
          <w:b/>
          <w:sz w:val="19"/>
        </w:rPr>
        <w:t>BERO</w:t>
      </w:r>
      <w:r>
        <w:rPr>
          <w:b/>
          <w:sz w:val="24"/>
        </w:rPr>
        <w:t>-A</w:t>
      </w:r>
      <w:r>
        <w:rPr>
          <w:b/>
          <w:sz w:val="19"/>
        </w:rPr>
        <w:t>MERICAN</w:t>
      </w:r>
      <w:r>
        <w:rPr>
          <w:b/>
          <w:spacing w:val="-2"/>
          <w:sz w:val="19"/>
        </w:rPr>
        <w:t> </w:t>
      </w:r>
      <w:r>
        <w:rPr>
          <w:b/>
          <w:sz w:val="24"/>
        </w:rPr>
        <w:t>J</w:t>
      </w:r>
      <w:r>
        <w:rPr>
          <w:b/>
          <w:sz w:val="19"/>
        </w:rPr>
        <w:t>OURNALS</w:t>
      </w:r>
    </w:p>
    <w:p>
      <w:pPr>
        <w:pStyle w:val="BodyText"/>
        <w:rPr>
          <w:b/>
        </w:rPr>
      </w:pPr>
    </w:p>
    <w:p>
      <w:pPr>
        <w:spacing w:line="274" w:lineRule="exact" w:before="0"/>
        <w:ind w:left="119" w:right="119" w:firstLine="0"/>
        <w:jc w:val="center"/>
        <w:rPr>
          <w:b/>
          <w:sz w:val="19"/>
        </w:rPr>
      </w:pPr>
      <w:r>
        <w:rPr>
          <w:b/>
          <w:sz w:val="24"/>
        </w:rPr>
        <w:t>C</w:t>
      </w:r>
      <w:r>
        <w:rPr>
          <w:b/>
          <w:sz w:val="19"/>
        </w:rPr>
        <w:t>OMPILADORES</w:t>
      </w:r>
    </w:p>
    <w:p>
      <w:pPr>
        <w:pStyle w:val="BodyText"/>
        <w:spacing w:line="274" w:lineRule="exact"/>
        <w:ind w:left="118" w:right="119"/>
        <w:jc w:val="center"/>
      </w:pPr>
      <w:r>
        <w:rPr/>
        <w:t>Ana María Cetto Kramis y José Octavio Alonso Gamboa</w:t>
      </w:r>
    </w:p>
    <w:p>
      <w:pPr>
        <w:pStyle w:val="BodyText"/>
      </w:pPr>
    </w:p>
    <w:p>
      <w:pPr>
        <w:pStyle w:val="BodyText"/>
        <w:ind w:left="2421" w:right="2418" w:hanging="3"/>
        <w:jc w:val="center"/>
      </w:pPr>
      <w:r>
        <w:rPr/>
        <w:t>[</w:t>
      </w:r>
      <w:hyperlink r:id="rId8">
        <w:r>
          <w:rPr/>
          <w:t>http://www.latindex.unam.mx/librociri/]</w:t>
        </w:r>
      </w:hyperlink>
      <w:r>
        <w:rPr/>
        <w:t> Universidad Nacional Autónoma de</w:t>
      </w:r>
      <w:r>
        <w:rPr>
          <w:spacing w:val="-19"/>
        </w:rPr>
        <w:t> </w:t>
      </w:r>
      <w:r>
        <w:rPr/>
        <w:t>México </w:t>
      </w:r>
      <w:r>
        <w:rPr>
          <w:spacing w:val="-4"/>
        </w:rPr>
        <w:t>LATINDEX</w:t>
      </w:r>
    </w:p>
    <w:p>
      <w:pPr>
        <w:pStyle w:val="BodyText"/>
        <w:ind w:left="3777" w:right="3776"/>
        <w:jc w:val="center"/>
      </w:pPr>
      <w:r>
        <w:rPr/>
        <w:t>Primera edición México, 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r>
        <w:rPr/>
        <w:drawing>
          <wp:anchor distT="0" distB="0" distL="0" distR="0" allowOverlap="1" layoutInCell="1" locked="0" behindDoc="0" simplePos="0" relativeHeight="1360">
            <wp:simplePos x="0" y="0"/>
            <wp:positionH relativeFrom="page">
              <wp:posOffset>3476625</wp:posOffset>
            </wp:positionH>
            <wp:positionV relativeFrom="paragraph">
              <wp:posOffset>222251</wp:posOffset>
            </wp:positionV>
            <wp:extent cx="840368" cy="295275"/>
            <wp:effectExtent l="0" t="0" r="0" b="0"/>
            <wp:wrapTopAndBottom/>
            <wp:docPr id="11" name="image9.png" descr=""/>
            <wp:cNvGraphicFramePr>
              <a:graphicFrameLocks noChangeAspect="1"/>
            </wp:cNvGraphicFramePr>
            <a:graphic>
              <a:graphicData uri="http://schemas.openxmlformats.org/drawingml/2006/picture">
                <pic:pic>
                  <pic:nvPicPr>
                    <pic:cNvPr id="12" name="image9.png"/>
                    <pic:cNvPicPr/>
                  </pic:nvPicPr>
                  <pic:blipFill>
                    <a:blip r:embed="rId36" cstate="print"/>
                    <a:stretch>
                      <a:fillRect/>
                    </a:stretch>
                  </pic:blipFill>
                  <pic:spPr>
                    <a:xfrm>
                      <a:off x="0" y="0"/>
                      <a:ext cx="840368" cy="295275"/>
                    </a:xfrm>
                    <a:prstGeom prst="rect">
                      <a:avLst/>
                    </a:prstGeom>
                  </pic:spPr>
                </pic:pic>
              </a:graphicData>
            </a:graphic>
          </wp:anchor>
        </w:drawing>
      </w:r>
    </w:p>
    <w:p>
      <w:pPr>
        <w:spacing w:line="280" w:lineRule="auto" w:before="8"/>
        <w:ind w:left="119" w:right="119" w:firstLine="0"/>
        <w:jc w:val="center"/>
        <w:rPr>
          <w:rFonts w:ascii="Arial" w:hAnsi="Arial"/>
          <w:sz w:val="20"/>
        </w:rPr>
      </w:pPr>
      <w:r>
        <w:rPr>
          <w:rFonts w:ascii="Arial" w:hAnsi="Arial"/>
          <w:color w:val="808080"/>
          <w:sz w:val="20"/>
        </w:rPr>
        <w:t>Calidad e Impacto de la revista Iberoamericana por CETTO, Ana María y ALONSO GAMBOA, José Octavio se encuentra bajo una Licencia Creative Commons Atribución-No Comercial- Licenciamiento Recíproco 3.0 Unported.</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10"/>
        </w:rPr>
      </w:pPr>
      <w:r>
        <w:rPr/>
        <w:pict>
          <v:line style="position:absolute;mso-position-horizontal-relative:page;mso-position-vertical-relative:paragraph;z-index:1384;mso-wrap-distance-left:0;mso-wrap-distance-right:0" from="85.103996pt,8.176538pt" to="229.123996pt,8.176538pt" stroked="true" strokeweight=".599980pt" strokecolor="#000000">
            <w10:wrap type="topAndBottom"/>
          </v:line>
        </w:pict>
      </w:r>
    </w:p>
    <w:sectPr>
      <w:footerReference w:type="default" r:id="rId35"/>
      <w:pgSz w:w="12240" w:h="15840"/>
      <w:pgMar w:footer="1460" w:header="733" w:top="1120" w:bottom="166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 w:name="Symbol">
    <w:altName w:val="Symbol"/>
    <w:charset w:val="2"/>
    <w:family w:val="roman"/>
    <w:pitch w:val="variable"/>
  </w:font>
  <w:font w:name="Tahoma">
    <w:altName w:val="Tahoma"/>
    <w:charset w:val="0"/>
    <w:family w:val="swiss"/>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020020pt;margin-top:707.999939pt;width:8pt;height:14pt;mso-position-horizontal-relative:page;mso-position-vertical-relative:page;z-index:-29128" type="#_x0000_t202" filled="false" stroked="false">
          <v:textbox inset="0,0,0,0">
            <w:txbxContent>
              <w:p>
                <w:pPr>
                  <w:pStyle w:val="BodyText"/>
                  <w:spacing w:line="265" w:lineRule="exact"/>
                  <w:ind w:left="20"/>
                </w:pPr>
                <w:r>
                  <w:rPr/>
                  <w:t>2</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07.999939pt;width:16pt;height:14pt;mso-position-horizontal-relative:page;mso-position-vertical-relative:page;z-index:-291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07.999939pt;width:20pt;height:14pt;mso-position-horizontal-relative:page;mso-position-vertical-relative:page;z-index:-29080" type="#_x0000_t202" filled="false" stroked="false">
          <v:textbox inset="0,0,0,0">
            <w:txbxContent>
              <w:p>
                <w:pPr>
                  <w:pStyle w:val="BodyText"/>
                  <w:spacing w:line="265" w:lineRule="exact"/>
                  <w:ind w:left="20"/>
                </w:pPr>
                <w:r>
                  <w:rPr/>
                  <w:t>477</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07.999939pt;width:20pt;height:14pt;mso-position-horizontal-relative:page;mso-position-vertical-relative:page;z-index:-29056" type="#_x0000_t202" filled="false" stroked="false">
          <v:textbox inset="0,0,0,0">
            <w:txbxContent>
              <w:p>
                <w:pPr>
                  <w:pStyle w:val="BodyText"/>
                  <w:spacing w:line="265" w:lineRule="exact"/>
                  <w:ind w:left="20"/>
                </w:pPr>
                <w:r>
                  <w:rPr/>
                  <w:t>478</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07.999939pt;width:22pt;height:14pt;mso-position-horizontal-relative:page;mso-position-vertical-relative:page;z-index:-290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481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07.999939pt;width:22pt;height:14pt;mso-position-horizontal-relative:page;mso-position-vertical-relative:page;z-index:-290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497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07.999939pt;width:20pt;height:14pt;mso-position-horizontal-relative:page;mso-position-vertical-relative:page;z-index:-28984" type="#_x0000_t202" filled="false" stroked="false">
          <v:textbox inset="0,0,0,0">
            <w:txbxContent>
              <w:p>
                <w:pPr>
                  <w:pStyle w:val="BodyText"/>
                  <w:spacing w:line="265" w:lineRule="exact"/>
                  <w:ind w:left="20"/>
                </w:pPr>
                <w:r>
                  <w:rPr/>
                  <w:t>500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07.999939pt;width:20pt;height:14pt;mso-position-horizontal-relative:page;mso-position-vertical-relative:page;z-index:-28960" type="#_x0000_t202" filled="false" stroked="false">
          <v:textbox inset="0,0,0,0">
            <w:txbxContent>
              <w:p>
                <w:pPr>
                  <w:pStyle w:val="BodyText"/>
                  <w:spacing w:line="265" w:lineRule="exact"/>
                  <w:ind w:left="20"/>
                </w:pPr>
                <w:r>
                  <w:rPr/>
                  <w:t>563</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0.649994pt;margin-top:35.642036pt;width:207.3pt;height:21.45pt;mso-position-horizontal-relative:page;mso-position-vertical-relative:page;z-index:-29152" type="#_x0000_t202" filled="false" stroked="false">
          <v:textbox inset="0,0,0,0">
            <w:txbxContent>
              <w:p>
                <w:pPr>
                  <w:spacing w:line="205" w:lineRule="exact" w:before="0"/>
                  <w:ind w:left="20" w:right="-2" w:firstLine="0"/>
                  <w:jc w:val="left"/>
                  <w:rPr>
                    <w:rFonts w:ascii="Trebuchet MS"/>
                    <w:b/>
                    <w:i/>
                    <w:sz w:val="18"/>
                  </w:rPr>
                </w:pPr>
                <w:r>
                  <w:rPr>
                    <w:rFonts w:ascii="Trebuchet MS"/>
                    <w:b/>
                    <w:i/>
                    <w:sz w:val="18"/>
                  </w:rPr>
                  <w:t>Calidad e Impacto de la Revista Iberoamericana</w:t>
                </w:r>
              </w:p>
              <w:p>
                <w:pPr>
                  <w:spacing w:before="0"/>
                  <w:ind w:left="288" w:right="-9" w:firstLine="0"/>
                  <w:jc w:val="left"/>
                  <w:rPr>
                    <w:rFonts w:ascii="Trebuchet MS" w:hAnsi="Trebuchet MS"/>
                    <w:sz w:val="18"/>
                  </w:rPr>
                </w:pPr>
                <w:r>
                  <w:rPr>
                    <w:rFonts w:ascii="Trebuchet MS" w:hAnsi="Trebuchet MS"/>
                    <w:sz w:val="18"/>
                  </w:rPr>
                  <w:t>Ana María Cetto y José Octavio Alonso (comps.)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4"/>
      <w:numFmt w:val="decimal"/>
      <w:lvlText w:val="%1."/>
      <w:lvlJc w:val="left"/>
      <w:pPr>
        <w:ind w:left="698" w:hanging="576"/>
        <w:jc w:val="left"/>
      </w:pPr>
      <w:rPr>
        <w:rFonts w:hint="default" w:ascii="Times New Roman" w:hAnsi="Times New Roman" w:eastAsia="Times New Roman" w:cs="Times New Roman"/>
        <w:b/>
        <w:bCs/>
        <w:w w:val="97"/>
        <w:sz w:val="28"/>
        <w:szCs w:val="28"/>
      </w:rPr>
    </w:lvl>
    <w:lvl w:ilvl="1">
      <w:start w:val="1"/>
      <w:numFmt w:val="bullet"/>
      <w:lvlText w:val="•"/>
      <w:lvlJc w:val="left"/>
      <w:pPr>
        <w:ind w:left="1538" w:hanging="576"/>
      </w:pPr>
      <w:rPr>
        <w:rFonts w:hint="default"/>
      </w:rPr>
    </w:lvl>
    <w:lvl w:ilvl="2">
      <w:start w:val="1"/>
      <w:numFmt w:val="bullet"/>
      <w:lvlText w:val="•"/>
      <w:lvlJc w:val="left"/>
      <w:pPr>
        <w:ind w:left="2376" w:hanging="576"/>
      </w:pPr>
      <w:rPr>
        <w:rFonts w:hint="default"/>
      </w:rPr>
    </w:lvl>
    <w:lvl w:ilvl="3">
      <w:start w:val="1"/>
      <w:numFmt w:val="bullet"/>
      <w:lvlText w:val="•"/>
      <w:lvlJc w:val="left"/>
      <w:pPr>
        <w:ind w:left="3214" w:hanging="576"/>
      </w:pPr>
      <w:rPr>
        <w:rFonts w:hint="default"/>
      </w:rPr>
    </w:lvl>
    <w:lvl w:ilvl="4">
      <w:start w:val="1"/>
      <w:numFmt w:val="bullet"/>
      <w:lvlText w:val="•"/>
      <w:lvlJc w:val="left"/>
      <w:pPr>
        <w:ind w:left="4052" w:hanging="576"/>
      </w:pPr>
      <w:rPr>
        <w:rFonts w:hint="default"/>
      </w:rPr>
    </w:lvl>
    <w:lvl w:ilvl="5">
      <w:start w:val="1"/>
      <w:numFmt w:val="bullet"/>
      <w:lvlText w:val="•"/>
      <w:lvlJc w:val="left"/>
      <w:pPr>
        <w:ind w:left="4890" w:hanging="576"/>
      </w:pPr>
      <w:rPr>
        <w:rFonts w:hint="default"/>
      </w:rPr>
    </w:lvl>
    <w:lvl w:ilvl="6">
      <w:start w:val="1"/>
      <w:numFmt w:val="bullet"/>
      <w:lvlText w:val="•"/>
      <w:lvlJc w:val="left"/>
      <w:pPr>
        <w:ind w:left="5728" w:hanging="576"/>
      </w:pPr>
      <w:rPr>
        <w:rFonts w:hint="default"/>
      </w:rPr>
    </w:lvl>
    <w:lvl w:ilvl="7">
      <w:start w:val="1"/>
      <w:numFmt w:val="bullet"/>
      <w:lvlText w:val="•"/>
      <w:lvlJc w:val="left"/>
      <w:pPr>
        <w:ind w:left="6566" w:hanging="576"/>
      </w:pPr>
      <w:rPr>
        <w:rFonts w:hint="default"/>
      </w:rPr>
    </w:lvl>
    <w:lvl w:ilvl="8">
      <w:start w:val="1"/>
      <w:numFmt w:val="bullet"/>
      <w:lvlText w:val="•"/>
      <w:lvlJc w:val="left"/>
      <w:pPr>
        <w:ind w:left="7404" w:hanging="576"/>
      </w:pPr>
      <w:rPr>
        <w:rFonts w:hint="default"/>
      </w:rPr>
    </w:lvl>
  </w:abstractNum>
  <w:abstractNum w:abstractNumId="7">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decimal"/>
      <w:lvlText w:val="%1."/>
      <w:lvlJc w:val="left"/>
      <w:pPr>
        <w:ind w:left="678" w:hanging="576"/>
        <w:jc w:val="left"/>
      </w:pPr>
      <w:rPr>
        <w:rFonts w:hint="default" w:ascii="Times New Roman" w:hAnsi="Times New Roman" w:eastAsia="Times New Roman" w:cs="Times New Roman"/>
        <w:b/>
        <w:bCs/>
        <w:spacing w:val="-1"/>
        <w:w w:val="87"/>
        <w:sz w:val="28"/>
        <w:szCs w:val="28"/>
      </w:rPr>
    </w:lvl>
    <w:lvl w:ilvl="1">
      <w:start w:val="1"/>
      <w:numFmt w:val="bullet"/>
      <w:lvlText w:val="•"/>
      <w:lvlJc w:val="left"/>
      <w:pPr>
        <w:ind w:left="1518" w:hanging="576"/>
      </w:pPr>
      <w:rPr>
        <w:rFonts w:hint="default"/>
      </w:rPr>
    </w:lvl>
    <w:lvl w:ilvl="2">
      <w:start w:val="1"/>
      <w:numFmt w:val="bullet"/>
      <w:lvlText w:val="•"/>
      <w:lvlJc w:val="left"/>
      <w:pPr>
        <w:ind w:left="2356" w:hanging="576"/>
      </w:pPr>
      <w:rPr>
        <w:rFonts w:hint="default"/>
      </w:rPr>
    </w:lvl>
    <w:lvl w:ilvl="3">
      <w:start w:val="1"/>
      <w:numFmt w:val="bullet"/>
      <w:lvlText w:val="•"/>
      <w:lvlJc w:val="left"/>
      <w:pPr>
        <w:ind w:left="3194" w:hanging="576"/>
      </w:pPr>
      <w:rPr>
        <w:rFonts w:hint="default"/>
      </w:rPr>
    </w:lvl>
    <w:lvl w:ilvl="4">
      <w:start w:val="1"/>
      <w:numFmt w:val="bullet"/>
      <w:lvlText w:val="•"/>
      <w:lvlJc w:val="left"/>
      <w:pPr>
        <w:ind w:left="4032" w:hanging="576"/>
      </w:pPr>
      <w:rPr>
        <w:rFonts w:hint="default"/>
      </w:rPr>
    </w:lvl>
    <w:lvl w:ilvl="5">
      <w:start w:val="1"/>
      <w:numFmt w:val="bullet"/>
      <w:lvlText w:val="•"/>
      <w:lvlJc w:val="left"/>
      <w:pPr>
        <w:ind w:left="4870" w:hanging="576"/>
      </w:pPr>
      <w:rPr>
        <w:rFonts w:hint="default"/>
      </w:rPr>
    </w:lvl>
    <w:lvl w:ilvl="6">
      <w:start w:val="1"/>
      <w:numFmt w:val="bullet"/>
      <w:lvlText w:val="•"/>
      <w:lvlJc w:val="left"/>
      <w:pPr>
        <w:ind w:left="5708" w:hanging="576"/>
      </w:pPr>
      <w:rPr>
        <w:rFonts w:hint="default"/>
      </w:rPr>
    </w:lvl>
    <w:lvl w:ilvl="7">
      <w:start w:val="1"/>
      <w:numFmt w:val="bullet"/>
      <w:lvlText w:val="•"/>
      <w:lvlJc w:val="left"/>
      <w:pPr>
        <w:ind w:left="6546" w:hanging="576"/>
      </w:pPr>
      <w:rPr>
        <w:rFonts w:hint="default"/>
      </w:rPr>
    </w:lvl>
    <w:lvl w:ilvl="8">
      <w:start w:val="1"/>
      <w:numFmt w:val="bullet"/>
      <w:lvlText w:val="•"/>
      <w:lvlJc w:val="left"/>
      <w:pPr>
        <w:ind w:left="7384" w:hanging="576"/>
      </w:pPr>
      <w:rPr>
        <w:rFonts w:hint="default"/>
      </w:rPr>
    </w:lvl>
  </w:abstractNum>
  <w:abstractNum w:abstractNumId="5">
    <w:multiLevelType w:val="hybridMultilevel"/>
    <w:lvl w:ilvl="0">
      <w:start w:val="4"/>
      <w:numFmt w:val="decimal"/>
      <w:lvlText w:val="%1."/>
      <w:lvlJc w:val="left"/>
      <w:pPr>
        <w:ind w:left="762" w:hanging="461"/>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1590" w:hanging="461"/>
      </w:pPr>
      <w:rPr>
        <w:rFonts w:hint="default"/>
      </w:rPr>
    </w:lvl>
    <w:lvl w:ilvl="2">
      <w:start w:val="1"/>
      <w:numFmt w:val="bullet"/>
      <w:lvlText w:val="•"/>
      <w:lvlJc w:val="left"/>
      <w:pPr>
        <w:ind w:left="2420" w:hanging="461"/>
      </w:pPr>
      <w:rPr>
        <w:rFonts w:hint="default"/>
      </w:rPr>
    </w:lvl>
    <w:lvl w:ilvl="3">
      <w:start w:val="1"/>
      <w:numFmt w:val="bullet"/>
      <w:lvlText w:val="•"/>
      <w:lvlJc w:val="left"/>
      <w:pPr>
        <w:ind w:left="3250" w:hanging="461"/>
      </w:pPr>
      <w:rPr>
        <w:rFonts w:hint="default"/>
      </w:rPr>
    </w:lvl>
    <w:lvl w:ilvl="4">
      <w:start w:val="1"/>
      <w:numFmt w:val="bullet"/>
      <w:lvlText w:val="•"/>
      <w:lvlJc w:val="left"/>
      <w:pPr>
        <w:ind w:left="4080" w:hanging="461"/>
      </w:pPr>
      <w:rPr>
        <w:rFonts w:hint="default"/>
      </w:rPr>
    </w:lvl>
    <w:lvl w:ilvl="5">
      <w:start w:val="1"/>
      <w:numFmt w:val="bullet"/>
      <w:lvlText w:val="•"/>
      <w:lvlJc w:val="left"/>
      <w:pPr>
        <w:ind w:left="4910" w:hanging="461"/>
      </w:pPr>
      <w:rPr>
        <w:rFonts w:hint="default"/>
      </w:rPr>
    </w:lvl>
    <w:lvl w:ilvl="6">
      <w:start w:val="1"/>
      <w:numFmt w:val="bullet"/>
      <w:lvlText w:val="•"/>
      <w:lvlJc w:val="left"/>
      <w:pPr>
        <w:ind w:left="5740" w:hanging="461"/>
      </w:pPr>
      <w:rPr>
        <w:rFonts w:hint="default"/>
      </w:rPr>
    </w:lvl>
    <w:lvl w:ilvl="7">
      <w:start w:val="1"/>
      <w:numFmt w:val="bullet"/>
      <w:lvlText w:val="•"/>
      <w:lvlJc w:val="left"/>
      <w:pPr>
        <w:ind w:left="6570" w:hanging="461"/>
      </w:pPr>
      <w:rPr>
        <w:rFonts w:hint="default"/>
      </w:rPr>
    </w:lvl>
    <w:lvl w:ilvl="8">
      <w:start w:val="1"/>
      <w:numFmt w:val="bullet"/>
      <w:lvlText w:val="•"/>
      <w:lvlJc w:val="left"/>
      <w:pPr>
        <w:ind w:left="7400" w:hanging="461"/>
      </w:pPr>
      <w:rPr>
        <w:rFonts w:hint="default"/>
      </w:rPr>
    </w:lvl>
  </w:abstractNum>
  <w:abstractNum w:abstractNumId="4">
    <w:multiLevelType w:val="hybridMultilevel"/>
    <w:lvl w:ilvl="0">
      <w:start w:val="2"/>
      <w:numFmt w:val="decimal"/>
      <w:lvlText w:val="%1."/>
      <w:lvlJc w:val="left"/>
      <w:pPr>
        <w:ind w:left="762" w:hanging="461"/>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1590" w:hanging="461"/>
      </w:pPr>
      <w:rPr>
        <w:rFonts w:hint="default"/>
      </w:rPr>
    </w:lvl>
    <w:lvl w:ilvl="2">
      <w:start w:val="1"/>
      <w:numFmt w:val="bullet"/>
      <w:lvlText w:val="•"/>
      <w:lvlJc w:val="left"/>
      <w:pPr>
        <w:ind w:left="2420" w:hanging="461"/>
      </w:pPr>
      <w:rPr>
        <w:rFonts w:hint="default"/>
      </w:rPr>
    </w:lvl>
    <w:lvl w:ilvl="3">
      <w:start w:val="1"/>
      <w:numFmt w:val="bullet"/>
      <w:lvlText w:val="•"/>
      <w:lvlJc w:val="left"/>
      <w:pPr>
        <w:ind w:left="3250" w:hanging="461"/>
      </w:pPr>
      <w:rPr>
        <w:rFonts w:hint="default"/>
      </w:rPr>
    </w:lvl>
    <w:lvl w:ilvl="4">
      <w:start w:val="1"/>
      <w:numFmt w:val="bullet"/>
      <w:lvlText w:val="•"/>
      <w:lvlJc w:val="left"/>
      <w:pPr>
        <w:ind w:left="4080" w:hanging="461"/>
      </w:pPr>
      <w:rPr>
        <w:rFonts w:hint="default"/>
      </w:rPr>
    </w:lvl>
    <w:lvl w:ilvl="5">
      <w:start w:val="1"/>
      <w:numFmt w:val="bullet"/>
      <w:lvlText w:val="•"/>
      <w:lvlJc w:val="left"/>
      <w:pPr>
        <w:ind w:left="4910" w:hanging="461"/>
      </w:pPr>
      <w:rPr>
        <w:rFonts w:hint="default"/>
      </w:rPr>
    </w:lvl>
    <w:lvl w:ilvl="6">
      <w:start w:val="1"/>
      <w:numFmt w:val="bullet"/>
      <w:lvlText w:val="•"/>
      <w:lvlJc w:val="left"/>
      <w:pPr>
        <w:ind w:left="5740" w:hanging="461"/>
      </w:pPr>
      <w:rPr>
        <w:rFonts w:hint="default"/>
      </w:rPr>
    </w:lvl>
    <w:lvl w:ilvl="7">
      <w:start w:val="1"/>
      <w:numFmt w:val="bullet"/>
      <w:lvlText w:val="•"/>
      <w:lvlJc w:val="left"/>
      <w:pPr>
        <w:ind w:left="6570" w:hanging="461"/>
      </w:pPr>
      <w:rPr>
        <w:rFonts w:hint="default"/>
      </w:rPr>
    </w:lvl>
    <w:lvl w:ilvl="8">
      <w:start w:val="1"/>
      <w:numFmt w:val="bullet"/>
      <w:lvlText w:val="•"/>
      <w:lvlJc w:val="left"/>
      <w:pPr>
        <w:ind w:left="7400" w:hanging="461"/>
      </w:pPr>
      <w:rPr>
        <w:rFonts w:hint="default"/>
      </w:rPr>
    </w:lvl>
  </w:abstractNum>
  <w:abstractNum w:abstractNumId="3">
    <w:multiLevelType w:val="hybridMultilevel"/>
    <w:lvl w:ilvl="0">
      <w:start w:val="3"/>
      <w:numFmt w:val="upperRoman"/>
      <w:lvlText w:val="%1"/>
      <w:lvlJc w:val="left"/>
      <w:pPr>
        <w:ind w:left="301" w:hanging="402"/>
        <w:jc w:val="left"/>
      </w:pPr>
      <w:rPr>
        <w:rFonts w:hint="default"/>
      </w:rPr>
    </w:lvl>
    <w:lvl w:ilvl="1">
      <w:start w:val="1"/>
      <w:numFmt w:val="decimal"/>
      <w:lvlText w:val="%1.%2"/>
      <w:lvlJc w:val="left"/>
      <w:pPr>
        <w:ind w:left="301" w:hanging="402"/>
        <w:jc w:val="left"/>
      </w:pPr>
      <w:rPr>
        <w:rFonts w:hint="default" w:ascii="Times New Roman" w:hAnsi="Times New Roman" w:eastAsia="Times New Roman" w:cs="Times New Roman"/>
        <w:w w:val="99"/>
        <w:sz w:val="20"/>
        <w:szCs w:val="20"/>
      </w:rPr>
    </w:lvl>
    <w:lvl w:ilvl="2">
      <w:start w:val="1"/>
      <w:numFmt w:val="decimal"/>
      <w:lvlText w:val="%3."/>
      <w:lvlJc w:val="left"/>
      <w:pPr>
        <w:ind w:left="762" w:hanging="461"/>
        <w:jc w:val="left"/>
      </w:pPr>
      <w:rPr>
        <w:rFonts w:hint="default" w:ascii="Times New Roman" w:hAnsi="Times New Roman" w:eastAsia="Times New Roman" w:cs="Times New Roman"/>
        <w:spacing w:val="0"/>
        <w:w w:val="99"/>
        <w:sz w:val="20"/>
        <w:szCs w:val="20"/>
      </w:rPr>
    </w:lvl>
    <w:lvl w:ilvl="3">
      <w:start w:val="1"/>
      <w:numFmt w:val="bullet"/>
      <w:lvlText w:val="•"/>
      <w:lvlJc w:val="left"/>
      <w:pPr>
        <w:ind w:left="2600" w:hanging="461"/>
      </w:pPr>
      <w:rPr>
        <w:rFonts w:hint="default"/>
      </w:rPr>
    </w:lvl>
    <w:lvl w:ilvl="4">
      <w:start w:val="1"/>
      <w:numFmt w:val="bullet"/>
      <w:lvlText w:val="•"/>
      <w:lvlJc w:val="left"/>
      <w:pPr>
        <w:ind w:left="3520" w:hanging="461"/>
      </w:pPr>
      <w:rPr>
        <w:rFonts w:hint="default"/>
      </w:rPr>
    </w:lvl>
    <w:lvl w:ilvl="5">
      <w:start w:val="1"/>
      <w:numFmt w:val="bullet"/>
      <w:lvlText w:val="•"/>
      <w:lvlJc w:val="left"/>
      <w:pPr>
        <w:ind w:left="4440" w:hanging="461"/>
      </w:pPr>
      <w:rPr>
        <w:rFonts w:hint="default"/>
      </w:rPr>
    </w:lvl>
    <w:lvl w:ilvl="6">
      <w:start w:val="1"/>
      <w:numFmt w:val="bullet"/>
      <w:lvlText w:val="•"/>
      <w:lvlJc w:val="left"/>
      <w:pPr>
        <w:ind w:left="5360" w:hanging="461"/>
      </w:pPr>
      <w:rPr>
        <w:rFonts w:hint="default"/>
      </w:rPr>
    </w:lvl>
    <w:lvl w:ilvl="7">
      <w:start w:val="1"/>
      <w:numFmt w:val="bullet"/>
      <w:lvlText w:val="•"/>
      <w:lvlJc w:val="left"/>
      <w:pPr>
        <w:ind w:left="6280" w:hanging="461"/>
      </w:pPr>
      <w:rPr>
        <w:rFonts w:hint="default"/>
      </w:rPr>
    </w:lvl>
    <w:lvl w:ilvl="8">
      <w:start w:val="1"/>
      <w:numFmt w:val="bullet"/>
      <w:lvlText w:val="•"/>
      <w:lvlJc w:val="left"/>
      <w:pPr>
        <w:ind w:left="7200" w:hanging="461"/>
      </w:pPr>
      <w:rPr>
        <w:rFonts w:hint="default"/>
      </w:rPr>
    </w:lvl>
  </w:abstractNum>
  <w:abstractNum w:abstractNumId="2">
    <w:multiLevelType w:val="hybridMultilevel"/>
    <w:lvl w:ilvl="0">
      <w:start w:val="2"/>
      <w:numFmt w:val="upperRoman"/>
      <w:lvlText w:val="%1"/>
      <w:lvlJc w:val="left"/>
      <w:pPr>
        <w:ind w:left="436" w:hanging="335"/>
        <w:jc w:val="left"/>
      </w:pPr>
      <w:rPr>
        <w:rFonts w:hint="default"/>
      </w:rPr>
    </w:lvl>
    <w:lvl w:ilvl="1">
      <w:start w:val="1"/>
      <w:numFmt w:val="decimal"/>
      <w:lvlText w:val="%1.%2"/>
      <w:lvlJc w:val="left"/>
      <w:pPr>
        <w:ind w:left="102" w:hanging="335"/>
        <w:jc w:val="left"/>
      </w:pPr>
      <w:rPr>
        <w:rFonts w:hint="default" w:ascii="Times New Roman" w:hAnsi="Times New Roman" w:eastAsia="Times New Roman" w:cs="Times New Roman"/>
        <w:w w:val="99"/>
        <w:sz w:val="20"/>
        <w:szCs w:val="20"/>
      </w:rPr>
    </w:lvl>
    <w:lvl w:ilvl="2">
      <w:start w:val="1"/>
      <w:numFmt w:val="decimal"/>
      <w:lvlText w:val="%3."/>
      <w:lvlJc w:val="left"/>
      <w:pPr>
        <w:ind w:left="301" w:hanging="461"/>
        <w:jc w:val="left"/>
      </w:pPr>
      <w:rPr>
        <w:rFonts w:hint="default" w:ascii="Times New Roman" w:hAnsi="Times New Roman" w:eastAsia="Times New Roman" w:cs="Times New Roman"/>
        <w:spacing w:val="0"/>
        <w:w w:val="99"/>
        <w:sz w:val="20"/>
        <w:szCs w:val="20"/>
      </w:rPr>
    </w:lvl>
    <w:lvl w:ilvl="3">
      <w:start w:val="1"/>
      <w:numFmt w:val="bullet"/>
      <w:lvlText w:val="•"/>
      <w:lvlJc w:val="left"/>
      <w:pPr>
        <w:ind w:left="760" w:hanging="461"/>
      </w:pPr>
      <w:rPr>
        <w:rFonts w:hint="default"/>
      </w:rPr>
    </w:lvl>
    <w:lvl w:ilvl="4">
      <w:start w:val="1"/>
      <w:numFmt w:val="bullet"/>
      <w:lvlText w:val="•"/>
      <w:lvlJc w:val="left"/>
      <w:pPr>
        <w:ind w:left="1945" w:hanging="461"/>
      </w:pPr>
      <w:rPr>
        <w:rFonts w:hint="default"/>
      </w:rPr>
    </w:lvl>
    <w:lvl w:ilvl="5">
      <w:start w:val="1"/>
      <w:numFmt w:val="bullet"/>
      <w:lvlText w:val="•"/>
      <w:lvlJc w:val="left"/>
      <w:pPr>
        <w:ind w:left="3131" w:hanging="461"/>
      </w:pPr>
      <w:rPr>
        <w:rFonts w:hint="default"/>
      </w:rPr>
    </w:lvl>
    <w:lvl w:ilvl="6">
      <w:start w:val="1"/>
      <w:numFmt w:val="bullet"/>
      <w:lvlText w:val="•"/>
      <w:lvlJc w:val="left"/>
      <w:pPr>
        <w:ind w:left="4317" w:hanging="461"/>
      </w:pPr>
      <w:rPr>
        <w:rFonts w:hint="default"/>
      </w:rPr>
    </w:lvl>
    <w:lvl w:ilvl="7">
      <w:start w:val="1"/>
      <w:numFmt w:val="bullet"/>
      <w:lvlText w:val="•"/>
      <w:lvlJc w:val="left"/>
      <w:pPr>
        <w:ind w:left="5502" w:hanging="461"/>
      </w:pPr>
      <w:rPr>
        <w:rFonts w:hint="default"/>
      </w:rPr>
    </w:lvl>
    <w:lvl w:ilvl="8">
      <w:start w:val="1"/>
      <w:numFmt w:val="bullet"/>
      <w:lvlText w:val="•"/>
      <w:lvlJc w:val="left"/>
      <w:pPr>
        <w:ind w:left="6688" w:hanging="461"/>
      </w:pPr>
      <w:rPr>
        <w:rFonts w:hint="default"/>
      </w:rPr>
    </w:lvl>
  </w:abstractNum>
  <w:abstractNum w:abstractNumId="1">
    <w:multiLevelType w:val="hybridMultilevel"/>
    <w:lvl w:ilvl="0">
      <w:start w:val="1"/>
      <w:numFmt w:val="upperRoman"/>
      <w:lvlText w:val="%1"/>
      <w:lvlJc w:val="left"/>
      <w:pPr>
        <w:ind w:left="370" w:hanging="268"/>
        <w:jc w:val="left"/>
      </w:pPr>
      <w:rPr>
        <w:rFonts w:hint="default"/>
      </w:rPr>
    </w:lvl>
    <w:lvl w:ilvl="1">
      <w:start w:val="2"/>
      <w:numFmt w:val="decimal"/>
      <w:lvlText w:val="%1.%2"/>
      <w:lvlJc w:val="left"/>
      <w:pPr>
        <w:ind w:left="102" w:hanging="268"/>
        <w:jc w:val="left"/>
      </w:pPr>
      <w:rPr>
        <w:rFonts w:hint="default" w:ascii="Times New Roman" w:hAnsi="Times New Roman" w:eastAsia="Times New Roman" w:cs="Times New Roman"/>
        <w:w w:val="99"/>
        <w:sz w:val="20"/>
        <w:szCs w:val="20"/>
      </w:rPr>
    </w:lvl>
    <w:lvl w:ilvl="2">
      <w:start w:val="1"/>
      <w:numFmt w:val="decimal"/>
      <w:lvlText w:val="%3."/>
      <w:lvlJc w:val="left"/>
      <w:pPr>
        <w:ind w:left="762" w:hanging="461"/>
        <w:jc w:val="left"/>
      </w:pPr>
      <w:rPr>
        <w:rFonts w:hint="default" w:ascii="Times New Roman" w:hAnsi="Times New Roman" w:eastAsia="Times New Roman" w:cs="Times New Roman"/>
        <w:spacing w:val="0"/>
        <w:w w:val="99"/>
        <w:sz w:val="20"/>
        <w:szCs w:val="20"/>
      </w:rPr>
    </w:lvl>
    <w:lvl w:ilvl="3">
      <w:start w:val="1"/>
      <w:numFmt w:val="bullet"/>
      <w:lvlText w:val="•"/>
      <w:lvlJc w:val="left"/>
      <w:pPr>
        <w:ind w:left="760" w:hanging="461"/>
      </w:pPr>
      <w:rPr>
        <w:rFonts w:hint="default"/>
      </w:rPr>
    </w:lvl>
    <w:lvl w:ilvl="4">
      <w:start w:val="1"/>
      <w:numFmt w:val="bullet"/>
      <w:lvlText w:val="•"/>
      <w:lvlJc w:val="left"/>
      <w:pPr>
        <w:ind w:left="1945" w:hanging="461"/>
      </w:pPr>
      <w:rPr>
        <w:rFonts w:hint="default"/>
      </w:rPr>
    </w:lvl>
    <w:lvl w:ilvl="5">
      <w:start w:val="1"/>
      <w:numFmt w:val="bullet"/>
      <w:lvlText w:val="•"/>
      <w:lvlJc w:val="left"/>
      <w:pPr>
        <w:ind w:left="3131" w:hanging="461"/>
      </w:pPr>
      <w:rPr>
        <w:rFonts w:hint="default"/>
      </w:rPr>
    </w:lvl>
    <w:lvl w:ilvl="6">
      <w:start w:val="1"/>
      <w:numFmt w:val="bullet"/>
      <w:lvlText w:val="•"/>
      <w:lvlJc w:val="left"/>
      <w:pPr>
        <w:ind w:left="4317" w:hanging="461"/>
      </w:pPr>
      <w:rPr>
        <w:rFonts w:hint="default"/>
      </w:rPr>
    </w:lvl>
    <w:lvl w:ilvl="7">
      <w:start w:val="1"/>
      <w:numFmt w:val="bullet"/>
      <w:lvlText w:val="•"/>
      <w:lvlJc w:val="left"/>
      <w:pPr>
        <w:ind w:left="5502" w:hanging="461"/>
      </w:pPr>
      <w:rPr>
        <w:rFonts w:hint="default"/>
      </w:rPr>
    </w:lvl>
    <w:lvl w:ilvl="8">
      <w:start w:val="1"/>
      <w:numFmt w:val="bullet"/>
      <w:lvlText w:val="•"/>
      <w:lvlJc w:val="left"/>
      <w:pPr>
        <w:ind w:left="6688" w:hanging="461"/>
      </w:pPr>
      <w:rPr>
        <w:rFonts w:hint="default"/>
      </w:rPr>
    </w:lvl>
  </w:abstractNum>
  <w:abstractNum w:abstractNumId="0">
    <w:multiLevelType w:val="hybridMultilevel"/>
    <w:lvl w:ilvl="0">
      <w:start w:val="1"/>
      <w:numFmt w:val="upperRoman"/>
      <w:lvlText w:val="%1."/>
      <w:lvlJc w:val="left"/>
      <w:pPr>
        <w:ind w:left="102" w:hanging="168"/>
        <w:jc w:val="left"/>
      </w:pPr>
      <w:rPr>
        <w:rFonts w:hint="default" w:ascii="Times New Roman" w:hAnsi="Times New Roman" w:eastAsia="Times New Roman" w:cs="Times New Roman"/>
        <w:w w:val="99"/>
        <w:sz w:val="20"/>
        <w:szCs w:val="20"/>
      </w:rPr>
    </w:lvl>
    <w:lvl w:ilvl="1">
      <w:start w:val="1"/>
      <w:numFmt w:val="decimal"/>
      <w:lvlText w:val="%2."/>
      <w:lvlJc w:val="left"/>
      <w:pPr>
        <w:ind w:left="762" w:hanging="461"/>
        <w:jc w:val="left"/>
      </w:pPr>
      <w:rPr>
        <w:rFonts w:hint="default" w:ascii="Times New Roman" w:hAnsi="Times New Roman" w:eastAsia="Times New Roman" w:cs="Times New Roman"/>
        <w:spacing w:val="0"/>
        <w:w w:val="99"/>
        <w:sz w:val="20"/>
        <w:szCs w:val="20"/>
      </w:rPr>
    </w:lvl>
    <w:lvl w:ilvl="2">
      <w:start w:val="1"/>
      <w:numFmt w:val="bullet"/>
      <w:lvlText w:val="•"/>
      <w:lvlJc w:val="left"/>
      <w:pPr>
        <w:ind w:left="1682" w:hanging="461"/>
      </w:pPr>
      <w:rPr>
        <w:rFonts w:hint="default"/>
      </w:rPr>
    </w:lvl>
    <w:lvl w:ilvl="3">
      <w:start w:val="1"/>
      <w:numFmt w:val="bullet"/>
      <w:lvlText w:val="•"/>
      <w:lvlJc w:val="left"/>
      <w:pPr>
        <w:ind w:left="2604" w:hanging="461"/>
      </w:pPr>
      <w:rPr>
        <w:rFonts w:hint="default"/>
      </w:rPr>
    </w:lvl>
    <w:lvl w:ilvl="4">
      <w:start w:val="1"/>
      <w:numFmt w:val="bullet"/>
      <w:lvlText w:val="•"/>
      <w:lvlJc w:val="left"/>
      <w:pPr>
        <w:ind w:left="3526" w:hanging="461"/>
      </w:pPr>
      <w:rPr>
        <w:rFonts w:hint="default"/>
      </w:rPr>
    </w:lvl>
    <w:lvl w:ilvl="5">
      <w:start w:val="1"/>
      <w:numFmt w:val="bullet"/>
      <w:lvlText w:val="•"/>
      <w:lvlJc w:val="left"/>
      <w:pPr>
        <w:ind w:left="4448" w:hanging="461"/>
      </w:pPr>
      <w:rPr>
        <w:rFonts w:hint="default"/>
      </w:rPr>
    </w:lvl>
    <w:lvl w:ilvl="6">
      <w:start w:val="1"/>
      <w:numFmt w:val="bullet"/>
      <w:lvlText w:val="•"/>
      <w:lvlJc w:val="left"/>
      <w:pPr>
        <w:ind w:left="5371" w:hanging="461"/>
      </w:pPr>
      <w:rPr>
        <w:rFonts w:hint="default"/>
      </w:rPr>
    </w:lvl>
    <w:lvl w:ilvl="7">
      <w:start w:val="1"/>
      <w:numFmt w:val="bullet"/>
      <w:lvlText w:val="•"/>
      <w:lvlJc w:val="left"/>
      <w:pPr>
        <w:ind w:left="6293" w:hanging="461"/>
      </w:pPr>
      <w:rPr>
        <w:rFonts w:hint="default"/>
      </w:rPr>
    </w:lvl>
    <w:lvl w:ilvl="8">
      <w:start w:val="1"/>
      <w:numFmt w:val="bullet"/>
      <w:lvlText w:val="•"/>
      <w:lvlJc w:val="left"/>
      <w:pPr>
        <w:ind w:left="7215" w:hanging="461"/>
      </w:pPr>
      <w:rPr>
        <w:rFonts w:hint="default"/>
      </w:rPr>
    </w:lvl>
  </w:abstractNum>
  <w:num w:numId="9">
    <w:abstractNumId w:val="8"/>
  </w:num>
  <w:num w:numId="10">
    <w:abstractNumId w:val="9"/>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99"/>
      <w:ind w:right="22"/>
      <w:jc w:val="center"/>
    </w:pPr>
    <w:rPr>
      <w:rFonts w:ascii="Times New Roman" w:hAnsi="Times New Roman" w:eastAsia="Times New Roman" w:cs="Times New Roman"/>
      <w:sz w:val="20"/>
      <w:szCs w:val="20"/>
    </w:rPr>
  </w:style>
  <w:style w:styleId="TOC2" w:type="paragraph">
    <w:name w:val="TOC 2"/>
    <w:basedOn w:val="Normal"/>
    <w:uiPriority w:val="1"/>
    <w:qFormat/>
    <w:pPr>
      <w:spacing w:before="101"/>
      <w:ind w:left="102" w:right="124"/>
    </w:pPr>
    <w:rPr>
      <w:rFonts w:ascii="Times New Roman" w:hAnsi="Times New Roman" w:eastAsia="Times New Roman" w:cs="Times New Roman"/>
      <w:sz w:val="20"/>
      <w:szCs w:val="20"/>
    </w:rPr>
  </w:style>
  <w:style w:styleId="TOC3" w:type="paragraph">
    <w:name w:val="TOC 3"/>
    <w:basedOn w:val="Normal"/>
    <w:uiPriority w:val="1"/>
    <w:qFormat/>
    <w:pPr>
      <w:spacing w:before="99"/>
      <w:ind w:left="762" w:hanging="461"/>
    </w:pPr>
    <w:rPr>
      <w:rFonts w:ascii="Times New Roman" w:hAnsi="Times New Roman" w:eastAsia="Times New Roman" w:cs="Times New Roman"/>
      <w:sz w:val="20"/>
      <w:szCs w:val="20"/>
    </w:rPr>
  </w:style>
  <w:style w:styleId="TOC4" w:type="paragraph">
    <w:name w:val="TOC 4"/>
    <w:basedOn w:val="Normal"/>
    <w:uiPriority w:val="1"/>
    <w:qFormat/>
    <w:pPr>
      <w:spacing w:before="101"/>
      <w:ind w:left="762" w:hanging="461"/>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46"/>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ind w:left="678" w:hanging="576"/>
      <w:jc w:val="both"/>
      <w:outlineLvl w:val="2"/>
    </w:pPr>
    <w:rPr>
      <w:rFonts w:ascii="Times New Roman" w:hAnsi="Times New Roman" w:eastAsia="Times New Roman" w:cs="Times New Roman"/>
      <w:b/>
      <w:bCs/>
      <w:sz w:val="28"/>
      <w:szCs w:val="28"/>
    </w:rPr>
  </w:style>
  <w:style w:styleId="ListParagraph" w:type="paragraph">
    <w:name w:val="List Paragraph"/>
    <w:basedOn w:val="Normal"/>
    <w:uiPriority w:val="1"/>
    <w:qFormat/>
    <w:pPr>
      <w:spacing w:before="99"/>
      <w:ind w:left="762" w:hanging="461"/>
    </w:pPr>
    <w:rPr>
      <w:rFonts w:ascii="Times New Roman" w:hAnsi="Times New Roman" w:eastAsia="Times New Roman" w:cs="Times New Roman"/>
    </w:rPr>
  </w:style>
  <w:style w:styleId="TableParagraph" w:type="paragraph">
    <w:name w:val="Table Paragraph"/>
    <w:basedOn w:val="Normal"/>
    <w:uiPriority w:val="1"/>
    <w:qFormat/>
    <w:pPr>
      <w:spacing w:line="247" w:lineRule="exact"/>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yperlink" Target="http://www.latindex.unam.mx/librociri/" TargetMode="External"/><Relationship Id="rId9" Type="http://schemas.openxmlformats.org/officeDocument/2006/relationships/image" Target="media/image4.jpeg"/><Relationship Id="rId10" Type="http://schemas.openxmlformats.org/officeDocument/2006/relationships/header" Target="header1.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hyperlink" Target="http://dialnet.unirioja.es/" TargetMode="External"/><Relationship Id="rId18" Type="http://schemas.openxmlformats.org/officeDocument/2006/relationships/hyperlink" Target="http://www.ejournal.unam.mx/" TargetMode="External"/><Relationship Id="rId19" Type="http://schemas.openxmlformats.org/officeDocument/2006/relationships/hyperlink" Target="http://www.erevistas.csic.es/" TargetMode="External"/><Relationship Id="rId20" Type="http://schemas.openxmlformats.org/officeDocument/2006/relationships/hyperlink" Target="http://www.scielo.org/" TargetMode="External"/><Relationship Id="rId21" Type="http://schemas.openxmlformats.org/officeDocument/2006/relationships/hyperlink" Target="http://www.oei.es/" TargetMode="External"/><Relationship Id="rId22" Type="http://schemas.openxmlformats.org/officeDocument/2006/relationships/hyperlink" Target="http://ictlogy.net/articles/" TargetMode="External"/><Relationship Id="rId23" Type="http://schemas.openxmlformats.org/officeDocument/2006/relationships/hyperlink" Target="http://www.geotropico.org/1_2_Documentos_Berlin.html)" TargetMode="External"/><Relationship Id="rId24" Type="http://schemas.openxmlformats.org/officeDocument/2006/relationships/image" Target="media/image5.jpeg"/><Relationship Id="rId25" Type="http://schemas.openxmlformats.org/officeDocument/2006/relationships/image" Target="media/image6.jpeg"/><Relationship Id="rId26" Type="http://schemas.openxmlformats.org/officeDocument/2006/relationships/hyperlink" Target="http://www.red-redial.net/" TargetMode="External"/><Relationship Id="rId27" Type="http://schemas.openxmlformats.org/officeDocument/2006/relationships/hyperlink" Target="http://www.redredial.net/ceisal.php)" TargetMode="External"/><Relationship Id="rId28" Type="http://schemas.openxmlformats.org/officeDocument/2006/relationships/footer" Target="footer7.xml"/><Relationship Id="rId29" Type="http://schemas.openxmlformats.org/officeDocument/2006/relationships/image" Target="media/image7.jpeg"/><Relationship Id="rId30" Type="http://schemas.openxmlformats.org/officeDocument/2006/relationships/image" Target="media/image8.jpeg"/><Relationship Id="rId31" Type="http://schemas.openxmlformats.org/officeDocument/2006/relationships/hyperlink" Target="http://www.campusmilenio.com.mx/" TargetMode="External"/><Relationship Id="rId32" Type="http://schemas.openxmlformats.org/officeDocument/2006/relationships/hyperlink" Target="http://www.erevistas.csic.es/especial_revistas/revistas11.htm" TargetMode="External"/><Relationship Id="rId33" Type="http://schemas.openxmlformats.org/officeDocument/2006/relationships/hyperlink" Target="http://www.scidev.net/en/editorials/scientific-output-the-real-knowledge-" TargetMode="External"/><Relationship Id="rId34" Type="http://schemas.openxmlformats.org/officeDocument/2006/relationships/footer" Target="footer8.xml"/><Relationship Id="rId35" Type="http://schemas.openxmlformats.org/officeDocument/2006/relationships/footer" Target="footer9.xml"/><Relationship Id="rId36" Type="http://schemas.openxmlformats.org/officeDocument/2006/relationships/image" Target="media/image9.png"/><Relationship Id="rId3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Guillermo</dc:creator>
  <dcterms:created xsi:type="dcterms:W3CDTF">2017-06-01T19:25:01Z</dcterms:created>
  <dcterms:modified xsi:type="dcterms:W3CDTF">2017-06-01T19:25:01Z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2012-09-18T00:00:00Z</vt:filetime>
  </property>
  <property fmtid="{D5CDD505-2E9C-101B-9397-08002B2CF9AE}" pid="3" name="Creator">
    <vt:lpwstr>Microsoft® Office Word 2007</vt:lpwstr>
  </property>
  <property fmtid="{D5CDD505-2E9C-101B-9397-08002B2CF9AE}" pid="4" name="LastSaved">
    <vt:filetime>2017-06-01T00:00:00Z</vt:filetime>
  </property>
</Properties>
</file>